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8C5" w:rsidRDefault="008B38C5" w:rsidP="008B38C5">
      <w:pPr>
        <w:pStyle w:val="Portada1"/>
      </w:pPr>
      <w:bookmarkStart w:id="0" w:name="_GoBack"/>
      <w:bookmarkEnd w:id="0"/>
      <w:r>
        <w:t>TRIBUNAL CONSTITUCIONAL</w:t>
      </w:r>
    </w:p>
    <w:p w:rsidR="008107C7" w:rsidRDefault="008107C7" w:rsidP="008B38C5">
      <w:pPr>
        <w:pStyle w:val="Portada1"/>
      </w:pPr>
    </w:p>
    <w:p w:rsidR="008B38C5" w:rsidRDefault="008B38C5" w:rsidP="008B38C5">
      <w:pPr>
        <w:pStyle w:val="Portada2"/>
      </w:pPr>
      <w:r>
        <w:t>SECRETARÍA GENERAL</w:t>
      </w:r>
    </w:p>
    <w:p w:rsidR="008B38C5" w:rsidRDefault="008B38C5" w:rsidP="008B38C5">
      <w:pPr>
        <w:pStyle w:val="Portada2"/>
      </w:pPr>
    </w:p>
    <w:p w:rsidR="008B38C5" w:rsidRDefault="008B38C5" w:rsidP="008B38C5">
      <w:pPr>
        <w:pStyle w:val="Portada2"/>
      </w:pPr>
    </w:p>
    <w:p w:rsidR="008B38C5" w:rsidRDefault="008B38C5" w:rsidP="008B38C5">
      <w:pPr>
        <w:pStyle w:val="Portada2"/>
      </w:pPr>
    </w:p>
    <w:p w:rsidR="008B38C5" w:rsidRDefault="008B38C5" w:rsidP="008B38C5">
      <w:pPr>
        <w:pStyle w:val="Portada2"/>
      </w:pPr>
    </w:p>
    <w:p w:rsidR="008B38C5" w:rsidRDefault="008B38C5" w:rsidP="008B38C5">
      <w:pPr>
        <w:pStyle w:val="Portada2"/>
      </w:pPr>
    </w:p>
    <w:p w:rsidR="008B38C5" w:rsidRDefault="008B38C5" w:rsidP="008B38C5">
      <w:pPr>
        <w:pStyle w:val="Portada2"/>
      </w:pPr>
    </w:p>
    <w:p w:rsidR="008B38C5" w:rsidRDefault="008B38C5" w:rsidP="008B38C5">
      <w:pPr>
        <w:pStyle w:val="Portada2"/>
      </w:pPr>
    </w:p>
    <w:p w:rsidR="008B38C5" w:rsidRDefault="008B38C5" w:rsidP="008B38C5">
      <w:pPr>
        <w:pStyle w:val="Portada2"/>
      </w:pPr>
    </w:p>
    <w:p w:rsidR="008B38C5" w:rsidRDefault="008B38C5" w:rsidP="008B38C5">
      <w:pPr>
        <w:pStyle w:val="PortadaPrincipal"/>
      </w:pPr>
      <w:r>
        <w:t>JURISPRUDENCIA</w:t>
      </w:r>
    </w:p>
    <w:p w:rsidR="008B38C5" w:rsidRDefault="008B38C5" w:rsidP="008B38C5">
      <w:pPr>
        <w:pStyle w:val="PortadaPrincipal"/>
      </w:pPr>
      <w:r>
        <w:t>CONSTITUCIONAL</w:t>
      </w:r>
    </w:p>
    <w:p w:rsidR="008B38C5" w:rsidRDefault="008B38C5" w:rsidP="008B38C5">
      <w:pPr>
        <w:pStyle w:val="PortadaPrincipal"/>
      </w:pPr>
    </w:p>
    <w:p w:rsidR="008B38C5" w:rsidRPr="008B38C5" w:rsidRDefault="008B38C5" w:rsidP="008B38C5">
      <w:pPr>
        <w:pStyle w:val="Portada1"/>
        <w:rPr>
          <w:b/>
        </w:rPr>
      </w:pPr>
      <w:r w:rsidRPr="008B38C5">
        <w:rPr>
          <w:b/>
        </w:rPr>
        <w:t>TOMO CUADRAGÉSIMO SÉPTIMO</w:t>
      </w:r>
    </w:p>
    <w:p w:rsidR="008B38C5" w:rsidRPr="008B38C5" w:rsidRDefault="008B38C5" w:rsidP="008B38C5">
      <w:pPr>
        <w:pStyle w:val="Portada1"/>
        <w:rPr>
          <w:b/>
        </w:rPr>
      </w:pPr>
      <w:r w:rsidRPr="008B38C5">
        <w:rPr>
          <w:b/>
        </w:rPr>
        <w:t>(enero - abril 1997)</w:t>
      </w:r>
    </w:p>
    <w:p w:rsidR="008B38C5" w:rsidRDefault="008B38C5" w:rsidP="008B38C5">
      <w:pPr>
        <w:pStyle w:val="Portada1"/>
      </w:pPr>
    </w:p>
    <w:p w:rsidR="008B38C5" w:rsidRDefault="008B38C5" w:rsidP="008B38C5">
      <w:pPr>
        <w:pStyle w:val="Portada1"/>
      </w:pPr>
    </w:p>
    <w:p w:rsidR="008B38C5" w:rsidRDefault="008B38C5" w:rsidP="008B38C5">
      <w:pPr>
        <w:pStyle w:val="Portada1"/>
      </w:pPr>
    </w:p>
    <w:p w:rsidR="008B38C5" w:rsidRDefault="008B38C5" w:rsidP="008B38C5">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8B38C5" w:rsidRDefault="008B38C5" w:rsidP="008B38C5">
      <w:pPr>
        <w:pStyle w:val="Portada1"/>
      </w:pPr>
    </w:p>
    <w:p w:rsidR="008B38C5" w:rsidRDefault="008B38C5" w:rsidP="008B38C5">
      <w:pPr>
        <w:pStyle w:val="Portada1"/>
      </w:pPr>
    </w:p>
    <w:p w:rsidR="008B38C5" w:rsidRDefault="008B38C5" w:rsidP="008B38C5">
      <w:pPr>
        <w:pStyle w:val="Portada1"/>
      </w:pPr>
    </w:p>
    <w:p w:rsidR="008B38C5" w:rsidRDefault="008B38C5" w:rsidP="008B38C5">
      <w:pPr>
        <w:pStyle w:val="Portada1"/>
      </w:pPr>
    </w:p>
    <w:p w:rsidR="008B38C5" w:rsidRDefault="008B38C5" w:rsidP="008B38C5">
      <w:pPr>
        <w:pStyle w:val="Portada1"/>
      </w:pPr>
    </w:p>
    <w:p w:rsidR="008B38C5" w:rsidRDefault="008B38C5" w:rsidP="008B38C5">
      <w:pPr>
        <w:pStyle w:val="Portada2"/>
      </w:pPr>
      <w:r>
        <w:t>MADRID 1997</w:t>
      </w:r>
    </w:p>
    <w:p w:rsidR="00660716" w:rsidRDefault="00660716">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660716" w:rsidRDefault="00660716" w:rsidP="00660716">
      <w:pPr>
        <w:pStyle w:val="CabeceraApartadoDerecha"/>
      </w:pPr>
      <w:r>
        <w:lastRenderedPageBreak/>
        <w:t>CONTENIDO</w:t>
      </w:r>
    </w:p>
    <w:p w:rsidR="008107C7" w:rsidRDefault="008107C7" w:rsidP="00660716">
      <w:pPr>
        <w:pStyle w:val="CabeceraApartadoDerecha"/>
      </w:pPr>
    </w:p>
    <w:p w:rsidR="00660716" w:rsidRDefault="00660716" w:rsidP="00660716">
      <w:pPr>
        <w:pStyle w:val="EntradandiceSumario"/>
        <w:keepNext w:val="0"/>
      </w:pPr>
      <w:r>
        <w:t>1. SENTENCIAS: STC 1/1997 A STC 87/1997</w:t>
      </w:r>
      <w:r>
        <w:tab/>
      </w:r>
      <w:r>
        <w:tab/>
      </w:r>
      <w:r>
        <w:fldChar w:fldCharType="begin"/>
      </w:r>
      <w:r>
        <w:instrText xml:space="preserve"> PAGEREF SUMARIOSENTENCIAS \h </w:instrText>
      </w:r>
      <w:r>
        <w:fldChar w:fldCharType="separate"/>
      </w:r>
      <w:r w:rsidR="00817D23">
        <w:rPr>
          <w:noProof/>
        </w:rPr>
        <w:t>3</w:t>
      </w:r>
      <w:r>
        <w:fldChar w:fldCharType="end"/>
      </w:r>
    </w:p>
    <w:p w:rsidR="00660716" w:rsidRDefault="00660716" w:rsidP="00660716">
      <w:pPr>
        <w:pStyle w:val="EntradandiceSumario"/>
        <w:keepNext w:val="0"/>
      </w:pPr>
    </w:p>
    <w:p w:rsidR="00660716" w:rsidRDefault="00660716" w:rsidP="00660716">
      <w:pPr>
        <w:pStyle w:val="EntradandiceSumario"/>
        <w:keepNext w:val="0"/>
      </w:pPr>
      <w:bookmarkStart w:id="1" w:name="SUMARIOSINDICES"/>
      <w:r>
        <w:t>2. AUTOS: ATC 1/1997 A ATC 123/1997</w:t>
      </w:r>
      <w:r>
        <w:tab/>
      </w:r>
      <w:r>
        <w:tab/>
      </w:r>
      <w:r>
        <w:fldChar w:fldCharType="begin"/>
      </w:r>
      <w:r>
        <w:instrText xml:space="preserve"> PAGEREF SUMARIOSAUTOS \h </w:instrText>
      </w:r>
      <w:r>
        <w:fldChar w:fldCharType="separate"/>
      </w:r>
      <w:r w:rsidR="00817D23">
        <w:rPr>
          <w:noProof/>
        </w:rPr>
        <w:t>16</w:t>
      </w:r>
      <w:r>
        <w:fldChar w:fldCharType="end"/>
      </w:r>
    </w:p>
    <w:bookmarkEnd w:id="1"/>
    <w:p w:rsidR="00660716" w:rsidRDefault="00660716" w:rsidP="00660716">
      <w:pPr>
        <w:pStyle w:val="EntradandiceSumario"/>
        <w:keepNext w:val="0"/>
      </w:pPr>
    </w:p>
    <w:p w:rsidR="00660716" w:rsidRDefault="00FB55DB" w:rsidP="00660716">
      <w:pPr>
        <w:pStyle w:val="EntradandiceSumario"/>
        <w:keepNext w:val="0"/>
      </w:pPr>
      <w:r>
        <w:t>3.</w:t>
      </w:r>
      <w:r w:rsidR="00E37F57">
        <w:t xml:space="preserve"> ÍNDICE DE DISPOSICIONES CON FUERZA DE LEY IMPUGNADAS</w:t>
      </w:r>
      <w:r w:rsidR="00660716">
        <w:t>:</w:t>
      </w:r>
    </w:p>
    <w:p w:rsidR="00660716" w:rsidRDefault="00660716" w:rsidP="00660716">
      <w:pPr>
        <w:pStyle w:val="EntradandiceSumario"/>
        <w:keepNext w:val="0"/>
      </w:pPr>
    </w:p>
    <w:p w:rsidR="00660716" w:rsidRDefault="00835B01" w:rsidP="00660716">
      <w:pPr>
        <w:pStyle w:val="EntradandiceSumarioNivel2"/>
        <w:keepNext w:val="0"/>
      </w:pPr>
      <w:r>
        <w:t>A) Disposiciones con fuerza de ley del Estado</w:t>
      </w:r>
      <w:r w:rsidR="00660716">
        <w:tab/>
      </w:r>
      <w:r w:rsidR="00660716">
        <w:tab/>
      </w:r>
      <w:r w:rsidR="00660716">
        <w:fldChar w:fldCharType="begin"/>
      </w:r>
      <w:r w:rsidR="00660716">
        <w:instrText xml:space="preserve"> PAGEREF INDICE22802 \h </w:instrText>
      </w:r>
      <w:r w:rsidR="00660716">
        <w:fldChar w:fldCharType="separate"/>
      </w:r>
      <w:r w:rsidR="00817D23">
        <w:rPr>
          <w:noProof/>
        </w:rPr>
        <w:t>1539</w:t>
      </w:r>
      <w:r w:rsidR="00660716">
        <w:fldChar w:fldCharType="end"/>
      </w:r>
    </w:p>
    <w:p w:rsidR="00660716" w:rsidRDefault="009D0AE4" w:rsidP="00660716">
      <w:pPr>
        <w:pStyle w:val="EntradandiceSumarioNivel2"/>
        <w:keepNext w:val="0"/>
      </w:pPr>
      <w:r>
        <w:t>B) Disposiciones con fuerza de ley de las Comunidades Autónomas</w:t>
      </w:r>
      <w:r w:rsidR="00660716">
        <w:tab/>
      </w:r>
      <w:r w:rsidR="00660716">
        <w:tab/>
      </w:r>
      <w:r w:rsidR="00660716">
        <w:fldChar w:fldCharType="begin"/>
      </w:r>
      <w:r w:rsidR="00660716">
        <w:instrText xml:space="preserve"> PAGEREF INDICE22806 \h </w:instrText>
      </w:r>
      <w:r w:rsidR="00660716">
        <w:fldChar w:fldCharType="separate"/>
      </w:r>
      <w:r w:rsidR="00817D23">
        <w:rPr>
          <w:noProof/>
        </w:rPr>
        <w:t>1540</w:t>
      </w:r>
      <w:r w:rsidR="00660716">
        <w:fldChar w:fldCharType="end"/>
      </w:r>
    </w:p>
    <w:p w:rsidR="00660716" w:rsidRDefault="00660716" w:rsidP="00660716"/>
    <w:p w:rsidR="00660716" w:rsidRDefault="00B13BF5" w:rsidP="00660716">
      <w:pPr>
        <w:pStyle w:val="EntradandiceSumario"/>
        <w:keepNext w:val="0"/>
      </w:pPr>
      <w:r>
        <w:t>4. ÍNDICE DE DISPOSICIONES GENERALES IMPUGNADAS</w:t>
      </w:r>
      <w:r w:rsidR="00660716">
        <w:t>:</w:t>
      </w:r>
    </w:p>
    <w:p w:rsidR="00660716" w:rsidRDefault="00660716" w:rsidP="00660716">
      <w:pPr>
        <w:pStyle w:val="EntradandiceSumario"/>
        <w:keepNext w:val="0"/>
      </w:pPr>
    </w:p>
    <w:p w:rsidR="00660716" w:rsidRDefault="00660716" w:rsidP="00660716">
      <w:pPr>
        <w:pStyle w:val="EntradandiceSumarioNivel2"/>
        <w:keepNext w:val="0"/>
      </w:pPr>
      <w:r>
        <w:t>A) Disposiciones del Estado</w:t>
      </w:r>
      <w:r>
        <w:tab/>
      </w:r>
      <w:r>
        <w:tab/>
      </w:r>
      <w:r>
        <w:fldChar w:fldCharType="begin"/>
      </w:r>
      <w:r>
        <w:instrText xml:space="preserve"> PAGEREF INDICE22803 \h </w:instrText>
      </w:r>
      <w:r>
        <w:fldChar w:fldCharType="separate"/>
      </w:r>
      <w:r w:rsidR="00817D23">
        <w:rPr>
          <w:noProof/>
        </w:rPr>
        <w:t>1541</w:t>
      </w:r>
      <w:r>
        <w:fldChar w:fldCharType="end"/>
      </w:r>
    </w:p>
    <w:p w:rsidR="00660716" w:rsidRDefault="00660716" w:rsidP="00660716">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817D23">
        <w:rPr>
          <w:noProof/>
        </w:rPr>
        <w:t>1541</w:t>
      </w:r>
      <w:r>
        <w:fldChar w:fldCharType="end"/>
      </w:r>
    </w:p>
    <w:p w:rsidR="00660716" w:rsidRDefault="00660716" w:rsidP="00660716"/>
    <w:p w:rsidR="00660716" w:rsidRDefault="00660716" w:rsidP="00660716">
      <w:pPr>
        <w:pStyle w:val="EntradandiceSumario"/>
        <w:keepNext w:val="0"/>
      </w:pPr>
      <w:r>
        <w:t>5. ÍNDICE DE DISPOSICIONES CITADAS:</w:t>
      </w:r>
    </w:p>
    <w:p w:rsidR="00660716" w:rsidRDefault="00660716" w:rsidP="00660716">
      <w:pPr>
        <w:pStyle w:val="EntradandiceSumario"/>
        <w:keepNext w:val="0"/>
      </w:pPr>
    </w:p>
    <w:p w:rsidR="00660716" w:rsidRDefault="00660716" w:rsidP="00660716">
      <w:pPr>
        <w:pStyle w:val="EntradandiceSumarioNivel2"/>
        <w:keepNext w:val="0"/>
      </w:pPr>
      <w:r>
        <w:t>A) Constitución</w:t>
      </w:r>
      <w:r>
        <w:tab/>
      </w:r>
      <w:r>
        <w:tab/>
      </w:r>
      <w:r>
        <w:fldChar w:fldCharType="begin"/>
      </w:r>
      <w:r>
        <w:instrText xml:space="preserve"> PAGEREF INDICE22804 \h </w:instrText>
      </w:r>
      <w:r>
        <w:fldChar w:fldCharType="separate"/>
      </w:r>
      <w:r w:rsidR="00817D23">
        <w:rPr>
          <w:noProof/>
        </w:rPr>
        <w:t>1543</w:t>
      </w:r>
      <w:r>
        <w:fldChar w:fldCharType="end"/>
      </w:r>
    </w:p>
    <w:p w:rsidR="00660716" w:rsidRDefault="00660716" w:rsidP="00660716">
      <w:pPr>
        <w:pStyle w:val="EntradandiceSumarioNivel2"/>
        <w:keepNext w:val="0"/>
      </w:pPr>
      <w:r>
        <w:t>B) Tribunal Constitucional</w:t>
      </w:r>
      <w:r>
        <w:tab/>
      </w:r>
      <w:r>
        <w:tab/>
      </w:r>
      <w:r>
        <w:fldChar w:fldCharType="begin"/>
      </w:r>
      <w:r>
        <w:instrText xml:space="preserve"> PAGEREF INDICE22843 \h </w:instrText>
      </w:r>
      <w:r>
        <w:fldChar w:fldCharType="separate"/>
      </w:r>
      <w:r w:rsidR="00817D23">
        <w:rPr>
          <w:noProof/>
        </w:rPr>
        <w:t>1547</w:t>
      </w:r>
      <w:r>
        <w:fldChar w:fldCharType="end"/>
      </w:r>
    </w:p>
    <w:p w:rsidR="00660716" w:rsidRDefault="00660716" w:rsidP="00660716">
      <w:pPr>
        <w:pStyle w:val="EntradandiceSumarioNivel2"/>
        <w:keepNext w:val="0"/>
      </w:pPr>
      <w:r>
        <w:t>C) Cortes Generales</w:t>
      </w:r>
      <w:r>
        <w:tab/>
      </w:r>
      <w:r>
        <w:tab/>
      </w:r>
      <w:r>
        <w:fldChar w:fldCharType="begin"/>
      </w:r>
      <w:r>
        <w:instrText xml:space="preserve"> PAGEREF INDICE22844 \h </w:instrText>
      </w:r>
      <w:r>
        <w:fldChar w:fldCharType="separate"/>
      </w:r>
      <w:r w:rsidR="00817D23">
        <w:rPr>
          <w:noProof/>
        </w:rPr>
        <w:t>1549</w:t>
      </w:r>
      <w:r>
        <w:fldChar w:fldCharType="end"/>
      </w:r>
    </w:p>
    <w:p w:rsidR="00660716" w:rsidRDefault="00660716" w:rsidP="00660716">
      <w:pPr>
        <w:pStyle w:val="EntradandiceSumarioNivel2"/>
        <w:keepNext w:val="0"/>
      </w:pPr>
      <w:r>
        <w:t>D) Leyes Orgánicas</w:t>
      </w:r>
      <w:r>
        <w:tab/>
      </w:r>
      <w:r>
        <w:tab/>
      </w:r>
      <w:r>
        <w:fldChar w:fldCharType="begin"/>
      </w:r>
      <w:r>
        <w:instrText xml:space="preserve"> PAGEREF INDICE22845 \h </w:instrText>
      </w:r>
      <w:r>
        <w:fldChar w:fldCharType="separate"/>
      </w:r>
      <w:r w:rsidR="00817D23">
        <w:rPr>
          <w:noProof/>
        </w:rPr>
        <w:t>1549</w:t>
      </w:r>
      <w:r>
        <w:fldChar w:fldCharType="end"/>
      </w:r>
    </w:p>
    <w:p w:rsidR="00660716" w:rsidRDefault="00660716" w:rsidP="00660716">
      <w:pPr>
        <w:pStyle w:val="EntradandiceSumarioNivel2"/>
        <w:keepNext w:val="0"/>
      </w:pPr>
      <w:r>
        <w:t>E) Leyes de las Cortes Generales</w:t>
      </w:r>
      <w:r>
        <w:tab/>
      </w:r>
      <w:r>
        <w:tab/>
      </w:r>
      <w:r>
        <w:fldChar w:fldCharType="begin"/>
      </w:r>
      <w:r>
        <w:instrText xml:space="preserve"> PAGEREF INDICE22846 \h </w:instrText>
      </w:r>
      <w:r>
        <w:fldChar w:fldCharType="separate"/>
      </w:r>
      <w:r w:rsidR="00817D23">
        <w:rPr>
          <w:noProof/>
        </w:rPr>
        <w:t>1552</w:t>
      </w:r>
      <w:r>
        <w:fldChar w:fldCharType="end"/>
      </w:r>
    </w:p>
    <w:p w:rsidR="00660716" w:rsidRDefault="00660716" w:rsidP="00660716">
      <w:pPr>
        <w:pStyle w:val="EntradandiceSumarioNivel2"/>
        <w:keepNext w:val="0"/>
      </w:pPr>
      <w:r>
        <w:t>F) Reales Decretos Legislativos</w:t>
      </w:r>
      <w:r>
        <w:tab/>
      </w:r>
      <w:r>
        <w:tab/>
      </w:r>
      <w:r>
        <w:fldChar w:fldCharType="begin"/>
      </w:r>
      <w:r>
        <w:instrText xml:space="preserve"> PAGEREF INDICE22847 \h </w:instrText>
      </w:r>
      <w:r>
        <w:fldChar w:fldCharType="separate"/>
      </w:r>
      <w:r w:rsidR="00817D23">
        <w:rPr>
          <w:noProof/>
        </w:rPr>
        <w:t>1556</w:t>
      </w:r>
      <w:r>
        <w:fldChar w:fldCharType="end"/>
      </w:r>
    </w:p>
    <w:p w:rsidR="00660716" w:rsidRDefault="00660716" w:rsidP="00660716">
      <w:pPr>
        <w:pStyle w:val="EntradandiceSumarioNivel2"/>
        <w:keepNext w:val="0"/>
      </w:pPr>
      <w:r>
        <w:t>G) Reales Decretos-leyes</w:t>
      </w:r>
      <w:r>
        <w:tab/>
      </w:r>
      <w:r>
        <w:tab/>
      </w:r>
      <w:r>
        <w:fldChar w:fldCharType="begin"/>
      </w:r>
      <w:r>
        <w:instrText xml:space="preserve"> PAGEREF INDICE22848 \h </w:instrText>
      </w:r>
      <w:r>
        <w:fldChar w:fldCharType="separate"/>
      </w:r>
      <w:r w:rsidR="00817D23">
        <w:rPr>
          <w:noProof/>
        </w:rPr>
        <w:t>1565</w:t>
      </w:r>
      <w:r>
        <w:fldChar w:fldCharType="end"/>
      </w:r>
    </w:p>
    <w:p w:rsidR="00660716" w:rsidRDefault="00660716" w:rsidP="00660716">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817D23">
        <w:rPr>
          <w:noProof/>
        </w:rPr>
        <w:t>1565</w:t>
      </w:r>
      <w:r>
        <w:fldChar w:fldCharType="end"/>
      </w:r>
    </w:p>
    <w:p w:rsidR="00660716" w:rsidRDefault="00660716" w:rsidP="00660716">
      <w:pPr>
        <w:pStyle w:val="EntradandiceSumarioNivel2"/>
        <w:keepNext w:val="0"/>
      </w:pPr>
      <w:r>
        <w:t>I) Legislación preconstitucional</w:t>
      </w:r>
      <w:r>
        <w:tab/>
      </w:r>
      <w:r>
        <w:tab/>
      </w:r>
      <w:r>
        <w:fldChar w:fldCharType="begin"/>
      </w:r>
      <w:r>
        <w:instrText xml:space="preserve"> PAGEREF INDICE22850 \h </w:instrText>
      </w:r>
      <w:r>
        <w:fldChar w:fldCharType="separate"/>
      </w:r>
      <w:r w:rsidR="00817D23">
        <w:rPr>
          <w:noProof/>
        </w:rPr>
        <w:t>1569</w:t>
      </w:r>
      <w:r>
        <w:fldChar w:fldCharType="end"/>
      </w:r>
    </w:p>
    <w:p w:rsidR="00660716" w:rsidRDefault="00660716" w:rsidP="00660716">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817D23">
        <w:rPr>
          <w:noProof/>
        </w:rPr>
        <w:t>1575</w:t>
      </w:r>
      <w:r>
        <w:fldChar w:fldCharType="end"/>
      </w:r>
    </w:p>
    <w:p w:rsidR="00660716" w:rsidRDefault="00660716" w:rsidP="00660716">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817D23">
        <w:rPr>
          <w:noProof/>
        </w:rPr>
        <w:t>1581</w:t>
      </w:r>
      <w:r>
        <w:fldChar w:fldCharType="end"/>
      </w:r>
    </w:p>
    <w:p w:rsidR="00660716" w:rsidRDefault="00660716" w:rsidP="00660716">
      <w:pPr>
        <w:pStyle w:val="EntradandiceSumarioNivel2"/>
        <w:keepNext w:val="0"/>
      </w:pPr>
      <w:r>
        <w:t>M) Unión Europea</w:t>
      </w:r>
      <w:r>
        <w:tab/>
      </w:r>
      <w:r>
        <w:tab/>
      </w:r>
      <w:r>
        <w:fldChar w:fldCharType="begin"/>
      </w:r>
      <w:r>
        <w:instrText xml:space="preserve"> PAGEREF INDICE22871 \h </w:instrText>
      </w:r>
      <w:r>
        <w:fldChar w:fldCharType="separate"/>
      </w:r>
      <w:r w:rsidR="00817D23">
        <w:rPr>
          <w:noProof/>
        </w:rPr>
        <w:t>1582</w:t>
      </w:r>
      <w:r>
        <w:fldChar w:fldCharType="end"/>
      </w:r>
    </w:p>
    <w:p w:rsidR="00660716" w:rsidRDefault="00660716" w:rsidP="00660716">
      <w:pPr>
        <w:pStyle w:val="EntradandiceSumarioNivel2"/>
        <w:keepNext w:val="0"/>
      </w:pPr>
      <w:r>
        <w:t>N) Consejo de Europa</w:t>
      </w:r>
      <w:r>
        <w:tab/>
      </w:r>
      <w:r>
        <w:tab/>
      </w:r>
      <w:r>
        <w:fldChar w:fldCharType="begin"/>
      </w:r>
      <w:r>
        <w:instrText xml:space="preserve"> PAGEREF INDICE27994 \h </w:instrText>
      </w:r>
      <w:r>
        <w:fldChar w:fldCharType="separate"/>
      </w:r>
      <w:r w:rsidR="00817D23">
        <w:rPr>
          <w:noProof/>
        </w:rPr>
        <w:t>1582</w:t>
      </w:r>
      <w:r>
        <w:fldChar w:fldCharType="end"/>
      </w:r>
    </w:p>
    <w:p w:rsidR="00660716" w:rsidRDefault="00660716" w:rsidP="00660716"/>
    <w:p w:rsidR="00660716" w:rsidRDefault="000171C7" w:rsidP="00660716">
      <w:pPr>
        <w:pStyle w:val="EntradandiceSumario"/>
        <w:keepNext w:val="0"/>
      </w:pPr>
      <w:r>
        <w:t>6.</w:t>
      </w:r>
      <w:r w:rsidR="00715805">
        <w:t xml:space="preserve"> ÍNDICE DE RESOLUCIONES JUDICIALES DE OTROS TRIBUNALES CITADAS</w:t>
      </w:r>
      <w:r w:rsidR="00660716">
        <w:t>:</w:t>
      </w:r>
    </w:p>
    <w:p w:rsidR="00660716" w:rsidRDefault="00660716" w:rsidP="00660716">
      <w:pPr>
        <w:pStyle w:val="EntradandiceSumario"/>
        <w:keepNext w:val="0"/>
      </w:pPr>
    </w:p>
    <w:p w:rsidR="00660716" w:rsidRDefault="00660716" w:rsidP="00660716">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817D23">
        <w:rPr>
          <w:noProof/>
        </w:rPr>
        <w:t>1584</w:t>
      </w:r>
      <w:r>
        <w:fldChar w:fldCharType="end"/>
      </w:r>
    </w:p>
    <w:p w:rsidR="00660716" w:rsidRDefault="00660716" w:rsidP="00660716">
      <w:pPr>
        <w:pStyle w:val="EntradandiceSumarioNivel2"/>
        <w:keepNext w:val="0"/>
      </w:pPr>
      <w:r>
        <w:t>C) Tribunal Supremo</w:t>
      </w:r>
      <w:r>
        <w:tab/>
      </w:r>
      <w:r>
        <w:tab/>
      </w:r>
      <w:r>
        <w:fldChar w:fldCharType="begin"/>
      </w:r>
      <w:r>
        <w:instrText xml:space="preserve"> PAGEREF INDICE22925 \h </w:instrText>
      </w:r>
      <w:r>
        <w:fldChar w:fldCharType="separate"/>
      </w:r>
      <w:r w:rsidR="00817D23">
        <w:rPr>
          <w:noProof/>
        </w:rPr>
        <w:t>1586</w:t>
      </w:r>
      <w:r>
        <w:fldChar w:fldCharType="end"/>
      </w:r>
    </w:p>
    <w:p w:rsidR="00660716" w:rsidRDefault="00660716" w:rsidP="00660716"/>
    <w:p w:rsidR="00660716" w:rsidRDefault="00660716" w:rsidP="00660716">
      <w:pPr>
        <w:pStyle w:val="EntradandiceSumario"/>
        <w:keepNext w:val="0"/>
      </w:pPr>
      <w:r>
        <w:t>7. ÍNDICE ANALÍTICO</w:t>
      </w:r>
      <w:r>
        <w:tab/>
      </w:r>
      <w:r>
        <w:tab/>
      </w:r>
      <w:r>
        <w:fldChar w:fldCharType="begin"/>
      </w:r>
      <w:r>
        <w:instrText xml:space="preserve"> PAGEREF INDICE5ALFABETICO \h </w:instrText>
      </w:r>
      <w:r>
        <w:fldChar w:fldCharType="separate"/>
      </w:r>
      <w:r w:rsidR="00817D23">
        <w:rPr>
          <w:noProof/>
        </w:rPr>
        <w:t>1587</w:t>
      </w:r>
      <w:r>
        <w:fldChar w:fldCharType="end"/>
      </w:r>
    </w:p>
    <w:p w:rsidR="00660716" w:rsidRDefault="00660716" w:rsidP="00660716"/>
    <w:p w:rsidR="00660716" w:rsidRDefault="00660716" w:rsidP="00660716">
      <w:pPr>
        <w:pStyle w:val="EntradandiceSumario"/>
        <w:keepNext w:val="0"/>
      </w:pPr>
      <w:r>
        <w:t>8. ABREVIATURAS Y ACRÓNIMOS</w:t>
      </w:r>
      <w:r>
        <w:tab/>
      </w:r>
      <w:r>
        <w:tab/>
      </w:r>
      <w:r>
        <w:fldChar w:fldCharType="begin"/>
      </w:r>
      <w:r>
        <w:instrText xml:space="preserve"> PAGEREF ACRONIMOS \h </w:instrText>
      </w:r>
      <w:r>
        <w:fldChar w:fldCharType="separate"/>
      </w:r>
      <w:r w:rsidR="00817D23">
        <w:rPr>
          <w:noProof/>
        </w:rPr>
        <w:t>1606</w:t>
      </w:r>
      <w:r>
        <w:fldChar w:fldCharType="end"/>
      </w:r>
    </w:p>
    <w:p w:rsidR="00660716" w:rsidRDefault="00660716">
      <w:pPr>
        <w:spacing w:after="160" w:line="259" w:lineRule="auto"/>
        <w:rPr>
          <w:rFonts w:ascii="Times New Roman" w:eastAsia="Times New Roman" w:hAnsi="Times New Roman" w:cs="Times New Roman"/>
          <w:sz w:val="24"/>
          <w:szCs w:val="24"/>
          <w:lang w:eastAsia="es-ES"/>
        </w:rPr>
      </w:pPr>
      <w:r>
        <w:br w:type="page"/>
      </w:r>
    </w:p>
    <w:p w:rsidR="00660716" w:rsidRDefault="00660716" w:rsidP="00660716">
      <w:pPr>
        <w:pStyle w:val="EntradandiceSumario"/>
        <w:keepNext w:val="0"/>
      </w:pPr>
    </w:p>
    <w:p w:rsidR="00660716" w:rsidRDefault="00660716" w:rsidP="00660716"/>
    <w:p w:rsidR="00660716" w:rsidRDefault="00660716" w:rsidP="00660716"/>
    <w:p w:rsidR="00660716" w:rsidRDefault="00660716" w:rsidP="00660716">
      <w:pPr>
        <w:pStyle w:val="Ttulondice"/>
      </w:pPr>
      <w:bookmarkStart w:id="2" w:name="SUMARIOSENTENCIAS"/>
      <w:r>
        <w:t>1. SENTENCIAS: STC 1/1997 A STC 87/1997</w:t>
      </w:r>
    </w:p>
    <w:bookmarkEnd w:id="2"/>
    <w:p w:rsidR="00660716" w:rsidRDefault="00660716" w:rsidP="00660716">
      <w:pPr>
        <w:pStyle w:val="Ttulondice"/>
      </w:pPr>
    </w:p>
    <w:p w:rsidR="00660716" w:rsidRDefault="00660716" w:rsidP="00660716">
      <w:pPr>
        <w:pStyle w:val="Ttulondice"/>
      </w:pPr>
    </w:p>
    <w:p w:rsidR="00660716" w:rsidRDefault="00660716" w:rsidP="00660716">
      <w:pPr>
        <w:pStyle w:val="Ttulondice"/>
      </w:pPr>
    </w:p>
    <w:p w:rsidR="00660716" w:rsidRDefault="00660716" w:rsidP="00660716">
      <w:pPr>
        <w:pStyle w:val="Ttulondice"/>
      </w:pPr>
    </w:p>
    <w:p w:rsidR="00660716" w:rsidRDefault="00660716" w:rsidP="00660716">
      <w:pPr>
        <w:pStyle w:val="Ttulondice"/>
      </w:pPr>
    </w:p>
    <w:p w:rsidR="00660716" w:rsidRDefault="00660716" w:rsidP="00660716">
      <w:pPr>
        <w:pStyle w:val="Ttulondice"/>
      </w:pPr>
    </w:p>
    <w:p w:rsidR="00660716" w:rsidRDefault="00660716" w:rsidP="00660716">
      <w:pPr>
        <w:pStyle w:val="EntradandiceSentencia"/>
      </w:pPr>
      <w:r>
        <w:t>Sala Segunda. Sentencia 1/1997, de 13 de enero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2.728/1992. </w:t>
      </w:r>
      <w:r w:rsidRPr="00660716">
        <w:rPr>
          <w:rStyle w:val="TextoNormalCursivaCaracter"/>
        </w:rPr>
        <w:t xml:space="preserve"> Vulneración del derecho a la tutela judicial efectiva : intangibilidad de la cosa juzgada.</w:t>
      </w:r>
      <w:r>
        <w:tab/>
      </w:r>
      <w:r>
        <w:tab/>
      </w:r>
      <w:r>
        <w:fldChar w:fldCharType="begin"/>
      </w:r>
      <w:r>
        <w:instrText xml:space="preserve"> PAGEREF SENTENCIA_1997_1 \h </w:instrText>
      </w:r>
      <w:r>
        <w:fldChar w:fldCharType="separate"/>
      </w:r>
      <w:r w:rsidR="00817D23">
        <w:rPr>
          <w:noProof/>
        </w:rPr>
        <w:t>28</w:t>
      </w:r>
      <w:r>
        <w:fldChar w:fldCharType="end"/>
      </w:r>
    </w:p>
    <w:p w:rsidR="008107C7" w:rsidRDefault="008107C7" w:rsidP="00660716"/>
    <w:p w:rsidR="00660716" w:rsidRDefault="00660716" w:rsidP="00660716">
      <w:pPr>
        <w:pStyle w:val="EntradandiceSentencia"/>
      </w:pPr>
      <w:r>
        <w:t>Sala Segunda. Sentencia 2/1997, de 13 de enero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285/1994. </w:t>
      </w:r>
      <w:r w:rsidRPr="00660716">
        <w:rPr>
          <w:rStyle w:val="TextoNormalCursivaCaracter"/>
        </w:rPr>
        <w:t xml:space="preserve"> Supuesta vulneración del derecho a la tutela judicial efectiva: motivación de la resolución recurrida.</w:t>
      </w:r>
      <w:r>
        <w:tab/>
      </w:r>
      <w:r>
        <w:tab/>
      </w:r>
      <w:r>
        <w:fldChar w:fldCharType="begin"/>
      </w:r>
      <w:r>
        <w:instrText xml:space="preserve"> PAGEREF SENTENCIA_1997_2 \h </w:instrText>
      </w:r>
      <w:r>
        <w:fldChar w:fldCharType="separate"/>
      </w:r>
      <w:r w:rsidR="00817D23">
        <w:rPr>
          <w:noProof/>
        </w:rPr>
        <w:t>35</w:t>
      </w:r>
      <w:r>
        <w:fldChar w:fldCharType="end"/>
      </w:r>
    </w:p>
    <w:p w:rsidR="00660716" w:rsidRDefault="00660716" w:rsidP="00660716"/>
    <w:p w:rsidR="00660716" w:rsidRDefault="00660716" w:rsidP="00660716">
      <w:pPr>
        <w:pStyle w:val="EntradandiceSentencia"/>
      </w:pPr>
      <w:r>
        <w:t>Sala Segunda. Sentencia 3/1997, de 13 de enero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309/1994. </w:t>
      </w:r>
      <w:r w:rsidRPr="00660716">
        <w:rPr>
          <w:rStyle w:val="TextoNormalCursivaCaracter"/>
        </w:rPr>
        <w:t xml:space="preserve"> Vulneración de los derechos a comunicar libremente información y de libertad de expresión: ponderación indebida de los derechos fundamentales en conflicto.</w:t>
      </w:r>
      <w:r>
        <w:tab/>
      </w:r>
      <w:r>
        <w:tab/>
      </w:r>
      <w:r>
        <w:fldChar w:fldCharType="begin"/>
      </w:r>
      <w:r>
        <w:instrText xml:space="preserve"> PAGEREF SENTENCIA_1997_3 \h </w:instrText>
      </w:r>
      <w:r>
        <w:fldChar w:fldCharType="separate"/>
      </w:r>
      <w:r w:rsidR="00817D23">
        <w:rPr>
          <w:noProof/>
        </w:rPr>
        <w:t>43</w:t>
      </w:r>
      <w:r>
        <w:fldChar w:fldCharType="end"/>
      </w:r>
    </w:p>
    <w:p w:rsidR="00660716" w:rsidRDefault="00660716" w:rsidP="00660716"/>
    <w:p w:rsidR="00660716" w:rsidRDefault="00660716" w:rsidP="00660716">
      <w:pPr>
        <w:pStyle w:val="EntradandiceSentencia"/>
      </w:pPr>
      <w:r>
        <w:t>Sala Segunda. Sentencia 4/1997, de 13 de enero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2.843/1994. </w:t>
      </w:r>
      <w:r w:rsidRPr="00660716">
        <w:rPr>
          <w:rStyle w:val="TextoNormalCursivaCaracter"/>
        </w:rPr>
        <w:t xml:space="preserve"> Vulneración del principio de legalidad: sanción sin cobertura normativa suficiente.</w:t>
      </w:r>
      <w:r>
        <w:tab/>
      </w:r>
      <w:r>
        <w:tab/>
      </w:r>
      <w:r>
        <w:fldChar w:fldCharType="begin"/>
      </w:r>
      <w:r>
        <w:instrText xml:space="preserve"> PAGEREF SENTENCIA_1997_4 \h </w:instrText>
      </w:r>
      <w:r>
        <w:fldChar w:fldCharType="separate"/>
      </w:r>
      <w:r w:rsidR="00817D23">
        <w:rPr>
          <w:noProof/>
        </w:rPr>
        <w:t>59</w:t>
      </w:r>
      <w:r>
        <w:fldChar w:fldCharType="end"/>
      </w:r>
    </w:p>
    <w:p w:rsidR="00660716" w:rsidRDefault="00660716" w:rsidP="00660716"/>
    <w:p w:rsidR="00660716" w:rsidRDefault="00660716" w:rsidP="00660716">
      <w:pPr>
        <w:pStyle w:val="EntradandiceSentencia"/>
      </w:pPr>
      <w:r>
        <w:t>Sala Segunda. Sentencia 5/1997, de 13 de enero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3.101/1994. </w:t>
      </w:r>
      <w:r w:rsidRPr="00660716">
        <w:rPr>
          <w:rStyle w:val="TextoNormalCursivaCaracter"/>
        </w:rPr>
        <w:t xml:space="preserve"> Inadmisión por no agotamiento de la vía previa: recurso de audiencia al rebelde.</w:t>
      </w:r>
      <w:r>
        <w:tab/>
      </w:r>
      <w:r>
        <w:tab/>
      </w:r>
      <w:r>
        <w:fldChar w:fldCharType="begin"/>
      </w:r>
      <w:r>
        <w:instrText xml:space="preserve"> PAGEREF SENTENCIA_1997_5 \h </w:instrText>
      </w:r>
      <w:r>
        <w:fldChar w:fldCharType="separate"/>
      </w:r>
      <w:r w:rsidR="00817D23">
        <w:rPr>
          <w:noProof/>
        </w:rPr>
        <w:t>65</w:t>
      </w:r>
      <w:r>
        <w:fldChar w:fldCharType="end"/>
      </w:r>
    </w:p>
    <w:p w:rsidR="00660716" w:rsidRDefault="00660716" w:rsidP="00660716"/>
    <w:p w:rsidR="00660716" w:rsidRDefault="00660716" w:rsidP="00660716">
      <w:pPr>
        <w:pStyle w:val="EntradandiceSentencia"/>
      </w:pPr>
      <w:r>
        <w:t>Sala Segunda. Sentencia 6/1997, de 13 de enero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3.436/1994. </w:t>
      </w:r>
      <w:r w:rsidRPr="00660716">
        <w:rPr>
          <w:rStyle w:val="TextoNormalCursivaCaracter"/>
        </w:rPr>
        <w:t xml:space="preserve"> Vulneración del derecho a la tutela judicial efectiva: ejecución de resolución firme de disolución de matrimonio declarada previamente por la jurisdicción eclesiástica.</w:t>
      </w:r>
      <w:r>
        <w:tab/>
      </w:r>
      <w:r>
        <w:tab/>
      </w:r>
      <w:r>
        <w:fldChar w:fldCharType="begin"/>
      </w:r>
      <w:r>
        <w:instrText xml:space="preserve"> PAGEREF SENTENCIA_1997_6 \h </w:instrText>
      </w:r>
      <w:r>
        <w:fldChar w:fldCharType="separate"/>
      </w:r>
      <w:r w:rsidR="00817D23">
        <w:rPr>
          <w:noProof/>
        </w:rPr>
        <w:t>71</w:t>
      </w:r>
      <w:r>
        <w:fldChar w:fldCharType="end"/>
      </w:r>
    </w:p>
    <w:p w:rsidR="00660716" w:rsidRDefault="00660716" w:rsidP="00660716"/>
    <w:p w:rsidR="00660716" w:rsidRDefault="00660716" w:rsidP="00660716">
      <w:pPr>
        <w:pStyle w:val="EntradandiceSentencia"/>
      </w:pPr>
      <w:r>
        <w:t>Sala Primera. Sentencia 7/1997, de 14 de enero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120/1994. </w:t>
      </w:r>
      <w:r w:rsidRPr="00660716">
        <w:rPr>
          <w:rStyle w:val="TextoNormalCursivaCaracter"/>
        </w:rPr>
        <w:t xml:space="preserve"> Vulneración del derecho a un proceso con todas las grantías: Juez imparcial.</w:t>
      </w:r>
      <w:r>
        <w:tab/>
      </w:r>
      <w:r>
        <w:tab/>
      </w:r>
      <w:r>
        <w:fldChar w:fldCharType="begin"/>
      </w:r>
      <w:r>
        <w:instrText xml:space="preserve"> PAGEREF SENTENCIA_1997_7 \h </w:instrText>
      </w:r>
      <w:r>
        <w:fldChar w:fldCharType="separate"/>
      </w:r>
      <w:r w:rsidR="00817D23">
        <w:rPr>
          <w:noProof/>
        </w:rPr>
        <w:t>79</w:t>
      </w:r>
      <w:r>
        <w:fldChar w:fldCharType="end"/>
      </w:r>
    </w:p>
    <w:p w:rsidR="00660716" w:rsidRDefault="00660716" w:rsidP="00660716"/>
    <w:p w:rsidR="00660716" w:rsidRDefault="00660716" w:rsidP="00660716">
      <w:pPr>
        <w:pStyle w:val="EntradandiceSentencia"/>
      </w:pPr>
      <w:r>
        <w:t>Sala Primera. Sentencia 8/1997, de 14 de enero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707/1994 1.178/1994 1.179/1994 1.180/1994 1.181/1994 1.182/1994 (acumulados). </w:t>
      </w:r>
      <w:r w:rsidRPr="00660716">
        <w:rPr>
          <w:rStyle w:val="TextoNormalCursivaCaracter"/>
        </w:rPr>
        <w:t xml:space="preserve"> Vulneración del derecho a la tutela judicial efectiva: indefensión derivada de falta de emplazamiento.</w:t>
      </w:r>
      <w:r>
        <w:tab/>
      </w:r>
      <w:r>
        <w:tab/>
      </w:r>
      <w:r>
        <w:fldChar w:fldCharType="begin"/>
      </w:r>
      <w:r>
        <w:instrText xml:space="preserve"> PAGEREF SENTENCIA_1997_8 \h </w:instrText>
      </w:r>
      <w:r>
        <w:fldChar w:fldCharType="separate"/>
      </w:r>
      <w:r w:rsidR="00817D23">
        <w:rPr>
          <w:noProof/>
        </w:rPr>
        <w:t>88</w:t>
      </w:r>
      <w:r>
        <w:fldChar w:fldCharType="end"/>
      </w:r>
    </w:p>
    <w:p w:rsidR="00660716" w:rsidRDefault="00660716" w:rsidP="00660716"/>
    <w:p w:rsidR="00660716" w:rsidRDefault="00660716" w:rsidP="00660716">
      <w:pPr>
        <w:pStyle w:val="EntradandiceSentencia"/>
      </w:pPr>
      <w:r>
        <w:t>Sala Primera. Sentencia 9/1997, de 14 de enero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386/1995. </w:t>
      </w:r>
      <w:r w:rsidRPr="00660716">
        <w:rPr>
          <w:rStyle w:val="TextoNormalCursivaCaracter"/>
        </w:rPr>
        <w:t xml:space="preserve"> Vulneración del derecho a la defensa: omisión de designación de Letrado de oficio.</w:t>
      </w:r>
      <w:r>
        <w:tab/>
      </w:r>
      <w:r>
        <w:tab/>
      </w:r>
      <w:r>
        <w:fldChar w:fldCharType="begin"/>
      </w:r>
      <w:r>
        <w:instrText xml:space="preserve"> PAGEREF SENTENCIA_1997_9 \h </w:instrText>
      </w:r>
      <w:r>
        <w:fldChar w:fldCharType="separate"/>
      </w:r>
      <w:r w:rsidR="00817D23">
        <w:rPr>
          <w:noProof/>
        </w:rPr>
        <w:t>103</w:t>
      </w:r>
      <w:r>
        <w:fldChar w:fldCharType="end"/>
      </w:r>
    </w:p>
    <w:p w:rsidR="00660716" w:rsidRDefault="00660716" w:rsidP="00660716"/>
    <w:p w:rsidR="00660716" w:rsidRDefault="00660716" w:rsidP="00660716">
      <w:pPr>
        <w:pStyle w:val="EntradandiceSentencia"/>
      </w:pPr>
      <w:r>
        <w:t>Sala Primera. Sentencia 10/1997, de 14 de enero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2.571/1995. </w:t>
      </w:r>
      <w:r w:rsidRPr="00660716">
        <w:rPr>
          <w:rStyle w:val="TextoNormalCursivaCaracter"/>
        </w:rPr>
        <w:t xml:space="preserve"> Vulneración del derecho a un proceso con todas las garantías: dilaciones indebidas en el procedimiento.</w:t>
      </w:r>
      <w:r>
        <w:tab/>
      </w:r>
      <w:r>
        <w:tab/>
      </w:r>
      <w:r>
        <w:fldChar w:fldCharType="begin"/>
      </w:r>
      <w:r>
        <w:instrText xml:space="preserve"> PAGEREF SENTENCIA_1997_10 \h </w:instrText>
      </w:r>
      <w:r>
        <w:fldChar w:fldCharType="separate"/>
      </w:r>
      <w:r w:rsidR="00817D23">
        <w:rPr>
          <w:noProof/>
        </w:rPr>
        <w:t>111</w:t>
      </w:r>
      <w:r>
        <w:fldChar w:fldCharType="end"/>
      </w:r>
    </w:p>
    <w:p w:rsidR="00660716" w:rsidRDefault="00660716" w:rsidP="00660716"/>
    <w:p w:rsidR="00660716" w:rsidRDefault="00660716" w:rsidP="00660716">
      <w:pPr>
        <w:pStyle w:val="EntradandiceSentencia"/>
      </w:pPr>
      <w:r>
        <w:t>Sala Segunda. Sentencia 11/1997, de 27 de enero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2.935/1993. </w:t>
      </w:r>
      <w:r w:rsidRPr="00660716">
        <w:rPr>
          <w:rStyle w:val="TextoNormalCursivaCaracter"/>
        </w:rPr>
        <w:t xml:space="preserve"> Supuesta vulneración del derecho a la defensa: contenido del derecho a defenderse por sí mismo.</w:t>
      </w:r>
      <w:r>
        <w:tab/>
      </w:r>
      <w:r>
        <w:tab/>
      </w:r>
      <w:r>
        <w:fldChar w:fldCharType="begin"/>
      </w:r>
      <w:r>
        <w:instrText xml:space="preserve"> PAGEREF SENTENCIA_1997_11 \h </w:instrText>
      </w:r>
      <w:r>
        <w:fldChar w:fldCharType="separate"/>
      </w:r>
      <w:r w:rsidR="00817D23">
        <w:rPr>
          <w:noProof/>
        </w:rPr>
        <w:t>119</w:t>
      </w:r>
      <w:r>
        <w:fldChar w:fldCharType="end"/>
      </w:r>
    </w:p>
    <w:p w:rsidR="00660716" w:rsidRDefault="00660716" w:rsidP="00660716"/>
    <w:p w:rsidR="00660716" w:rsidRDefault="00660716" w:rsidP="00660716">
      <w:pPr>
        <w:pStyle w:val="EntradandiceSentencia"/>
      </w:pPr>
      <w:r>
        <w:t>Sala Segunda. Sentencia 12/1997, de 27 de enero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2.870/1994. </w:t>
      </w:r>
      <w:r w:rsidRPr="00660716">
        <w:rPr>
          <w:rStyle w:val="TextoNormalCursivaCaracter"/>
        </w:rPr>
        <w:t xml:space="preserve"> Supuesta vulneración del derecho a la tutela judicial efectiva: interpretación de los arts. 8 y 12 L.E.C. no lesiva del derecho.</w:t>
      </w:r>
      <w:r>
        <w:tab/>
      </w:r>
      <w:r>
        <w:tab/>
      </w:r>
      <w:r>
        <w:fldChar w:fldCharType="begin"/>
      </w:r>
      <w:r>
        <w:instrText xml:space="preserve"> PAGEREF SENTENCIA_1997_12 \h </w:instrText>
      </w:r>
      <w:r>
        <w:fldChar w:fldCharType="separate"/>
      </w:r>
      <w:r w:rsidR="00817D23">
        <w:rPr>
          <w:noProof/>
        </w:rPr>
        <w:t>124</w:t>
      </w:r>
      <w:r>
        <w:fldChar w:fldCharType="end"/>
      </w:r>
    </w:p>
    <w:p w:rsidR="00660716" w:rsidRDefault="00660716" w:rsidP="00660716"/>
    <w:p w:rsidR="00660716" w:rsidRDefault="00660716" w:rsidP="00660716">
      <w:pPr>
        <w:pStyle w:val="EntradandiceSentencia"/>
      </w:pPr>
      <w:r>
        <w:t>Sala Segunda. Sentencia 13/1997, de 27 de enero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1.487/1995. </w:t>
      </w:r>
      <w:r w:rsidRPr="00660716">
        <w:rPr>
          <w:rStyle w:val="TextoNormalCursivaCaracter"/>
        </w:rPr>
        <w:t xml:space="preserve"> Vulneración del derecho de libertad sindical: interpretación judicial restrictiva del art. 71.2 a) E.T., lesiva del derecho (subsanabilidad de defectos de candidaturas electorales).</w:t>
      </w:r>
      <w:r>
        <w:tab/>
      </w:r>
      <w:r>
        <w:tab/>
      </w:r>
      <w:r>
        <w:fldChar w:fldCharType="begin"/>
      </w:r>
      <w:r>
        <w:instrText xml:space="preserve"> PAGEREF SENTENCIA_1997_13 \h </w:instrText>
      </w:r>
      <w:r>
        <w:fldChar w:fldCharType="separate"/>
      </w:r>
      <w:r w:rsidR="00817D23">
        <w:rPr>
          <w:noProof/>
        </w:rPr>
        <w:t>130</w:t>
      </w:r>
      <w:r>
        <w:fldChar w:fldCharType="end"/>
      </w:r>
    </w:p>
    <w:p w:rsidR="00660716" w:rsidRDefault="00660716" w:rsidP="00660716"/>
    <w:p w:rsidR="00660716" w:rsidRDefault="00660716" w:rsidP="00660716">
      <w:pPr>
        <w:pStyle w:val="EntradandiceSentencia"/>
      </w:pPr>
      <w:r>
        <w:t>Sala Primera. Sentencia 14/1997, de 28 de enero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174/1995. </w:t>
      </w:r>
      <w:r w:rsidRPr="00660716">
        <w:rPr>
          <w:rStyle w:val="TextoNormalCursivaCaracter"/>
        </w:rPr>
        <w:t xml:space="preserve"> Vulneración del derecho a utilizar los medios de prueba pertinentes: valor probatorio de las actas de infracción.</w:t>
      </w:r>
      <w:r>
        <w:tab/>
      </w:r>
      <w:r>
        <w:tab/>
      </w:r>
      <w:r>
        <w:fldChar w:fldCharType="begin"/>
      </w:r>
      <w:r>
        <w:instrText xml:space="preserve"> PAGEREF SENTENCIA_1997_14 \h </w:instrText>
      </w:r>
      <w:r>
        <w:fldChar w:fldCharType="separate"/>
      </w:r>
      <w:r w:rsidR="00817D23">
        <w:rPr>
          <w:noProof/>
        </w:rPr>
        <w:t>139</w:t>
      </w:r>
      <w:r>
        <w:fldChar w:fldCharType="end"/>
      </w:r>
    </w:p>
    <w:p w:rsidR="00660716" w:rsidRDefault="00660716" w:rsidP="00660716"/>
    <w:p w:rsidR="00660716" w:rsidRDefault="00660716" w:rsidP="00660716">
      <w:pPr>
        <w:pStyle w:val="EntradandiceSentencia"/>
      </w:pPr>
      <w:r>
        <w:t>Pleno. Sentencia 15/1997, de 30 de enero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Conflicto positivo de competencia 1.015/1988. </w:t>
      </w:r>
      <w:r w:rsidRPr="00660716">
        <w:rPr>
          <w:rStyle w:val="TextoNormalCursivaCaracter"/>
        </w:rPr>
        <w:t xml:space="preserve"> </w:t>
      </w:r>
      <w:r>
        <w:tab/>
      </w:r>
      <w:r>
        <w:tab/>
      </w:r>
      <w:r>
        <w:fldChar w:fldCharType="begin"/>
      </w:r>
      <w:r>
        <w:instrText xml:space="preserve"> PAGEREF SENTENCIA_1997_15 \h </w:instrText>
      </w:r>
      <w:r>
        <w:fldChar w:fldCharType="separate"/>
      </w:r>
      <w:r w:rsidR="00817D23">
        <w:rPr>
          <w:noProof/>
        </w:rPr>
        <w:t>151</w:t>
      </w:r>
      <w:r>
        <w:fldChar w:fldCharType="end"/>
      </w:r>
    </w:p>
    <w:p w:rsidR="00660716" w:rsidRDefault="00660716" w:rsidP="00660716"/>
    <w:p w:rsidR="00660716" w:rsidRDefault="00660716" w:rsidP="00660716">
      <w:pPr>
        <w:pStyle w:val="EntradandiceSentencia"/>
      </w:pPr>
      <w:r>
        <w:t>Pleno. Sentencia 16/1997, de 30 de enero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inconstitucionalidad 1.834/1989. </w:t>
      </w:r>
      <w:r w:rsidRPr="00660716">
        <w:rPr>
          <w:rStyle w:val="TextoNormalCursivaCaracter"/>
        </w:rPr>
        <w:t xml:space="preserve"> </w:t>
      </w:r>
      <w:r>
        <w:tab/>
      </w:r>
      <w:r>
        <w:tab/>
      </w:r>
      <w:r>
        <w:fldChar w:fldCharType="begin"/>
      </w:r>
      <w:r>
        <w:instrText xml:space="preserve"> PAGEREF SENTENCIA_1997_16 \h </w:instrText>
      </w:r>
      <w:r>
        <w:fldChar w:fldCharType="separate"/>
      </w:r>
      <w:r w:rsidR="00817D23">
        <w:rPr>
          <w:noProof/>
        </w:rPr>
        <w:t>161</w:t>
      </w:r>
      <w:r>
        <w:fldChar w:fldCharType="end"/>
      </w:r>
    </w:p>
    <w:p w:rsidR="00660716" w:rsidRDefault="00660716" w:rsidP="00660716"/>
    <w:p w:rsidR="00660716" w:rsidRDefault="00660716" w:rsidP="00660716">
      <w:pPr>
        <w:pStyle w:val="EntradandiceSentencia"/>
      </w:pPr>
      <w:r>
        <w:t>Sala Segunda. Sentencia 17/1997, de 10 de febrero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378/1993. </w:t>
      </w:r>
      <w:r w:rsidRPr="00660716">
        <w:rPr>
          <w:rStyle w:val="TextoNormalCursivaCaracter"/>
        </w:rPr>
        <w:t xml:space="preserve"> Vulneración del derecho a la tutela judicial efectiva: resolución judicial dictada inaudita parte.</w:t>
      </w:r>
      <w:r>
        <w:tab/>
      </w:r>
      <w:r>
        <w:tab/>
      </w:r>
      <w:r>
        <w:fldChar w:fldCharType="begin"/>
      </w:r>
      <w:r>
        <w:instrText xml:space="preserve"> PAGEREF SENTENCIA_1997_17 \h </w:instrText>
      </w:r>
      <w:r>
        <w:fldChar w:fldCharType="separate"/>
      </w:r>
      <w:r w:rsidR="00817D23">
        <w:rPr>
          <w:noProof/>
        </w:rPr>
        <w:t>171</w:t>
      </w:r>
      <w:r>
        <w:fldChar w:fldCharType="end"/>
      </w:r>
    </w:p>
    <w:p w:rsidR="00660716" w:rsidRDefault="00660716" w:rsidP="00660716"/>
    <w:p w:rsidR="00660716" w:rsidRDefault="00660716" w:rsidP="00660716">
      <w:pPr>
        <w:pStyle w:val="EntradandiceSentencia"/>
      </w:pPr>
      <w:r>
        <w:t>Sala Segunda. Sentencia 18/1997, de 10 de febrero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2.913/1993. </w:t>
      </w:r>
      <w:r w:rsidRPr="00660716">
        <w:rPr>
          <w:rStyle w:val="TextoNormalCursivaCaracter"/>
        </w:rPr>
        <w:t xml:space="preserve"> Vulneración del derecho a la tutela judicial efectiva: diligencia de archivo de procedimiento de ejecución de Sentencia lesiva del derecho.</w:t>
      </w:r>
      <w:r>
        <w:tab/>
      </w:r>
      <w:r>
        <w:tab/>
      </w:r>
      <w:r>
        <w:fldChar w:fldCharType="begin"/>
      </w:r>
      <w:r>
        <w:instrText xml:space="preserve"> PAGEREF SENTENCIA_1997_18 \h </w:instrText>
      </w:r>
      <w:r>
        <w:fldChar w:fldCharType="separate"/>
      </w:r>
      <w:r w:rsidR="00817D23">
        <w:rPr>
          <w:noProof/>
        </w:rPr>
        <w:t>175</w:t>
      </w:r>
      <w:r>
        <w:fldChar w:fldCharType="end"/>
      </w:r>
    </w:p>
    <w:p w:rsidR="00660716" w:rsidRDefault="00660716" w:rsidP="00660716"/>
    <w:p w:rsidR="00660716" w:rsidRDefault="00660716" w:rsidP="00660716">
      <w:pPr>
        <w:pStyle w:val="EntradandiceSentencia"/>
      </w:pPr>
      <w:r>
        <w:t>Sala Segunda. Sentencia 19/1997, de 10 de febrero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687/1994. </w:t>
      </w:r>
      <w:r w:rsidRPr="00660716">
        <w:rPr>
          <w:rStyle w:val="TextoNormalCursivaCaracter"/>
        </w:rPr>
        <w:t xml:space="preserve"> Vulneración del derecho a la tutela judicial efectiva: subsanabilidad de omisión de comunicación previa.</w:t>
      </w:r>
      <w:r>
        <w:tab/>
      </w:r>
      <w:r>
        <w:tab/>
      </w:r>
      <w:r>
        <w:fldChar w:fldCharType="begin"/>
      </w:r>
      <w:r>
        <w:instrText xml:space="preserve"> PAGEREF SENTENCIA_1997_19 \h </w:instrText>
      </w:r>
      <w:r>
        <w:fldChar w:fldCharType="separate"/>
      </w:r>
      <w:r w:rsidR="00817D23">
        <w:rPr>
          <w:noProof/>
        </w:rPr>
        <w:t>194</w:t>
      </w:r>
      <w:r>
        <w:fldChar w:fldCharType="end"/>
      </w:r>
    </w:p>
    <w:p w:rsidR="00660716" w:rsidRDefault="00660716" w:rsidP="00660716"/>
    <w:p w:rsidR="00660716" w:rsidRDefault="00660716" w:rsidP="00660716">
      <w:pPr>
        <w:pStyle w:val="EntradandiceSentencia"/>
      </w:pPr>
      <w:r>
        <w:lastRenderedPageBreak/>
        <w:t>Sala Segunda. Sentencia 20/1997, de 10 de febrero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3.603/1994. </w:t>
      </w:r>
      <w:r w:rsidRPr="00660716">
        <w:rPr>
          <w:rStyle w:val="TextoNormalCursivaCaracter"/>
        </w:rPr>
        <w:t xml:space="preserve"> Supuesta vulneración del derecho a la tutela judicial efectiva: interpretación de los arts. 8 y 12 L.E.C. no lesiva del derecho.</w:t>
      </w:r>
      <w:r>
        <w:tab/>
      </w:r>
      <w:r>
        <w:tab/>
      </w:r>
      <w:r>
        <w:fldChar w:fldCharType="begin"/>
      </w:r>
      <w:r>
        <w:instrText xml:space="preserve"> PAGEREF SENTENCIA_1997_20 \h </w:instrText>
      </w:r>
      <w:r>
        <w:fldChar w:fldCharType="separate"/>
      </w:r>
      <w:r w:rsidR="00817D23">
        <w:rPr>
          <w:noProof/>
        </w:rPr>
        <w:t>200</w:t>
      </w:r>
      <w:r>
        <w:fldChar w:fldCharType="end"/>
      </w:r>
    </w:p>
    <w:p w:rsidR="00660716" w:rsidRDefault="00660716" w:rsidP="00660716"/>
    <w:p w:rsidR="00660716" w:rsidRDefault="00660716" w:rsidP="00660716">
      <w:pPr>
        <w:pStyle w:val="EntradandiceSentencia"/>
      </w:pPr>
      <w:r>
        <w:t>Sala Segunda. Sentencia 21/1997, de 10 de febrero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2.212/1996. </w:t>
      </w:r>
      <w:r w:rsidRPr="00660716">
        <w:rPr>
          <w:rStyle w:val="TextoNormalCursivaCaracter"/>
        </w:rPr>
        <w:t xml:space="preserve"> Supuesta vulneración del derecho a la libertad personal: límites del derecho.</w:t>
      </w:r>
      <w:r>
        <w:tab/>
      </w:r>
      <w:r>
        <w:tab/>
      </w:r>
      <w:r>
        <w:fldChar w:fldCharType="begin"/>
      </w:r>
      <w:r>
        <w:instrText xml:space="preserve"> PAGEREF SENTENCIA_1997_21 \h </w:instrText>
      </w:r>
      <w:r>
        <w:fldChar w:fldCharType="separate"/>
      </w:r>
      <w:r w:rsidR="00817D23">
        <w:rPr>
          <w:noProof/>
        </w:rPr>
        <w:t>206</w:t>
      </w:r>
      <w:r>
        <w:fldChar w:fldCharType="end"/>
      </w:r>
    </w:p>
    <w:p w:rsidR="00660716" w:rsidRDefault="00660716" w:rsidP="00660716"/>
    <w:p w:rsidR="00660716" w:rsidRDefault="00660716" w:rsidP="00660716">
      <w:pPr>
        <w:pStyle w:val="EntradandiceSentencia"/>
      </w:pPr>
      <w:r>
        <w:t>Sala Primera. Sentencia 22/1997, de 11 de febrero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1.084/1991. </w:t>
      </w:r>
      <w:r w:rsidRPr="00660716">
        <w:rPr>
          <w:rStyle w:val="TextoNormalCursivaCaracter"/>
        </w:rPr>
        <w:t xml:space="preserve"> Supuesta vulneración de los derechos al Juez ordinario en relación con la prerrogativa de aforamiento de parlamentarios, y a un proceso sin dilaciones. Voto particular.</w:t>
      </w:r>
      <w:r>
        <w:tab/>
      </w:r>
      <w:r>
        <w:tab/>
      </w:r>
      <w:r>
        <w:fldChar w:fldCharType="begin"/>
      </w:r>
      <w:r>
        <w:instrText xml:space="preserve"> PAGEREF SENTENCIA_1997_22 \h </w:instrText>
      </w:r>
      <w:r>
        <w:fldChar w:fldCharType="separate"/>
      </w:r>
      <w:r w:rsidR="00817D23">
        <w:rPr>
          <w:noProof/>
        </w:rPr>
        <w:t>221</w:t>
      </w:r>
      <w:r>
        <w:fldChar w:fldCharType="end"/>
      </w:r>
    </w:p>
    <w:p w:rsidR="00660716" w:rsidRDefault="00660716" w:rsidP="00660716"/>
    <w:p w:rsidR="00660716" w:rsidRDefault="00660716" w:rsidP="00660716">
      <w:pPr>
        <w:pStyle w:val="EntradandiceSentencia"/>
      </w:pPr>
      <w:r>
        <w:t>Sala Primera. Sentencia 23/1997, de 11 de febrero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1.830/1992. </w:t>
      </w:r>
      <w:r w:rsidRPr="00660716">
        <w:rPr>
          <w:rStyle w:val="TextoNormalCursivaCaracter"/>
        </w:rPr>
        <w:t xml:space="preserve"> Vulneración del derecho a la igualdad ante la ley: denegación de intereses de demora al contribuyente lesiva del derecho.</w:t>
      </w:r>
      <w:r>
        <w:tab/>
      </w:r>
      <w:r>
        <w:tab/>
      </w:r>
      <w:r>
        <w:fldChar w:fldCharType="begin"/>
      </w:r>
      <w:r>
        <w:instrText xml:space="preserve"> PAGEREF SENTENCIA_1997_23 \h </w:instrText>
      </w:r>
      <w:r>
        <w:fldChar w:fldCharType="separate"/>
      </w:r>
      <w:r w:rsidR="00817D23">
        <w:rPr>
          <w:noProof/>
        </w:rPr>
        <w:t>238</w:t>
      </w:r>
      <w:r>
        <w:fldChar w:fldCharType="end"/>
      </w:r>
    </w:p>
    <w:p w:rsidR="00660716" w:rsidRDefault="00660716" w:rsidP="00660716"/>
    <w:p w:rsidR="00660716" w:rsidRDefault="00660716" w:rsidP="00660716">
      <w:pPr>
        <w:pStyle w:val="EntradandiceSentencia"/>
      </w:pPr>
      <w:r>
        <w:t>Sala Primera. Sentencia 24/1997, de 11 de febrero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314/1995. </w:t>
      </w:r>
      <w:r w:rsidRPr="00660716">
        <w:rPr>
          <w:rStyle w:val="TextoNormalCursivaCaracter"/>
        </w:rPr>
        <w:t xml:space="preserve"> Vulneración del derecho a la presunción de inocencia: prueba de cargo insuficiente.</w:t>
      </w:r>
      <w:r>
        <w:tab/>
      </w:r>
      <w:r>
        <w:tab/>
      </w:r>
      <w:r>
        <w:fldChar w:fldCharType="begin"/>
      </w:r>
      <w:r>
        <w:instrText xml:space="preserve"> PAGEREF SENTENCIA_1997_24 \h </w:instrText>
      </w:r>
      <w:r>
        <w:fldChar w:fldCharType="separate"/>
      </w:r>
      <w:r w:rsidR="00817D23">
        <w:rPr>
          <w:noProof/>
        </w:rPr>
        <w:t>248</w:t>
      </w:r>
      <w:r>
        <w:fldChar w:fldCharType="end"/>
      </w:r>
    </w:p>
    <w:p w:rsidR="00660716" w:rsidRDefault="00660716" w:rsidP="00660716"/>
    <w:p w:rsidR="00660716" w:rsidRDefault="00660716" w:rsidP="00660716">
      <w:pPr>
        <w:pStyle w:val="EntradandiceSentencia"/>
      </w:pPr>
      <w:r>
        <w:t>Sala Primera. Sentencia 25/1997, de 11 de febrero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407/1995. </w:t>
      </w:r>
      <w:r w:rsidRPr="00660716">
        <w:rPr>
          <w:rStyle w:val="TextoNormalCursivaCaracter"/>
        </w:rPr>
        <w:t xml:space="preserve"> Vulneración del derecho a utilizar los medios de prueba pertinentes: denegación inmotivada.</w:t>
      </w:r>
      <w:r>
        <w:tab/>
      </w:r>
      <w:r>
        <w:tab/>
      </w:r>
      <w:r>
        <w:fldChar w:fldCharType="begin"/>
      </w:r>
      <w:r>
        <w:instrText xml:space="preserve"> PAGEREF SENTENCIA_1997_25 \h </w:instrText>
      </w:r>
      <w:r>
        <w:fldChar w:fldCharType="separate"/>
      </w:r>
      <w:r w:rsidR="00817D23">
        <w:rPr>
          <w:noProof/>
        </w:rPr>
        <w:t>255</w:t>
      </w:r>
      <w:r>
        <w:fldChar w:fldCharType="end"/>
      </w:r>
    </w:p>
    <w:p w:rsidR="00660716" w:rsidRDefault="00660716" w:rsidP="00660716"/>
    <w:p w:rsidR="00660716" w:rsidRDefault="00660716" w:rsidP="00660716">
      <w:pPr>
        <w:pStyle w:val="EntradandiceSentencia"/>
      </w:pPr>
      <w:r>
        <w:t>Sala Primera. Sentencia 26/1997, de 11 de febrero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1.260/1995. </w:t>
      </w:r>
      <w:r w:rsidRPr="00660716">
        <w:rPr>
          <w:rStyle w:val="TextoNormalCursivaCaracter"/>
        </w:rPr>
        <w:t xml:space="preserve"> Vulneración del derecho a la tutela judicial efectiva: incongruencia omisiva.</w:t>
      </w:r>
      <w:r>
        <w:tab/>
      </w:r>
      <w:r>
        <w:tab/>
      </w:r>
      <w:r>
        <w:fldChar w:fldCharType="begin"/>
      </w:r>
      <w:r>
        <w:instrText xml:space="preserve"> PAGEREF SENTENCIA_1997_26 \h </w:instrText>
      </w:r>
      <w:r>
        <w:fldChar w:fldCharType="separate"/>
      </w:r>
      <w:r w:rsidR="00817D23">
        <w:rPr>
          <w:noProof/>
        </w:rPr>
        <w:t>264</w:t>
      </w:r>
      <w:r>
        <w:fldChar w:fldCharType="end"/>
      </w:r>
    </w:p>
    <w:p w:rsidR="00660716" w:rsidRDefault="00660716" w:rsidP="00660716"/>
    <w:p w:rsidR="00660716" w:rsidRDefault="00660716" w:rsidP="00660716">
      <w:pPr>
        <w:pStyle w:val="EntradandiceSentencia"/>
      </w:pPr>
      <w:r>
        <w:lastRenderedPageBreak/>
        <w:t>Sala Primera. Sentencia 27/1997, de 11 de febrero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1.526/1995. </w:t>
      </w:r>
      <w:r w:rsidRPr="00660716">
        <w:rPr>
          <w:rStyle w:val="TextoNormalCursivaCaracter"/>
        </w:rPr>
        <w:t xml:space="preserve"> Supuesta vulneración del derecho de libertad sindical: inexistencia de lesión efectiva. Voto particular.</w:t>
      </w:r>
      <w:r>
        <w:tab/>
      </w:r>
      <w:r>
        <w:tab/>
      </w:r>
      <w:r>
        <w:fldChar w:fldCharType="begin"/>
      </w:r>
      <w:r>
        <w:instrText xml:space="preserve"> PAGEREF SENTENCIA_1997_27 \h </w:instrText>
      </w:r>
      <w:r>
        <w:fldChar w:fldCharType="separate"/>
      </w:r>
      <w:r w:rsidR="00817D23">
        <w:rPr>
          <w:noProof/>
        </w:rPr>
        <w:t>272</w:t>
      </w:r>
      <w:r>
        <w:fldChar w:fldCharType="end"/>
      </w:r>
    </w:p>
    <w:p w:rsidR="00660716" w:rsidRDefault="00660716" w:rsidP="00660716"/>
    <w:p w:rsidR="00660716" w:rsidRDefault="00660716" w:rsidP="00660716">
      <w:pPr>
        <w:pStyle w:val="EntradandiceSentencia"/>
      </w:pPr>
      <w:r>
        <w:t>Pleno. Sentencia 28/1997, de 13 de febrero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Cuestión de inconstitucionalidad 278/1991. </w:t>
      </w:r>
      <w:r w:rsidRPr="00660716">
        <w:rPr>
          <w:rStyle w:val="TextoNormalCursivaCaracter"/>
        </w:rPr>
        <w:t xml:space="preserve"> </w:t>
      </w:r>
      <w:r>
        <w:tab/>
      </w:r>
      <w:r>
        <w:tab/>
      </w:r>
      <w:r>
        <w:fldChar w:fldCharType="begin"/>
      </w:r>
      <w:r>
        <w:instrText xml:space="preserve"> PAGEREF SENTENCIA_1997_28 \h </w:instrText>
      </w:r>
      <w:r>
        <w:fldChar w:fldCharType="separate"/>
      </w:r>
      <w:r w:rsidR="00817D23">
        <w:rPr>
          <w:noProof/>
        </w:rPr>
        <w:t>284</w:t>
      </w:r>
      <w:r>
        <w:fldChar w:fldCharType="end"/>
      </w:r>
    </w:p>
    <w:p w:rsidR="00660716" w:rsidRDefault="00660716" w:rsidP="00660716"/>
    <w:p w:rsidR="00660716" w:rsidRDefault="00660716" w:rsidP="00660716">
      <w:pPr>
        <w:pStyle w:val="EntradandiceSentencia"/>
      </w:pPr>
      <w:r>
        <w:t>Sala Segunda. Sentencia 29/1997, de 24 de febrero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470/1993. </w:t>
      </w:r>
      <w:r w:rsidRPr="00660716">
        <w:rPr>
          <w:rStyle w:val="TextoNormalCursivaCaracter"/>
        </w:rPr>
        <w:t xml:space="preserve"> Vulneración del derecho a la tutela judicial efectiva: citación edictal lesiva del derecho.</w:t>
      </w:r>
      <w:r>
        <w:tab/>
      </w:r>
      <w:r>
        <w:tab/>
      </w:r>
      <w:r>
        <w:fldChar w:fldCharType="begin"/>
      </w:r>
      <w:r>
        <w:instrText xml:space="preserve"> PAGEREF SENTENCIA_1997_29 \h </w:instrText>
      </w:r>
      <w:r>
        <w:fldChar w:fldCharType="separate"/>
      </w:r>
      <w:r w:rsidR="00817D23">
        <w:rPr>
          <w:noProof/>
        </w:rPr>
        <w:t>305</w:t>
      </w:r>
      <w:r>
        <w:fldChar w:fldCharType="end"/>
      </w:r>
    </w:p>
    <w:p w:rsidR="00660716" w:rsidRDefault="00660716" w:rsidP="00660716"/>
    <w:p w:rsidR="00660716" w:rsidRDefault="00660716" w:rsidP="00660716">
      <w:pPr>
        <w:pStyle w:val="EntradandiceSentencia"/>
      </w:pPr>
      <w:r>
        <w:t>Sala Segunda. Sentencia 30/1997, de 24 de febrero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1.321/1993. </w:t>
      </w:r>
      <w:r w:rsidRPr="00660716">
        <w:rPr>
          <w:rStyle w:val="TextoNormalCursivaCaracter"/>
        </w:rPr>
        <w:t xml:space="preserve"> Vulneración del derecho reconocido en el art. 23.2  C.E., en relación con la tutela judicial efectiva: límites a la jurisdicción derivados del estatuto de parlamentarios (art. 71.1 C.E.).</w:t>
      </w:r>
      <w:r>
        <w:tab/>
      </w:r>
      <w:r>
        <w:tab/>
      </w:r>
      <w:r>
        <w:fldChar w:fldCharType="begin"/>
      </w:r>
      <w:r>
        <w:instrText xml:space="preserve"> PAGEREF SENTENCIA_1997_30 \h </w:instrText>
      </w:r>
      <w:r>
        <w:fldChar w:fldCharType="separate"/>
      </w:r>
      <w:r w:rsidR="00817D23">
        <w:rPr>
          <w:noProof/>
        </w:rPr>
        <w:t>311</w:t>
      </w:r>
      <w:r>
        <w:fldChar w:fldCharType="end"/>
      </w:r>
    </w:p>
    <w:p w:rsidR="00660716" w:rsidRDefault="00660716" w:rsidP="00660716"/>
    <w:p w:rsidR="00660716" w:rsidRDefault="00660716" w:rsidP="00660716">
      <w:pPr>
        <w:pStyle w:val="EntradandiceSentencia"/>
      </w:pPr>
      <w:r>
        <w:t>Sala Segunda. Sentencia 31/1997, de 24 de febrero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2.232/1994. </w:t>
      </w:r>
      <w:r w:rsidRPr="00660716">
        <w:rPr>
          <w:rStyle w:val="TextoNormalCursivaCaracter"/>
        </w:rPr>
        <w:t xml:space="preserve"> Vulneración del derecho a un proceso sin dilaciones indebidas.</w:t>
      </w:r>
      <w:r>
        <w:tab/>
      </w:r>
      <w:r>
        <w:tab/>
      </w:r>
      <w:r>
        <w:fldChar w:fldCharType="begin"/>
      </w:r>
      <w:r>
        <w:instrText xml:space="preserve"> PAGEREF SENTENCIA_1997_31 \h </w:instrText>
      </w:r>
      <w:r>
        <w:fldChar w:fldCharType="separate"/>
      </w:r>
      <w:r w:rsidR="00817D23">
        <w:rPr>
          <w:noProof/>
        </w:rPr>
        <w:t>322</w:t>
      </w:r>
      <w:r>
        <w:fldChar w:fldCharType="end"/>
      </w:r>
    </w:p>
    <w:p w:rsidR="00660716" w:rsidRDefault="00660716" w:rsidP="00660716"/>
    <w:p w:rsidR="00660716" w:rsidRDefault="00660716" w:rsidP="00660716">
      <w:pPr>
        <w:pStyle w:val="EntradandiceSentencia"/>
      </w:pPr>
      <w:r>
        <w:t>Sala Segunda. Sentencia 32/1997, de 24 de febrero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3.133/1995. </w:t>
      </w:r>
      <w:r w:rsidRPr="00660716">
        <w:rPr>
          <w:rStyle w:val="TextoNormalCursivaCaracter"/>
        </w:rPr>
        <w:t xml:space="preserve"> Vulneración del derecho a la tutela judicial efectiva: resolución dictada "inaudita parte".</w:t>
      </w:r>
      <w:r>
        <w:tab/>
      </w:r>
      <w:r>
        <w:tab/>
      </w:r>
      <w:r>
        <w:fldChar w:fldCharType="begin"/>
      </w:r>
      <w:r>
        <w:instrText xml:space="preserve"> PAGEREF SENTENCIA_1997_32 \h </w:instrText>
      </w:r>
      <w:r>
        <w:fldChar w:fldCharType="separate"/>
      </w:r>
      <w:r w:rsidR="00817D23">
        <w:rPr>
          <w:noProof/>
        </w:rPr>
        <w:t>330</w:t>
      </w:r>
      <w:r>
        <w:fldChar w:fldCharType="end"/>
      </w:r>
    </w:p>
    <w:p w:rsidR="00660716" w:rsidRDefault="00660716" w:rsidP="00660716"/>
    <w:p w:rsidR="00660716" w:rsidRDefault="00660716" w:rsidP="00660716">
      <w:pPr>
        <w:pStyle w:val="EntradandiceSentencia"/>
      </w:pPr>
      <w:r>
        <w:t>Sala Segunda. Sentencia 33/1997, de 24 de febrero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3.988/1995. </w:t>
      </w:r>
      <w:r w:rsidRPr="00660716">
        <w:rPr>
          <w:rStyle w:val="TextoNormalCursivaCaracter"/>
        </w:rPr>
        <w:t xml:space="preserve"> Vulneración del derecho a un proceso sin dilaciones. Voto particular.</w:t>
      </w:r>
      <w:r>
        <w:tab/>
      </w:r>
      <w:r>
        <w:tab/>
      </w:r>
      <w:r>
        <w:fldChar w:fldCharType="begin"/>
      </w:r>
      <w:r>
        <w:instrText xml:space="preserve"> PAGEREF SENTENCIA_1997_33 \h </w:instrText>
      </w:r>
      <w:r>
        <w:fldChar w:fldCharType="separate"/>
      </w:r>
      <w:r w:rsidR="00817D23">
        <w:rPr>
          <w:noProof/>
        </w:rPr>
        <w:t>336</w:t>
      </w:r>
      <w:r>
        <w:fldChar w:fldCharType="end"/>
      </w:r>
    </w:p>
    <w:p w:rsidR="00660716" w:rsidRDefault="00660716" w:rsidP="00660716"/>
    <w:p w:rsidR="00660716" w:rsidRDefault="00660716" w:rsidP="00660716">
      <w:pPr>
        <w:pStyle w:val="EntradandiceSentencia"/>
      </w:pPr>
      <w:r>
        <w:lastRenderedPageBreak/>
        <w:t>Sala Primera. Sentencia 34/1997, de 25 de febrero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3.248/1992. </w:t>
      </w:r>
      <w:r w:rsidRPr="00660716">
        <w:rPr>
          <w:rStyle w:val="TextoNormalCursivaCaracter"/>
        </w:rPr>
        <w:t xml:space="preserve"> Vulneración del derecho a a tutela judicial efectiva: incongruencia omisiva.</w:t>
      </w:r>
      <w:r>
        <w:tab/>
      </w:r>
      <w:r>
        <w:tab/>
      </w:r>
      <w:r>
        <w:fldChar w:fldCharType="begin"/>
      </w:r>
      <w:r>
        <w:instrText xml:space="preserve"> PAGEREF SENTENCIA_1997_34 \h </w:instrText>
      </w:r>
      <w:r>
        <w:fldChar w:fldCharType="separate"/>
      </w:r>
      <w:r w:rsidR="00817D23">
        <w:rPr>
          <w:noProof/>
        </w:rPr>
        <w:t>345</w:t>
      </w:r>
      <w:r>
        <w:fldChar w:fldCharType="end"/>
      </w:r>
    </w:p>
    <w:p w:rsidR="00660716" w:rsidRDefault="00660716" w:rsidP="00660716"/>
    <w:p w:rsidR="00660716" w:rsidRDefault="00660716" w:rsidP="00660716">
      <w:pPr>
        <w:pStyle w:val="EntradandiceSentencia"/>
      </w:pPr>
      <w:r>
        <w:t>Sala Primera. Sentencia 35/1997, de 25 de febrero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3.135/1994. </w:t>
      </w:r>
      <w:r w:rsidRPr="00660716">
        <w:rPr>
          <w:rStyle w:val="TextoNormalCursivaCaracter"/>
        </w:rPr>
        <w:t xml:space="preserve"> Vulneración del derecho a utilizar los medios de prueba pertinentes.</w:t>
      </w:r>
      <w:r>
        <w:tab/>
      </w:r>
      <w:r>
        <w:tab/>
      </w:r>
      <w:r>
        <w:fldChar w:fldCharType="begin"/>
      </w:r>
      <w:r>
        <w:instrText xml:space="preserve"> PAGEREF SENTENCIA_1997_35 \h </w:instrText>
      </w:r>
      <w:r>
        <w:fldChar w:fldCharType="separate"/>
      </w:r>
      <w:r w:rsidR="00817D23">
        <w:rPr>
          <w:noProof/>
        </w:rPr>
        <w:t>355</w:t>
      </w:r>
      <w:r>
        <w:fldChar w:fldCharType="end"/>
      </w:r>
    </w:p>
    <w:p w:rsidR="00660716" w:rsidRDefault="00660716" w:rsidP="00660716"/>
    <w:p w:rsidR="00660716" w:rsidRDefault="00660716" w:rsidP="00660716">
      <w:pPr>
        <w:pStyle w:val="EntradandiceSentencia"/>
      </w:pPr>
      <w:r>
        <w:t>Sala Primera. Sentencia 36/1997, de 25 de febrero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3.390/1994. </w:t>
      </w:r>
      <w:r w:rsidRPr="00660716">
        <w:rPr>
          <w:rStyle w:val="TextoNormalCursivaCaracter"/>
        </w:rPr>
        <w:t xml:space="preserve"> Vulneración del derecho a la tutela judicial efectiva: denegación de acceso a la jurisdicción.</w:t>
      </w:r>
      <w:r>
        <w:tab/>
      </w:r>
      <w:r>
        <w:tab/>
      </w:r>
      <w:r>
        <w:fldChar w:fldCharType="begin"/>
      </w:r>
      <w:r>
        <w:instrText xml:space="preserve"> PAGEREF SENTENCIA_1997_36 \h </w:instrText>
      </w:r>
      <w:r>
        <w:fldChar w:fldCharType="separate"/>
      </w:r>
      <w:r w:rsidR="00817D23">
        <w:rPr>
          <w:noProof/>
        </w:rPr>
        <w:t>365</w:t>
      </w:r>
      <w:r>
        <w:fldChar w:fldCharType="end"/>
      </w:r>
    </w:p>
    <w:p w:rsidR="00660716" w:rsidRDefault="00660716" w:rsidP="00660716"/>
    <w:p w:rsidR="00660716" w:rsidRDefault="00660716" w:rsidP="00660716">
      <w:pPr>
        <w:pStyle w:val="EntradandiceSentencia"/>
      </w:pPr>
      <w:r>
        <w:t>Pleno. Sentencia 37/1997, de 27 de febrero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Conflicto positivo de competencia 456/1988 462/1988 (acumulados). </w:t>
      </w:r>
      <w:r w:rsidRPr="00660716">
        <w:rPr>
          <w:rStyle w:val="TextoNormalCursivaCaracter"/>
        </w:rPr>
        <w:t xml:space="preserve"> </w:t>
      </w:r>
      <w:r>
        <w:tab/>
      </w:r>
      <w:r>
        <w:tab/>
      </w:r>
      <w:r>
        <w:fldChar w:fldCharType="begin"/>
      </w:r>
      <w:r>
        <w:instrText xml:space="preserve"> PAGEREF SENTENCIA_1997_37 \h </w:instrText>
      </w:r>
      <w:r>
        <w:fldChar w:fldCharType="separate"/>
      </w:r>
      <w:r w:rsidR="00817D23">
        <w:rPr>
          <w:noProof/>
        </w:rPr>
        <w:t>374</w:t>
      </w:r>
      <w:r>
        <w:fldChar w:fldCharType="end"/>
      </w:r>
    </w:p>
    <w:p w:rsidR="00660716" w:rsidRDefault="00660716" w:rsidP="00660716"/>
    <w:p w:rsidR="00660716" w:rsidRDefault="00660716" w:rsidP="00660716">
      <w:pPr>
        <w:pStyle w:val="EntradandiceSentencia"/>
      </w:pPr>
      <w:r>
        <w:t>Pleno. Sentencia 38/1997, de 27 de febrero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Cuestión de inconstitucionalidad 88-1992. </w:t>
      </w:r>
      <w:r w:rsidRPr="00660716">
        <w:rPr>
          <w:rStyle w:val="TextoNormalCursivaCaracter"/>
        </w:rPr>
        <w:t xml:space="preserve"> </w:t>
      </w:r>
      <w:r>
        <w:tab/>
      </w:r>
      <w:r>
        <w:tab/>
      </w:r>
      <w:r>
        <w:fldChar w:fldCharType="begin"/>
      </w:r>
      <w:r>
        <w:instrText xml:space="preserve"> PAGEREF SENTENCIA_1997_38 \h </w:instrText>
      </w:r>
      <w:r>
        <w:fldChar w:fldCharType="separate"/>
      </w:r>
      <w:r w:rsidR="00817D23">
        <w:rPr>
          <w:noProof/>
        </w:rPr>
        <w:t>392</w:t>
      </w:r>
      <w:r>
        <w:fldChar w:fldCharType="end"/>
      </w:r>
    </w:p>
    <w:p w:rsidR="00660716" w:rsidRDefault="00660716" w:rsidP="00660716"/>
    <w:p w:rsidR="00660716" w:rsidRDefault="00660716" w:rsidP="00660716">
      <w:pPr>
        <w:pStyle w:val="EntradandiceSentencia"/>
      </w:pPr>
      <w:r>
        <w:t>Sala Primera. Sentencia 39/1997, de 27 de febrero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1.622/1995. </w:t>
      </w:r>
      <w:r w:rsidRPr="00660716">
        <w:rPr>
          <w:rStyle w:val="TextoNormalCursivaCaracter"/>
        </w:rPr>
        <w:t xml:space="preserve"> Vulneración del derecho a la tutela judicial efectiva (incongruencia omisiva) y a la utilización de los medios de prueba pertinentes.</w:t>
      </w:r>
      <w:r>
        <w:tab/>
      </w:r>
      <w:r>
        <w:tab/>
      </w:r>
      <w:r>
        <w:fldChar w:fldCharType="begin"/>
      </w:r>
      <w:r>
        <w:instrText xml:space="preserve"> PAGEREF SENTENCIA_1997_39 \h </w:instrText>
      </w:r>
      <w:r>
        <w:fldChar w:fldCharType="separate"/>
      </w:r>
      <w:r w:rsidR="00817D23">
        <w:rPr>
          <w:noProof/>
        </w:rPr>
        <w:t>407</w:t>
      </w:r>
      <w:r>
        <w:fldChar w:fldCharType="end"/>
      </w:r>
    </w:p>
    <w:p w:rsidR="00660716" w:rsidRDefault="00660716" w:rsidP="00660716"/>
    <w:p w:rsidR="00660716" w:rsidRDefault="00660716" w:rsidP="00660716">
      <w:pPr>
        <w:pStyle w:val="EntradandiceSentencia"/>
      </w:pPr>
      <w:r>
        <w:t>Sala Primera. Sentencia 40/1997, de 27 de febrero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4.445/1995. </w:t>
      </w:r>
      <w:r w:rsidRPr="00660716">
        <w:rPr>
          <w:rStyle w:val="TextoNormalCursivaCaracter"/>
        </w:rPr>
        <w:t xml:space="preserve"> Vulneración del derecho a la presunción de inocencia: prueba de cargo insuficiente.</w:t>
      </w:r>
      <w:r>
        <w:tab/>
      </w:r>
      <w:r>
        <w:tab/>
      </w:r>
      <w:r>
        <w:fldChar w:fldCharType="begin"/>
      </w:r>
      <w:r>
        <w:instrText xml:space="preserve"> PAGEREF SENTENCIA_1997_40 \h </w:instrText>
      </w:r>
      <w:r>
        <w:fldChar w:fldCharType="separate"/>
      </w:r>
      <w:r w:rsidR="00817D23">
        <w:rPr>
          <w:noProof/>
        </w:rPr>
        <w:t>417</w:t>
      </w:r>
      <w:r>
        <w:fldChar w:fldCharType="end"/>
      </w:r>
    </w:p>
    <w:p w:rsidR="00660716" w:rsidRDefault="00660716" w:rsidP="00660716"/>
    <w:p w:rsidR="00660716" w:rsidRDefault="00660716" w:rsidP="00660716">
      <w:pPr>
        <w:pStyle w:val="EntradandiceSentencia"/>
      </w:pPr>
      <w:r>
        <w:lastRenderedPageBreak/>
        <w:t>Sala Segunda. Sentencia 41/1997, de 10 de marzo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1.479/1993. </w:t>
      </w:r>
      <w:r w:rsidRPr="00660716">
        <w:rPr>
          <w:rStyle w:val="TextoNormalCursivaCaracter"/>
        </w:rPr>
        <w:t xml:space="preserve"> Supuesta vulneración del derecho a la tutela judicial efectiva: imposibilidad del ejercicio de la acción punitiva en sede de amparo constitucional.</w:t>
      </w:r>
      <w:r>
        <w:tab/>
      </w:r>
      <w:r>
        <w:tab/>
      </w:r>
      <w:r>
        <w:fldChar w:fldCharType="begin"/>
      </w:r>
      <w:r>
        <w:instrText xml:space="preserve"> PAGEREF SENTENCIA_1997_41 \h </w:instrText>
      </w:r>
      <w:r>
        <w:fldChar w:fldCharType="separate"/>
      </w:r>
      <w:r w:rsidR="00817D23">
        <w:rPr>
          <w:noProof/>
        </w:rPr>
        <w:t>424</w:t>
      </w:r>
      <w:r>
        <w:fldChar w:fldCharType="end"/>
      </w:r>
    </w:p>
    <w:p w:rsidR="00660716" w:rsidRDefault="00660716" w:rsidP="00660716"/>
    <w:p w:rsidR="00660716" w:rsidRDefault="00660716" w:rsidP="00660716">
      <w:pPr>
        <w:pStyle w:val="EntradandiceSentencia"/>
      </w:pPr>
      <w:r>
        <w:t>Sala Segunda. Sentencia 42/1997, de 10 de marzo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711/1994. </w:t>
      </w:r>
      <w:r w:rsidRPr="00660716">
        <w:rPr>
          <w:rStyle w:val="TextoNormalCursivaCaracter"/>
        </w:rPr>
        <w:t xml:space="preserve"> </w:t>
      </w:r>
      <w:r>
        <w:tab/>
      </w:r>
      <w:r>
        <w:tab/>
      </w:r>
      <w:r>
        <w:fldChar w:fldCharType="begin"/>
      </w:r>
      <w:r>
        <w:instrText xml:space="preserve"> PAGEREF SENTENCIA_1997_42 \h </w:instrText>
      </w:r>
      <w:r>
        <w:fldChar w:fldCharType="separate"/>
      </w:r>
      <w:r w:rsidR="00817D23">
        <w:rPr>
          <w:noProof/>
        </w:rPr>
        <w:t>438</w:t>
      </w:r>
      <w:r>
        <w:fldChar w:fldCharType="end"/>
      </w:r>
    </w:p>
    <w:p w:rsidR="00660716" w:rsidRDefault="00660716" w:rsidP="00660716"/>
    <w:p w:rsidR="00660716" w:rsidRDefault="00660716" w:rsidP="00660716">
      <w:pPr>
        <w:pStyle w:val="EntradandiceSentencia"/>
      </w:pPr>
      <w:r>
        <w:t>Sala Segunda. Sentencia 43/1997, de 10 de marzo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2.093/1994. </w:t>
      </w:r>
      <w:r w:rsidRPr="00660716">
        <w:rPr>
          <w:rStyle w:val="TextoNormalCursivaCaracter"/>
        </w:rPr>
        <w:t xml:space="preserve"> Vulneración del derecho a la tutela judicial efectiva: motivación insuficiente de la agravación de la pena impuesta por la Sentencia recurrida.</w:t>
      </w:r>
      <w:r>
        <w:tab/>
      </w:r>
      <w:r>
        <w:tab/>
      </w:r>
      <w:r>
        <w:fldChar w:fldCharType="begin"/>
      </w:r>
      <w:r>
        <w:instrText xml:space="preserve"> PAGEREF SENTENCIA_1997_43 \h </w:instrText>
      </w:r>
      <w:r>
        <w:fldChar w:fldCharType="separate"/>
      </w:r>
      <w:r w:rsidR="00817D23">
        <w:rPr>
          <w:noProof/>
        </w:rPr>
        <w:t>450</w:t>
      </w:r>
      <w:r>
        <w:fldChar w:fldCharType="end"/>
      </w:r>
    </w:p>
    <w:p w:rsidR="00660716" w:rsidRDefault="00660716" w:rsidP="00660716"/>
    <w:p w:rsidR="00660716" w:rsidRDefault="00660716" w:rsidP="00660716">
      <w:pPr>
        <w:pStyle w:val="EntradandiceSentencia"/>
      </w:pPr>
      <w:r>
        <w:t>Sala Segunda. Sentencia 44/1997, de 10 de marzo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l 1.852/996. </w:t>
      </w:r>
      <w:r w:rsidRPr="00660716">
        <w:rPr>
          <w:rStyle w:val="TextoNormalCursivaCaracter"/>
        </w:rPr>
        <w:t xml:space="preserve"> Supuesta vulneración del derecho a la libertad: mantenimiento de la prisión provisional no lesiva del derecho a la tutela judicial efectiva.</w:t>
      </w:r>
      <w:r>
        <w:tab/>
      </w:r>
      <w:r>
        <w:tab/>
      </w:r>
      <w:r>
        <w:fldChar w:fldCharType="begin"/>
      </w:r>
      <w:r>
        <w:instrText xml:space="preserve"> PAGEREF SENTENCIA_1997_44 \h </w:instrText>
      </w:r>
      <w:r>
        <w:fldChar w:fldCharType="separate"/>
      </w:r>
      <w:r w:rsidR="00817D23">
        <w:rPr>
          <w:noProof/>
        </w:rPr>
        <w:t>461</w:t>
      </w:r>
      <w:r>
        <w:fldChar w:fldCharType="end"/>
      </w:r>
    </w:p>
    <w:p w:rsidR="00660716" w:rsidRDefault="00660716" w:rsidP="00660716"/>
    <w:p w:rsidR="00660716" w:rsidRDefault="00660716" w:rsidP="00660716">
      <w:pPr>
        <w:pStyle w:val="EntradandiceSentencia"/>
      </w:pPr>
      <w:r>
        <w:t>Sala Primera. Sentencia 45/1997, de 11 de marzo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1.264/1994. </w:t>
      </w:r>
      <w:r w:rsidRPr="00660716">
        <w:rPr>
          <w:rStyle w:val="TextoNormalCursivaCaracter"/>
        </w:rPr>
        <w:t xml:space="preserve"> Vulneración del derecho a la presunción de inocencia: prueba de cargo insuficiente.</w:t>
      </w:r>
      <w:r>
        <w:tab/>
      </w:r>
      <w:r>
        <w:tab/>
      </w:r>
      <w:r>
        <w:fldChar w:fldCharType="begin"/>
      </w:r>
      <w:r>
        <w:instrText xml:space="preserve"> PAGEREF SENTENCIA_1997_45 \h </w:instrText>
      </w:r>
      <w:r>
        <w:fldChar w:fldCharType="separate"/>
      </w:r>
      <w:r w:rsidR="00817D23">
        <w:rPr>
          <w:noProof/>
        </w:rPr>
        <w:t>468</w:t>
      </w:r>
      <w:r>
        <w:fldChar w:fldCharType="end"/>
      </w:r>
    </w:p>
    <w:p w:rsidR="00660716" w:rsidRDefault="00660716" w:rsidP="00660716"/>
    <w:p w:rsidR="00660716" w:rsidRDefault="00660716" w:rsidP="00660716">
      <w:pPr>
        <w:pStyle w:val="EntradandiceSentencia"/>
      </w:pPr>
      <w:r>
        <w:t>Sala Primera. Sentencia 46/1997, de 11 de marzo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2.255/1994. </w:t>
      </w:r>
      <w:r w:rsidRPr="00660716">
        <w:rPr>
          <w:rStyle w:val="TextoNormalCursivaCaracter"/>
        </w:rPr>
        <w:t xml:space="preserve"> Vulneración del derecho a la tutela judicial efectiva: control jurisdiccional del proceso electoral.</w:t>
      </w:r>
      <w:r>
        <w:tab/>
      </w:r>
      <w:r>
        <w:tab/>
      </w:r>
      <w:r>
        <w:fldChar w:fldCharType="begin"/>
      </w:r>
      <w:r>
        <w:instrText xml:space="preserve"> PAGEREF SENTENCIA_1997_46 \h </w:instrText>
      </w:r>
      <w:r>
        <w:fldChar w:fldCharType="separate"/>
      </w:r>
      <w:r w:rsidR="00817D23">
        <w:rPr>
          <w:noProof/>
        </w:rPr>
        <w:t>481</w:t>
      </w:r>
      <w:r>
        <w:fldChar w:fldCharType="end"/>
      </w:r>
    </w:p>
    <w:p w:rsidR="00660716" w:rsidRDefault="00660716" w:rsidP="00660716"/>
    <w:p w:rsidR="00660716" w:rsidRDefault="00660716" w:rsidP="00660716">
      <w:pPr>
        <w:pStyle w:val="EntradandiceSentencia"/>
      </w:pPr>
      <w:r>
        <w:t>Sala Primera. Sentencia 47/1997, de 11 de marzo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2.545/1994. </w:t>
      </w:r>
      <w:r w:rsidRPr="00660716">
        <w:rPr>
          <w:rStyle w:val="TextoNormalCursivaCaracter"/>
        </w:rPr>
        <w:t xml:space="preserve"> Vulneración del derecho a la tutela judicial efectiva: incongruencia omisiva.</w:t>
      </w:r>
      <w:r>
        <w:tab/>
      </w:r>
      <w:r>
        <w:tab/>
      </w:r>
      <w:r>
        <w:fldChar w:fldCharType="begin"/>
      </w:r>
      <w:r>
        <w:instrText xml:space="preserve"> PAGEREF SENTENCIA_1997_47 \h </w:instrText>
      </w:r>
      <w:r>
        <w:fldChar w:fldCharType="separate"/>
      </w:r>
      <w:r w:rsidR="00817D23">
        <w:rPr>
          <w:noProof/>
        </w:rPr>
        <w:t>487</w:t>
      </w:r>
      <w:r>
        <w:fldChar w:fldCharType="end"/>
      </w:r>
    </w:p>
    <w:p w:rsidR="00660716" w:rsidRDefault="00660716" w:rsidP="00660716"/>
    <w:p w:rsidR="00660716" w:rsidRDefault="00660716" w:rsidP="00660716">
      <w:pPr>
        <w:pStyle w:val="EntradandiceSentencia"/>
      </w:pPr>
      <w:r>
        <w:lastRenderedPageBreak/>
        <w:t>Sala Primera. Sentencia 48/1997, de 11 de marzo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2.581/1994. </w:t>
      </w:r>
      <w:r w:rsidRPr="00660716">
        <w:rPr>
          <w:rStyle w:val="TextoNormalCursivaCaracter"/>
        </w:rPr>
        <w:t xml:space="preserve"> Vulneración del derecho a la tutela judicial efectiva: control jurisdiccional del proceso electoral.</w:t>
      </w:r>
      <w:r>
        <w:tab/>
      </w:r>
      <w:r>
        <w:tab/>
      </w:r>
      <w:r>
        <w:fldChar w:fldCharType="begin"/>
      </w:r>
      <w:r>
        <w:instrText xml:space="preserve"> PAGEREF SENTENCIA_1997_48 \h </w:instrText>
      </w:r>
      <w:r>
        <w:fldChar w:fldCharType="separate"/>
      </w:r>
      <w:r w:rsidR="00817D23">
        <w:rPr>
          <w:noProof/>
        </w:rPr>
        <w:t>493</w:t>
      </w:r>
      <w:r>
        <w:fldChar w:fldCharType="end"/>
      </w:r>
    </w:p>
    <w:p w:rsidR="00660716" w:rsidRDefault="00660716" w:rsidP="00660716"/>
    <w:p w:rsidR="00660716" w:rsidRDefault="00660716" w:rsidP="00660716">
      <w:pPr>
        <w:pStyle w:val="EntradandiceSentencia"/>
      </w:pPr>
      <w:r>
        <w:t>Sala Primera. Sentencia 49/1997, de 11 de marzo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3.807/1994. </w:t>
      </w:r>
      <w:r w:rsidRPr="00660716">
        <w:rPr>
          <w:rStyle w:val="TextoNormalCursivaCaracter"/>
        </w:rPr>
        <w:t xml:space="preserve"> Vulneración del derecho a la tutela judicial efectiva: citación edictal lesiva del derecho.</w:t>
      </w:r>
      <w:r>
        <w:tab/>
      </w:r>
      <w:r>
        <w:tab/>
      </w:r>
      <w:r>
        <w:fldChar w:fldCharType="begin"/>
      </w:r>
      <w:r>
        <w:instrText xml:space="preserve"> PAGEREF SENTENCIA_1997_49 \h </w:instrText>
      </w:r>
      <w:r>
        <w:fldChar w:fldCharType="separate"/>
      </w:r>
      <w:r w:rsidR="00817D23">
        <w:rPr>
          <w:noProof/>
        </w:rPr>
        <w:t>500</w:t>
      </w:r>
      <w:r>
        <w:fldChar w:fldCharType="end"/>
      </w:r>
    </w:p>
    <w:p w:rsidR="00660716" w:rsidRDefault="00660716" w:rsidP="00660716"/>
    <w:p w:rsidR="00660716" w:rsidRDefault="00660716" w:rsidP="00660716">
      <w:pPr>
        <w:pStyle w:val="EntradandiceSentencia"/>
      </w:pPr>
      <w:r>
        <w:t>Sala Primera. Sentencia 50/1997, de 11 de marzo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1.828/1995. </w:t>
      </w:r>
      <w:r w:rsidRPr="00660716">
        <w:rPr>
          <w:rStyle w:val="TextoNormalCursivaCaracter"/>
        </w:rPr>
        <w:t xml:space="preserve"> Supuesta vulneración de los derechos a la tutela judicial efectiva y a la igualdad: cuestión de legalidad.</w:t>
      </w:r>
      <w:r>
        <w:tab/>
      </w:r>
      <w:r>
        <w:tab/>
      </w:r>
      <w:r>
        <w:fldChar w:fldCharType="begin"/>
      </w:r>
      <w:r>
        <w:instrText xml:space="preserve"> PAGEREF SENTENCIA_1997_50 \h </w:instrText>
      </w:r>
      <w:r>
        <w:fldChar w:fldCharType="separate"/>
      </w:r>
      <w:r w:rsidR="00817D23">
        <w:rPr>
          <w:noProof/>
        </w:rPr>
        <w:t>505</w:t>
      </w:r>
      <w:r>
        <w:fldChar w:fldCharType="end"/>
      </w:r>
    </w:p>
    <w:p w:rsidR="00660716" w:rsidRDefault="00660716" w:rsidP="00660716"/>
    <w:p w:rsidR="00660716" w:rsidRDefault="00660716" w:rsidP="00660716">
      <w:pPr>
        <w:pStyle w:val="EntradandiceSentencia"/>
      </w:pPr>
      <w:r>
        <w:t>Sala Primera. Sentencia 51/1997, de 11 de marzo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675/1996. </w:t>
      </w:r>
      <w:r w:rsidRPr="00660716">
        <w:rPr>
          <w:rStyle w:val="TextoNormalCursivaCaracter"/>
        </w:rPr>
        <w:t xml:space="preserve"> Supuesta vulneración del derecho a la libertad de información: carencia de veracidad de la información transmitida.</w:t>
      </w:r>
      <w:r>
        <w:tab/>
      </w:r>
      <w:r>
        <w:tab/>
      </w:r>
      <w:r>
        <w:fldChar w:fldCharType="begin"/>
      </w:r>
      <w:r>
        <w:instrText xml:space="preserve"> PAGEREF SENTENCIA_1997_51 \h </w:instrText>
      </w:r>
      <w:r>
        <w:fldChar w:fldCharType="separate"/>
      </w:r>
      <w:r w:rsidR="00817D23">
        <w:rPr>
          <w:noProof/>
        </w:rPr>
        <w:t>511</w:t>
      </w:r>
      <w:r>
        <w:fldChar w:fldCharType="end"/>
      </w:r>
    </w:p>
    <w:p w:rsidR="00660716" w:rsidRDefault="00660716" w:rsidP="00660716"/>
    <w:p w:rsidR="00660716" w:rsidRDefault="00660716" w:rsidP="00660716">
      <w:pPr>
        <w:pStyle w:val="EntradandiceSentencia"/>
      </w:pPr>
      <w:r>
        <w:t>Sala Segunda. Sentencia 52/1997, de 17 de marzo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2.753/1992. </w:t>
      </w:r>
      <w:r w:rsidRPr="00660716">
        <w:rPr>
          <w:rStyle w:val="TextoNormalCursivaCaracter"/>
        </w:rPr>
        <w:t xml:space="preserve"> Vulneración del derecho a la tutela judicial efectiva: Sentencia dictada "inaudita parte".</w:t>
      </w:r>
      <w:r>
        <w:tab/>
      </w:r>
      <w:r>
        <w:tab/>
      </w:r>
      <w:r>
        <w:fldChar w:fldCharType="begin"/>
      </w:r>
      <w:r>
        <w:instrText xml:space="preserve"> PAGEREF SENTENCIA_1997_52 \h </w:instrText>
      </w:r>
      <w:r>
        <w:fldChar w:fldCharType="separate"/>
      </w:r>
      <w:r w:rsidR="00817D23">
        <w:rPr>
          <w:noProof/>
        </w:rPr>
        <w:t>523</w:t>
      </w:r>
      <w:r>
        <w:fldChar w:fldCharType="end"/>
      </w:r>
    </w:p>
    <w:p w:rsidR="00660716" w:rsidRDefault="00660716" w:rsidP="00660716"/>
    <w:p w:rsidR="00660716" w:rsidRDefault="00660716" w:rsidP="00660716">
      <w:pPr>
        <w:pStyle w:val="EntradandiceSentencia"/>
      </w:pPr>
      <w:r>
        <w:t>Sala Segunda. Sentencia 53/1997, de 17 de marzo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2.016/1993. </w:t>
      </w:r>
      <w:r w:rsidRPr="00660716">
        <w:rPr>
          <w:rStyle w:val="TextoNormalCursivaCaracter"/>
        </w:rPr>
        <w:t xml:space="preserve"> Vulneración del derecho a un proceso sin dilaciones indebidas.</w:t>
      </w:r>
      <w:r>
        <w:tab/>
      </w:r>
      <w:r>
        <w:tab/>
      </w:r>
      <w:r>
        <w:fldChar w:fldCharType="begin"/>
      </w:r>
      <w:r>
        <w:instrText xml:space="preserve"> PAGEREF SENTENCIA_1997_53 \h </w:instrText>
      </w:r>
      <w:r>
        <w:fldChar w:fldCharType="separate"/>
      </w:r>
      <w:r w:rsidR="00817D23">
        <w:rPr>
          <w:noProof/>
        </w:rPr>
        <w:t>529</w:t>
      </w:r>
      <w:r>
        <w:fldChar w:fldCharType="end"/>
      </w:r>
    </w:p>
    <w:p w:rsidR="00660716" w:rsidRDefault="00660716" w:rsidP="00660716"/>
    <w:p w:rsidR="00660716" w:rsidRDefault="00660716" w:rsidP="00660716">
      <w:pPr>
        <w:pStyle w:val="EntradandiceSentencia"/>
      </w:pPr>
      <w:r>
        <w:t>Sala Segunda. Sentencia 54/1997, de 17 de marzo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2.100/1993. </w:t>
      </w:r>
      <w:r w:rsidRPr="00660716">
        <w:rPr>
          <w:rStyle w:val="TextoNormalCursivaCaracter"/>
        </w:rPr>
        <w:t xml:space="preserve"> Supuesta vulneración del derecho a la tutela judicial efectiva: motivación suficiente de la Sentencia recurrida. Voto particular.</w:t>
      </w:r>
      <w:r>
        <w:tab/>
      </w:r>
      <w:r>
        <w:tab/>
      </w:r>
      <w:r>
        <w:fldChar w:fldCharType="begin"/>
      </w:r>
      <w:r>
        <w:instrText xml:space="preserve"> PAGEREF SENTENCIA_1997_54 \h </w:instrText>
      </w:r>
      <w:r>
        <w:fldChar w:fldCharType="separate"/>
      </w:r>
      <w:r w:rsidR="00817D23">
        <w:rPr>
          <w:noProof/>
        </w:rPr>
        <w:t>533</w:t>
      </w:r>
      <w:r>
        <w:fldChar w:fldCharType="end"/>
      </w:r>
    </w:p>
    <w:p w:rsidR="00660716" w:rsidRDefault="00660716" w:rsidP="00660716"/>
    <w:p w:rsidR="00660716" w:rsidRDefault="00660716" w:rsidP="00660716">
      <w:pPr>
        <w:pStyle w:val="EntradandiceSentencia"/>
      </w:pPr>
      <w:r>
        <w:lastRenderedPageBreak/>
        <w:t>Sala Segunda. Sentencia 55/1997, de 17 de marzo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98/1995. </w:t>
      </w:r>
      <w:r w:rsidRPr="00660716">
        <w:rPr>
          <w:rStyle w:val="TextoNormalCursivaCaracter"/>
        </w:rPr>
        <w:t xml:space="preserve"> Vulneración del derecho a la tutela judicial efectiva: interpretación lesiva al derecho de los requisitos procesales para acceder al previo recurso de reposición. Voto particular.</w:t>
      </w:r>
      <w:r>
        <w:tab/>
      </w:r>
      <w:r>
        <w:tab/>
      </w:r>
      <w:r>
        <w:fldChar w:fldCharType="begin"/>
      </w:r>
      <w:r>
        <w:instrText xml:space="preserve"> PAGEREF SENTENCIA_1997_55 \h </w:instrText>
      </w:r>
      <w:r>
        <w:fldChar w:fldCharType="separate"/>
      </w:r>
      <w:r w:rsidR="00817D23">
        <w:rPr>
          <w:noProof/>
        </w:rPr>
        <w:t>542</w:t>
      </w:r>
      <w:r>
        <w:fldChar w:fldCharType="end"/>
      </w:r>
    </w:p>
    <w:p w:rsidR="00660716" w:rsidRDefault="00660716" w:rsidP="00660716"/>
    <w:p w:rsidR="00660716" w:rsidRDefault="00660716" w:rsidP="00660716">
      <w:pPr>
        <w:pStyle w:val="EntradandiceSentencia"/>
      </w:pPr>
      <w:r>
        <w:t>Sala Primera. Sentencia 56/1997, de 17 de marzo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3.199/1996. </w:t>
      </w:r>
      <w:r w:rsidRPr="00660716">
        <w:rPr>
          <w:rStyle w:val="TextoNormalCursivaCaracter"/>
        </w:rPr>
        <w:t xml:space="preserve"> Vulneración del derecho a la libertad personal: extemporaneidad de la resolución de prolongación de la medida cautelar inicialmente acordada. Votos particulares.</w:t>
      </w:r>
      <w:r>
        <w:tab/>
      </w:r>
      <w:r>
        <w:tab/>
      </w:r>
      <w:r>
        <w:fldChar w:fldCharType="begin"/>
      </w:r>
      <w:r>
        <w:instrText xml:space="preserve"> PAGEREF SENTENCIA_1997_56 \h </w:instrText>
      </w:r>
      <w:r>
        <w:fldChar w:fldCharType="separate"/>
      </w:r>
      <w:r w:rsidR="00817D23">
        <w:rPr>
          <w:noProof/>
        </w:rPr>
        <w:t>550</w:t>
      </w:r>
      <w:r>
        <w:fldChar w:fldCharType="end"/>
      </w:r>
    </w:p>
    <w:p w:rsidR="00660716" w:rsidRDefault="00660716" w:rsidP="00660716"/>
    <w:p w:rsidR="00660716" w:rsidRDefault="00660716" w:rsidP="00660716">
      <w:pPr>
        <w:pStyle w:val="EntradandiceSentencia"/>
      </w:pPr>
      <w:r>
        <w:t>Sala Primera. Sentencia 57/1997, de 18 de marzo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3.564/1994. </w:t>
      </w:r>
      <w:r w:rsidRPr="00660716">
        <w:rPr>
          <w:rStyle w:val="TextoNormalCursivaCaracter"/>
        </w:rPr>
        <w:t xml:space="preserve"> Supuesta vulneración del derecho a la tutela judicial efectiva: congruencia de las resoluciones impugnadas.</w:t>
      </w:r>
      <w:r>
        <w:tab/>
      </w:r>
      <w:r>
        <w:tab/>
      </w:r>
      <w:r>
        <w:fldChar w:fldCharType="begin"/>
      </w:r>
      <w:r>
        <w:instrText xml:space="preserve"> PAGEREF SENTENCIA_1997_57 \h </w:instrText>
      </w:r>
      <w:r>
        <w:fldChar w:fldCharType="separate"/>
      </w:r>
      <w:r w:rsidR="00817D23">
        <w:rPr>
          <w:noProof/>
        </w:rPr>
        <w:t>576</w:t>
      </w:r>
      <w:r>
        <w:fldChar w:fldCharType="end"/>
      </w:r>
    </w:p>
    <w:p w:rsidR="00660716" w:rsidRDefault="00660716" w:rsidP="00660716"/>
    <w:p w:rsidR="00660716" w:rsidRDefault="00660716" w:rsidP="00660716">
      <w:pPr>
        <w:pStyle w:val="EntradandiceSentencia"/>
      </w:pPr>
      <w:r>
        <w:t>Sala Primera. Sentencia 58/1997, de 18 de marzo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14/1995. </w:t>
      </w:r>
      <w:r w:rsidRPr="00660716">
        <w:rPr>
          <w:rStyle w:val="TextoNormalCursivaCaracter"/>
        </w:rPr>
        <w:t xml:space="preserve"> Supuesta vulneración del derecho a la tutela judicial efectiva: posibles "vicios in iudicando" no causantes de indefensión.</w:t>
      </w:r>
      <w:r>
        <w:tab/>
      </w:r>
      <w:r>
        <w:tab/>
      </w:r>
      <w:r>
        <w:fldChar w:fldCharType="begin"/>
      </w:r>
      <w:r>
        <w:instrText xml:space="preserve"> PAGEREF SENTENCIA_1997_58 \h </w:instrText>
      </w:r>
      <w:r>
        <w:fldChar w:fldCharType="separate"/>
      </w:r>
      <w:r w:rsidR="00817D23">
        <w:rPr>
          <w:noProof/>
        </w:rPr>
        <w:t>586</w:t>
      </w:r>
      <w:r>
        <w:fldChar w:fldCharType="end"/>
      </w:r>
    </w:p>
    <w:p w:rsidR="00660716" w:rsidRDefault="00660716" w:rsidP="00660716"/>
    <w:p w:rsidR="00660716" w:rsidRDefault="00660716" w:rsidP="00660716">
      <w:pPr>
        <w:pStyle w:val="EntradandiceSentencia"/>
      </w:pPr>
      <w:r>
        <w:t>Sala Primera. Sentencia 59/1997, de 18 de marzo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2.421/1995. </w:t>
      </w:r>
      <w:r w:rsidRPr="00660716">
        <w:rPr>
          <w:rStyle w:val="TextoNormalCursivaCaracter"/>
        </w:rPr>
        <w:t xml:space="preserve"> Vulneración del derecho a la tutela judicial efectiva: incongruencia de la resolución judicial.</w:t>
      </w:r>
      <w:r>
        <w:tab/>
      </w:r>
      <w:r>
        <w:tab/>
      </w:r>
      <w:r>
        <w:fldChar w:fldCharType="begin"/>
      </w:r>
      <w:r>
        <w:instrText xml:space="preserve"> PAGEREF SENTENCIA_1997_59 \h </w:instrText>
      </w:r>
      <w:r>
        <w:fldChar w:fldCharType="separate"/>
      </w:r>
      <w:r w:rsidR="00817D23">
        <w:rPr>
          <w:noProof/>
        </w:rPr>
        <w:t>594</w:t>
      </w:r>
      <w:r>
        <w:fldChar w:fldCharType="end"/>
      </w:r>
    </w:p>
    <w:p w:rsidR="00660716" w:rsidRDefault="00660716" w:rsidP="00660716"/>
    <w:p w:rsidR="00660716" w:rsidRDefault="00660716" w:rsidP="00660716">
      <w:pPr>
        <w:pStyle w:val="EntradandiceSentencia"/>
      </w:pPr>
      <w:r>
        <w:t>Sala Primera. Sentencia 60/1997, de 18 de marzo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101/1996. </w:t>
      </w:r>
      <w:r w:rsidRPr="00660716">
        <w:rPr>
          <w:rStyle w:val="TextoNormalCursivaCaracter"/>
        </w:rPr>
        <w:t xml:space="preserve"> Vulneración del derecho a la tutela judicial efectiva: motivación insuficiente de las resoluciones impugnadas.</w:t>
      </w:r>
      <w:r>
        <w:tab/>
      </w:r>
      <w:r>
        <w:tab/>
      </w:r>
      <w:r>
        <w:fldChar w:fldCharType="begin"/>
      </w:r>
      <w:r>
        <w:instrText xml:space="preserve"> PAGEREF SENTENCIA_1997_60 \h </w:instrText>
      </w:r>
      <w:r>
        <w:fldChar w:fldCharType="separate"/>
      </w:r>
      <w:r w:rsidR="00817D23">
        <w:rPr>
          <w:noProof/>
        </w:rPr>
        <w:t>604</w:t>
      </w:r>
      <w:r>
        <w:fldChar w:fldCharType="end"/>
      </w:r>
    </w:p>
    <w:p w:rsidR="00660716" w:rsidRDefault="00660716" w:rsidP="00660716"/>
    <w:p w:rsidR="00660716" w:rsidRDefault="00660716" w:rsidP="00660716">
      <w:pPr>
        <w:pStyle w:val="EntradandiceSentencia"/>
      </w:pPr>
      <w:r>
        <w:t>Pleno. Sentencia 61/1997, de 20 de marzo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Recursos de inconstitucionalidad 2477/1990, 2479/1990, 2481/1990, 2486/1990, 2487/1990, 2488/1990, 2337/1992, 2341/1992 y 2342/1992 (acumulados). </w:t>
      </w:r>
      <w:r w:rsidRPr="00660716">
        <w:rPr>
          <w:rStyle w:val="TextoNormalCursivaCaracter"/>
        </w:rPr>
        <w:t xml:space="preserve"> </w:t>
      </w:r>
      <w:r>
        <w:tab/>
      </w:r>
      <w:r>
        <w:tab/>
      </w:r>
      <w:r>
        <w:fldChar w:fldCharType="begin"/>
      </w:r>
      <w:r>
        <w:instrText xml:space="preserve"> PAGEREF SENTENCIA_1997_61 \h </w:instrText>
      </w:r>
      <w:r>
        <w:fldChar w:fldCharType="separate"/>
      </w:r>
      <w:r w:rsidR="00817D23">
        <w:rPr>
          <w:noProof/>
        </w:rPr>
        <w:t>612</w:t>
      </w:r>
      <w:r>
        <w:fldChar w:fldCharType="end"/>
      </w:r>
    </w:p>
    <w:p w:rsidR="00660716" w:rsidRDefault="00660716" w:rsidP="00660716"/>
    <w:p w:rsidR="00660716" w:rsidRDefault="00660716" w:rsidP="00660716">
      <w:pPr>
        <w:pStyle w:val="EntradandiceSentencia"/>
      </w:pPr>
      <w:r>
        <w:lastRenderedPageBreak/>
        <w:t>Sala Segunda. Sentencia 62/1997, de 7 de abril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1.744/1993. </w:t>
      </w:r>
      <w:r w:rsidRPr="00660716">
        <w:rPr>
          <w:rStyle w:val="TextoNormalCursivaCaracter"/>
        </w:rPr>
        <w:t xml:space="preserve"> Supuesta vulneración del derechos a la tutela judicial efectiva y del principio de legalidad: inaplicación retroactiva en vía de casación de causa de absolución sobrevenida no lesiva de los derechos invocados. Voto  particular.</w:t>
      </w:r>
      <w:r>
        <w:tab/>
      </w:r>
      <w:r>
        <w:tab/>
      </w:r>
      <w:r>
        <w:fldChar w:fldCharType="begin"/>
      </w:r>
      <w:r>
        <w:instrText xml:space="preserve"> PAGEREF SENTENCIA_1997_62 \h </w:instrText>
      </w:r>
      <w:r>
        <w:fldChar w:fldCharType="separate"/>
      </w:r>
      <w:r w:rsidR="00817D23">
        <w:rPr>
          <w:noProof/>
        </w:rPr>
        <w:t>856</w:t>
      </w:r>
      <w:r>
        <w:fldChar w:fldCharType="end"/>
      </w:r>
    </w:p>
    <w:p w:rsidR="00660716" w:rsidRDefault="00660716" w:rsidP="00660716"/>
    <w:p w:rsidR="00660716" w:rsidRDefault="00660716" w:rsidP="00660716">
      <w:pPr>
        <w:pStyle w:val="EntradandiceSentencia"/>
      </w:pPr>
      <w:r>
        <w:t>Sala Segunda. Sentencia 63/1997, de 7 de abril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3.393/1993 3.394/1993 3.395/1993 3.396/1993 3.397/1993 99/1995 (acumulados). </w:t>
      </w:r>
      <w:r w:rsidRPr="00660716">
        <w:rPr>
          <w:rStyle w:val="TextoNormalCursivaCaracter"/>
        </w:rPr>
        <w:t xml:space="preserve"> Supuesta vulneración del principio de legalidad: predeterminación legal de la infracción.</w:t>
      </w:r>
      <w:r>
        <w:tab/>
      </w:r>
      <w:r>
        <w:tab/>
      </w:r>
      <w:r>
        <w:fldChar w:fldCharType="begin"/>
      </w:r>
      <w:r>
        <w:instrText xml:space="preserve"> PAGEREF SENTENCIA_1997_63 \h </w:instrText>
      </w:r>
      <w:r>
        <w:fldChar w:fldCharType="separate"/>
      </w:r>
      <w:r w:rsidR="00817D23">
        <w:rPr>
          <w:noProof/>
        </w:rPr>
        <w:t>872</w:t>
      </w:r>
      <w:r>
        <w:fldChar w:fldCharType="end"/>
      </w:r>
    </w:p>
    <w:p w:rsidR="00660716" w:rsidRDefault="00660716" w:rsidP="00660716"/>
    <w:p w:rsidR="00660716" w:rsidRDefault="00660716" w:rsidP="00660716">
      <w:pPr>
        <w:pStyle w:val="EntradandiceSentencia"/>
      </w:pPr>
      <w:r>
        <w:t>Sala Segunda. Sentencia 64/1997, de 7 de abril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1.854/1994. </w:t>
      </w:r>
      <w:r w:rsidRPr="00660716">
        <w:rPr>
          <w:rStyle w:val="TextoNormalCursivaCaracter"/>
        </w:rPr>
        <w:t xml:space="preserve"> Supuesta vulneración de los derechos a la tutela judicial efectiva y a un proceso con todas las garantías.</w:t>
      </w:r>
      <w:r>
        <w:tab/>
      </w:r>
      <w:r>
        <w:tab/>
      </w:r>
      <w:r>
        <w:fldChar w:fldCharType="begin"/>
      </w:r>
      <w:r>
        <w:instrText xml:space="preserve"> PAGEREF SENTENCIA_1997_64 \h </w:instrText>
      </w:r>
      <w:r>
        <w:fldChar w:fldCharType="separate"/>
      </w:r>
      <w:r w:rsidR="00817D23">
        <w:rPr>
          <w:noProof/>
        </w:rPr>
        <w:t>882</w:t>
      </w:r>
      <w:r>
        <w:fldChar w:fldCharType="end"/>
      </w:r>
    </w:p>
    <w:p w:rsidR="00660716" w:rsidRDefault="00660716" w:rsidP="00660716"/>
    <w:p w:rsidR="00660716" w:rsidRDefault="00660716" w:rsidP="00660716">
      <w:pPr>
        <w:pStyle w:val="EntradandiceSentencia"/>
      </w:pPr>
      <w:r>
        <w:t>Sala Segunda. Sentencia 65/1997, de 7 de abril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377/1995. </w:t>
      </w:r>
      <w:r w:rsidRPr="00660716">
        <w:rPr>
          <w:rStyle w:val="TextoNormalCursivaCaracter"/>
        </w:rPr>
        <w:t xml:space="preserve"> Vulneración del derecho a la tutela judicial efectiva: subsanabilidad de la omisión de comunicación previa que exige el art. 57.2 f) de la Ley reguladora de la Jurisdicción Contencioso-Administrativa.</w:t>
      </w:r>
      <w:r>
        <w:tab/>
      </w:r>
      <w:r>
        <w:tab/>
      </w:r>
      <w:r>
        <w:fldChar w:fldCharType="begin"/>
      </w:r>
      <w:r>
        <w:instrText xml:space="preserve"> PAGEREF SENTENCIA_1997_65 \h </w:instrText>
      </w:r>
      <w:r>
        <w:fldChar w:fldCharType="separate"/>
      </w:r>
      <w:r w:rsidR="00817D23">
        <w:rPr>
          <w:noProof/>
        </w:rPr>
        <w:t>894</w:t>
      </w:r>
      <w:r>
        <w:fldChar w:fldCharType="end"/>
      </w:r>
    </w:p>
    <w:p w:rsidR="00660716" w:rsidRDefault="00660716" w:rsidP="00660716"/>
    <w:p w:rsidR="00660716" w:rsidRDefault="00660716" w:rsidP="00660716">
      <w:pPr>
        <w:pStyle w:val="EntradandiceSentencia"/>
      </w:pPr>
      <w:r>
        <w:t>Sala Segunda. Sentencia 66/1997, de 7 de abril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829/1996. </w:t>
      </w:r>
      <w:r w:rsidRPr="00660716">
        <w:rPr>
          <w:rStyle w:val="TextoNormalCursivaCaracter"/>
        </w:rPr>
        <w:t xml:space="preserve"> Vulneración del derecho a la libertad: motivación insuficiente de la privación de libertad.</w:t>
      </w:r>
      <w:r>
        <w:tab/>
      </w:r>
      <w:r>
        <w:tab/>
      </w:r>
      <w:r>
        <w:fldChar w:fldCharType="begin"/>
      </w:r>
      <w:r>
        <w:instrText xml:space="preserve"> PAGEREF SENTENCIA_1997_66 \h </w:instrText>
      </w:r>
      <w:r>
        <w:fldChar w:fldCharType="separate"/>
      </w:r>
      <w:r w:rsidR="00817D23">
        <w:rPr>
          <w:noProof/>
        </w:rPr>
        <w:t>900</w:t>
      </w:r>
      <w:r>
        <w:fldChar w:fldCharType="end"/>
      </w:r>
    </w:p>
    <w:p w:rsidR="00660716" w:rsidRDefault="00660716" w:rsidP="00660716"/>
    <w:p w:rsidR="00660716" w:rsidRDefault="00660716" w:rsidP="00660716">
      <w:pPr>
        <w:pStyle w:val="EntradandiceSentencia"/>
      </w:pPr>
      <w:r>
        <w:t>Sala Segunda. Sentencia 67/1997, de 7 de abril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2.012/1996. </w:t>
      </w:r>
      <w:r w:rsidRPr="00660716">
        <w:rPr>
          <w:rStyle w:val="TextoNormalCursivaCaracter"/>
        </w:rPr>
        <w:t xml:space="preserve"> Vulneración del derecho a la libertad: motivación insuficiente de la privación de libertad.</w:t>
      </w:r>
      <w:r>
        <w:tab/>
      </w:r>
      <w:r>
        <w:tab/>
      </w:r>
      <w:r>
        <w:fldChar w:fldCharType="begin"/>
      </w:r>
      <w:r>
        <w:instrText xml:space="preserve"> PAGEREF SENTENCIA_1997_67 \h </w:instrText>
      </w:r>
      <w:r>
        <w:fldChar w:fldCharType="separate"/>
      </w:r>
      <w:r w:rsidR="00817D23">
        <w:rPr>
          <w:noProof/>
        </w:rPr>
        <w:t>914</w:t>
      </w:r>
      <w:r>
        <w:fldChar w:fldCharType="end"/>
      </w:r>
    </w:p>
    <w:p w:rsidR="00660716" w:rsidRDefault="00660716" w:rsidP="00660716"/>
    <w:p w:rsidR="00660716" w:rsidRDefault="00660716" w:rsidP="00660716">
      <w:pPr>
        <w:pStyle w:val="EntradandiceSentencia"/>
      </w:pPr>
      <w:r>
        <w:t>Sala Primera. Sentencia 68/1997, de 8 de abril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1.310/1995. </w:t>
      </w:r>
      <w:r w:rsidRPr="00660716">
        <w:rPr>
          <w:rStyle w:val="TextoNormalCursivaCaracter"/>
        </w:rPr>
        <w:t xml:space="preserve"> Vulneración del derecho a la tutela judicial efectiva: incongruencia interna de la segunda Sentencia impugnada.</w:t>
      </w:r>
      <w:r>
        <w:tab/>
      </w:r>
      <w:r>
        <w:tab/>
      </w:r>
      <w:r>
        <w:fldChar w:fldCharType="begin"/>
      </w:r>
      <w:r>
        <w:instrText xml:space="preserve"> PAGEREF SENTENCIA_1997_68 \h </w:instrText>
      </w:r>
      <w:r>
        <w:fldChar w:fldCharType="separate"/>
      </w:r>
      <w:r w:rsidR="00817D23">
        <w:rPr>
          <w:noProof/>
        </w:rPr>
        <w:t>923</w:t>
      </w:r>
      <w:r>
        <w:fldChar w:fldCharType="end"/>
      </w:r>
    </w:p>
    <w:p w:rsidR="00660716" w:rsidRDefault="00660716" w:rsidP="00660716"/>
    <w:p w:rsidR="00660716" w:rsidRDefault="00660716" w:rsidP="00660716">
      <w:pPr>
        <w:pStyle w:val="EntradandiceSentencia"/>
      </w:pPr>
      <w:r>
        <w:t>Sala Primera. Sentencia 69/1997, de 8 de abril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1.830/1995. </w:t>
      </w:r>
      <w:r w:rsidRPr="00660716">
        <w:rPr>
          <w:rStyle w:val="TextoNormalCursivaCaracter"/>
        </w:rPr>
        <w:t xml:space="preserve"> Vulneración del derecho a la tutela judicial efectiva: subsanabilidad de la omisión del requisito procesal advertida.</w:t>
      </w:r>
      <w:r>
        <w:tab/>
      </w:r>
      <w:r>
        <w:tab/>
      </w:r>
      <w:r>
        <w:fldChar w:fldCharType="begin"/>
      </w:r>
      <w:r>
        <w:instrText xml:space="preserve"> PAGEREF SENTENCIA_1997_69 \h </w:instrText>
      </w:r>
      <w:r>
        <w:fldChar w:fldCharType="separate"/>
      </w:r>
      <w:r w:rsidR="00817D23">
        <w:rPr>
          <w:noProof/>
        </w:rPr>
        <w:t>931</w:t>
      </w:r>
      <w:r>
        <w:fldChar w:fldCharType="end"/>
      </w:r>
    </w:p>
    <w:p w:rsidR="00660716" w:rsidRDefault="00660716" w:rsidP="00660716"/>
    <w:p w:rsidR="00660716" w:rsidRDefault="00660716" w:rsidP="00660716">
      <w:pPr>
        <w:pStyle w:val="EntradandiceSentencia"/>
      </w:pPr>
      <w:r>
        <w:t>Pleno. Sentencia 70/1997, de 10 de abril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Conflicto positivo de competencia 1.693/89. </w:t>
      </w:r>
      <w:r w:rsidRPr="00660716">
        <w:rPr>
          <w:rStyle w:val="TextoNormalCursivaCaracter"/>
        </w:rPr>
        <w:t xml:space="preserve"> </w:t>
      </w:r>
      <w:r>
        <w:tab/>
      </w:r>
      <w:r>
        <w:tab/>
      </w:r>
      <w:r>
        <w:fldChar w:fldCharType="begin"/>
      </w:r>
      <w:r>
        <w:instrText xml:space="preserve"> PAGEREF SENTENCIA_1997_70 \h </w:instrText>
      </w:r>
      <w:r>
        <w:fldChar w:fldCharType="separate"/>
      </w:r>
      <w:r w:rsidR="00817D23">
        <w:rPr>
          <w:noProof/>
        </w:rPr>
        <w:t>943</w:t>
      </w:r>
      <w:r>
        <w:fldChar w:fldCharType="end"/>
      </w:r>
    </w:p>
    <w:p w:rsidR="00660716" w:rsidRDefault="00660716" w:rsidP="00660716"/>
    <w:p w:rsidR="00660716" w:rsidRDefault="00660716" w:rsidP="00660716">
      <w:pPr>
        <w:pStyle w:val="EntradandiceSentencia"/>
      </w:pPr>
      <w:r>
        <w:t>Pleno. Sentencia 71/1997, de 10 de abril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Conflicto positivo de competencia 2.033/1990 2.745/1990 (acumulados). </w:t>
      </w:r>
      <w:r w:rsidRPr="00660716">
        <w:rPr>
          <w:rStyle w:val="TextoNormalCursivaCaracter"/>
        </w:rPr>
        <w:t xml:space="preserve"> </w:t>
      </w:r>
      <w:r>
        <w:tab/>
      </w:r>
      <w:r>
        <w:tab/>
      </w:r>
      <w:r>
        <w:fldChar w:fldCharType="begin"/>
      </w:r>
      <w:r>
        <w:instrText xml:space="preserve"> PAGEREF SENTENCIA_1997_71 \h </w:instrText>
      </w:r>
      <w:r>
        <w:fldChar w:fldCharType="separate"/>
      </w:r>
      <w:r w:rsidR="00817D23">
        <w:rPr>
          <w:noProof/>
        </w:rPr>
        <w:t>954</w:t>
      </w:r>
      <w:r>
        <w:fldChar w:fldCharType="end"/>
      </w:r>
    </w:p>
    <w:p w:rsidR="00660716" w:rsidRDefault="00660716" w:rsidP="00660716"/>
    <w:p w:rsidR="00660716" w:rsidRDefault="00660716" w:rsidP="00660716">
      <w:pPr>
        <w:pStyle w:val="EntradandiceSentencia"/>
      </w:pPr>
      <w:r>
        <w:t>Pleno. Sentencia 72/1997, de 10 de abril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Cuestión de inconstitucionalidad 2.335/1995 3.924/1995 4.269/1995 13/1996 384/1996 963/1996 (acumulados). </w:t>
      </w:r>
      <w:r w:rsidRPr="00660716">
        <w:rPr>
          <w:rStyle w:val="TextoNormalCursivaCaracter"/>
        </w:rPr>
        <w:t xml:space="preserve"> </w:t>
      </w:r>
      <w:r>
        <w:tab/>
      </w:r>
      <w:r>
        <w:tab/>
      </w:r>
      <w:r>
        <w:fldChar w:fldCharType="begin"/>
      </w:r>
      <w:r>
        <w:instrText xml:space="preserve"> PAGEREF SENTENCIA_1997_72 \h </w:instrText>
      </w:r>
      <w:r>
        <w:fldChar w:fldCharType="separate"/>
      </w:r>
      <w:r w:rsidR="00817D23">
        <w:rPr>
          <w:noProof/>
        </w:rPr>
        <w:t>973</w:t>
      </w:r>
      <w:r>
        <w:fldChar w:fldCharType="end"/>
      </w:r>
    </w:p>
    <w:p w:rsidR="00660716" w:rsidRDefault="00660716" w:rsidP="00660716"/>
    <w:p w:rsidR="00660716" w:rsidRDefault="00660716" w:rsidP="00660716">
      <w:pPr>
        <w:pStyle w:val="EntradandiceSentencia"/>
      </w:pPr>
      <w:r>
        <w:t>Pleno. Sentencia 73/1997, de 11 de abril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inconstitucionalidad 399/1988. </w:t>
      </w:r>
      <w:r w:rsidRPr="00660716">
        <w:rPr>
          <w:rStyle w:val="TextoNormalCursivaCaracter"/>
        </w:rPr>
        <w:t xml:space="preserve"> </w:t>
      </w:r>
      <w:r>
        <w:tab/>
      </w:r>
      <w:r>
        <w:tab/>
      </w:r>
      <w:r>
        <w:fldChar w:fldCharType="begin"/>
      </w:r>
      <w:r>
        <w:instrText xml:space="preserve"> PAGEREF SENTENCIA_1997_73 \h </w:instrText>
      </w:r>
      <w:r>
        <w:fldChar w:fldCharType="separate"/>
      </w:r>
      <w:r w:rsidR="00817D23">
        <w:rPr>
          <w:noProof/>
        </w:rPr>
        <w:t>992</w:t>
      </w:r>
      <w:r>
        <w:fldChar w:fldCharType="end"/>
      </w:r>
    </w:p>
    <w:p w:rsidR="00660716" w:rsidRDefault="00660716" w:rsidP="00660716"/>
    <w:p w:rsidR="00660716" w:rsidRDefault="00660716" w:rsidP="00660716">
      <w:pPr>
        <w:pStyle w:val="EntradandiceSentencia"/>
      </w:pPr>
      <w:r>
        <w:t>Sala Segunda. Sentencia 74/1997, de 21 de abril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1.589/1992. </w:t>
      </w:r>
      <w:r w:rsidRPr="00660716">
        <w:rPr>
          <w:rStyle w:val="TextoNormalCursivaCaracter"/>
        </w:rPr>
        <w:t xml:space="preserve"> Supuesta vulneración del principio de igualdad: exclusión de los hijos extramatrimoniales de las medidas protectoras reclamadas. Voto particular.</w:t>
      </w:r>
      <w:r>
        <w:tab/>
      </w:r>
      <w:r>
        <w:tab/>
      </w:r>
      <w:r>
        <w:fldChar w:fldCharType="begin"/>
      </w:r>
      <w:r>
        <w:instrText xml:space="preserve"> PAGEREF SENTENCIA_1997_74 \h </w:instrText>
      </w:r>
      <w:r>
        <w:fldChar w:fldCharType="separate"/>
      </w:r>
      <w:r w:rsidR="00817D23">
        <w:rPr>
          <w:noProof/>
        </w:rPr>
        <w:t>1001</w:t>
      </w:r>
      <w:r>
        <w:fldChar w:fldCharType="end"/>
      </w:r>
    </w:p>
    <w:p w:rsidR="00660716" w:rsidRDefault="00660716" w:rsidP="00660716"/>
    <w:p w:rsidR="00660716" w:rsidRDefault="00660716" w:rsidP="00660716">
      <w:pPr>
        <w:pStyle w:val="EntradandiceSentencia"/>
      </w:pPr>
      <w:r>
        <w:t>Sala Segunda. Sentencia 75/1997, de 21 de abril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3.157/1992. </w:t>
      </w:r>
      <w:r w:rsidRPr="00660716">
        <w:rPr>
          <w:rStyle w:val="TextoNormalCursivaCaracter"/>
        </w:rPr>
        <w:t xml:space="preserve"> Vulneración del derecho a la autonomía universitaria: denominación de la lengua propia como "catalán". Voto particular.</w:t>
      </w:r>
      <w:r>
        <w:tab/>
      </w:r>
      <w:r>
        <w:tab/>
      </w:r>
      <w:r>
        <w:fldChar w:fldCharType="begin"/>
      </w:r>
      <w:r>
        <w:instrText xml:space="preserve"> PAGEREF SENTENCIA_1997_75 \h </w:instrText>
      </w:r>
      <w:r>
        <w:fldChar w:fldCharType="separate"/>
      </w:r>
      <w:r w:rsidR="00817D23">
        <w:rPr>
          <w:noProof/>
        </w:rPr>
        <w:t>1013</w:t>
      </w:r>
      <w:r>
        <w:fldChar w:fldCharType="end"/>
      </w:r>
    </w:p>
    <w:p w:rsidR="00660716" w:rsidRDefault="00660716" w:rsidP="00660716"/>
    <w:p w:rsidR="00660716" w:rsidRDefault="00660716" w:rsidP="00660716">
      <w:pPr>
        <w:pStyle w:val="EntradandiceSentencia"/>
      </w:pPr>
      <w:r>
        <w:lastRenderedPageBreak/>
        <w:t>Sala Segunda. Sentencia 76/1997, de 21 de abril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1.331/1993. </w:t>
      </w:r>
      <w:r w:rsidRPr="00660716">
        <w:rPr>
          <w:rStyle w:val="TextoNormalCursivaCaracter"/>
        </w:rPr>
        <w:t xml:space="preserve"> Supuesta vulneración del derecho a la tutela judicial efectiva: declaración de extemporaneidad no lesiva del derecho.</w:t>
      </w:r>
      <w:r>
        <w:tab/>
      </w:r>
      <w:r>
        <w:tab/>
      </w:r>
      <w:r>
        <w:fldChar w:fldCharType="begin"/>
      </w:r>
      <w:r>
        <w:instrText xml:space="preserve"> PAGEREF SENTENCIA_1997_76 \h </w:instrText>
      </w:r>
      <w:r>
        <w:fldChar w:fldCharType="separate"/>
      </w:r>
      <w:r w:rsidR="00817D23">
        <w:rPr>
          <w:noProof/>
        </w:rPr>
        <w:t>1024</w:t>
      </w:r>
      <w:r>
        <w:fldChar w:fldCharType="end"/>
      </w:r>
    </w:p>
    <w:p w:rsidR="00660716" w:rsidRDefault="00660716" w:rsidP="00660716"/>
    <w:p w:rsidR="00660716" w:rsidRDefault="00660716" w:rsidP="00660716">
      <w:pPr>
        <w:pStyle w:val="EntradandiceSentencia"/>
      </w:pPr>
      <w:r>
        <w:t>Sala Segunda. Sentencia 77/1997, de 21 de abril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2.014/1993. </w:t>
      </w:r>
      <w:r w:rsidRPr="00660716">
        <w:rPr>
          <w:rStyle w:val="TextoNormalCursivaCaracter"/>
        </w:rPr>
        <w:t xml:space="preserve"> Vulneración del derecho a la tutela judicial efectiva: indefensión imputable al órgano judicial.</w:t>
      </w:r>
      <w:r>
        <w:tab/>
      </w:r>
      <w:r>
        <w:tab/>
      </w:r>
      <w:r>
        <w:fldChar w:fldCharType="begin"/>
      </w:r>
      <w:r>
        <w:instrText xml:space="preserve"> PAGEREF SENTENCIA_1997_77 \h </w:instrText>
      </w:r>
      <w:r>
        <w:fldChar w:fldCharType="separate"/>
      </w:r>
      <w:r w:rsidR="00817D23">
        <w:rPr>
          <w:noProof/>
        </w:rPr>
        <w:t>1029</w:t>
      </w:r>
      <w:r>
        <w:fldChar w:fldCharType="end"/>
      </w:r>
    </w:p>
    <w:p w:rsidR="00660716" w:rsidRDefault="00660716" w:rsidP="00660716"/>
    <w:p w:rsidR="00660716" w:rsidRDefault="00660716" w:rsidP="00660716">
      <w:pPr>
        <w:pStyle w:val="EntradandiceSentencia"/>
      </w:pPr>
      <w:r>
        <w:t>Sala Segunda. Sentencia 78/1997, de 21 de abril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2.259/1993. </w:t>
      </w:r>
      <w:r w:rsidRPr="00660716">
        <w:rPr>
          <w:rStyle w:val="TextoNormalCursivaCaracter"/>
        </w:rPr>
        <w:t xml:space="preserve"> Supuesta vulneración del derecho a la igualdad: inexistencia de lesión efectiva del derecho fundamental invocado.</w:t>
      </w:r>
      <w:r>
        <w:tab/>
      </w:r>
      <w:r>
        <w:tab/>
      </w:r>
      <w:r>
        <w:fldChar w:fldCharType="begin"/>
      </w:r>
      <w:r>
        <w:instrText xml:space="preserve"> PAGEREF SENTENCIA_1997_78 \h </w:instrText>
      </w:r>
      <w:r>
        <w:fldChar w:fldCharType="separate"/>
      </w:r>
      <w:r w:rsidR="00817D23">
        <w:rPr>
          <w:noProof/>
        </w:rPr>
        <w:t>1034</w:t>
      </w:r>
      <w:r>
        <w:fldChar w:fldCharType="end"/>
      </w:r>
    </w:p>
    <w:p w:rsidR="00660716" w:rsidRDefault="00660716" w:rsidP="00660716"/>
    <w:p w:rsidR="00660716" w:rsidRDefault="00660716" w:rsidP="00660716">
      <w:pPr>
        <w:pStyle w:val="EntradandiceSentencia"/>
      </w:pPr>
      <w:r>
        <w:t>Sala Segunda. Sentencia 79/1997, de 21 de abril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3.950/1993. </w:t>
      </w:r>
      <w:r w:rsidRPr="00660716">
        <w:rPr>
          <w:rStyle w:val="TextoNormalCursivaCaracter"/>
        </w:rPr>
        <w:t xml:space="preserve"> Vulneración del derecho a la tutela judicial efectiva: apreciación de defecto subsanable lesiva de la tutela.</w:t>
      </w:r>
      <w:r>
        <w:tab/>
      </w:r>
      <w:r>
        <w:tab/>
      </w:r>
      <w:r>
        <w:fldChar w:fldCharType="begin"/>
      </w:r>
      <w:r>
        <w:instrText xml:space="preserve"> PAGEREF SENTENCIA_1997_79 \h </w:instrText>
      </w:r>
      <w:r>
        <w:fldChar w:fldCharType="separate"/>
      </w:r>
      <w:r w:rsidR="00817D23">
        <w:rPr>
          <w:noProof/>
        </w:rPr>
        <w:t>1043</w:t>
      </w:r>
      <w:r>
        <w:fldChar w:fldCharType="end"/>
      </w:r>
    </w:p>
    <w:p w:rsidR="00660716" w:rsidRDefault="00660716" w:rsidP="00660716"/>
    <w:p w:rsidR="00660716" w:rsidRDefault="00660716" w:rsidP="00660716">
      <w:pPr>
        <w:pStyle w:val="EntradandiceSentencia"/>
      </w:pPr>
      <w:r>
        <w:t>Sala Segunda. Sentencia 80/1997, de 21 de abril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2.596/1996. </w:t>
      </w:r>
      <w:r w:rsidRPr="00660716">
        <w:rPr>
          <w:rStyle w:val="TextoNormalCursivaCaracter"/>
        </w:rPr>
        <w:t xml:space="preserve"> Vulneración del principio de igualdad: tratamiento fiscal discriminatorio.</w:t>
      </w:r>
      <w:r>
        <w:tab/>
      </w:r>
      <w:r>
        <w:tab/>
      </w:r>
      <w:r>
        <w:fldChar w:fldCharType="begin"/>
      </w:r>
      <w:r>
        <w:instrText xml:space="preserve"> PAGEREF SENTENCIA_1997_80 \h </w:instrText>
      </w:r>
      <w:r>
        <w:fldChar w:fldCharType="separate"/>
      </w:r>
      <w:r w:rsidR="00817D23">
        <w:rPr>
          <w:noProof/>
        </w:rPr>
        <w:t>1053</w:t>
      </w:r>
      <w:r>
        <w:fldChar w:fldCharType="end"/>
      </w:r>
    </w:p>
    <w:p w:rsidR="00660716" w:rsidRDefault="00660716" w:rsidP="00660716"/>
    <w:p w:rsidR="00660716" w:rsidRDefault="00660716" w:rsidP="00660716">
      <w:pPr>
        <w:pStyle w:val="EntradandiceSentencia"/>
      </w:pPr>
      <w:r>
        <w:t>Sala Primera. Sentencia 81/1997, de 22 de abril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566/1994. </w:t>
      </w:r>
      <w:r w:rsidRPr="00660716">
        <w:rPr>
          <w:rStyle w:val="TextoNormalCursivaCaracter"/>
        </w:rPr>
        <w:t xml:space="preserve"> Supuesta vulneración del derecho a la tutela judicial efectiva: motivación suficiente de la resolución recurrida.</w:t>
      </w:r>
      <w:r>
        <w:tab/>
      </w:r>
      <w:r>
        <w:tab/>
      </w:r>
      <w:r>
        <w:fldChar w:fldCharType="begin"/>
      </w:r>
      <w:r>
        <w:instrText xml:space="preserve"> PAGEREF SENTENCIA_1997_81 \h </w:instrText>
      </w:r>
      <w:r>
        <w:fldChar w:fldCharType="separate"/>
      </w:r>
      <w:r w:rsidR="00817D23">
        <w:rPr>
          <w:noProof/>
        </w:rPr>
        <w:t>1058</w:t>
      </w:r>
      <w:r>
        <w:fldChar w:fldCharType="end"/>
      </w:r>
    </w:p>
    <w:p w:rsidR="00660716" w:rsidRDefault="00660716" w:rsidP="00660716"/>
    <w:p w:rsidR="00660716" w:rsidRDefault="00660716" w:rsidP="00660716">
      <w:pPr>
        <w:pStyle w:val="EntradandiceSentencia"/>
      </w:pPr>
      <w:r>
        <w:t>Sala Primera. Sentencia 82/1997, de 22 de abril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3.475/1994. </w:t>
      </w:r>
      <w:r w:rsidRPr="00660716">
        <w:rPr>
          <w:rStyle w:val="TextoNormalCursivaCaracter"/>
        </w:rPr>
        <w:t xml:space="preserve"> Vulneración del derecho a la igualdad: discriminación por motivos sindicales.</w:t>
      </w:r>
      <w:r>
        <w:tab/>
      </w:r>
      <w:r>
        <w:tab/>
      </w:r>
      <w:r>
        <w:fldChar w:fldCharType="begin"/>
      </w:r>
      <w:r>
        <w:instrText xml:space="preserve"> PAGEREF SENTENCIA_1997_82 \h </w:instrText>
      </w:r>
      <w:r>
        <w:fldChar w:fldCharType="separate"/>
      </w:r>
      <w:r w:rsidR="00817D23">
        <w:rPr>
          <w:noProof/>
        </w:rPr>
        <w:t>1070</w:t>
      </w:r>
      <w:r>
        <w:fldChar w:fldCharType="end"/>
      </w:r>
    </w:p>
    <w:p w:rsidR="00660716" w:rsidRDefault="00660716" w:rsidP="00660716"/>
    <w:p w:rsidR="00660716" w:rsidRDefault="00660716" w:rsidP="00660716">
      <w:pPr>
        <w:pStyle w:val="EntradandiceSentencia"/>
      </w:pPr>
      <w:r>
        <w:lastRenderedPageBreak/>
        <w:t>Sala Primera. Sentencia 83/1997, de 22 de abril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4.042/1994. </w:t>
      </w:r>
      <w:r w:rsidRPr="00660716">
        <w:rPr>
          <w:rStyle w:val="TextoNormalCursivaCaracter"/>
        </w:rPr>
        <w:t xml:space="preserve"> Vulneración de los derechos a la asistencia letrada y a los medios de prueba pertinentes.</w:t>
      </w:r>
      <w:r>
        <w:tab/>
      </w:r>
      <w:r>
        <w:tab/>
      </w:r>
      <w:r>
        <w:fldChar w:fldCharType="begin"/>
      </w:r>
      <w:r>
        <w:instrText xml:space="preserve"> PAGEREF SENTENCIA_1997_83 \h </w:instrText>
      </w:r>
      <w:r>
        <w:fldChar w:fldCharType="separate"/>
      </w:r>
      <w:r w:rsidR="00817D23">
        <w:rPr>
          <w:noProof/>
        </w:rPr>
        <w:t>1082</w:t>
      </w:r>
      <w:r>
        <w:fldChar w:fldCharType="end"/>
      </w:r>
    </w:p>
    <w:p w:rsidR="00660716" w:rsidRDefault="00660716" w:rsidP="00660716"/>
    <w:p w:rsidR="00660716" w:rsidRDefault="00660716" w:rsidP="00660716">
      <w:pPr>
        <w:pStyle w:val="EntradandiceSentencia"/>
      </w:pPr>
      <w:r>
        <w:t>Sala Primera. Sentencia 84/1997, de 22 de abril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2.513/1995. </w:t>
      </w:r>
      <w:r w:rsidRPr="00660716">
        <w:rPr>
          <w:rStyle w:val="TextoNormalCursivaCaracter"/>
        </w:rPr>
        <w:t xml:space="preserve"> Vulneración del derecho a la tutela judicial efectiva: indefensión imputable al órgano judicial.</w:t>
      </w:r>
      <w:r>
        <w:tab/>
      </w:r>
      <w:r>
        <w:tab/>
      </w:r>
      <w:r>
        <w:fldChar w:fldCharType="begin"/>
      </w:r>
      <w:r>
        <w:instrText xml:space="preserve"> PAGEREF SENTENCIA_1997_84 \h </w:instrText>
      </w:r>
      <w:r>
        <w:fldChar w:fldCharType="separate"/>
      </w:r>
      <w:r w:rsidR="00817D23">
        <w:rPr>
          <w:noProof/>
        </w:rPr>
        <w:t>1090</w:t>
      </w:r>
      <w:r>
        <w:fldChar w:fldCharType="end"/>
      </w:r>
    </w:p>
    <w:p w:rsidR="00660716" w:rsidRDefault="00660716" w:rsidP="00660716"/>
    <w:p w:rsidR="00660716" w:rsidRDefault="00660716" w:rsidP="00660716">
      <w:pPr>
        <w:pStyle w:val="EntradandiceSentencia"/>
      </w:pPr>
      <w:r>
        <w:t>Sala Primera. Sentencia 85/1997, de 22 de abril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3.850/1995. </w:t>
      </w:r>
      <w:r w:rsidRPr="00660716">
        <w:rPr>
          <w:rStyle w:val="TextoNormalCursivaCaracter"/>
        </w:rPr>
        <w:t xml:space="preserve"> Supuesta vulneración del derecho a la tutela judicial efectiva: alcance del "ius ut procedatur" que ostenta el ofendido por el delito.</w:t>
      </w:r>
      <w:r>
        <w:tab/>
      </w:r>
      <w:r>
        <w:tab/>
      </w:r>
      <w:r>
        <w:fldChar w:fldCharType="begin"/>
      </w:r>
      <w:r>
        <w:instrText xml:space="preserve"> PAGEREF SENTENCIA_1997_85 \h </w:instrText>
      </w:r>
      <w:r>
        <w:fldChar w:fldCharType="separate"/>
      </w:r>
      <w:r w:rsidR="00817D23">
        <w:rPr>
          <w:noProof/>
        </w:rPr>
        <w:t>1099</w:t>
      </w:r>
      <w:r>
        <w:fldChar w:fldCharType="end"/>
      </w:r>
    </w:p>
    <w:p w:rsidR="00660716" w:rsidRDefault="00660716" w:rsidP="00660716"/>
    <w:p w:rsidR="00660716" w:rsidRDefault="00660716" w:rsidP="00660716">
      <w:pPr>
        <w:pStyle w:val="EntradandiceSentencia"/>
      </w:pPr>
      <w:r>
        <w:t>Sala Primera. Sentencia 86/1997, de 22 de abril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Recurso de amparo 3.070/1996. </w:t>
      </w:r>
      <w:r w:rsidRPr="00660716">
        <w:rPr>
          <w:rStyle w:val="TextoNormalCursivaCaracter"/>
        </w:rPr>
        <w:t xml:space="preserve"> Supuesta vulneración del derecho a la tutela judicial efectiva: emplazamiento edictal no lesivo del derecho.</w:t>
      </w:r>
      <w:r>
        <w:tab/>
      </w:r>
      <w:r>
        <w:tab/>
      </w:r>
      <w:r>
        <w:fldChar w:fldCharType="begin"/>
      </w:r>
      <w:r>
        <w:instrText xml:space="preserve"> PAGEREF SENTENCIA_1997_86 \h </w:instrText>
      </w:r>
      <w:r>
        <w:fldChar w:fldCharType="separate"/>
      </w:r>
      <w:r w:rsidR="00817D23">
        <w:rPr>
          <w:noProof/>
        </w:rPr>
        <w:t>1106</w:t>
      </w:r>
      <w:r>
        <w:fldChar w:fldCharType="end"/>
      </w:r>
    </w:p>
    <w:p w:rsidR="00660716" w:rsidRDefault="00660716" w:rsidP="00660716"/>
    <w:p w:rsidR="00660716" w:rsidRDefault="00660716" w:rsidP="00660716">
      <w:pPr>
        <w:pStyle w:val="EntradandiceSentencia"/>
      </w:pPr>
      <w:r>
        <w:t>Pleno. Sentencia 87/1997, de 24 de abril de 1997</w:t>
      </w:r>
    </w:p>
    <w:p w:rsidR="00660716" w:rsidRDefault="00660716" w:rsidP="00660716">
      <w:pPr>
        <w:pStyle w:val="EntradandiceSentencia"/>
      </w:pPr>
    </w:p>
    <w:p w:rsidR="00660716" w:rsidRDefault="00660716" w:rsidP="00660716">
      <w:pPr>
        <w:pStyle w:val="EntradaSumario"/>
      </w:pPr>
      <w:r w:rsidRPr="00660716">
        <w:rPr>
          <w:rStyle w:val="TextoNormalCaracter"/>
        </w:rPr>
        <w:t xml:space="preserve">Conflicto positivo de competencia 1.080/1990. </w:t>
      </w:r>
      <w:r w:rsidRPr="00660716">
        <w:rPr>
          <w:rStyle w:val="TextoNormalCursivaCaracter"/>
        </w:rPr>
        <w:t xml:space="preserve"> </w:t>
      </w:r>
      <w:r>
        <w:tab/>
      </w:r>
      <w:r>
        <w:tab/>
      </w:r>
      <w:r>
        <w:fldChar w:fldCharType="begin"/>
      </w:r>
      <w:r>
        <w:instrText xml:space="preserve"> PAGEREF SENTENCIA_1997_87 \h </w:instrText>
      </w:r>
      <w:r>
        <w:fldChar w:fldCharType="separate"/>
      </w:r>
      <w:r w:rsidR="00817D23">
        <w:rPr>
          <w:noProof/>
        </w:rPr>
        <w:t>1115</w:t>
      </w:r>
      <w:r>
        <w:fldChar w:fldCharType="end"/>
      </w:r>
    </w:p>
    <w:p w:rsidR="00660716" w:rsidRDefault="00660716">
      <w:pPr>
        <w:spacing w:after="160" w:line="259" w:lineRule="auto"/>
      </w:pPr>
      <w:r>
        <w:br w:type="page"/>
      </w:r>
    </w:p>
    <w:p w:rsidR="00660716" w:rsidRDefault="00660716" w:rsidP="00660716"/>
    <w:p w:rsidR="00660716" w:rsidRDefault="00660716" w:rsidP="00660716"/>
    <w:p w:rsidR="00660716" w:rsidRDefault="00660716" w:rsidP="00660716"/>
    <w:p w:rsidR="00660716" w:rsidRDefault="00660716" w:rsidP="00660716">
      <w:pPr>
        <w:pStyle w:val="Ttulondice"/>
      </w:pPr>
      <w:bookmarkStart w:id="3" w:name="SUMARIOSAUTOS"/>
      <w:r>
        <w:t>2. AUTOS: ATC 1/1997 A ATC 123/1997</w:t>
      </w:r>
    </w:p>
    <w:bookmarkEnd w:id="3"/>
    <w:p w:rsidR="00660716" w:rsidRDefault="00660716" w:rsidP="00660716">
      <w:pPr>
        <w:pStyle w:val="Ttulondice"/>
      </w:pPr>
    </w:p>
    <w:p w:rsidR="00660716" w:rsidRDefault="00660716" w:rsidP="00660716">
      <w:pPr>
        <w:pStyle w:val="Ttulondice"/>
      </w:pPr>
    </w:p>
    <w:p w:rsidR="00660716" w:rsidRDefault="00660716" w:rsidP="00660716">
      <w:pPr>
        <w:pStyle w:val="Ttulondice"/>
      </w:pPr>
    </w:p>
    <w:p w:rsidR="00660716" w:rsidRDefault="00660716" w:rsidP="00660716">
      <w:pPr>
        <w:pStyle w:val="Ttulondice"/>
      </w:pPr>
    </w:p>
    <w:p w:rsidR="00660716" w:rsidRDefault="00660716" w:rsidP="00660716">
      <w:pPr>
        <w:pStyle w:val="Ttulondice"/>
      </w:pPr>
    </w:p>
    <w:p w:rsidR="00660716" w:rsidRDefault="00660716" w:rsidP="00660716">
      <w:pPr>
        <w:pStyle w:val="Ttulondice"/>
      </w:pPr>
    </w:p>
    <w:p w:rsidR="00660716" w:rsidRDefault="00660716" w:rsidP="00660716">
      <w:pPr>
        <w:pStyle w:val="Ttulondice"/>
      </w:pPr>
    </w:p>
    <w:p w:rsidR="00660716" w:rsidRDefault="00660716" w:rsidP="00660716">
      <w:pPr>
        <w:pStyle w:val="EntradandiceAuto"/>
      </w:pPr>
      <w:r>
        <w:t>Sala Segunda. Auto 1/1997, de 13 de enero de 1997. Acordando la suspensión parcial de la ejecución del acto que origina el recurso de amparo 1.213/1996.</w:t>
      </w:r>
      <w:r>
        <w:tab/>
      </w:r>
      <w:r>
        <w:tab/>
      </w:r>
      <w:r>
        <w:fldChar w:fldCharType="begin"/>
      </w:r>
      <w:r>
        <w:instrText xml:space="preserve"> PAGEREF AUTO_1997_1 \h </w:instrText>
      </w:r>
      <w:r>
        <w:fldChar w:fldCharType="separate"/>
      </w:r>
      <w:r w:rsidR="00817D23">
        <w:rPr>
          <w:noProof/>
        </w:rPr>
        <w:t>1139</w:t>
      </w:r>
      <w:r>
        <w:fldChar w:fldCharType="end"/>
      </w:r>
    </w:p>
    <w:p w:rsidR="008107C7" w:rsidRDefault="008107C7" w:rsidP="00660716"/>
    <w:p w:rsidR="00660716" w:rsidRDefault="00660716" w:rsidP="00660716">
      <w:pPr>
        <w:pStyle w:val="EntradandiceAuto"/>
      </w:pPr>
      <w:r>
        <w:t>Sala Primera. Auto 2/1997, de 13 de enero de 1997. Denegando la suspensión de la ejecución del acto que origina el recurso de amparo 1.615/1996.</w:t>
      </w:r>
      <w:r>
        <w:tab/>
      </w:r>
      <w:r>
        <w:tab/>
      </w:r>
      <w:r>
        <w:fldChar w:fldCharType="begin"/>
      </w:r>
      <w:r>
        <w:instrText xml:space="preserve"> PAGEREF AUTO_1997_2 \h </w:instrText>
      </w:r>
      <w:r>
        <w:fldChar w:fldCharType="separate"/>
      </w:r>
      <w:r w:rsidR="00817D23">
        <w:rPr>
          <w:noProof/>
        </w:rPr>
        <w:t>1142</w:t>
      </w:r>
      <w:r>
        <w:fldChar w:fldCharType="end"/>
      </w:r>
    </w:p>
    <w:p w:rsidR="00660716" w:rsidRDefault="00660716" w:rsidP="00660716"/>
    <w:p w:rsidR="00660716" w:rsidRDefault="00660716" w:rsidP="00660716">
      <w:pPr>
        <w:pStyle w:val="EntradandiceAuto"/>
      </w:pPr>
      <w:r>
        <w:t>Sala Segunda. Auto 3/1997, de 13 de enero de 1997. Denegando la suspensión de la ejecución del acto que origina el recurso de amparo 2.212/1996.</w:t>
      </w:r>
      <w:r>
        <w:tab/>
      </w:r>
      <w:r>
        <w:tab/>
      </w:r>
      <w:r>
        <w:fldChar w:fldCharType="begin"/>
      </w:r>
      <w:r>
        <w:instrText xml:space="preserve"> PAGEREF AUTO_1997_3 \h </w:instrText>
      </w:r>
      <w:r>
        <w:fldChar w:fldCharType="separate"/>
      </w:r>
      <w:r w:rsidR="00817D23">
        <w:rPr>
          <w:noProof/>
        </w:rPr>
        <w:t>1145</w:t>
      </w:r>
      <w:r>
        <w:fldChar w:fldCharType="end"/>
      </w:r>
    </w:p>
    <w:p w:rsidR="00660716" w:rsidRDefault="00660716" w:rsidP="00660716"/>
    <w:p w:rsidR="00660716" w:rsidRDefault="00660716" w:rsidP="00660716">
      <w:pPr>
        <w:pStyle w:val="EntradandiceAuto"/>
      </w:pPr>
      <w:r>
        <w:t>Sección Primera. Auto 4/1997, de 13 de enero de 1997. Acordando la inadmisión a trámite del recurso de amparo 2.539/1996.</w:t>
      </w:r>
      <w:r>
        <w:tab/>
      </w:r>
      <w:r>
        <w:tab/>
      </w:r>
      <w:r>
        <w:fldChar w:fldCharType="begin"/>
      </w:r>
      <w:r>
        <w:instrText xml:space="preserve"> PAGEREF AUTO_1997_4 \h </w:instrText>
      </w:r>
      <w:r>
        <w:fldChar w:fldCharType="separate"/>
      </w:r>
      <w:r w:rsidR="00817D23">
        <w:rPr>
          <w:noProof/>
        </w:rPr>
        <w:t>1148</w:t>
      </w:r>
      <w:r>
        <w:fldChar w:fldCharType="end"/>
      </w:r>
    </w:p>
    <w:p w:rsidR="00660716" w:rsidRDefault="00660716" w:rsidP="00660716"/>
    <w:p w:rsidR="00660716" w:rsidRDefault="00660716" w:rsidP="00660716">
      <w:pPr>
        <w:pStyle w:val="EntradandiceAuto"/>
      </w:pPr>
      <w:r>
        <w:t>Sala Segunda. Auto 5/1997, de 13 de enero de 1997. Acordando la suspensión de la ejecución del acto que origina el recurso de amparo 2.885/1996.</w:t>
      </w:r>
      <w:r>
        <w:tab/>
      </w:r>
      <w:r>
        <w:tab/>
      </w:r>
      <w:r>
        <w:fldChar w:fldCharType="begin"/>
      </w:r>
      <w:r>
        <w:instrText xml:space="preserve"> PAGEREF AUTO_1997_5 \h </w:instrText>
      </w:r>
      <w:r>
        <w:fldChar w:fldCharType="separate"/>
      </w:r>
      <w:r w:rsidR="00817D23">
        <w:rPr>
          <w:noProof/>
        </w:rPr>
        <w:t>1154</w:t>
      </w:r>
      <w:r>
        <w:fldChar w:fldCharType="end"/>
      </w:r>
    </w:p>
    <w:p w:rsidR="00660716" w:rsidRDefault="00660716" w:rsidP="00660716"/>
    <w:p w:rsidR="00660716" w:rsidRDefault="00660716" w:rsidP="00660716">
      <w:pPr>
        <w:pStyle w:val="EntradandiceAuto"/>
      </w:pPr>
      <w:r>
        <w:t>Sala Primera. Auto 6/1997, de 13 de enero de 1997. Denegando la suspensión de la ejecución del acto que origina el recurso de amparo 3.070/1996.</w:t>
      </w:r>
      <w:r>
        <w:tab/>
      </w:r>
      <w:r>
        <w:tab/>
      </w:r>
      <w:r>
        <w:fldChar w:fldCharType="begin"/>
      </w:r>
      <w:r>
        <w:instrText xml:space="preserve"> PAGEREF AUTO_1997_6 \h </w:instrText>
      </w:r>
      <w:r>
        <w:fldChar w:fldCharType="separate"/>
      </w:r>
      <w:r w:rsidR="00817D23">
        <w:rPr>
          <w:noProof/>
        </w:rPr>
        <w:t>1157</w:t>
      </w:r>
      <w:r>
        <w:fldChar w:fldCharType="end"/>
      </w:r>
    </w:p>
    <w:p w:rsidR="00660716" w:rsidRDefault="00660716" w:rsidP="00660716"/>
    <w:p w:rsidR="00660716" w:rsidRDefault="00660716" w:rsidP="00660716">
      <w:pPr>
        <w:pStyle w:val="EntradandiceAuto"/>
      </w:pPr>
      <w:r>
        <w:t>Sección Primera. Auto 7/1997, de 13 de enero de 1997. Desestimando recurso de súplica contra providencia de 25 de noviembre de 1996 dictada en el recurso de amparo 3.380/1996.</w:t>
      </w:r>
      <w:r>
        <w:tab/>
      </w:r>
      <w:r>
        <w:tab/>
      </w:r>
      <w:r>
        <w:fldChar w:fldCharType="begin"/>
      </w:r>
      <w:r>
        <w:instrText xml:space="preserve"> PAGEREF AUTO_1997_7 \h </w:instrText>
      </w:r>
      <w:r>
        <w:fldChar w:fldCharType="separate"/>
      </w:r>
      <w:r w:rsidR="00817D23">
        <w:rPr>
          <w:noProof/>
        </w:rPr>
        <w:t>1161</w:t>
      </w:r>
      <w:r>
        <w:fldChar w:fldCharType="end"/>
      </w:r>
    </w:p>
    <w:p w:rsidR="00660716" w:rsidRDefault="00660716" w:rsidP="00660716"/>
    <w:p w:rsidR="00660716" w:rsidRDefault="00660716" w:rsidP="00660716">
      <w:pPr>
        <w:pStyle w:val="EntradandiceAuto"/>
      </w:pPr>
      <w:r>
        <w:lastRenderedPageBreak/>
        <w:t>Sala Primera. Auto 8/1997, de 13 de enero de 1997. Denegando la suspensión de la ejecución del acto que origina el recurso de amparo 3.951/1996.</w:t>
      </w:r>
      <w:r>
        <w:tab/>
      </w:r>
      <w:r>
        <w:tab/>
      </w:r>
      <w:r>
        <w:fldChar w:fldCharType="begin"/>
      </w:r>
      <w:r>
        <w:instrText xml:space="preserve"> PAGEREF AUTO_1997_8 \h </w:instrText>
      </w:r>
      <w:r>
        <w:fldChar w:fldCharType="separate"/>
      </w:r>
      <w:r w:rsidR="00817D23">
        <w:rPr>
          <w:noProof/>
        </w:rPr>
        <w:t>1162</w:t>
      </w:r>
      <w:r>
        <w:fldChar w:fldCharType="end"/>
      </w:r>
    </w:p>
    <w:p w:rsidR="00660716" w:rsidRDefault="00660716" w:rsidP="00660716"/>
    <w:p w:rsidR="00660716" w:rsidRDefault="00660716" w:rsidP="00660716">
      <w:pPr>
        <w:pStyle w:val="EntradandiceAuto"/>
      </w:pPr>
      <w:r>
        <w:t>Sala Primera. Auto 9/1997, de 14 de enero de 1997. Acordando la suspensión parcial de la ejecución del acto que origina el recurso de amparo 3.548/1996.</w:t>
      </w:r>
      <w:r>
        <w:tab/>
      </w:r>
      <w:r>
        <w:tab/>
      </w:r>
      <w:r>
        <w:fldChar w:fldCharType="begin"/>
      </w:r>
      <w:r>
        <w:instrText xml:space="preserve"> PAGEREF AUTO_1997_9 \h </w:instrText>
      </w:r>
      <w:r>
        <w:fldChar w:fldCharType="separate"/>
      </w:r>
      <w:r w:rsidR="00817D23">
        <w:rPr>
          <w:noProof/>
        </w:rPr>
        <w:t>1166</w:t>
      </w:r>
      <w:r>
        <w:fldChar w:fldCharType="end"/>
      </w:r>
    </w:p>
    <w:p w:rsidR="00660716" w:rsidRDefault="00660716" w:rsidP="00660716"/>
    <w:p w:rsidR="00660716" w:rsidRDefault="00660716" w:rsidP="00660716">
      <w:pPr>
        <w:pStyle w:val="EntradandiceAuto"/>
      </w:pPr>
      <w:r>
        <w:t>Pleno. Auto 10/1997, de 14 de enero de 1997. Acordando la inadmisión a trámite de la cuestión de inconstitucionalidad 3.557/1996</w:t>
      </w:r>
      <w:r>
        <w:tab/>
      </w:r>
      <w:r>
        <w:tab/>
      </w:r>
      <w:r>
        <w:fldChar w:fldCharType="begin"/>
      </w:r>
      <w:r>
        <w:instrText xml:space="preserve"> PAGEREF AUTO_1997_10 \h </w:instrText>
      </w:r>
      <w:r>
        <w:fldChar w:fldCharType="separate"/>
      </w:r>
      <w:r w:rsidR="00817D23">
        <w:rPr>
          <w:noProof/>
        </w:rPr>
        <w:t>1169</w:t>
      </w:r>
      <w:r>
        <w:fldChar w:fldCharType="end"/>
      </w:r>
    </w:p>
    <w:p w:rsidR="00660716" w:rsidRDefault="00660716" w:rsidP="00660716"/>
    <w:p w:rsidR="00660716" w:rsidRDefault="00660716" w:rsidP="00660716">
      <w:pPr>
        <w:pStyle w:val="EntradandiceAuto"/>
      </w:pPr>
      <w:r>
        <w:t>Pleno. Auto 11/1997, de 14 de enero de 1997. Acordando la inadmisión a trámite de la cuestión de inconstitucionalidad 3.558/1996</w:t>
      </w:r>
      <w:r>
        <w:tab/>
      </w:r>
      <w:r>
        <w:tab/>
      </w:r>
      <w:r>
        <w:fldChar w:fldCharType="begin"/>
      </w:r>
      <w:r>
        <w:instrText xml:space="preserve"> PAGEREF AUTO_1997_11 \h </w:instrText>
      </w:r>
      <w:r>
        <w:fldChar w:fldCharType="separate"/>
      </w:r>
      <w:r w:rsidR="00817D23">
        <w:rPr>
          <w:noProof/>
        </w:rPr>
        <w:t>1170</w:t>
      </w:r>
      <w:r>
        <w:fldChar w:fldCharType="end"/>
      </w:r>
    </w:p>
    <w:p w:rsidR="00660716" w:rsidRDefault="00660716" w:rsidP="00660716"/>
    <w:p w:rsidR="00660716" w:rsidRDefault="00660716" w:rsidP="00660716">
      <w:pPr>
        <w:pStyle w:val="EntradandiceAuto"/>
      </w:pPr>
      <w:r>
        <w:t>Pleno. Auto 12/1997, de 14 de enero de 1997. Acordando la inadmisión a trámite de la cuestión de inconstitucionalidad 3.559/1996</w:t>
      </w:r>
      <w:r>
        <w:tab/>
      </w:r>
      <w:r>
        <w:tab/>
      </w:r>
      <w:r>
        <w:fldChar w:fldCharType="begin"/>
      </w:r>
      <w:r>
        <w:instrText xml:space="preserve"> PAGEREF AUTO_1997_12 \h </w:instrText>
      </w:r>
      <w:r>
        <w:fldChar w:fldCharType="separate"/>
      </w:r>
      <w:r w:rsidR="00817D23">
        <w:rPr>
          <w:noProof/>
        </w:rPr>
        <w:t>1171</w:t>
      </w:r>
      <w:r>
        <w:fldChar w:fldCharType="end"/>
      </w:r>
    </w:p>
    <w:p w:rsidR="00660716" w:rsidRDefault="00660716" w:rsidP="00660716"/>
    <w:p w:rsidR="00660716" w:rsidRDefault="00660716" w:rsidP="00660716">
      <w:pPr>
        <w:pStyle w:val="EntradandiceAuto"/>
      </w:pPr>
      <w:r>
        <w:t>Sección Cuarta. Auto 13/1997, de 15 de enero de 1997. Acordando la inadmisión a trámite del recurso de amparo 3.502/1996.</w:t>
      </w:r>
      <w:r>
        <w:tab/>
      </w:r>
      <w:r>
        <w:tab/>
      </w:r>
      <w:r>
        <w:fldChar w:fldCharType="begin"/>
      </w:r>
      <w:r>
        <w:instrText xml:space="preserve"> PAGEREF AUTO_1997_13 \h </w:instrText>
      </w:r>
      <w:r>
        <w:fldChar w:fldCharType="separate"/>
      </w:r>
      <w:r w:rsidR="00817D23">
        <w:rPr>
          <w:noProof/>
        </w:rPr>
        <w:t>1172</w:t>
      </w:r>
      <w:r>
        <w:fldChar w:fldCharType="end"/>
      </w:r>
    </w:p>
    <w:p w:rsidR="00660716" w:rsidRDefault="00660716" w:rsidP="00660716"/>
    <w:p w:rsidR="00660716" w:rsidRDefault="00660716" w:rsidP="00660716">
      <w:pPr>
        <w:pStyle w:val="EntradandiceAuto"/>
      </w:pPr>
      <w:r>
        <w:t>Sección Segunda. Auto 14/1997, de 20 de enero de 1997. Acuerda el desistimiento en el recurso de amparo 4.232/1996, promovido en proceso contencioso-administrativo.</w:t>
      </w:r>
      <w:r>
        <w:tab/>
      </w:r>
      <w:r>
        <w:tab/>
      </w:r>
      <w:r>
        <w:fldChar w:fldCharType="begin"/>
      </w:r>
      <w:r>
        <w:instrText xml:space="preserve"> PAGEREF AUTO_1997_14 \h </w:instrText>
      </w:r>
      <w:r>
        <w:fldChar w:fldCharType="separate"/>
      </w:r>
      <w:r w:rsidR="00817D23">
        <w:rPr>
          <w:noProof/>
        </w:rPr>
        <w:t>1176</w:t>
      </w:r>
      <w:r>
        <w:fldChar w:fldCharType="end"/>
      </w:r>
    </w:p>
    <w:p w:rsidR="00660716" w:rsidRDefault="00660716" w:rsidP="00660716"/>
    <w:p w:rsidR="00660716" w:rsidRDefault="00660716" w:rsidP="00660716">
      <w:pPr>
        <w:pStyle w:val="EntradandiceAuto"/>
      </w:pPr>
      <w:r>
        <w:t>Sección Segunda. Auto 15/1997, de 22 de enero de 1997. Acordando la inadmisión a trámite del recurso de amparo 504/1996.</w:t>
      </w:r>
      <w:r>
        <w:tab/>
      </w:r>
      <w:r>
        <w:tab/>
      </w:r>
      <w:r>
        <w:fldChar w:fldCharType="begin"/>
      </w:r>
      <w:r>
        <w:instrText xml:space="preserve"> PAGEREF AUTO_1997_15 \h </w:instrText>
      </w:r>
      <w:r>
        <w:fldChar w:fldCharType="separate"/>
      </w:r>
      <w:r w:rsidR="00817D23">
        <w:rPr>
          <w:noProof/>
        </w:rPr>
        <w:t>1177</w:t>
      </w:r>
      <w:r>
        <w:fldChar w:fldCharType="end"/>
      </w:r>
    </w:p>
    <w:p w:rsidR="00660716" w:rsidRDefault="00660716" w:rsidP="00660716"/>
    <w:p w:rsidR="00660716" w:rsidRDefault="00660716" w:rsidP="00660716">
      <w:pPr>
        <w:pStyle w:val="EntradandiceAuto"/>
      </w:pPr>
      <w:r>
        <w:t>Sala Primera. Auto 16/1997, de 27 de enero de 1997. Acordando la suspensión parcial de la ejecución del acto que origina el recurso de amparo 2.412/1995.</w:t>
      </w:r>
      <w:r>
        <w:tab/>
      </w:r>
      <w:r>
        <w:tab/>
      </w:r>
      <w:r>
        <w:fldChar w:fldCharType="begin"/>
      </w:r>
      <w:r>
        <w:instrText xml:space="preserve"> PAGEREF AUTO_1997_16 \h </w:instrText>
      </w:r>
      <w:r>
        <w:fldChar w:fldCharType="separate"/>
      </w:r>
      <w:r w:rsidR="00817D23">
        <w:rPr>
          <w:noProof/>
        </w:rPr>
        <w:t>1182</w:t>
      </w:r>
      <w:r>
        <w:fldChar w:fldCharType="end"/>
      </w:r>
    </w:p>
    <w:p w:rsidR="00660716" w:rsidRDefault="00660716" w:rsidP="00660716"/>
    <w:p w:rsidR="00660716" w:rsidRDefault="00660716" w:rsidP="00660716">
      <w:pPr>
        <w:pStyle w:val="EntradandiceAuto"/>
      </w:pPr>
      <w:r>
        <w:t>Sala Segunda. Auto 17/1997, de 27 de enero de 1997. Declarando la falta de jurisdicción del Tribunal Constitucional en el procedimiento de jura de cuentas relativa al recurso de amparo 2.702/1995.</w:t>
      </w:r>
      <w:r>
        <w:tab/>
      </w:r>
      <w:r>
        <w:tab/>
      </w:r>
      <w:r>
        <w:fldChar w:fldCharType="begin"/>
      </w:r>
      <w:r>
        <w:instrText xml:space="preserve"> PAGEREF AUTO_1997_17 \h </w:instrText>
      </w:r>
      <w:r>
        <w:fldChar w:fldCharType="separate"/>
      </w:r>
      <w:r w:rsidR="00817D23">
        <w:rPr>
          <w:noProof/>
        </w:rPr>
        <w:t>1185</w:t>
      </w:r>
      <w:r>
        <w:fldChar w:fldCharType="end"/>
      </w:r>
    </w:p>
    <w:p w:rsidR="00660716" w:rsidRDefault="00660716" w:rsidP="00660716"/>
    <w:p w:rsidR="00660716" w:rsidRDefault="00660716" w:rsidP="00660716">
      <w:pPr>
        <w:pStyle w:val="EntradandiceAuto"/>
      </w:pPr>
      <w:r>
        <w:t>Sala Segunda. Auto 18/1997, de 27 de enero de 1997. Denegando la suspensión de la ejecución del acto que origina el recurso de amparo 27/1996.</w:t>
      </w:r>
      <w:r>
        <w:tab/>
      </w:r>
      <w:r>
        <w:tab/>
      </w:r>
      <w:r>
        <w:fldChar w:fldCharType="begin"/>
      </w:r>
      <w:r>
        <w:instrText xml:space="preserve"> PAGEREF AUTO_1997_18 \h </w:instrText>
      </w:r>
      <w:r>
        <w:fldChar w:fldCharType="separate"/>
      </w:r>
      <w:r w:rsidR="00817D23">
        <w:rPr>
          <w:noProof/>
        </w:rPr>
        <w:t>1188</w:t>
      </w:r>
      <w:r>
        <w:fldChar w:fldCharType="end"/>
      </w:r>
    </w:p>
    <w:p w:rsidR="00660716" w:rsidRDefault="00660716" w:rsidP="00660716"/>
    <w:p w:rsidR="00660716" w:rsidRDefault="00660716" w:rsidP="00660716">
      <w:pPr>
        <w:pStyle w:val="EntradandiceAuto"/>
      </w:pPr>
      <w:r>
        <w:t>Sección Tercera. Auto 19/1997, de 27 de enero de 1997. Acordando la inadmisión a trámite del recurso de amparo 921/1996.</w:t>
      </w:r>
      <w:r>
        <w:tab/>
      </w:r>
      <w:r>
        <w:tab/>
      </w:r>
      <w:r>
        <w:fldChar w:fldCharType="begin"/>
      </w:r>
      <w:r>
        <w:instrText xml:space="preserve"> PAGEREF AUTO_1997_19 \h </w:instrText>
      </w:r>
      <w:r>
        <w:fldChar w:fldCharType="separate"/>
      </w:r>
      <w:r w:rsidR="00817D23">
        <w:rPr>
          <w:noProof/>
        </w:rPr>
        <w:t>1191</w:t>
      </w:r>
      <w:r>
        <w:fldChar w:fldCharType="end"/>
      </w:r>
    </w:p>
    <w:p w:rsidR="00660716" w:rsidRDefault="00660716" w:rsidP="00660716"/>
    <w:p w:rsidR="00660716" w:rsidRDefault="00660716" w:rsidP="00660716">
      <w:pPr>
        <w:pStyle w:val="EntradandiceAuto"/>
      </w:pPr>
      <w:r>
        <w:lastRenderedPageBreak/>
        <w:t>Sala Primera. Auto 20/1997, de 27 de enero de 1997. Denegando la suspensión de la ejecución del acto que origina el recurso de amparo 2.459/1996.</w:t>
      </w:r>
      <w:r>
        <w:tab/>
      </w:r>
      <w:r>
        <w:tab/>
      </w:r>
      <w:r>
        <w:fldChar w:fldCharType="begin"/>
      </w:r>
      <w:r>
        <w:instrText xml:space="preserve"> PAGEREF AUTO_1997_20 \h </w:instrText>
      </w:r>
      <w:r>
        <w:fldChar w:fldCharType="separate"/>
      </w:r>
      <w:r w:rsidR="00817D23">
        <w:rPr>
          <w:noProof/>
        </w:rPr>
        <w:t>1197</w:t>
      </w:r>
      <w:r>
        <w:fldChar w:fldCharType="end"/>
      </w:r>
    </w:p>
    <w:p w:rsidR="00660716" w:rsidRDefault="00660716" w:rsidP="00660716"/>
    <w:p w:rsidR="00660716" w:rsidRDefault="00660716" w:rsidP="00660716">
      <w:pPr>
        <w:pStyle w:val="EntradandiceAuto"/>
      </w:pPr>
      <w:r>
        <w:t>Sala Primera. Auto 21/1997, de 27 de enero de 1997. Acordando haber lugar al desistimiento del actor en el recurso de amparo 2.579/1996.</w:t>
      </w:r>
      <w:r>
        <w:tab/>
      </w:r>
      <w:r>
        <w:tab/>
      </w:r>
      <w:r>
        <w:fldChar w:fldCharType="begin"/>
      </w:r>
      <w:r>
        <w:instrText xml:space="preserve"> PAGEREF AUTO_1997_21 \h </w:instrText>
      </w:r>
      <w:r>
        <w:fldChar w:fldCharType="separate"/>
      </w:r>
      <w:r w:rsidR="00817D23">
        <w:rPr>
          <w:noProof/>
        </w:rPr>
        <w:t>1201</w:t>
      </w:r>
      <w:r>
        <w:fldChar w:fldCharType="end"/>
      </w:r>
    </w:p>
    <w:p w:rsidR="00660716" w:rsidRDefault="00660716" w:rsidP="00660716"/>
    <w:p w:rsidR="00660716" w:rsidRDefault="00660716" w:rsidP="00660716">
      <w:pPr>
        <w:pStyle w:val="EntradandiceAuto"/>
      </w:pPr>
      <w:r>
        <w:t>Sala Segunda. Auto 22/1997, de 27 de enero de 1997. Denegando la suspensión de la ejecución del acto que origina el recurso de amparo 3.430/1996.</w:t>
      </w:r>
      <w:r>
        <w:tab/>
      </w:r>
      <w:r>
        <w:tab/>
      </w:r>
      <w:r>
        <w:fldChar w:fldCharType="begin"/>
      </w:r>
      <w:r>
        <w:instrText xml:space="preserve"> PAGEREF AUTO_1997_22 \h </w:instrText>
      </w:r>
      <w:r>
        <w:fldChar w:fldCharType="separate"/>
      </w:r>
      <w:r w:rsidR="00817D23">
        <w:rPr>
          <w:noProof/>
        </w:rPr>
        <w:t>1204</w:t>
      </w:r>
      <w:r>
        <w:fldChar w:fldCharType="end"/>
      </w:r>
    </w:p>
    <w:p w:rsidR="00660716" w:rsidRDefault="00660716" w:rsidP="00660716"/>
    <w:p w:rsidR="00660716" w:rsidRDefault="00660716" w:rsidP="00660716">
      <w:pPr>
        <w:pStyle w:val="EntradandiceAuto"/>
      </w:pPr>
      <w:r>
        <w:t>Sección Tercera. Auto 23/1997, de 27 de enero de 1997. Acordando la inadmisión a trámite del recurso de amparo 4.485/1996.</w:t>
      </w:r>
      <w:r>
        <w:tab/>
      </w:r>
      <w:r>
        <w:tab/>
      </w:r>
      <w:r>
        <w:fldChar w:fldCharType="begin"/>
      </w:r>
      <w:r>
        <w:instrText xml:space="preserve"> PAGEREF AUTO_1997_23 \h </w:instrText>
      </w:r>
      <w:r>
        <w:fldChar w:fldCharType="separate"/>
      </w:r>
      <w:r w:rsidR="00817D23">
        <w:rPr>
          <w:noProof/>
        </w:rPr>
        <w:t>1208</w:t>
      </w:r>
      <w:r>
        <w:fldChar w:fldCharType="end"/>
      </w:r>
    </w:p>
    <w:p w:rsidR="00660716" w:rsidRDefault="00660716" w:rsidP="00660716"/>
    <w:p w:rsidR="00660716" w:rsidRDefault="00660716" w:rsidP="00660716">
      <w:pPr>
        <w:pStyle w:val="EntradandiceAuto"/>
      </w:pPr>
      <w:r>
        <w:t>Sección Primera. Auto 24/1997, de 28 de enero de 1997. Acordando la inadmisión a trámite del recurso de amparo 1.302/1995.</w:t>
      </w:r>
      <w:r>
        <w:tab/>
      </w:r>
      <w:r>
        <w:tab/>
      </w:r>
      <w:r>
        <w:fldChar w:fldCharType="begin"/>
      </w:r>
      <w:r>
        <w:instrText xml:space="preserve"> PAGEREF AUTO_1997_24 \h </w:instrText>
      </w:r>
      <w:r>
        <w:fldChar w:fldCharType="separate"/>
      </w:r>
      <w:r w:rsidR="00817D23">
        <w:rPr>
          <w:noProof/>
        </w:rPr>
        <w:t>1214</w:t>
      </w:r>
      <w:r>
        <w:fldChar w:fldCharType="end"/>
      </w:r>
    </w:p>
    <w:p w:rsidR="00660716" w:rsidRDefault="00660716" w:rsidP="00660716"/>
    <w:p w:rsidR="00660716" w:rsidRDefault="00660716" w:rsidP="00660716">
      <w:pPr>
        <w:pStyle w:val="EntradandiceAuto"/>
      </w:pPr>
      <w:r>
        <w:t>Pleno. Auto 25/1997, de 28 de enero de 1997. Acordando la inadmisión a trámite de la cuestión de inconstitucionalidad 1.771/1996</w:t>
      </w:r>
      <w:r>
        <w:tab/>
      </w:r>
      <w:r>
        <w:tab/>
      </w:r>
      <w:r>
        <w:fldChar w:fldCharType="begin"/>
      </w:r>
      <w:r>
        <w:instrText xml:space="preserve"> PAGEREF AUTO_1997_25 \h </w:instrText>
      </w:r>
      <w:r>
        <w:fldChar w:fldCharType="separate"/>
      </w:r>
      <w:r w:rsidR="00817D23">
        <w:rPr>
          <w:noProof/>
        </w:rPr>
        <w:t>1218</w:t>
      </w:r>
      <w:r>
        <w:fldChar w:fldCharType="end"/>
      </w:r>
    </w:p>
    <w:p w:rsidR="00660716" w:rsidRDefault="00660716" w:rsidP="00660716"/>
    <w:p w:rsidR="00660716" w:rsidRDefault="00660716" w:rsidP="00660716">
      <w:pPr>
        <w:pStyle w:val="EntradandiceAuto"/>
      </w:pPr>
      <w:r>
        <w:t>Pleno. Auto 26/1997, de 28 de enero de 1997. Acordando la inadmisión a trámite de la cuestión de inconstitucionalidad 3.560/1996</w:t>
      </w:r>
      <w:r>
        <w:tab/>
      </w:r>
      <w:r>
        <w:tab/>
      </w:r>
      <w:r>
        <w:fldChar w:fldCharType="begin"/>
      </w:r>
      <w:r>
        <w:instrText xml:space="preserve"> PAGEREF AUTO_1997_26 \h </w:instrText>
      </w:r>
      <w:r>
        <w:fldChar w:fldCharType="separate"/>
      </w:r>
      <w:r w:rsidR="00817D23">
        <w:rPr>
          <w:noProof/>
        </w:rPr>
        <w:t>1222</w:t>
      </w:r>
      <w:r>
        <w:fldChar w:fldCharType="end"/>
      </w:r>
    </w:p>
    <w:p w:rsidR="00660716" w:rsidRDefault="00660716" w:rsidP="00660716"/>
    <w:p w:rsidR="00660716" w:rsidRDefault="00660716" w:rsidP="00660716">
      <w:pPr>
        <w:pStyle w:val="EntradandiceAuto"/>
      </w:pPr>
      <w:r>
        <w:t>Pleno. Auto 27/1997, de 28 de enero de 1997. Acordando la inadmisión a trámite de la cuestión de inconstitucionalidad 3.561/1996</w:t>
      </w:r>
      <w:r>
        <w:tab/>
      </w:r>
      <w:r>
        <w:tab/>
      </w:r>
      <w:r>
        <w:fldChar w:fldCharType="begin"/>
      </w:r>
      <w:r>
        <w:instrText xml:space="preserve"> PAGEREF AUTO_1997_27 \h </w:instrText>
      </w:r>
      <w:r>
        <w:fldChar w:fldCharType="separate"/>
      </w:r>
      <w:r w:rsidR="00817D23">
        <w:rPr>
          <w:noProof/>
        </w:rPr>
        <w:t>1223</w:t>
      </w:r>
      <w:r>
        <w:fldChar w:fldCharType="end"/>
      </w:r>
    </w:p>
    <w:p w:rsidR="00660716" w:rsidRDefault="00660716" w:rsidP="00660716"/>
    <w:p w:rsidR="00660716" w:rsidRDefault="00660716" w:rsidP="00660716">
      <w:pPr>
        <w:pStyle w:val="EntradandiceAuto"/>
      </w:pPr>
      <w:r>
        <w:t>Pleno. Auto 28/1997, de 28 de enero de 1997. Acordando la inadmisión a trámite de la cuestión de inconstitucionalidad 3.562/1996</w:t>
      </w:r>
      <w:r>
        <w:tab/>
      </w:r>
      <w:r>
        <w:tab/>
      </w:r>
      <w:r>
        <w:fldChar w:fldCharType="begin"/>
      </w:r>
      <w:r>
        <w:instrText xml:space="preserve"> PAGEREF AUTO_1997_28 \h </w:instrText>
      </w:r>
      <w:r>
        <w:fldChar w:fldCharType="separate"/>
      </w:r>
      <w:r w:rsidR="00817D23">
        <w:rPr>
          <w:noProof/>
        </w:rPr>
        <w:t>1224</w:t>
      </w:r>
      <w:r>
        <w:fldChar w:fldCharType="end"/>
      </w:r>
    </w:p>
    <w:p w:rsidR="00660716" w:rsidRDefault="00660716" w:rsidP="00660716"/>
    <w:p w:rsidR="00660716" w:rsidRDefault="00660716" w:rsidP="00660716">
      <w:pPr>
        <w:pStyle w:val="EntradandiceAuto"/>
      </w:pPr>
      <w:r>
        <w:t>Pleno. Auto 29/1997, de 28 de enero de 1997. Acordando la inadmisión a trámite de la cuestión de inconstitucionalidad 3.564/1996</w:t>
      </w:r>
      <w:r>
        <w:tab/>
      </w:r>
      <w:r>
        <w:tab/>
      </w:r>
      <w:r>
        <w:fldChar w:fldCharType="begin"/>
      </w:r>
      <w:r>
        <w:instrText xml:space="preserve"> PAGEREF AUTO_1997_29 \h </w:instrText>
      </w:r>
      <w:r>
        <w:fldChar w:fldCharType="separate"/>
      </w:r>
      <w:r w:rsidR="00817D23">
        <w:rPr>
          <w:noProof/>
        </w:rPr>
        <w:t>1225</w:t>
      </w:r>
      <w:r>
        <w:fldChar w:fldCharType="end"/>
      </w:r>
    </w:p>
    <w:p w:rsidR="00660716" w:rsidRDefault="00660716" w:rsidP="00660716"/>
    <w:p w:rsidR="00660716" w:rsidRDefault="00660716" w:rsidP="00660716">
      <w:pPr>
        <w:pStyle w:val="EntradandiceAuto"/>
      </w:pPr>
      <w:r>
        <w:t>Sección Segunda. Auto 30/1997, de 29 de enero de 1997. Acordando la inadmisión a trámite del recurso de amparo 3.466/1995.</w:t>
      </w:r>
      <w:r>
        <w:tab/>
      </w:r>
      <w:r>
        <w:tab/>
      </w:r>
      <w:r>
        <w:fldChar w:fldCharType="begin"/>
      </w:r>
      <w:r>
        <w:instrText xml:space="preserve"> PAGEREF AUTO_1997_30 \h </w:instrText>
      </w:r>
      <w:r>
        <w:fldChar w:fldCharType="separate"/>
      </w:r>
      <w:r w:rsidR="00817D23">
        <w:rPr>
          <w:noProof/>
        </w:rPr>
        <w:t>1226</w:t>
      </w:r>
      <w:r>
        <w:fldChar w:fldCharType="end"/>
      </w:r>
    </w:p>
    <w:p w:rsidR="00660716" w:rsidRDefault="00660716" w:rsidP="00660716"/>
    <w:p w:rsidR="00660716" w:rsidRDefault="00660716" w:rsidP="00660716">
      <w:pPr>
        <w:pStyle w:val="EntradandiceAuto"/>
      </w:pPr>
      <w:r>
        <w:t>Sección Segunda. Auto 31/1997, de 29 de enero de 1997. Acordando haber lugar al desistimiento del actor en el recurso de amparo 3.816/1996.</w:t>
      </w:r>
      <w:r>
        <w:tab/>
      </w:r>
      <w:r>
        <w:tab/>
      </w:r>
      <w:r>
        <w:fldChar w:fldCharType="begin"/>
      </w:r>
      <w:r>
        <w:instrText xml:space="preserve"> PAGEREF AUTO_1997_31 \h </w:instrText>
      </w:r>
      <w:r>
        <w:fldChar w:fldCharType="separate"/>
      </w:r>
      <w:r w:rsidR="00817D23">
        <w:rPr>
          <w:noProof/>
        </w:rPr>
        <w:t>1234</w:t>
      </w:r>
      <w:r>
        <w:fldChar w:fldCharType="end"/>
      </w:r>
    </w:p>
    <w:p w:rsidR="00660716" w:rsidRDefault="00660716" w:rsidP="00660716"/>
    <w:p w:rsidR="00660716" w:rsidRDefault="00660716" w:rsidP="00660716">
      <w:pPr>
        <w:pStyle w:val="EntradandiceAuto"/>
      </w:pPr>
      <w:r>
        <w:t>Sección Primera. Auto 32/1997, de 10 de febrero de 1997. Acordando la inadmisión a trámite del recurso de amparo 2.365/1995.</w:t>
      </w:r>
      <w:r>
        <w:tab/>
      </w:r>
      <w:r>
        <w:tab/>
      </w:r>
      <w:r>
        <w:fldChar w:fldCharType="begin"/>
      </w:r>
      <w:r>
        <w:instrText xml:space="preserve"> PAGEREF AUTO_1997_32 \h </w:instrText>
      </w:r>
      <w:r>
        <w:fldChar w:fldCharType="separate"/>
      </w:r>
      <w:r w:rsidR="00817D23">
        <w:rPr>
          <w:noProof/>
        </w:rPr>
        <w:t>1235</w:t>
      </w:r>
      <w:r>
        <w:fldChar w:fldCharType="end"/>
      </w:r>
    </w:p>
    <w:p w:rsidR="00660716" w:rsidRDefault="00660716" w:rsidP="00660716"/>
    <w:p w:rsidR="00660716" w:rsidRDefault="00660716" w:rsidP="00660716">
      <w:pPr>
        <w:pStyle w:val="EntradandiceAuto"/>
      </w:pPr>
      <w:r>
        <w:t>Sección Primera. Auto 33/1997, de 10 de febrero de 1997. Acordando la inadmisión a trámite del recurso de amparo 3.183/1995.</w:t>
      </w:r>
      <w:r>
        <w:tab/>
      </w:r>
      <w:r>
        <w:tab/>
      </w:r>
      <w:r>
        <w:fldChar w:fldCharType="begin"/>
      </w:r>
      <w:r>
        <w:instrText xml:space="preserve"> PAGEREF AUTO_1997_33 \h </w:instrText>
      </w:r>
      <w:r>
        <w:fldChar w:fldCharType="separate"/>
      </w:r>
      <w:r w:rsidR="00817D23">
        <w:rPr>
          <w:noProof/>
        </w:rPr>
        <w:t>1241</w:t>
      </w:r>
      <w:r>
        <w:fldChar w:fldCharType="end"/>
      </w:r>
    </w:p>
    <w:p w:rsidR="00660716" w:rsidRDefault="00660716" w:rsidP="00660716"/>
    <w:p w:rsidR="00660716" w:rsidRDefault="00660716" w:rsidP="00660716">
      <w:pPr>
        <w:pStyle w:val="EntradandiceAuto"/>
      </w:pPr>
      <w:r>
        <w:t>Sala Segunda. Auto 34/1997, de 10 de febrero de 1997. Acordando la suspensión de la ejecución del acto que origina el recurso de amparo 3.413/1995.</w:t>
      </w:r>
      <w:r>
        <w:tab/>
      </w:r>
      <w:r>
        <w:tab/>
      </w:r>
      <w:r>
        <w:fldChar w:fldCharType="begin"/>
      </w:r>
      <w:r>
        <w:instrText xml:space="preserve"> PAGEREF AUTO_1997_34 \h </w:instrText>
      </w:r>
      <w:r>
        <w:fldChar w:fldCharType="separate"/>
      </w:r>
      <w:r w:rsidR="00817D23">
        <w:rPr>
          <w:noProof/>
        </w:rPr>
        <w:t>1245</w:t>
      </w:r>
      <w:r>
        <w:fldChar w:fldCharType="end"/>
      </w:r>
    </w:p>
    <w:p w:rsidR="00660716" w:rsidRDefault="00660716" w:rsidP="00660716"/>
    <w:p w:rsidR="00660716" w:rsidRDefault="00660716" w:rsidP="00660716">
      <w:pPr>
        <w:pStyle w:val="EntradandiceAuto"/>
      </w:pPr>
      <w:r>
        <w:t>Sala Primera. Auto 35/1997, de 10 de febrero de 1997. Acordando la acumulación de los recursos de amparo 397/1996 y 784/1996.</w:t>
      </w:r>
      <w:r>
        <w:tab/>
      </w:r>
      <w:r>
        <w:tab/>
      </w:r>
      <w:r>
        <w:fldChar w:fldCharType="begin"/>
      </w:r>
      <w:r>
        <w:instrText xml:space="preserve"> PAGEREF AUTO_1997_35 \h </w:instrText>
      </w:r>
      <w:r>
        <w:fldChar w:fldCharType="separate"/>
      </w:r>
      <w:r w:rsidR="00817D23">
        <w:rPr>
          <w:noProof/>
        </w:rPr>
        <w:t>1250</w:t>
      </w:r>
      <w:r>
        <w:fldChar w:fldCharType="end"/>
      </w:r>
    </w:p>
    <w:p w:rsidR="00660716" w:rsidRDefault="00660716" w:rsidP="00660716"/>
    <w:p w:rsidR="00660716" w:rsidRDefault="00660716" w:rsidP="00660716">
      <w:pPr>
        <w:pStyle w:val="EntradandiceAuto"/>
      </w:pPr>
      <w:r>
        <w:t>Sala Segunda. Auto 36/1997, de 10 de febrero de 1997. Denegando la suspensión de la ejecución del acto que origina el recurso de amparo 655/1996.</w:t>
      </w:r>
      <w:r>
        <w:tab/>
      </w:r>
      <w:r>
        <w:tab/>
      </w:r>
      <w:r>
        <w:fldChar w:fldCharType="begin"/>
      </w:r>
      <w:r>
        <w:instrText xml:space="preserve"> PAGEREF AUTO_1997_36 \h </w:instrText>
      </w:r>
      <w:r>
        <w:fldChar w:fldCharType="separate"/>
      </w:r>
      <w:r w:rsidR="00817D23">
        <w:rPr>
          <w:noProof/>
        </w:rPr>
        <w:t>1251</w:t>
      </w:r>
      <w:r>
        <w:fldChar w:fldCharType="end"/>
      </w:r>
    </w:p>
    <w:p w:rsidR="00660716" w:rsidRDefault="00660716" w:rsidP="00660716"/>
    <w:p w:rsidR="00660716" w:rsidRDefault="00660716" w:rsidP="00660716">
      <w:pPr>
        <w:pStyle w:val="EntradandiceAuto"/>
      </w:pPr>
      <w:r>
        <w:t>Sala Segunda. Auto 37/1997, de 10 de febrero de 1997. Acordando la acumulación de los recursos de amparo 735/1996 y 1.195/1996.</w:t>
      </w:r>
      <w:r>
        <w:tab/>
      </w:r>
      <w:r>
        <w:tab/>
      </w:r>
      <w:r>
        <w:fldChar w:fldCharType="begin"/>
      </w:r>
      <w:r>
        <w:instrText xml:space="preserve"> PAGEREF AUTO_1997_37 \h </w:instrText>
      </w:r>
      <w:r>
        <w:fldChar w:fldCharType="separate"/>
      </w:r>
      <w:r w:rsidR="00817D23">
        <w:rPr>
          <w:noProof/>
        </w:rPr>
        <w:t>1254</w:t>
      </w:r>
      <w:r>
        <w:fldChar w:fldCharType="end"/>
      </w:r>
    </w:p>
    <w:p w:rsidR="00660716" w:rsidRDefault="00660716" w:rsidP="00660716"/>
    <w:p w:rsidR="00660716" w:rsidRDefault="00660716" w:rsidP="00660716">
      <w:pPr>
        <w:pStyle w:val="EntradandiceAuto"/>
      </w:pPr>
      <w:r>
        <w:t>Sala Segunda. Auto 38/1997, de 10 de febrero de 1997. Acordando la suspensión condicionada de la ejecución del acto que origina el recurso de amparo 1.061/1996.</w:t>
      </w:r>
      <w:r>
        <w:tab/>
      </w:r>
      <w:r>
        <w:tab/>
      </w:r>
      <w:r>
        <w:fldChar w:fldCharType="begin"/>
      </w:r>
      <w:r>
        <w:instrText xml:space="preserve"> PAGEREF AUTO_1997_38 \h </w:instrText>
      </w:r>
      <w:r>
        <w:fldChar w:fldCharType="separate"/>
      </w:r>
      <w:r w:rsidR="00817D23">
        <w:rPr>
          <w:noProof/>
        </w:rPr>
        <w:t>1255</w:t>
      </w:r>
      <w:r>
        <w:fldChar w:fldCharType="end"/>
      </w:r>
    </w:p>
    <w:p w:rsidR="00660716" w:rsidRDefault="00660716" w:rsidP="00660716"/>
    <w:p w:rsidR="00660716" w:rsidRDefault="00660716" w:rsidP="00660716">
      <w:pPr>
        <w:pStyle w:val="EntradandiceAuto"/>
      </w:pPr>
      <w:r>
        <w:t>Sala Primera. Auto 39/1997, de 10 de febrero de 1997. Acordando la suspensión parcial de la ejecución del acto que origina el recurso de amparo 2.656/1996.</w:t>
      </w:r>
      <w:r>
        <w:tab/>
      </w:r>
      <w:r>
        <w:tab/>
      </w:r>
      <w:r>
        <w:fldChar w:fldCharType="begin"/>
      </w:r>
      <w:r>
        <w:instrText xml:space="preserve"> PAGEREF AUTO_1997_39 \h </w:instrText>
      </w:r>
      <w:r>
        <w:fldChar w:fldCharType="separate"/>
      </w:r>
      <w:r w:rsidR="00817D23">
        <w:rPr>
          <w:noProof/>
        </w:rPr>
        <w:t>1258</w:t>
      </w:r>
      <w:r>
        <w:fldChar w:fldCharType="end"/>
      </w:r>
    </w:p>
    <w:p w:rsidR="00660716" w:rsidRDefault="00660716" w:rsidP="00660716"/>
    <w:p w:rsidR="00660716" w:rsidRDefault="00660716" w:rsidP="00660716">
      <w:pPr>
        <w:pStyle w:val="EntradandiceAuto"/>
      </w:pPr>
      <w:r>
        <w:t>Sala Segunda. Auto 40/1997, de 10 de febrero de 1997. Denegando la suspensión de la ejecución del acto que origina el recurso de amparo 2.808/1996.</w:t>
      </w:r>
      <w:r>
        <w:tab/>
      </w:r>
      <w:r>
        <w:tab/>
      </w:r>
      <w:r>
        <w:fldChar w:fldCharType="begin"/>
      </w:r>
      <w:r>
        <w:instrText xml:space="preserve"> PAGEREF AUTO_1997_40 \h </w:instrText>
      </w:r>
      <w:r>
        <w:fldChar w:fldCharType="separate"/>
      </w:r>
      <w:r w:rsidR="00817D23">
        <w:rPr>
          <w:noProof/>
        </w:rPr>
        <w:t>1263</w:t>
      </w:r>
      <w:r>
        <w:fldChar w:fldCharType="end"/>
      </w:r>
    </w:p>
    <w:p w:rsidR="00660716" w:rsidRDefault="00660716" w:rsidP="00660716"/>
    <w:p w:rsidR="00660716" w:rsidRDefault="00660716" w:rsidP="00660716">
      <w:pPr>
        <w:pStyle w:val="EntradandiceAuto"/>
      </w:pPr>
      <w:r>
        <w:t>Sala Primera. Auto 41/1997, de 10 de febrero de 1997. Denegando la suspensión de la ejecución del acto que origina el recurso de amparo 2.876/1996.</w:t>
      </w:r>
      <w:r>
        <w:tab/>
      </w:r>
      <w:r>
        <w:tab/>
      </w:r>
      <w:r>
        <w:fldChar w:fldCharType="begin"/>
      </w:r>
      <w:r>
        <w:instrText xml:space="preserve"> PAGEREF AUTO_1997_41 \h </w:instrText>
      </w:r>
      <w:r>
        <w:fldChar w:fldCharType="separate"/>
      </w:r>
      <w:r w:rsidR="00817D23">
        <w:rPr>
          <w:noProof/>
        </w:rPr>
        <w:t>1266</w:t>
      </w:r>
      <w:r>
        <w:fldChar w:fldCharType="end"/>
      </w:r>
    </w:p>
    <w:p w:rsidR="00660716" w:rsidRDefault="00660716" w:rsidP="00660716"/>
    <w:p w:rsidR="00660716" w:rsidRDefault="00660716" w:rsidP="00660716">
      <w:pPr>
        <w:pStyle w:val="EntradandiceAuto"/>
      </w:pPr>
      <w:r>
        <w:t>Sección Primera. Auto 42/1997, de 10 de febrero de 1997. Acordando la inadmisión a trámite del recurso de amparo 3.392/1996.</w:t>
      </w:r>
      <w:r>
        <w:tab/>
      </w:r>
      <w:r>
        <w:tab/>
      </w:r>
      <w:r>
        <w:fldChar w:fldCharType="begin"/>
      </w:r>
      <w:r>
        <w:instrText xml:space="preserve"> PAGEREF AUTO_1997_42 \h </w:instrText>
      </w:r>
      <w:r>
        <w:fldChar w:fldCharType="separate"/>
      </w:r>
      <w:r w:rsidR="00817D23">
        <w:rPr>
          <w:noProof/>
        </w:rPr>
        <w:t>1270</w:t>
      </w:r>
      <w:r>
        <w:fldChar w:fldCharType="end"/>
      </w:r>
    </w:p>
    <w:p w:rsidR="00660716" w:rsidRDefault="00660716" w:rsidP="00660716"/>
    <w:p w:rsidR="00660716" w:rsidRDefault="00660716" w:rsidP="00660716">
      <w:pPr>
        <w:pStyle w:val="EntradandiceAuto"/>
      </w:pPr>
      <w:r>
        <w:t>Sección Segunda. Auto 43/1997, de 10 de febrero de 1997. Acuerda el desistimiento en el recurso de amparo 3.605/1996, promovido en causa penal.</w:t>
      </w:r>
      <w:r>
        <w:tab/>
      </w:r>
      <w:r>
        <w:tab/>
      </w:r>
      <w:r>
        <w:fldChar w:fldCharType="begin"/>
      </w:r>
      <w:r>
        <w:instrText xml:space="preserve"> PAGEREF AUTO_1997_43 \h </w:instrText>
      </w:r>
      <w:r>
        <w:fldChar w:fldCharType="separate"/>
      </w:r>
      <w:r w:rsidR="00817D23">
        <w:rPr>
          <w:noProof/>
        </w:rPr>
        <w:t>1275</w:t>
      </w:r>
      <w:r>
        <w:fldChar w:fldCharType="end"/>
      </w:r>
    </w:p>
    <w:p w:rsidR="00660716" w:rsidRDefault="00660716" w:rsidP="00660716"/>
    <w:p w:rsidR="00660716" w:rsidRDefault="00660716" w:rsidP="00660716">
      <w:pPr>
        <w:pStyle w:val="EntradandiceAuto"/>
      </w:pPr>
      <w:r>
        <w:t>Sección Primera. Auto 44/1997, de 10 de febrero de 1997. Estimando recurso de súplica contra providencia de 13 de enero de 1997, dictada en el recurso de amparo 3.692/1996.</w:t>
      </w:r>
      <w:r>
        <w:tab/>
      </w:r>
      <w:r>
        <w:tab/>
      </w:r>
      <w:r>
        <w:fldChar w:fldCharType="begin"/>
      </w:r>
      <w:r>
        <w:instrText xml:space="preserve"> PAGEREF AUTO_1997_44 \h </w:instrText>
      </w:r>
      <w:r>
        <w:fldChar w:fldCharType="separate"/>
      </w:r>
      <w:r w:rsidR="00817D23">
        <w:rPr>
          <w:noProof/>
        </w:rPr>
        <w:t>1276</w:t>
      </w:r>
      <w:r>
        <w:fldChar w:fldCharType="end"/>
      </w:r>
    </w:p>
    <w:p w:rsidR="00660716" w:rsidRDefault="00660716" w:rsidP="00660716"/>
    <w:p w:rsidR="00660716" w:rsidRDefault="00660716" w:rsidP="00660716">
      <w:pPr>
        <w:pStyle w:val="EntradandiceAuto"/>
      </w:pPr>
      <w:r>
        <w:t>Pleno. Auto 45/1997, de 12 de febrero de 1997. Declarando la falta de jurisdicción del Tribunal Constitucional en el procedimiento de jura de cuentas relativa el recurso de amparo 885/1991. Voto particular.</w:t>
      </w:r>
      <w:r>
        <w:tab/>
      </w:r>
      <w:r>
        <w:tab/>
      </w:r>
      <w:r>
        <w:fldChar w:fldCharType="begin"/>
      </w:r>
      <w:r>
        <w:instrText xml:space="preserve"> PAGEREF AUTO_1997_45 \h </w:instrText>
      </w:r>
      <w:r>
        <w:fldChar w:fldCharType="separate"/>
      </w:r>
      <w:r w:rsidR="00817D23">
        <w:rPr>
          <w:noProof/>
        </w:rPr>
        <w:t>1277</w:t>
      </w:r>
      <w:r>
        <w:fldChar w:fldCharType="end"/>
      </w:r>
    </w:p>
    <w:p w:rsidR="00660716" w:rsidRDefault="00660716" w:rsidP="00660716"/>
    <w:p w:rsidR="00660716" w:rsidRDefault="00660716" w:rsidP="00660716">
      <w:pPr>
        <w:pStyle w:val="EntradandiceAuto"/>
      </w:pPr>
      <w:r>
        <w:t>Sección Primera. Auto 46/1997, de 21 de febrero de 1997. Aclarando ATC 44/1997 recaído en el en el recurso de amparo 3.692/1996.</w:t>
      </w:r>
      <w:r>
        <w:tab/>
      </w:r>
      <w:r>
        <w:tab/>
      </w:r>
      <w:r>
        <w:fldChar w:fldCharType="begin"/>
      </w:r>
      <w:r>
        <w:instrText xml:space="preserve"> PAGEREF AUTO_1997_46 \h </w:instrText>
      </w:r>
      <w:r>
        <w:fldChar w:fldCharType="separate"/>
      </w:r>
      <w:r w:rsidR="00817D23">
        <w:rPr>
          <w:noProof/>
        </w:rPr>
        <w:t>1282</w:t>
      </w:r>
      <w:r>
        <w:fldChar w:fldCharType="end"/>
      </w:r>
    </w:p>
    <w:p w:rsidR="00660716" w:rsidRDefault="00660716" w:rsidP="00660716"/>
    <w:p w:rsidR="00660716" w:rsidRDefault="00660716" w:rsidP="00660716">
      <w:pPr>
        <w:pStyle w:val="EntradandiceAuto"/>
      </w:pPr>
      <w:r>
        <w:t>Sala Segunda. Auto 47/1997, de 24 de febrero de 1997. Acordando la suspensión de la ejecución del acto que origina el recurso de amparo 2.462/1995.</w:t>
      </w:r>
      <w:r>
        <w:tab/>
      </w:r>
      <w:r>
        <w:tab/>
      </w:r>
      <w:r>
        <w:fldChar w:fldCharType="begin"/>
      </w:r>
      <w:r>
        <w:instrText xml:space="preserve"> PAGEREF AUTO_1997_47 \h </w:instrText>
      </w:r>
      <w:r>
        <w:fldChar w:fldCharType="separate"/>
      </w:r>
      <w:r w:rsidR="00817D23">
        <w:rPr>
          <w:noProof/>
        </w:rPr>
        <w:t>1283</w:t>
      </w:r>
      <w:r>
        <w:fldChar w:fldCharType="end"/>
      </w:r>
    </w:p>
    <w:p w:rsidR="00660716" w:rsidRDefault="00660716" w:rsidP="00660716"/>
    <w:p w:rsidR="00660716" w:rsidRDefault="00660716" w:rsidP="00660716">
      <w:pPr>
        <w:pStyle w:val="EntradandiceAuto"/>
      </w:pPr>
      <w:r>
        <w:t>Sección Primera. Auto 48/1997, de 24 de febrero de 1997. Acuerda el desistimiento en el recurso de amparo 2.013/1996, promovido en proceso contencioso-administrativo..</w:t>
      </w:r>
      <w:r>
        <w:tab/>
      </w:r>
      <w:r>
        <w:tab/>
      </w:r>
      <w:r>
        <w:fldChar w:fldCharType="begin"/>
      </w:r>
      <w:r>
        <w:instrText xml:space="preserve"> PAGEREF AUTO_1997_48 \h </w:instrText>
      </w:r>
      <w:r>
        <w:fldChar w:fldCharType="separate"/>
      </w:r>
      <w:r w:rsidR="00817D23">
        <w:rPr>
          <w:noProof/>
        </w:rPr>
        <w:t>1286</w:t>
      </w:r>
      <w:r>
        <w:fldChar w:fldCharType="end"/>
      </w:r>
    </w:p>
    <w:p w:rsidR="00660716" w:rsidRDefault="00660716" w:rsidP="00660716"/>
    <w:p w:rsidR="00660716" w:rsidRDefault="00660716" w:rsidP="00660716">
      <w:pPr>
        <w:pStyle w:val="EntradandiceAuto"/>
      </w:pPr>
      <w:r>
        <w:t>Sala Segunda. Auto 49/1997, de 24 de febrero de 1997. Denegando la suspensión de la ejecución del acto que origina el recurso de amparo 2.026/1996.</w:t>
      </w:r>
      <w:r>
        <w:tab/>
      </w:r>
      <w:r>
        <w:tab/>
      </w:r>
      <w:r>
        <w:fldChar w:fldCharType="begin"/>
      </w:r>
      <w:r>
        <w:instrText xml:space="preserve"> PAGEREF AUTO_1997_49 \h </w:instrText>
      </w:r>
      <w:r>
        <w:fldChar w:fldCharType="separate"/>
      </w:r>
      <w:r w:rsidR="00817D23">
        <w:rPr>
          <w:noProof/>
        </w:rPr>
        <w:t>1287</w:t>
      </w:r>
      <w:r>
        <w:fldChar w:fldCharType="end"/>
      </w:r>
    </w:p>
    <w:p w:rsidR="00660716" w:rsidRDefault="00660716" w:rsidP="00660716"/>
    <w:p w:rsidR="00660716" w:rsidRDefault="00660716" w:rsidP="00660716">
      <w:pPr>
        <w:pStyle w:val="EntradandiceAuto"/>
      </w:pPr>
      <w:r>
        <w:t>Sección Primera. Auto 50/1997, de 24 de febrero de 1997. Acuerda el desistimiento en el recurso de amparo 2.060/1996, promovido en causa penal.</w:t>
      </w:r>
      <w:r>
        <w:tab/>
      </w:r>
      <w:r>
        <w:tab/>
      </w:r>
      <w:r>
        <w:fldChar w:fldCharType="begin"/>
      </w:r>
      <w:r>
        <w:instrText xml:space="preserve"> PAGEREF AUTO_1997_50 \h </w:instrText>
      </w:r>
      <w:r>
        <w:fldChar w:fldCharType="separate"/>
      </w:r>
      <w:r w:rsidR="00817D23">
        <w:rPr>
          <w:noProof/>
        </w:rPr>
        <w:t>1290</w:t>
      </w:r>
      <w:r>
        <w:fldChar w:fldCharType="end"/>
      </w:r>
    </w:p>
    <w:p w:rsidR="00660716" w:rsidRDefault="00660716" w:rsidP="00660716"/>
    <w:p w:rsidR="00660716" w:rsidRDefault="00660716" w:rsidP="00660716">
      <w:pPr>
        <w:pStyle w:val="EntradandiceAuto"/>
      </w:pPr>
      <w:r>
        <w:t>Sala Segunda. Auto 51/1997, de 24 de febrero de 1997. Acordando la suspensión parcial de la ejecución del acto que origina el recurso de amparo 2.305/1996.</w:t>
      </w:r>
      <w:r>
        <w:tab/>
      </w:r>
      <w:r>
        <w:tab/>
      </w:r>
      <w:r>
        <w:fldChar w:fldCharType="begin"/>
      </w:r>
      <w:r>
        <w:instrText xml:space="preserve"> PAGEREF AUTO_1997_51 \h </w:instrText>
      </w:r>
      <w:r>
        <w:fldChar w:fldCharType="separate"/>
      </w:r>
      <w:r w:rsidR="00817D23">
        <w:rPr>
          <w:noProof/>
        </w:rPr>
        <w:t>1291</w:t>
      </w:r>
      <w:r>
        <w:fldChar w:fldCharType="end"/>
      </w:r>
    </w:p>
    <w:p w:rsidR="00660716" w:rsidRDefault="00660716" w:rsidP="00660716"/>
    <w:p w:rsidR="00660716" w:rsidRDefault="00660716" w:rsidP="00660716">
      <w:pPr>
        <w:pStyle w:val="EntradandiceAuto"/>
      </w:pPr>
      <w:r>
        <w:t>Sala Segunda. Auto 52/1997, de 24 de febrero de 1997. Acordando la suspensión de la ejecución del acto que origina el recurso de amparo 4.289/1996.</w:t>
      </w:r>
      <w:r>
        <w:tab/>
      </w:r>
      <w:r>
        <w:tab/>
      </w:r>
      <w:r>
        <w:fldChar w:fldCharType="begin"/>
      </w:r>
      <w:r>
        <w:instrText xml:space="preserve"> PAGEREF AUTO_1997_52 \h </w:instrText>
      </w:r>
      <w:r>
        <w:fldChar w:fldCharType="separate"/>
      </w:r>
      <w:r w:rsidR="00817D23">
        <w:rPr>
          <w:noProof/>
        </w:rPr>
        <w:t>1295</w:t>
      </w:r>
      <w:r>
        <w:fldChar w:fldCharType="end"/>
      </w:r>
    </w:p>
    <w:p w:rsidR="00660716" w:rsidRDefault="00660716" w:rsidP="00660716"/>
    <w:p w:rsidR="00660716" w:rsidRDefault="00660716" w:rsidP="00660716">
      <w:pPr>
        <w:pStyle w:val="EntradandiceAuto"/>
      </w:pPr>
      <w:r>
        <w:t>Sección Primera. Auto 53/1997, de 24 de febrero de 1997. Acordando haber lugar al desistimiento del actor en el recurso de amparo 4.396/1996.</w:t>
      </w:r>
      <w:r>
        <w:tab/>
      </w:r>
      <w:r>
        <w:tab/>
      </w:r>
      <w:r>
        <w:fldChar w:fldCharType="begin"/>
      </w:r>
      <w:r>
        <w:instrText xml:space="preserve"> PAGEREF AUTO_1997_53 \h </w:instrText>
      </w:r>
      <w:r>
        <w:fldChar w:fldCharType="separate"/>
      </w:r>
      <w:r w:rsidR="00817D23">
        <w:rPr>
          <w:noProof/>
        </w:rPr>
        <w:t>1298</w:t>
      </w:r>
      <w:r>
        <w:fldChar w:fldCharType="end"/>
      </w:r>
    </w:p>
    <w:p w:rsidR="00660716" w:rsidRDefault="00660716" w:rsidP="00660716"/>
    <w:p w:rsidR="00660716" w:rsidRDefault="00660716" w:rsidP="00660716">
      <w:pPr>
        <w:pStyle w:val="EntradandiceAuto"/>
      </w:pPr>
      <w:r>
        <w:t>Pleno. Auto 54/1997, de 25 de febrero de 1997. Acordando haber lugar al desistimiento del actor en el conflicto positivo de competencia 1.519/1988.</w:t>
      </w:r>
      <w:r>
        <w:tab/>
      </w:r>
      <w:r>
        <w:tab/>
      </w:r>
      <w:r>
        <w:fldChar w:fldCharType="begin"/>
      </w:r>
      <w:r>
        <w:instrText xml:space="preserve"> PAGEREF AUTO_1997_54 \h </w:instrText>
      </w:r>
      <w:r>
        <w:fldChar w:fldCharType="separate"/>
      </w:r>
      <w:r w:rsidR="00817D23">
        <w:rPr>
          <w:noProof/>
        </w:rPr>
        <w:t>1299</w:t>
      </w:r>
      <w:r>
        <w:fldChar w:fldCharType="end"/>
      </w:r>
    </w:p>
    <w:p w:rsidR="00660716" w:rsidRDefault="00660716" w:rsidP="00660716"/>
    <w:p w:rsidR="00660716" w:rsidRDefault="00660716" w:rsidP="00660716">
      <w:pPr>
        <w:pStyle w:val="EntradandiceAuto"/>
      </w:pPr>
      <w:r>
        <w:t>Pleno. Auto 55/1997, de 25 de febrero de 1997. Acordando la inadmisión a trámite de la cuestión de inconstitucionalidad 3.563/1996</w:t>
      </w:r>
      <w:r>
        <w:tab/>
      </w:r>
      <w:r>
        <w:tab/>
      </w:r>
      <w:r>
        <w:fldChar w:fldCharType="begin"/>
      </w:r>
      <w:r>
        <w:instrText xml:space="preserve"> PAGEREF AUTO_1997_55 \h </w:instrText>
      </w:r>
      <w:r>
        <w:fldChar w:fldCharType="separate"/>
      </w:r>
      <w:r w:rsidR="00817D23">
        <w:rPr>
          <w:noProof/>
        </w:rPr>
        <w:t>1302</w:t>
      </w:r>
      <w:r>
        <w:fldChar w:fldCharType="end"/>
      </w:r>
    </w:p>
    <w:p w:rsidR="00660716" w:rsidRDefault="00660716" w:rsidP="00660716"/>
    <w:p w:rsidR="00660716" w:rsidRDefault="00660716" w:rsidP="00660716">
      <w:pPr>
        <w:pStyle w:val="EntradandiceAuto"/>
      </w:pPr>
      <w:r>
        <w:t>Pleno. Auto 56/1997, de 25 de febrero de 1997. Acordando la inadmisión a trámite de la cuestión de inconstitucionalidad 4.200/1996</w:t>
      </w:r>
      <w:r>
        <w:tab/>
      </w:r>
      <w:r>
        <w:tab/>
      </w:r>
      <w:r>
        <w:fldChar w:fldCharType="begin"/>
      </w:r>
      <w:r>
        <w:instrText xml:space="preserve"> PAGEREF AUTO_1997_56 \h </w:instrText>
      </w:r>
      <w:r>
        <w:fldChar w:fldCharType="separate"/>
      </w:r>
      <w:r w:rsidR="00817D23">
        <w:rPr>
          <w:noProof/>
        </w:rPr>
        <w:t>1303</w:t>
      </w:r>
      <w:r>
        <w:fldChar w:fldCharType="end"/>
      </w:r>
    </w:p>
    <w:p w:rsidR="00660716" w:rsidRDefault="00660716" w:rsidP="00660716"/>
    <w:p w:rsidR="00660716" w:rsidRDefault="00660716" w:rsidP="00660716">
      <w:pPr>
        <w:pStyle w:val="EntradandiceAuto"/>
      </w:pPr>
      <w:r>
        <w:t>Pleno. Auto 57/1997, de 25 de febrero de 1997. Acordando la inadmisión a trámite de la cuestión de inconstitucionalidad 4.321/1996</w:t>
      </w:r>
      <w:r>
        <w:tab/>
      </w:r>
      <w:r>
        <w:tab/>
      </w:r>
      <w:r>
        <w:fldChar w:fldCharType="begin"/>
      </w:r>
      <w:r>
        <w:instrText xml:space="preserve"> PAGEREF AUTO_1997_57 \h </w:instrText>
      </w:r>
      <w:r>
        <w:fldChar w:fldCharType="separate"/>
      </w:r>
      <w:r w:rsidR="00817D23">
        <w:rPr>
          <w:noProof/>
        </w:rPr>
        <w:t>1308</w:t>
      </w:r>
      <w:r>
        <w:fldChar w:fldCharType="end"/>
      </w:r>
    </w:p>
    <w:p w:rsidR="00660716" w:rsidRDefault="00660716" w:rsidP="00660716"/>
    <w:p w:rsidR="00660716" w:rsidRDefault="00660716" w:rsidP="00660716">
      <w:pPr>
        <w:pStyle w:val="EntradandiceAuto"/>
      </w:pPr>
      <w:r>
        <w:t>Sala Primera. Auto 58/1997, de 26 de febrero de 1997. Denegando la suspensión de la ejecución del acto que origina el recurso de amparo 1.429/1996.</w:t>
      </w:r>
      <w:r>
        <w:tab/>
      </w:r>
      <w:r>
        <w:tab/>
      </w:r>
      <w:r>
        <w:fldChar w:fldCharType="begin"/>
      </w:r>
      <w:r>
        <w:instrText xml:space="preserve"> PAGEREF AUTO_1997_58 \h </w:instrText>
      </w:r>
      <w:r>
        <w:fldChar w:fldCharType="separate"/>
      </w:r>
      <w:r w:rsidR="00817D23">
        <w:rPr>
          <w:noProof/>
        </w:rPr>
        <w:t>1309</w:t>
      </w:r>
      <w:r>
        <w:fldChar w:fldCharType="end"/>
      </w:r>
    </w:p>
    <w:p w:rsidR="00660716" w:rsidRDefault="00660716" w:rsidP="00660716"/>
    <w:p w:rsidR="00660716" w:rsidRDefault="00660716" w:rsidP="00660716">
      <w:pPr>
        <w:pStyle w:val="EntradandiceAuto"/>
      </w:pPr>
      <w:r>
        <w:t>Sección Cuarta. Auto 59/1997, de 26 de febrero de 1997. Acordando la inadmisión a trámite del recurso de amparo 1.934/1996.</w:t>
      </w:r>
      <w:r>
        <w:tab/>
      </w:r>
      <w:r>
        <w:tab/>
      </w:r>
      <w:r>
        <w:fldChar w:fldCharType="begin"/>
      </w:r>
      <w:r>
        <w:instrText xml:space="preserve"> PAGEREF AUTO_1997_59 \h </w:instrText>
      </w:r>
      <w:r>
        <w:fldChar w:fldCharType="separate"/>
      </w:r>
      <w:r w:rsidR="00817D23">
        <w:rPr>
          <w:noProof/>
        </w:rPr>
        <w:t>1313</w:t>
      </w:r>
      <w:r>
        <w:fldChar w:fldCharType="end"/>
      </w:r>
    </w:p>
    <w:p w:rsidR="00660716" w:rsidRDefault="00660716" w:rsidP="00660716"/>
    <w:p w:rsidR="00660716" w:rsidRDefault="00660716" w:rsidP="00660716">
      <w:pPr>
        <w:pStyle w:val="EntradandiceAuto"/>
      </w:pPr>
      <w:r>
        <w:t>Sección Segunda. Auto 60/1997, de 26 de febrero de 1997. Acordando la inadmisión a trámite del recurso de amparo 2.332/1996.</w:t>
      </w:r>
      <w:r>
        <w:tab/>
      </w:r>
      <w:r>
        <w:tab/>
      </w:r>
      <w:r>
        <w:fldChar w:fldCharType="begin"/>
      </w:r>
      <w:r>
        <w:instrText xml:space="preserve"> PAGEREF AUTO_1997_60 \h </w:instrText>
      </w:r>
      <w:r>
        <w:fldChar w:fldCharType="separate"/>
      </w:r>
      <w:r w:rsidR="00817D23">
        <w:rPr>
          <w:noProof/>
        </w:rPr>
        <w:t>1317</w:t>
      </w:r>
      <w:r>
        <w:fldChar w:fldCharType="end"/>
      </w:r>
    </w:p>
    <w:p w:rsidR="00660716" w:rsidRDefault="00660716" w:rsidP="00660716"/>
    <w:p w:rsidR="00660716" w:rsidRDefault="00660716" w:rsidP="00660716">
      <w:pPr>
        <w:pStyle w:val="EntradandiceAuto"/>
      </w:pPr>
      <w:r>
        <w:t>Sala Primera. Auto 61/1997, de 26 de febrero de 1997. Acordando la suspensión parcial de la ejecución del acto que origina el recurso de amparo 3.775/1996.</w:t>
      </w:r>
      <w:r>
        <w:tab/>
      </w:r>
      <w:r>
        <w:tab/>
      </w:r>
      <w:r>
        <w:fldChar w:fldCharType="begin"/>
      </w:r>
      <w:r>
        <w:instrText xml:space="preserve"> PAGEREF AUTO_1997_61 \h </w:instrText>
      </w:r>
      <w:r>
        <w:fldChar w:fldCharType="separate"/>
      </w:r>
      <w:r w:rsidR="00817D23">
        <w:rPr>
          <w:noProof/>
        </w:rPr>
        <w:t>1321</w:t>
      </w:r>
      <w:r>
        <w:fldChar w:fldCharType="end"/>
      </w:r>
    </w:p>
    <w:p w:rsidR="00660716" w:rsidRDefault="00660716" w:rsidP="00660716"/>
    <w:p w:rsidR="00660716" w:rsidRDefault="00660716" w:rsidP="00660716">
      <w:pPr>
        <w:pStyle w:val="EntradandiceAuto"/>
      </w:pPr>
      <w:r>
        <w:t>Pleno. Auto 62/1997, de 26 de febrero de 1997. Acordando la inadmisión a trámite de la cuestión de inconstitucionalidad 4.747/1996.</w:t>
      </w:r>
      <w:r>
        <w:tab/>
      </w:r>
      <w:r>
        <w:tab/>
      </w:r>
      <w:r>
        <w:fldChar w:fldCharType="begin"/>
      </w:r>
      <w:r>
        <w:instrText xml:space="preserve"> PAGEREF AUTO_1997_62 \h </w:instrText>
      </w:r>
      <w:r>
        <w:fldChar w:fldCharType="separate"/>
      </w:r>
      <w:r w:rsidR="00817D23">
        <w:rPr>
          <w:noProof/>
        </w:rPr>
        <w:t>1324</w:t>
      </w:r>
      <w:r>
        <w:fldChar w:fldCharType="end"/>
      </w:r>
    </w:p>
    <w:p w:rsidR="00660716" w:rsidRDefault="00660716" w:rsidP="00660716"/>
    <w:p w:rsidR="00660716" w:rsidRDefault="00660716" w:rsidP="00660716">
      <w:pPr>
        <w:pStyle w:val="EntradandiceAuto"/>
      </w:pPr>
      <w:r>
        <w:t>Sección Segunda. Auto 63/1997, de 6 de marzo de 1997. Acordando la inadmisión a trámite del recurso de amparo 212/1997. Voto particular.</w:t>
      </w:r>
      <w:r>
        <w:tab/>
      </w:r>
      <w:r>
        <w:tab/>
      </w:r>
      <w:r>
        <w:fldChar w:fldCharType="begin"/>
      </w:r>
      <w:r>
        <w:instrText xml:space="preserve"> PAGEREF AUTO_1997_63 \h </w:instrText>
      </w:r>
      <w:r>
        <w:fldChar w:fldCharType="separate"/>
      </w:r>
      <w:r w:rsidR="00817D23">
        <w:rPr>
          <w:noProof/>
        </w:rPr>
        <w:t>1331</w:t>
      </w:r>
      <w:r>
        <w:fldChar w:fldCharType="end"/>
      </w:r>
    </w:p>
    <w:p w:rsidR="00660716" w:rsidRDefault="00660716" w:rsidP="00660716"/>
    <w:p w:rsidR="00660716" w:rsidRDefault="00660716" w:rsidP="00660716">
      <w:pPr>
        <w:pStyle w:val="EntradandiceAuto"/>
      </w:pPr>
      <w:r>
        <w:t>Sección Segunda. Auto 64/1997, de 7 de marzo de 1997. Acuerda el desistimiento en el recurso de amparo 1.644/1996, promovido en causa penal.</w:t>
      </w:r>
      <w:r>
        <w:tab/>
      </w:r>
      <w:r>
        <w:tab/>
      </w:r>
      <w:r>
        <w:fldChar w:fldCharType="begin"/>
      </w:r>
      <w:r>
        <w:instrText xml:space="preserve"> PAGEREF AUTO_1997_64 \h </w:instrText>
      </w:r>
      <w:r>
        <w:fldChar w:fldCharType="separate"/>
      </w:r>
      <w:r w:rsidR="00817D23">
        <w:rPr>
          <w:noProof/>
        </w:rPr>
        <w:t>1337</w:t>
      </w:r>
      <w:r>
        <w:fldChar w:fldCharType="end"/>
      </w:r>
    </w:p>
    <w:p w:rsidR="00660716" w:rsidRDefault="00660716" w:rsidP="00660716"/>
    <w:p w:rsidR="00660716" w:rsidRDefault="00660716" w:rsidP="00660716">
      <w:pPr>
        <w:pStyle w:val="EntradandiceAuto"/>
      </w:pPr>
      <w:r>
        <w:t>Sala Primera. Auto 65/1997, de 10 de marzo de 1997. Declarando la falta de jurisdicción del Tribunal Constitucional en el procedimiento de jura de cuentas relativo al recurso de amparo 488/1993.</w:t>
      </w:r>
      <w:r>
        <w:tab/>
      </w:r>
      <w:r>
        <w:tab/>
      </w:r>
      <w:r>
        <w:fldChar w:fldCharType="begin"/>
      </w:r>
      <w:r>
        <w:instrText xml:space="preserve"> PAGEREF AUTO_1997_65 \h </w:instrText>
      </w:r>
      <w:r>
        <w:fldChar w:fldCharType="separate"/>
      </w:r>
      <w:r w:rsidR="00817D23">
        <w:rPr>
          <w:noProof/>
        </w:rPr>
        <w:t>1338</w:t>
      </w:r>
      <w:r>
        <w:fldChar w:fldCharType="end"/>
      </w:r>
    </w:p>
    <w:p w:rsidR="00660716" w:rsidRDefault="00660716" w:rsidP="00660716"/>
    <w:p w:rsidR="00660716" w:rsidRDefault="00660716" w:rsidP="00660716">
      <w:pPr>
        <w:pStyle w:val="EntradandiceAuto"/>
      </w:pPr>
      <w:r>
        <w:t>Sala Segunda. Auto 66/1997, de 10 de marzo de 1997. Declarando la falta de jurisdicción del Tribunal Constitucional en el procedimiento de jura de cuentas relativo al recurso de amparo 4.120/1994.</w:t>
      </w:r>
      <w:r>
        <w:tab/>
      </w:r>
      <w:r>
        <w:tab/>
      </w:r>
      <w:r>
        <w:fldChar w:fldCharType="begin"/>
      </w:r>
      <w:r>
        <w:instrText xml:space="preserve"> PAGEREF AUTO_1997_66 \h </w:instrText>
      </w:r>
      <w:r>
        <w:fldChar w:fldCharType="separate"/>
      </w:r>
      <w:r w:rsidR="00817D23">
        <w:rPr>
          <w:noProof/>
        </w:rPr>
        <w:t>1341</w:t>
      </w:r>
      <w:r>
        <w:fldChar w:fldCharType="end"/>
      </w:r>
    </w:p>
    <w:p w:rsidR="00660716" w:rsidRDefault="00660716" w:rsidP="00660716"/>
    <w:p w:rsidR="00660716" w:rsidRDefault="00660716" w:rsidP="00660716">
      <w:pPr>
        <w:pStyle w:val="EntradandiceAuto"/>
      </w:pPr>
      <w:r>
        <w:t>Sala Primera. Auto 67/1997, de 10 de marzo de 1997. Declarando la falta de jurisdicción del Tribunal Constitucional en el procedimiento de jura de cuentas relativo al recurso de amparo 4.193/1994.</w:t>
      </w:r>
      <w:r>
        <w:tab/>
      </w:r>
      <w:r>
        <w:tab/>
      </w:r>
      <w:r>
        <w:fldChar w:fldCharType="begin"/>
      </w:r>
      <w:r>
        <w:instrText xml:space="preserve"> PAGEREF AUTO_1997_67 \h </w:instrText>
      </w:r>
      <w:r>
        <w:fldChar w:fldCharType="separate"/>
      </w:r>
      <w:r w:rsidR="00817D23">
        <w:rPr>
          <w:noProof/>
        </w:rPr>
        <w:t>1343</w:t>
      </w:r>
      <w:r>
        <w:fldChar w:fldCharType="end"/>
      </w:r>
    </w:p>
    <w:p w:rsidR="00660716" w:rsidRDefault="00660716" w:rsidP="00660716"/>
    <w:p w:rsidR="00660716" w:rsidRDefault="00660716" w:rsidP="00660716">
      <w:pPr>
        <w:pStyle w:val="EntradandiceAuto"/>
      </w:pPr>
      <w:r>
        <w:lastRenderedPageBreak/>
        <w:t>Sala Primera. Auto 68/1997, de 10 de marzo de 1997. Declarando la falta de jurisdicción del Tribunal Constitucional en el procedimiento de jura de cuentas relativo al recurso de amparo 565/1995.</w:t>
      </w:r>
      <w:r>
        <w:tab/>
      </w:r>
      <w:r>
        <w:tab/>
      </w:r>
      <w:r>
        <w:fldChar w:fldCharType="begin"/>
      </w:r>
      <w:r>
        <w:instrText xml:space="preserve"> PAGEREF AUTO_1997_68 \h </w:instrText>
      </w:r>
      <w:r>
        <w:fldChar w:fldCharType="separate"/>
      </w:r>
      <w:r w:rsidR="00817D23">
        <w:rPr>
          <w:noProof/>
        </w:rPr>
        <w:t>1344</w:t>
      </w:r>
      <w:r>
        <w:fldChar w:fldCharType="end"/>
      </w:r>
    </w:p>
    <w:p w:rsidR="00660716" w:rsidRDefault="00660716" w:rsidP="00660716"/>
    <w:p w:rsidR="00660716" w:rsidRDefault="00660716" w:rsidP="00660716">
      <w:pPr>
        <w:pStyle w:val="EntradandiceAuto"/>
      </w:pPr>
      <w:r>
        <w:t>Sala Segunda. Auto 69/1997, de 10 de marzo de 1997. Denegando la suspensión de la ejecución del acto que origina el recurso de amparo 1.332/1996.</w:t>
      </w:r>
      <w:r>
        <w:tab/>
      </w:r>
      <w:r>
        <w:tab/>
      </w:r>
      <w:r>
        <w:fldChar w:fldCharType="begin"/>
      </w:r>
      <w:r>
        <w:instrText xml:space="preserve"> PAGEREF AUTO_1997_69 \h </w:instrText>
      </w:r>
      <w:r>
        <w:fldChar w:fldCharType="separate"/>
      </w:r>
      <w:r w:rsidR="00817D23">
        <w:rPr>
          <w:noProof/>
        </w:rPr>
        <w:t>1345</w:t>
      </w:r>
      <w:r>
        <w:fldChar w:fldCharType="end"/>
      </w:r>
    </w:p>
    <w:p w:rsidR="00660716" w:rsidRDefault="00660716" w:rsidP="00660716"/>
    <w:p w:rsidR="00660716" w:rsidRDefault="00660716" w:rsidP="00660716">
      <w:pPr>
        <w:pStyle w:val="EntradandiceAuto"/>
      </w:pPr>
      <w:r>
        <w:t>Sección Tercera. Auto 70/1997, de 10 de marzo de 1997. Acordando la inadmisión a trámite del recurso de amparo 2.174/1996.</w:t>
      </w:r>
      <w:r>
        <w:tab/>
      </w:r>
      <w:r>
        <w:tab/>
      </w:r>
      <w:r>
        <w:fldChar w:fldCharType="begin"/>
      </w:r>
      <w:r>
        <w:instrText xml:space="preserve"> PAGEREF AUTO_1997_70 \h </w:instrText>
      </w:r>
      <w:r>
        <w:fldChar w:fldCharType="separate"/>
      </w:r>
      <w:r w:rsidR="00817D23">
        <w:rPr>
          <w:noProof/>
        </w:rPr>
        <w:t>1349</w:t>
      </w:r>
      <w:r>
        <w:fldChar w:fldCharType="end"/>
      </w:r>
    </w:p>
    <w:p w:rsidR="00660716" w:rsidRDefault="00660716" w:rsidP="00660716"/>
    <w:p w:rsidR="00660716" w:rsidRDefault="00660716" w:rsidP="00660716">
      <w:pPr>
        <w:pStyle w:val="EntradandiceAuto"/>
      </w:pPr>
      <w:r>
        <w:t>Sala Primera. Auto 71/1997, de 10 de marzo de 1997. Denegando la suspensión de la ejecución del acto que origina el recurso de amparo 2.406/1996.</w:t>
      </w:r>
      <w:r>
        <w:tab/>
      </w:r>
      <w:r>
        <w:tab/>
      </w:r>
      <w:r>
        <w:fldChar w:fldCharType="begin"/>
      </w:r>
      <w:r>
        <w:instrText xml:space="preserve"> PAGEREF AUTO_1997_71 \h </w:instrText>
      </w:r>
      <w:r>
        <w:fldChar w:fldCharType="separate"/>
      </w:r>
      <w:r w:rsidR="00817D23">
        <w:rPr>
          <w:noProof/>
        </w:rPr>
        <w:t>1352</w:t>
      </w:r>
      <w:r>
        <w:fldChar w:fldCharType="end"/>
      </w:r>
    </w:p>
    <w:p w:rsidR="00660716" w:rsidRDefault="00660716" w:rsidP="00660716"/>
    <w:p w:rsidR="00660716" w:rsidRDefault="00660716" w:rsidP="00660716">
      <w:pPr>
        <w:pStyle w:val="EntradandiceAuto"/>
      </w:pPr>
      <w:r>
        <w:t>Sala Primera. Auto 72/1997, de 10 de marzo de 1997. Denegando la suspensión de la ejecución del acto que origina el recurso de amparo 3.066/1996.</w:t>
      </w:r>
      <w:r>
        <w:tab/>
      </w:r>
      <w:r>
        <w:tab/>
      </w:r>
      <w:r>
        <w:fldChar w:fldCharType="begin"/>
      </w:r>
      <w:r>
        <w:instrText xml:space="preserve"> PAGEREF AUTO_1997_72 \h </w:instrText>
      </w:r>
      <w:r>
        <w:fldChar w:fldCharType="separate"/>
      </w:r>
      <w:r w:rsidR="00817D23">
        <w:rPr>
          <w:noProof/>
        </w:rPr>
        <w:t>1359</w:t>
      </w:r>
      <w:r>
        <w:fldChar w:fldCharType="end"/>
      </w:r>
    </w:p>
    <w:p w:rsidR="00660716" w:rsidRDefault="00660716" w:rsidP="00660716"/>
    <w:p w:rsidR="00660716" w:rsidRDefault="00660716" w:rsidP="00660716">
      <w:pPr>
        <w:pStyle w:val="EntradandiceAuto"/>
      </w:pPr>
      <w:r>
        <w:t>Sala Primera. Auto 73/1997, de 10 de marzo de 1997. Acuerda el desistimiento en el recurso de amparo 3.548/1996, promovido en causa penal.</w:t>
      </w:r>
      <w:r>
        <w:tab/>
      </w:r>
      <w:r>
        <w:tab/>
      </w:r>
      <w:r>
        <w:fldChar w:fldCharType="begin"/>
      </w:r>
      <w:r>
        <w:instrText xml:space="preserve"> PAGEREF AUTO_1997_73 \h </w:instrText>
      </w:r>
      <w:r>
        <w:fldChar w:fldCharType="separate"/>
      </w:r>
      <w:r w:rsidR="00817D23">
        <w:rPr>
          <w:noProof/>
        </w:rPr>
        <w:t>1364</w:t>
      </w:r>
      <w:r>
        <w:fldChar w:fldCharType="end"/>
      </w:r>
    </w:p>
    <w:p w:rsidR="00660716" w:rsidRDefault="00660716" w:rsidP="00660716"/>
    <w:p w:rsidR="00660716" w:rsidRDefault="00660716" w:rsidP="00660716">
      <w:pPr>
        <w:pStyle w:val="EntradandiceAuto"/>
      </w:pPr>
      <w:r>
        <w:t>Sala Segunda. Auto 74/1997, de 10 de marzo de 1997. Denegando la suspensión de la ejecución del acto que origina el recurso de amparo 3.570/1996.</w:t>
      </w:r>
      <w:r>
        <w:tab/>
      </w:r>
      <w:r>
        <w:tab/>
      </w:r>
      <w:r>
        <w:fldChar w:fldCharType="begin"/>
      </w:r>
      <w:r>
        <w:instrText xml:space="preserve"> PAGEREF AUTO_1997_74 \h </w:instrText>
      </w:r>
      <w:r>
        <w:fldChar w:fldCharType="separate"/>
      </w:r>
      <w:r w:rsidR="00817D23">
        <w:rPr>
          <w:noProof/>
        </w:rPr>
        <w:t>1365</w:t>
      </w:r>
      <w:r>
        <w:fldChar w:fldCharType="end"/>
      </w:r>
    </w:p>
    <w:p w:rsidR="00660716" w:rsidRDefault="00660716" w:rsidP="00660716"/>
    <w:p w:rsidR="00660716" w:rsidRDefault="00660716" w:rsidP="00660716">
      <w:pPr>
        <w:pStyle w:val="EntradandiceAuto"/>
      </w:pPr>
      <w:r>
        <w:t>Sección Primera. Auto 75/1997, de 10 de marzo de 1997. Estimando recurso de súplica contra providencia de 27 de enero de 1997 e inadmitiendo el recurso de amparo 4.077/1996.</w:t>
      </w:r>
      <w:r>
        <w:tab/>
      </w:r>
      <w:r>
        <w:tab/>
      </w:r>
      <w:r>
        <w:fldChar w:fldCharType="begin"/>
      </w:r>
      <w:r>
        <w:instrText xml:space="preserve"> PAGEREF AUTO_1997_75 \h </w:instrText>
      </w:r>
      <w:r>
        <w:fldChar w:fldCharType="separate"/>
      </w:r>
      <w:r w:rsidR="00817D23">
        <w:rPr>
          <w:noProof/>
        </w:rPr>
        <w:t>1368</w:t>
      </w:r>
      <w:r>
        <w:fldChar w:fldCharType="end"/>
      </w:r>
    </w:p>
    <w:p w:rsidR="00660716" w:rsidRDefault="00660716" w:rsidP="00660716"/>
    <w:p w:rsidR="00660716" w:rsidRDefault="00660716" w:rsidP="00660716">
      <w:pPr>
        <w:pStyle w:val="EntradandiceAuto"/>
      </w:pPr>
      <w:r>
        <w:t>Pleno. Auto 76/1997, de 10 de marzo de 1997. Acordando la acumulación de los recursos de inconstitucionalidad 105/1997 y 106/1997 al 104/1997.</w:t>
      </w:r>
      <w:r>
        <w:tab/>
      </w:r>
      <w:r>
        <w:tab/>
      </w:r>
      <w:r>
        <w:fldChar w:fldCharType="begin"/>
      </w:r>
      <w:r>
        <w:instrText xml:space="preserve"> PAGEREF AUTO_1997_76 \h </w:instrText>
      </w:r>
      <w:r>
        <w:fldChar w:fldCharType="separate"/>
      </w:r>
      <w:r w:rsidR="00817D23">
        <w:rPr>
          <w:noProof/>
        </w:rPr>
        <w:t>1369</w:t>
      </w:r>
      <w:r>
        <w:fldChar w:fldCharType="end"/>
      </w:r>
    </w:p>
    <w:p w:rsidR="00660716" w:rsidRDefault="00660716" w:rsidP="00660716"/>
    <w:p w:rsidR="00660716" w:rsidRDefault="00660716" w:rsidP="00660716">
      <w:pPr>
        <w:pStyle w:val="EntradandiceAuto"/>
      </w:pPr>
      <w:r>
        <w:t>Pleno. Auto 77/1997, de 12 de marzo de 1997. Acordando la inadmisión a trámite de la cuestión de incontitucionalidad 4.167/1996.</w:t>
      </w:r>
      <w:r>
        <w:tab/>
      </w:r>
      <w:r>
        <w:tab/>
      </w:r>
      <w:r>
        <w:fldChar w:fldCharType="begin"/>
      </w:r>
      <w:r>
        <w:instrText xml:space="preserve"> PAGEREF AUTO_1997_77 \h </w:instrText>
      </w:r>
      <w:r>
        <w:fldChar w:fldCharType="separate"/>
      </w:r>
      <w:r w:rsidR="00817D23">
        <w:rPr>
          <w:noProof/>
        </w:rPr>
        <w:t>1370</w:t>
      </w:r>
      <w:r>
        <w:fldChar w:fldCharType="end"/>
      </w:r>
    </w:p>
    <w:p w:rsidR="00660716" w:rsidRDefault="00660716" w:rsidP="00660716"/>
    <w:p w:rsidR="00660716" w:rsidRDefault="00660716" w:rsidP="00660716">
      <w:pPr>
        <w:pStyle w:val="EntradandiceAuto"/>
      </w:pPr>
      <w:r>
        <w:t>Pleno. Auto 78/1997, de 13 de marzo de 1997. Levantando la suspensión, previamente acordada, de determinados preceptos de la Ley 3/1996, de la Comunidad Autónoma de Extremadura en el recurso de inconstitucionalidad 3.540/1996</w:t>
      </w:r>
      <w:r>
        <w:tab/>
      </w:r>
      <w:r>
        <w:tab/>
      </w:r>
      <w:r>
        <w:fldChar w:fldCharType="begin"/>
      </w:r>
      <w:r>
        <w:instrText xml:space="preserve"> PAGEREF AUTO_1997_78 \h </w:instrText>
      </w:r>
      <w:r>
        <w:fldChar w:fldCharType="separate"/>
      </w:r>
      <w:r w:rsidR="00817D23">
        <w:rPr>
          <w:noProof/>
        </w:rPr>
        <w:t>1377</w:t>
      </w:r>
      <w:r>
        <w:fldChar w:fldCharType="end"/>
      </w:r>
    </w:p>
    <w:p w:rsidR="00660716" w:rsidRDefault="00660716" w:rsidP="00660716"/>
    <w:p w:rsidR="00660716" w:rsidRDefault="00660716" w:rsidP="00660716">
      <w:pPr>
        <w:pStyle w:val="EntradandiceAuto"/>
      </w:pPr>
      <w:r>
        <w:t>Sección Segunda. Auto 79/1997, de 14 de marzo de 1997. Acordando la inadmisión a trámite del recurso de amparo 782/1995.</w:t>
      </w:r>
      <w:r>
        <w:tab/>
      </w:r>
      <w:r>
        <w:tab/>
      </w:r>
      <w:r>
        <w:fldChar w:fldCharType="begin"/>
      </w:r>
      <w:r>
        <w:instrText xml:space="preserve"> PAGEREF AUTO_1997_79 \h </w:instrText>
      </w:r>
      <w:r>
        <w:fldChar w:fldCharType="separate"/>
      </w:r>
      <w:r w:rsidR="00817D23">
        <w:rPr>
          <w:noProof/>
        </w:rPr>
        <w:t>1383</w:t>
      </w:r>
      <w:r>
        <w:fldChar w:fldCharType="end"/>
      </w:r>
    </w:p>
    <w:p w:rsidR="00660716" w:rsidRDefault="00660716" w:rsidP="00660716"/>
    <w:p w:rsidR="00660716" w:rsidRDefault="00660716" w:rsidP="00660716">
      <w:pPr>
        <w:pStyle w:val="EntradandiceAuto"/>
      </w:pPr>
      <w:r>
        <w:lastRenderedPageBreak/>
        <w:t>Sección Segunda. Auto 80/1997, de 14 de marzo de 1997. Acordando la inadmisión a trámite del recurso de amparo 3.153/1996.</w:t>
      </w:r>
      <w:r>
        <w:tab/>
      </w:r>
      <w:r>
        <w:tab/>
      </w:r>
      <w:r>
        <w:fldChar w:fldCharType="begin"/>
      </w:r>
      <w:r>
        <w:instrText xml:space="preserve"> PAGEREF AUTO_1997_80 \h </w:instrText>
      </w:r>
      <w:r>
        <w:fldChar w:fldCharType="separate"/>
      </w:r>
      <w:r w:rsidR="00817D23">
        <w:rPr>
          <w:noProof/>
        </w:rPr>
        <w:t>1386</w:t>
      </w:r>
      <w:r>
        <w:fldChar w:fldCharType="end"/>
      </w:r>
    </w:p>
    <w:p w:rsidR="00660716" w:rsidRDefault="00660716" w:rsidP="00660716"/>
    <w:p w:rsidR="00660716" w:rsidRDefault="00660716" w:rsidP="00660716">
      <w:pPr>
        <w:pStyle w:val="EntradandiceAuto"/>
      </w:pPr>
      <w:r>
        <w:t>Sala Segunda. Auto 81/1997, de 17 de marzo de 1997. Acordando haber lugar al desistimiento del actor en el recurso de amparo 3.028/1993.</w:t>
      </w:r>
      <w:r>
        <w:tab/>
      </w:r>
      <w:r>
        <w:tab/>
      </w:r>
      <w:r>
        <w:fldChar w:fldCharType="begin"/>
      </w:r>
      <w:r>
        <w:instrText xml:space="preserve"> PAGEREF AUTO_1997_81 \h </w:instrText>
      </w:r>
      <w:r>
        <w:fldChar w:fldCharType="separate"/>
      </w:r>
      <w:r w:rsidR="00817D23">
        <w:rPr>
          <w:noProof/>
        </w:rPr>
        <w:t>1391</w:t>
      </w:r>
      <w:r>
        <w:fldChar w:fldCharType="end"/>
      </w:r>
    </w:p>
    <w:p w:rsidR="00660716" w:rsidRDefault="00660716" w:rsidP="00660716"/>
    <w:p w:rsidR="00660716" w:rsidRDefault="00660716" w:rsidP="00660716">
      <w:pPr>
        <w:pStyle w:val="EntradandiceAuto"/>
      </w:pPr>
      <w:r>
        <w:t>Sección Tercera. Auto 82/1997, de 17 de marzo de 1997. Acuerda el desistimiento en el recurso de amparo 507/1996, promovido en causa penal.</w:t>
      </w:r>
      <w:r>
        <w:tab/>
      </w:r>
      <w:r>
        <w:tab/>
      </w:r>
      <w:r>
        <w:fldChar w:fldCharType="begin"/>
      </w:r>
      <w:r>
        <w:instrText xml:space="preserve"> PAGEREF AUTO_1997_82 \h </w:instrText>
      </w:r>
      <w:r>
        <w:fldChar w:fldCharType="separate"/>
      </w:r>
      <w:r w:rsidR="00817D23">
        <w:rPr>
          <w:noProof/>
        </w:rPr>
        <w:t>1392</w:t>
      </w:r>
      <w:r>
        <w:fldChar w:fldCharType="end"/>
      </w:r>
    </w:p>
    <w:p w:rsidR="00660716" w:rsidRDefault="00660716" w:rsidP="00660716"/>
    <w:p w:rsidR="00660716" w:rsidRDefault="00660716" w:rsidP="00660716">
      <w:pPr>
        <w:pStyle w:val="EntradandiceAuto"/>
      </w:pPr>
      <w:r>
        <w:t>Sala Segunda. Auto 83/1997, de 17 de marzo de 1997. Acordando la suspensión parcial de la ejecución del acto que origina el recurso de amparo 2.218/1996.</w:t>
      </w:r>
      <w:r>
        <w:tab/>
      </w:r>
      <w:r>
        <w:tab/>
      </w:r>
      <w:r>
        <w:fldChar w:fldCharType="begin"/>
      </w:r>
      <w:r>
        <w:instrText xml:space="preserve"> PAGEREF AUTO_1997_83 \h </w:instrText>
      </w:r>
      <w:r>
        <w:fldChar w:fldCharType="separate"/>
      </w:r>
      <w:r w:rsidR="00817D23">
        <w:rPr>
          <w:noProof/>
        </w:rPr>
        <w:t>1393</w:t>
      </w:r>
      <w:r>
        <w:fldChar w:fldCharType="end"/>
      </w:r>
    </w:p>
    <w:p w:rsidR="00660716" w:rsidRDefault="00660716" w:rsidP="00660716"/>
    <w:p w:rsidR="00660716" w:rsidRDefault="00660716" w:rsidP="00660716">
      <w:pPr>
        <w:pStyle w:val="EntradandiceAuto"/>
      </w:pPr>
      <w:r>
        <w:t>Sala Segunda. Auto 84/1997, de 17 de marzo de 1997. Acordando la suspensión parcial de la ejecución del acto que origina el recurso de amparo 2.927/1996.</w:t>
      </w:r>
      <w:r>
        <w:tab/>
      </w:r>
      <w:r>
        <w:tab/>
      </w:r>
      <w:r>
        <w:fldChar w:fldCharType="begin"/>
      </w:r>
      <w:r>
        <w:instrText xml:space="preserve"> PAGEREF AUTO_1997_84 \h </w:instrText>
      </w:r>
      <w:r>
        <w:fldChar w:fldCharType="separate"/>
      </w:r>
      <w:r w:rsidR="00817D23">
        <w:rPr>
          <w:noProof/>
        </w:rPr>
        <w:t>1396</w:t>
      </w:r>
      <w:r>
        <w:fldChar w:fldCharType="end"/>
      </w:r>
    </w:p>
    <w:p w:rsidR="00660716" w:rsidRDefault="00660716" w:rsidP="00660716"/>
    <w:p w:rsidR="00660716" w:rsidRDefault="00660716" w:rsidP="00660716">
      <w:pPr>
        <w:pStyle w:val="EntradandiceAuto"/>
      </w:pPr>
      <w:r>
        <w:t>Sección Tercera. Auto 85/1997, de 17 de marzo de 1997. Acordando haber lugar al desistimiento del actor en el recurso de amparo 3.001/1996.</w:t>
      </w:r>
      <w:r>
        <w:tab/>
      </w:r>
      <w:r>
        <w:tab/>
      </w:r>
      <w:r>
        <w:fldChar w:fldCharType="begin"/>
      </w:r>
      <w:r>
        <w:instrText xml:space="preserve"> PAGEREF AUTO_1997_85 \h </w:instrText>
      </w:r>
      <w:r>
        <w:fldChar w:fldCharType="separate"/>
      </w:r>
      <w:r w:rsidR="00817D23">
        <w:rPr>
          <w:noProof/>
        </w:rPr>
        <w:t>1399</w:t>
      </w:r>
      <w:r>
        <w:fldChar w:fldCharType="end"/>
      </w:r>
    </w:p>
    <w:p w:rsidR="00660716" w:rsidRDefault="00660716" w:rsidP="00660716"/>
    <w:p w:rsidR="00660716" w:rsidRDefault="00660716" w:rsidP="00660716">
      <w:pPr>
        <w:pStyle w:val="EntradandiceAuto"/>
      </w:pPr>
      <w:r>
        <w:t>Sala Segunda. Auto 86/1997, de 17 de marzo de 1997. Acordando la suspensión parcial de la ejecución del acto que origina el recurso de amparo 3.677/1996.</w:t>
      </w:r>
      <w:r>
        <w:tab/>
      </w:r>
      <w:r>
        <w:tab/>
      </w:r>
      <w:r>
        <w:fldChar w:fldCharType="begin"/>
      </w:r>
      <w:r>
        <w:instrText xml:space="preserve"> PAGEREF AUTO_1997_86 \h </w:instrText>
      </w:r>
      <w:r>
        <w:fldChar w:fldCharType="separate"/>
      </w:r>
      <w:r w:rsidR="00817D23">
        <w:rPr>
          <w:noProof/>
        </w:rPr>
        <w:t>1400</w:t>
      </w:r>
      <w:r>
        <w:fldChar w:fldCharType="end"/>
      </w:r>
    </w:p>
    <w:p w:rsidR="00660716" w:rsidRDefault="00660716" w:rsidP="00660716"/>
    <w:p w:rsidR="00660716" w:rsidRDefault="00660716" w:rsidP="00660716">
      <w:pPr>
        <w:pStyle w:val="EntradandiceAuto"/>
      </w:pPr>
      <w:r>
        <w:t>Sala Primera. Auto 87/1997, de 17 de marzo de 1997. Acordando la suspensión parcial de la ejecución del acto que origina el recurso de amparo 448/1997.</w:t>
      </w:r>
      <w:r>
        <w:tab/>
      </w:r>
      <w:r>
        <w:tab/>
      </w:r>
      <w:r>
        <w:fldChar w:fldCharType="begin"/>
      </w:r>
      <w:r>
        <w:instrText xml:space="preserve"> PAGEREF AUTO_1997_87 \h </w:instrText>
      </w:r>
      <w:r>
        <w:fldChar w:fldCharType="separate"/>
      </w:r>
      <w:r w:rsidR="00817D23">
        <w:rPr>
          <w:noProof/>
        </w:rPr>
        <w:t>1403</w:t>
      </w:r>
      <w:r>
        <w:fldChar w:fldCharType="end"/>
      </w:r>
    </w:p>
    <w:p w:rsidR="00660716" w:rsidRDefault="00660716" w:rsidP="00660716"/>
    <w:p w:rsidR="00660716" w:rsidRDefault="00660716" w:rsidP="00660716">
      <w:pPr>
        <w:pStyle w:val="EntradandiceAuto"/>
      </w:pPr>
      <w:r>
        <w:t>Sala Primera. Auto 88/1997, de 17 de marzo de 1997. Acordando la suspensión parcial de la ejecución del acto que origina el recurso de amparo 449/1997.</w:t>
      </w:r>
      <w:r>
        <w:tab/>
      </w:r>
      <w:r>
        <w:tab/>
      </w:r>
      <w:r>
        <w:fldChar w:fldCharType="begin"/>
      </w:r>
      <w:r>
        <w:instrText xml:space="preserve"> PAGEREF AUTO_1997_88 \h </w:instrText>
      </w:r>
      <w:r>
        <w:fldChar w:fldCharType="separate"/>
      </w:r>
      <w:r w:rsidR="00817D23">
        <w:rPr>
          <w:noProof/>
        </w:rPr>
        <w:t>1410</w:t>
      </w:r>
      <w:r>
        <w:fldChar w:fldCharType="end"/>
      </w:r>
    </w:p>
    <w:p w:rsidR="00660716" w:rsidRDefault="00660716" w:rsidP="00660716"/>
    <w:p w:rsidR="00660716" w:rsidRDefault="00660716" w:rsidP="00660716">
      <w:pPr>
        <w:pStyle w:val="EntradandiceAuto"/>
      </w:pPr>
      <w:r>
        <w:t>Sala Primera. Auto 89/1997, de 18 de marzo de 1997. Acordando la suspensión parcial de la ejecución del acto que origina el recurso de amparo 4.466/1996.</w:t>
      </w:r>
      <w:r>
        <w:tab/>
      </w:r>
      <w:r>
        <w:tab/>
      </w:r>
      <w:r>
        <w:fldChar w:fldCharType="begin"/>
      </w:r>
      <w:r>
        <w:instrText xml:space="preserve"> PAGEREF AUTO_1997_89 \h </w:instrText>
      </w:r>
      <w:r>
        <w:fldChar w:fldCharType="separate"/>
      </w:r>
      <w:r w:rsidR="00817D23">
        <w:rPr>
          <w:noProof/>
        </w:rPr>
        <w:t>1415</w:t>
      </w:r>
      <w:r>
        <w:fldChar w:fldCharType="end"/>
      </w:r>
    </w:p>
    <w:p w:rsidR="00660716" w:rsidRDefault="00660716" w:rsidP="00660716"/>
    <w:p w:rsidR="00660716" w:rsidRDefault="00660716" w:rsidP="00660716">
      <w:pPr>
        <w:pStyle w:val="EntradandiceAuto"/>
      </w:pPr>
      <w:r>
        <w:t>Sección Segunda. Auto 90/1997, de 19 de marzo de 1997. Acordando la inadmisión a trámite del recurso de amparo 1.230/1996.</w:t>
      </w:r>
      <w:r>
        <w:tab/>
      </w:r>
      <w:r>
        <w:tab/>
      </w:r>
      <w:r>
        <w:fldChar w:fldCharType="begin"/>
      </w:r>
      <w:r>
        <w:instrText xml:space="preserve"> PAGEREF AUTO_1997_90 \h </w:instrText>
      </w:r>
      <w:r>
        <w:fldChar w:fldCharType="separate"/>
      </w:r>
      <w:r w:rsidR="00817D23">
        <w:rPr>
          <w:noProof/>
        </w:rPr>
        <w:t>1418</w:t>
      </w:r>
      <w:r>
        <w:fldChar w:fldCharType="end"/>
      </w:r>
    </w:p>
    <w:p w:rsidR="00660716" w:rsidRDefault="00660716" w:rsidP="00660716"/>
    <w:p w:rsidR="00660716" w:rsidRDefault="00660716" w:rsidP="00660716">
      <w:pPr>
        <w:pStyle w:val="EntradandiceAuto"/>
      </w:pPr>
      <w:r>
        <w:t>Sección Segunda. Auto 91/1997, de 19 de marzo de 1997. Acordando la inadmisión a trámite del recurso de amparo 3.105/1996.</w:t>
      </w:r>
      <w:r>
        <w:tab/>
      </w:r>
      <w:r>
        <w:tab/>
      </w:r>
      <w:r>
        <w:fldChar w:fldCharType="begin"/>
      </w:r>
      <w:r>
        <w:instrText xml:space="preserve"> PAGEREF AUTO_1997_91 \h </w:instrText>
      </w:r>
      <w:r>
        <w:fldChar w:fldCharType="separate"/>
      </w:r>
      <w:r w:rsidR="00817D23">
        <w:rPr>
          <w:noProof/>
        </w:rPr>
        <w:t>1422</w:t>
      </w:r>
      <w:r>
        <w:fldChar w:fldCharType="end"/>
      </w:r>
    </w:p>
    <w:p w:rsidR="00660716" w:rsidRDefault="00660716" w:rsidP="00660716"/>
    <w:p w:rsidR="00660716" w:rsidRDefault="00660716" w:rsidP="00660716">
      <w:pPr>
        <w:pStyle w:val="EntradandiceAuto"/>
      </w:pPr>
      <w:r>
        <w:lastRenderedPageBreak/>
        <w:t>Sección Cuarta. Auto 92/1997, de 20 de marzo de 1997. Estimando recurso de súplica contra providencia de 29 de enero de 1997, dictada en el recurso de amparo 3.789/1996, y acordando la admisión de éste.</w:t>
      </w:r>
      <w:r>
        <w:tab/>
      </w:r>
      <w:r>
        <w:tab/>
      </w:r>
      <w:r>
        <w:fldChar w:fldCharType="begin"/>
      </w:r>
      <w:r>
        <w:instrText xml:space="preserve"> PAGEREF AUTO_1997_92 \h </w:instrText>
      </w:r>
      <w:r>
        <w:fldChar w:fldCharType="separate"/>
      </w:r>
      <w:r w:rsidR="00817D23">
        <w:rPr>
          <w:noProof/>
        </w:rPr>
        <w:t>1426</w:t>
      </w:r>
      <w:r>
        <w:fldChar w:fldCharType="end"/>
      </w:r>
    </w:p>
    <w:p w:rsidR="00660716" w:rsidRDefault="00660716" w:rsidP="00660716"/>
    <w:p w:rsidR="00660716" w:rsidRDefault="00660716" w:rsidP="00660716">
      <w:pPr>
        <w:pStyle w:val="EntradandiceAuto"/>
      </w:pPr>
      <w:r>
        <w:t>Sala Primera. Auto 93/1997, de 7 de abril de 1997. Acuerda el desistimiento en el recurso de amparo 1.246/1995, promovido en pleito civil.</w:t>
      </w:r>
      <w:r>
        <w:tab/>
      </w:r>
      <w:r>
        <w:tab/>
      </w:r>
      <w:r>
        <w:fldChar w:fldCharType="begin"/>
      </w:r>
      <w:r>
        <w:instrText xml:space="preserve"> PAGEREF AUTO_1997_93 \h </w:instrText>
      </w:r>
      <w:r>
        <w:fldChar w:fldCharType="separate"/>
      </w:r>
      <w:r w:rsidR="00817D23">
        <w:rPr>
          <w:noProof/>
        </w:rPr>
        <w:t>1429</w:t>
      </w:r>
      <w:r>
        <w:fldChar w:fldCharType="end"/>
      </w:r>
    </w:p>
    <w:p w:rsidR="00660716" w:rsidRDefault="00660716" w:rsidP="00660716"/>
    <w:p w:rsidR="00660716" w:rsidRDefault="00660716" w:rsidP="00660716">
      <w:pPr>
        <w:pStyle w:val="EntradandiceAuto"/>
      </w:pPr>
      <w:r>
        <w:t>Sección Tercera. Auto 94/1997, de 7 de abril de 1997. Acordando la inadmisión a trámite del recurso de amparo 1.516/1995.</w:t>
      </w:r>
      <w:r>
        <w:tab/>
      </w:r>
      <w:r>
        <w:tab/>
      </w:r>
      <w:r>
        <w:fldChar w:fldCharType="begin"/>
      </w:r>
      <w:r>
        <w:instrText xml:space="preserve"> PAGEREF AUTO_1997_94 \h </w:instrText>
      </w:r>
      <w:r>
        <w:fldChar w:fldCharType="separate"/>
      </w:r>
      <w:r w:rsidR="00817D23">
        <w:rPr>
          <w:noProof/>
        </w:rPr>
        <w:t>1430</w:t>
      </w:r>
      <w:r>
        <w:fldChar w:fldCharType="end"/>
      </w:r>
    </w:p>
    <w:p w:rsidR="00660716" w:rsidRDefault="00660716" w:rsidP="00660716"/>
    <w:p w:rsidR="00660716" w:rsidRDefault="00660716" w:rsidP="00660716">
      <w:pPr>
        <w:pStyle w:val="EntradandiceAuto"/>
      </w:pPr>
      <w:r>
        <w:t>Sección Primera. Auto 95/1997, de 7 de abril de 1997. Acordando la inadmisión a trámite del recurso de amparo 4.469/1995.</w:t>
      </w:r>
      <w:r>
        <w:tab/>
      </w:r>
      <w:r>
        <w:tab/>
      </w:r>
      <w:r>
        <w:fldChar w:fldCharType="begin"/>
      </w:r>
      <w:r>
        <w:instrText xml:space="preserve"> PAGEREF AUTO_1997_95 \h </w:instrText>
      </w:r>
      <w:r>
        <w:fldChar w:fldCharType="separate"/>
      </w:r>
      <w:r w:rsidR="00817D23">
        <w:rPr>
          <w:noProof/>
        </w:rPr>
        <w:t>1437</w:t>
      </w:r>
      <w:r>
        <w:fldChar w:fldCharType="end"/>
      </w:r>
    </w:p>
    <w:p w:rsidR="00660716" w:rsidRDefault="00660716" w:rsidP="00660716"/>
    <w:p w:rsidR="00660716" w:rsidRDefault="00660716" w:rsidP="00660716">
      <w:pPr>
        <w:pStyle w:val="EntradandiceAuto"/>
      </w:pPr>
      <w:r>
        <w:t>Sección Cuarta. Auto 96/1997, de 7 de abril de 1997. Acuerda el desistimiento en el recurso de amparo 1.607/1996, promovido en proceso contencioso-administrativo.</w:t>
      </w:r>
      <w:r>
        <w:tab/>
      </w:r>
      <w:r>
        <w:tab/>
      </w:r>
      <w:r>
        <w:fldChar w:fldCharType="begin"/>
      </w:r>
      <w:r>
        <w:instrText xml:space="preserve"> PAGEREF AUTO_1997_96 \h </w:instrText>
      </w:r>
      <w:r>
        <w:fldChar w:fldCharType="separate"/>
      </w:r>
      <w:r w:rsidR="00817D23">
        <w:rPr>
          <w:noProof/>
        </w:rPr>
        <w:t>1441</w:t>
      </w:r>
      <w:r>
        <w:fldChar w:fldCharType="end"/>
      </w:r>
    </w:p>
    <w:p w:rsidR="00660716" w:rsidRDefault="00660716" w:rsidP="00660716"/>
    <w:p w:rsidR="00660716" w:rsidRDefault="00660716" w:rsidP="00660716">
      <w:pPr>
        <w:pStyle w:val="EntradandiceAuto"/>
      </w:pPr>
      <w:r>
        <w:t>Sala Segunda. Auto 97/1997, de 7 de abril de 1997. Acordando la suspensión parcial de la ejecución del acto que origina el recurso de amparo 2.770/1996.</w:t>
      </w:r>
      <w:r>
        <w:tab/>
      </w:r>
      <w:r>
        <w:tab/>
      </w:r>
      <w:r>
        <w:fldChar w:fldCharType="begin"/>
      </w:r>
      <w:r>
        <w:instrText xml:space="preserve"> PAGEREF AUTO_1997_97 \h </w:instrText>
      </w:r>
      <w:r>
        <w:fldChar w:fldCharType="separate"/>
      </w:r>
      <w:r w:rsidR="00817D23">
        <w:rPr>
          <w:noProof/>
        </w:rPr>
        <w:t>1442</w:t>
      </w:r>
      <w:r>
        <w:fldChar w:fldCharType="end"/>
      </w:r>
    </w:p>
    <w:p w:rsidR="00660716" w:rsidRDefault="00660716" w:rsidP="00660716"/>
    <w:p w:rsidR="00660716" w:rsidRDefault="00660716" w:rsidP="00660716">
      <w:pPr>
        <w:pStyle w:val="EntradandiceAuto"/>
      </w:pPr>
      <w:r>
        <w:t>Sala Segunda. Auto 98/1997, de 7 de abril de 1997. Acordando la suspensión parcial de la ejecución del acto que origina el recurso de amparo 3.029/1996.</w:t>
      </w:r>
      <w:r>
        <w:tab/>
      </w:r>
      <w:r>
        <w:tab/>
      </w:r>
      <w:r>
        <w:fldChar w:fldCharType="begin"/>
      </w:r>
      <w:r>
        <w:instrText xml:space="preserve"> PAGEREF AUTO_1997_98 \h </w:instrText>
      </w:r>
      <w:r>
        <w:fldChar w:fldCharType="separate"/>
      </w:r>
      <w:r w:rsidR="00817D23">
        <w:rPr>
          <w:noProof/>
        </w:rPr>
        <w:t>1446</w:t>
      </w:r>
      <w:r>
        <w:fldChar w:fldCharType="end"/>
      </w:r>
    </w:p>
    <w:p w:rsidR="00660716" w:rsidRDefault="00660716" w:rsidP="00660716"/>
    <w:p w:rsidR="00660716" w:rsidRDefault="00660716" w:rsidP="00660716">
      <w:pPr>
        <w:pStyle w:val="EntradandiceAuto"/>
      </w:pPr>
      <w:r>
        <w:t>Sección Tercera. Auto 99/1997, de 7 de abril de 1997. Acordando la inadmisión a trámite del recurso de amparo 3.132/1996.</w:t>
      </w:r>
      <w:r>
        <w:tab/>
      </w:r>
      <w:r>
        <w:tab/>
      </w:r>
      <w:r>
        <w:fldChar w:fldCharType="begin"/>
      </w:r>
      <w:r>
        <w:instrText xml:space="preserve"> PAGEREF AUTO_1997_99 \h </w:instrText>
      </w:r>
      <w:r>
        <w:fldChar w:fldCharType="separate"/>
      </w:r>
      <w:r w:rsidR="00817D23">
        <w:rPr>
          <w:noProof/>
        </w:rPr>
        <w:t>1449</w:t>
      </w:r>
      <w:r>
        <w:fldChar w:fldCharType="end"/>
      </w:r>
    </w:p>
    <w:p w:rsidR="00660716" w:rsidRDefault="00660716" w:rsidP="00660716"/>
    <w:p w:rsidR="00660716" w:rsidRDefault="00660716" w:rsidP="00660716">
      <w:pPr>
        <w:pStyle w:val="EntradandiceAuto"/>
      </w:pPr>
      <w:r>
        <w:t>Sección Tercera. Auto 100/1997, de 7 de abril de 1997. Acordando la inadmisión a trámite del recurso de amparo 3.568/1996.</w:t>
      </w:r>
      <w:r>
        <w:tab/>
      </w:r>
      <w:r>
        <w:tab/>
      </w:r>
      <w:r>
        <w:fldChar w:fldCharType="begin"/>
      </w:r>
      <w:r>
        <w:instrText xml:space="preserve"> PAGEREF AUTO_1997_100 \h </w:instrText>
      </w:r>
      <w:r>
        <w:fldChar w:fldCharType="separate"/>
      </w:r>
      <w:r w:rsidR="00817D23">
        <w:rPr>
          <w:noProof/>
        </w:rPr>
        <w:t>1453</w:t>
      </w:r>
      <w:r>
        <w:fldChar w:fldCharType="end"/>
      </w:r>
    </w:p>
    <w:p w:rsidR="00660716" w:rsidRDefault="00660716" w:rsidP="00660716"/>
    <w:p w:rsidR="00660716" w:rsidRDefault="00660716" w:rsidP="00660716">
      <w:pPr>
        <w:pStyle w:val="EntradandiceAuto"/>
      </w:pPr>
      <w:r>
        <w:t>Sección Cuarta. Auto 101/1997, de 7 de abril de 1997. Acuerda el desistimiento en el recurso de amparo 3.912/1996, promovido en causa penal.</w:t>
      </w:r>
      <w:r>
        <w:tab/>
      </w:r>
      <w:r>
        <w:tab/>
      </w:r>
      <w:r>
        <w:fldChar w:fldCharType="begin"/>
      </w:r>
      <w:r>
        <w:instrText xml:space="preserve"> PAGEREF AUTO_1997_101 \h </w:instrText>
      </w:r>
      <w:r>
        <w:fldChar w:fldCharType="separate"/>
      </w:r>
      <w:r w:rsidR="00817D23">
        <w:rPr>
          <w:noProof/>
        </w:rPr>
        <w:t>1456</w:t>
      </w:r>
      <w:r>
        <w:fldChar w:fldCharType="end"/>
      </w:r>
    </w:p>
    <w:p w:rsidR="00660716" w:rsidRDefault="00660716" w:rsidP="00660716"/>
    <w:p w:rsidR="00660716" w:rsidRDefault="00660716" w:rsidP="00660716">
      <w:pPr>
        <w:pStyle w:val="EntradandiceAuto"/>
      </w:pPr>
      <w:r>
        <w:t>Sala Primera. Auto 102/1997, de 7 de abril de 1997. Denegando la suspensión de la ejecución del acto que origina el recurso de amparo 4.777/1996.</w:t>
      </w:r>
      <w:r>
        <w:tab/>
      </w:r>
      <w:r>
        <w:tab/>
      </w:r>
      <w:r>
        <w:fldChar w:fldCharType="begin"/>
      </w:r>
      <w:r>
        <w:instrText xml:space="preserve"> PAGEREF AUTO_1997_102 \h </w:instrText>
      </w:r>
      <w:r>
        <w:fldChar w:fldCharType="separate"/>
      </w:r>
      <w:r w:rsidR="00817D23">
        <w:rPr>
          <w:noProof/>
        </w:rPr>
        <w:t>1457</w:t>
      </w:r>
      <w:r>
        <w:fldChar w:fldCharType="end"/>
      </w:r>
    </w:p>
    <w:p w:rsidR="00660716" w:rsidRDefault="00660716" w:rsidP="00660716"/>
    <w:p w:rsidR="00660716" w:rsidRDefault="00660716" w:rsidP="00660716">
      <w:pPr>
        <w:pStyle w:val="EntradandiceAuto"/>
      </w:pPr>
      <w:r>
        <w:t>Pleno. Auto 103/1997, de 8 de abril de 1997. Acordanto la extinción del proceso, por desaparición sobrevenida del objeto, en el recurso de inconstitucionalidad 2.986/1995</w:t>
      </w:r>
      <w:r>
        <w:tab/>
      </w:r>
      <w:r>
        <w:tab/>
      </w:r>
      <w:r>
        <w:fldChar w:fldCharType="begin"/>
      </w:r>
      <w:r>
        <w:instrText xml:space="preserve"> PAGEREF AUTO_1997_103 \h </w:instrText>
      </w:r>
      <w:r>
        <w:fldChar w:fldCharType="separate"/>
      </w:r>
      <w:r w:rsidR="00817D23">
        <w:rPr>
          <w:noProof/>
        </w:rPr>
        <w:t>1460</w:t>
      </w:r>
      <w:r>
        <w:fldChar w:fldCharType="end"/>
      </w:r>
    </w:p>
    <w:p w:rsidR="00660716" w:rsidRDefault="00660716" w:rsidP="00660716"/>
    <w:p w:rsidR="00660716" w:rsidRDefault="00660716" w:rsidP="00660716">
      <w:pPr>
        <w:pStyle w:val="EntradandiceAuto"/>
      </w:pPr>
      <w:r>
        <w:lastRenderedPageBreak/>
        <w:t>Pleno. Auto 104/1997, de 8 de abril de 1997. Acordando la inadmisión a trámite de la cuestión de inconstitucionalidad 4.057/1996</w:t>
      </w:r>
      <w:r>
        <w:tab/>
      </w:r>
      <w:r>
        <w:tab/>
      </w:r>
      <w:r>
        <w:fldChar w:fldCharType="begin"/>
      </w:r>
      <w:r>
        <w:instrText xml:space="preserve"> PAGEREF AUTO_1997_104 \h </w:instrText>
      </w:r>
      <w:r>
        <w:fldChar w:fldCharType="separate"/>
      </w:r>
      <w:r w:rsidR="00817D23">
        <w:rPr>
          <w:noProof/>
        </w:rPr>
        <w:t>1464</w:t>
      </w:r>
      <w:r>
        <w:fldChar w:fldCharType="end"/>
      </w:r>
    </w:p>
    <w:p w:rsidR="00660716" w:rsidRDefault="00660716" w:rsidP="00660716"/>
    <w:p w:rsidR="00660716" w:rsidRDefault="00660716" w:rsidP="00660716">
      <w:pPr>
        <w:pStyle w:val="EntradandiceAuto"/>
      </w:pPr>
      <w:r>
        <w:t>Sección Segunda. Auto 105/1997, de 9 de abril de 1997. Acordando la inadmisión a trámite del recurso de amparo 4.160/1996.</w:t>
      </w:r>
      <w:r>
        <w:tab/>
      </w:r>
      <w:r>
        <w:tab/>
      </w:r>
      <w:r>
        <w:fldChar w:fldCharType="begin"/>
      </w:r>
      <w:r>
        <w:instrText xml:space="preserve"> PAGEREF AUTO_1997_105 \h </w:instrText>
      </w:r>
      <w:r>
        <w:fldChar w:fldCharType="separate"/>
      </w:r>
      <w:r w:rsidR="00817D23">
        <w:rPr>
          <w:noProof/>
        </w:rPr>
        <w:t>1470</w:t>
      </w:r>
      <w:r>
        <w:fldChar w:fldCharType="end"/>
      </w:r>
    </w:p>
    <w:p w:rsidR="00660716" w:rsidRDefault="00660716" w:rsidP="00660716"/>
    <w:p w:rsidR="00660716" w:rsidRDefault="00660716" w:rsidP="00660716">
      <w:pPr>
        <w:pStyle w:val="EntradandiceAuto"/>
      </w:pPr>
      <w:r>
        <w:t>Sección Segunda. Auto 106/1997, de 17 de abril de 1997. Acordando la inadmisión a trámite del recurso de amparo 4.614/1996.</w:t>
      </w:r>
      <w:r>
        <w:tab/>
      </w:r>
      <w:r>
        <w:tab/>
      </w:r>
      <w:r>
        <w:fldChar w:fldCharType="begin"/>
      </w:r>
      <w:r>
        <w:instrText xml:space="preserve"> PAGEREF AUTO_1997_106 \h </w:instrText>
      </w:r>
      <w:r>
        <w:fldChar w:fldCharType="separate"/>
      </w:r>
      <w:r w:rsidR="00817D23">
        <w:rPr>
          <w:noProof/>
        </w:rPr>
        <w:t>1473</w:t>
      </w:r>
      <w:r>
        <w:fldChar w:fldCharType="end"/>
      </w:r>
    </w:p>
    <w:p w:rsidR="00660716" w:rsidRDefault="00660716" w:rsidP="00660716"/>
    <w:p w:rsidR="00660716" w:rsidRDefault="00660716" w:rsidP="00660716">
      <w:pPr>
        <w:pStyle w:val="EntradandiceAuto"/>
      </w:pPr>
      <w:r>
        <w:t>Sala Segunda. Auto 107/1997, de 21 de abril de 1997. Declarando la falta de jurisdicción del Tribunal Constitucional en el procedimiento de jura de cuentas relativa al recurso de amparo 3.748/1994.</w:t>
      </w:r>
      <w:r>
        <w:tab/>
      </w:r>
      <w:r>
        <w:tab/>
      </w:r>
      <w:r>
        <w:fldChar w:fldCharType="begin"/>
      </w:r>
      <w:r>
        <w:instrText xml:space="preserve"> PAGEREF AUTO_1997_107 \h </w:instrText>
      </w:r>
      <w:r>
        <w:fldChar w:fldCharType="separate"/>
      </w:r>
      <w:r w:rsidR="00817D23">
        <w:rPr>
          <w:noProof/>
        </w:rPr>
        <w:t>1478</w:t>
      </w:r>
      <w:r>
        <w:fldChar w:fldCharType="end"/>
      </w:r>
    </w:p>
    <w:p w:rsidR="00660716" w:rsidRDefault="00660716" w:rsidP="00660716"/>
    <w:p w:rsidR="00660716" w:rsidRDefault="00660716" w:rsidP="00660716">
      <w:pPr>
        <w:pStyle w:val="EntradandiceAuto"/>
      </w:pPr>
      <w:r>
        <w:t>Sección Tercera. Auto 108/1997, de 21 de abril de 1997. Acordando la inadmisión a trámite del recurso de amparo 1.374/1996.</w:t>
      </w:r>
      <w:r>
        <w:tab/>
      </w:r>
      <w:r>
        <w:tab/>
      </w:r>
      <w:r>
        <w:fldChar w:fldCharType="begin"/>
      </w:r>
      <w:r>
        <w:instrText xml:space="preserve"> PAGEREF AUTO_1997_108 \h </w:instrText>
      </w:r>
      <w:r>
        <w:fldChar w:fldCharType="separate"/>
      </w:r>
      <w:r w:rsidR="00817D23">
        <w:rPr>
          <w:noProof/>
        </w:rPr>
        <w:t>1480</w:t>
      </w:r>
      <w:r>
        <w:fldChar w:fldCharType="end"/>
      </w:r>
    </w:p>
    <w:p w:rsidR="00660716" w:rsidRDefault="00660716" w:rsidP="00660716"/>
    <w:p w:rsidR="00660716" w:rsidRDefault="00660716" w:rsidP="00660716">
      <w:pPr>
        <w:pStyle w:val="EntradandiceAuto"/>
      </w:pPr>
      <w:r>
        <w:t>Sala Primera. Auto 109/1997, de 21 de abril de 1997. Denegando la suspensión de la ejecución del acto que origina el recurso de amparo 1.873/1996.</w:t>
      </w:r>
      <w:r>
        <w:tab/>
      </w:r>
      <w:r>
        <w:tab/>
      </w:r>
      <w:r>
        <w:fldChar w:fldCharType="begin"/>
      </w:r>
      <w:r>
        <w:instrText xml:space="preserve"> PAGEREF AUTO_1997_109 \h </w:instrText>
      </w:r>
      <w:r>
        <w:fldChar w:fldCharType="separate"/>
      </w:r>
      <w:r w:rsidR="00817D23">
        <w:rPr>
          <w:noProof/>
        </w:rPr>
        <w:t>1484</w:t>
      </w:r>
      <w:r>
        <w:fldChar w:fldCharType="end"/>
      </w:r>
    </w:p>
    <w:p w:rsidR="00660716" w:rsidRDefault="00660716" w:rsidP="00660716"/>
    <w:p w:rsidR="00660716" w:rsidRDefault="00660716" w:rsidP="00660716">
      <w:pPr>
        <w:pStyle w:val="EntradandiceAuto"/>
      </w:pPr>
      <w:r>
        <w:t>Sección Tercera. Auto 110/1997, de 21 de abril de 1997. Acuerda el desistimiento en el recurso de amparo 2.128/1996, promovido en causa penal.</w:t>
      </w:r>
      <w:r>
        <w:tab/>
      </w:r>
      <w:r>
        <w:tab/>
      </w:r>
      <w:r>
        <w:fldChar w:fldCharType="begin"/>
      </w:r>
      <w:r>
        <w:instrText xml:space="preserve"> PAGEREF AUTO_1997_110 \h </w:instrText>
      </w:r>
      <w:r>
        <w:fldChar w:fldCharType="separate"/>
      </w:r>
      <w:r w:rsidR="00817D23">
        <w:rPr>
          <w:noProof/>
        </w:rPr>
        <w:t>1487</w:t>
      </w:r>
      <w:r>
        <w:fldChar w:fldCharType="end"/>
      </w:r>
    </w:p>
    <w:p w:rsidR="00660716" w:rsidRDefault="00660716" w:rsidP="00660716"/>
    <w:p w:rsidR="00660716" w:rsidRDefault="00660716" w:rsidP="00660716">
      <w:pPr>
        <w:pStyle w:val="EntradandiceAuto"/>
      </w:pPr>
      <w:r>
        <w:t>Sección Tercera. Auto 111/1997, de 21 de abril de 1997. Acordando la inadmisión a trámite del recurso de amparo 2.818/1996.</w:t>
      </w:r>
      <w:r>
        <w:tab/>
      </w:r>
      <w:r>
        <w:tab/>
      </w:r>
      <w:r>
        <w:fldChar w:fldCharType="begin"/>
      </w:r>
      <w:r>
        <w:instrText xml:space="preserve"> PAGEREF AUTO_1997_111 \h </w:instrText>
      </w:r>
      <w:r>
        <w:fldChar w:fldCharType="separate"/>
      </w:r>
      <w:r w:rsidR="00817D23">
        <w:rPr>
          <w:noProof/>
        </w:rPr>
        <w:t>1488</w:t>
      </w:r>
      <w:r>
        <w:fldChar w:fldCharType="end"/>
      </w:r>
    </w:p>
    <w:p w:rsidR="00660716" w:rsidRDefault="00660716" w:rsidP="00660716"/>
    <w:p w:rsidR="00660716" w:rsidRDefault="00660716" w:rsidP="00660716">
      <w:pPr>
        <w:pStyle w:val="EntradandiceAuto"/>
      </w:pPr>
      <w:r>
        <w:t>Sala Segunda. Auto 112/1997, de 21 de abril de 1997. Acordando la acumulación del recurso de amparo 3.250/1996 a los ya acumulados 3.618/1996 y 3.620/1996.</w:t>
      </w:r>
      <w:r>
        <w:tab/>
      </w:r>
      <w:r>
        <w:tab/>
      </w:r>
      <w:r>
        <w:fldChar w:fldCharType="begin"/>
      </w:r>
      <w:r>
        <w:instrText xml:space="preserve"> PAGEREF AUTO_1997_112 \h </w:instrText>
      </w:r>
      <w:r>
        <w:fldChar w:fldCharType="separate"/>
      </w:r>
      <w:r w:rsidR="00817D23">
        <w:rPr>
          <w:noProof/>
        </w:rPr>
        <w:t>1492</w:t>
      </w:r>
      <w:r>
        <w:fldChar w:fldCharType="end"/>
      </w:r>
    </w:p>
    <w:p w:rsidR="00660716" w:rsidRDefault="00660716" w:rsidP="00660716"/>
    <w:p w:rsidR="00660716" w:rsidRDefault="00660716" w:rsidP="00660716">
      <w:pPr>
        <w:pStyle w:val="EntradandiceAuto"/>
      </w:pPr>
      <w:r>
        <w:t>Sección Tercera. Auto 113/1997, de 21 de abril de 1997. Denegando la suspensión de la ejecución del acto que origina el recurso de amparo 3.956/1996.</w:t>
      </w:r>
      <w:r>
        <w:tab/>
      </w:r>
      <w:r>
        <w:tab/>
      </w:r>
      <w:r>
        <w:fldChar w:fldCharType="begin"/>
      </w:r>
      <w:r>
        <w:instrText xml:space="preserve"> PAGEREF AUTO_1997_113 \h </w:instrText>
      </w:r>
      <w:r>
        <w:fldChar w:fldCharType="separate"/>
      </w:r>
      <w:r w:rsidR="00817D23">
        <w:rPr>
          <w:noProof/>
        </w:rPr>
        <w:t>1493</w:t>
      </w:r>
      <w:r>
        <w:fldChar w:fldCharType="end"/>
      </w:r>
    </w:p>
    <w:p w:rsidR="00660716" w:rsidRDefault="00660716" w:rsidP="00660716"/>
    <w:p w:rsidR="00660716" w:rsidRDefault="00660716" w:rsidP="00660716">
      <w:pPr>
        <w:pStyle w:val="EntradandiceAuto"/>
      </w:pPr>
      <w:r>
        <w:t>Sección Segunda. Auto 114/1997, de 21 de abril de 1997. Acordando la inadmisión a trámite del recurso de amparo 4.390/1996.</w:t>
      </w:r>
      <w:r>
        <w:tab/>
      </w:r>
      <w:r>
        <w:tab/>
      </w:r>
      <w:r>
        <w:fldChar w:fldCharType="begin"/>
      </w:r>
      <w:r>
        <w:instrText xml:space="preserve"> PAGEREF AUTO_1997_114 \h </w:instrText>
      </w:r>
      <w:r>
        <w:fldChar w:fldCharType="separate"/>
      </w:r>
      <w:r w:rsidR="00817D23">
        <w:rPr>
          <w:noProof/>
        </w:rPr>
        <w:t>1497</w:t>
      </w:r>
      <w:r>
        <w:fldChar w:fldCharType="end"/>
      </w:r>
    </w:p>
    <w:p w:rsidR="00660716" w:rsidRDefault="00660716" w:rsidP="00660716"/>
    <w:p w:rsidR="00660716" w:rsidRDefault="00660716" w:rsidP="00660716">
      <w:pPr>
        <w:pStyle w:val="EntradandiceAuto"/>
      </w:pPr>
      <w:r>
        <w:t>Sección Primera. Auto 115/1997, de 21 de abril de 1997. Acordando la inadmisión a trámite del recurso de amparo 631/1997.</w:t>
      </w:r>
      <w:r>
        <w:tab/>
      </w:r>
      <w:r>
        <w:tab/>
      </w:r>
      <w:r>
        <w:fldChar w:fldCharType="begin"/>
      </w:r>
      <w:r>
        <w:instrText xml:space="preserve"> PAGEREF AUTO_1997_115 \h </w:instrText>
      </w:r>
      <w:r>
        <w:fldChar w:fldCharType="separate"/>
      </w:r>
      <w:r w:rsidR="00817D23">
        <w:rPr>
          <w:noProof/>
        </w:rPr>
        <w:t>1500</w:t>
      </w:r>
      <w:r>
        <w:fldChar w:fldCharType="end"/>
      </w:r>
    </w:p>
    <w:p w:rsidR="00660716" w:rsidRDefault="00660716" w:rsidP="00660716"/>
    <w:p w:rsidR="00660716" w:rsidRDefault="00660716" w:rsidP="00660716">
      <w:pPr>
        <w:pStyle w:val="EntradandiceAuto"/>
      </w:pPr>
      <w:r>
        <w:lastRenderedPageBreak/>
        <w:t>Pleno. Auto 116/1997, de 22 de abril de 1997. Acordando la acumulación de las cuestiones de inconstitucionalidad 800/1994, 1.661/1994, 2.077/1994, 2.589/1994, 2.977/1994, 3.057/1994, 3.058/1994, 3.497/1994, 4.091/1994, 3.039/1995, 3.040/1995, 3.429/1995, 4.221/1995 y 2.418/1996 a la registrada con el núm.799/1994.</w:t>
      </w:r>
      <w:r>
        <w:tab/>
      </w:r>
      <w:r>
        <w:tab/>
      </w:r>
      <w:r>
        <w:fldChar w:fldCharType="begin"/>
      </w:r>
      <w:r>
        <w:instrText xml:space="preserve"> PAGEREF AUTO_1997_116 \h </w:instrText>
      </w:r>
      <w:r>
        <w:fldChar w:fldCharType="separate"/>
      </w:r>
      <w:r w:rsidR="00817D23">
        <w:rPr>
          <w:noProof/>
        </w:rPr>
        <w:t>1503</w:t>
      </w:r>
      <w:r>
        <w:fldChar w:fldCharType="end"/>
      </w:r>
    </w:p>
    <w:p w:rsidR="00660716" w:rsidRDefault="00660716" w:rsidP="00660716"/>
    <w:p w:rsidR="00660716" w:rsidRDefault="00660716" w:rsidP="00660716">
      <w:pPr>
        <w:pStyle w:val="EntradandiceAuto"/>
      </w:pPr>
      <w:r>
        <w:t>Sección Cuarta. Auto 117/1997, de 23 de abril de 1997. Acordando la inadmisión a trámite del recurso de amparo 3.345/1995.</w:t>
      </w:r>
      <w:r>
        <w:tab/>
      </w:r>
      <w:r>
        <w:tab/>
      </w:r>
      <w:r>
        <w:fldChar w:fldCharType="begin"/>
      </w:r>
      <w:r>
        <w:instrText xml:space="preserve"> PAGEREF AUTO_1997_117 \h </w:instrText>
      </w:r>
      <w:r>
        <w:fldChar w:fldCharType="separate"/>
      </w:r>
      <w:r w:rsidR="00817D23">
        <w:rPr>
          <w:noProof/>
        </w:rPr>
        <w:t>1504</w:t>
      </w:r>
      <w:r>
        <w:fldChar w:fldCharType="end"/>
      </w:r>
    </w:p>
    <w:p w:rsidR="00660716" w:rsidRDefault="00660716" w:rsidP="00660716"/>
    <w:p w:rsidR="00660716" w:rsidRDefault="00660716" w:rsidP="00660716">
      <w:pPr>
        <w:pStyle w:val="EntradandiceAuto"/>
      </w:pPr>
      <w:r>
        <w:t>Sección Cuarta. Auto 118/1997, de 23 de abril de 1997. Acordando la inadmisión a trámite del recurso de amparo 3.717/1995.</w:t>
      </w:r>
      <w:r>
        <w:tab/>
      </w:r>
      <w:r>
        <w:tab/>
      </w:r>
      <w:r>
        <w:fldChar w:fldCharType="begin"/>
      </w:r>
      <w:r>
        <w:instrText xml:space="preserve"> PAGEREF AUTO_1997_118 \h </w:instrText>
      </w:r>
      <w:r>
        <w:fldChar w:fldCharType="separate"/>
      </w:r>
      <w:r w:rsidR="00817D23">
        <w:rPr>
          <w:noProof/>
        </w:rPr>
        <w:t>1512</w:t>
      </w:r>
      <w:r>
        <w:fldChar w:fldCharType="end"/>
      </w:r>
    </w:p>
    <w:p w:rsidR="00660716" w:rsidRDefault="00660716" w:rsidP="00660716"/>
    <w:p w:rsidR="00660716" w:rsidRDefault="00660716" w:rsidP="00660716">
      <w:pPr>
        <w:pStyle w:val="EntradandiceAuto"/>
      </w:pPr>
      <w:r>
        <w:t>Sección Cuarta. Auto 119/1997, de 23 de abril de 1997. Acordando la inadmisión a trámite del recurso de amparo 1.241/1996.</w:t>
      </w:r>
      <w:r>
        <w:tab/>
      </w:r>
      <w:r>
        <w:tab/>
      </w:r>
      <w:r>
        <w:fldChar w:fldCharType="begin"/>
      </w:r>
      <w:r>
        <w:instrText xml:space="preserve"> PAGEREF AUTO_1997_119 \h </w:instrText>
      </w:r>
      <w:r>
        <w:fldChar w:fldCharType="separate"/>
      </w:r>
      <w:r w:rsidR="00817D23">
        <w:rPr>
          <w:noProof/>
        </w:rPr>
        <w:t>1517</w:t>
      </w:r>
      <w:r>
        <w:fldChar w:fldCharType="end"/>
      </w:r>
    </w:p>
    <w:p w:rsidR="00660716" w:rsidRDefault="00660716" w:rsidP="00660716"/>
    <w:p w:rsidR="00660716" w:rsidRDefault="00660716" w:rsidP="00660716">
      <w:pPr>
        <w:pStyle w:val="EntradandiceAuto"/>
      </w:pPr>
      <w:r>
        <w:t>Pleno. Auto 120/1997, de 23 de abril de 1997. Acordando la inadmisión a trámite de la cuestión de inconstitucionalidad 3.764/1996</w:t>
      </w:r>
      <w:r>
        <w:tab/>
      </w:r>
      <w:r>
        <w:tab/>
      </w:r>
      <w:r>
        <w:fldChar w:fldCharType="begin"/>
      </w:r>
      <w:r>
        <w:instrText xml:space="preserve"> PAGEREF AUTO_1997_120 \h </w:instrText>
      </w:r>
      <w:r>
        <w:fldChar w:fldCharType="separate"/>
      </w:r>
      <w:r w:rsidR="00817D23">
        <w:rPr>
          <w:noProof/>
        </w:rPr>
        <w:t>1522</w:t>
      </w:r>
      <w:r>
        <w:fldChar w:fldCharType="end"/>
      </w:r>
    </w:p>
    <w:p w:rsidR="00660716" w:rsidRDefault="00660716" w:rsidP="00660716"/>
    <w:p w:rsidR="00660716" w:rsidRDefault="00660716" w:rsidP="00660716">
      <w:pPr>
        <w:pStyle w:val="EntradandiceAuto"/>
      </w:pPr>
      <w:r>
        <w:t>Sección Segunda. Auto 121/1997, de 29 de abril de 1997. Acordando la inadmisión a trámite del recurso de amparo 3.499/1996.</w:t>
      </w:r>
      <w:r>
        <w:tab/>
      </w:r>
      <w:r>
        <w:tab/>
      </w:r>
      <w:r>
        <w:fldChar w:fldCharType="begin"/>
      </w:r>
      <w:r>
        <w:instrText xml:space="preserve"> PAGEREF AUTO_1997_121 \h </w:instrText>
      </w:r>
      <w:r>
        <w:fldChar w:fldCharType="separate"/>
      </w:r>
      <w:r w:rsidR="00817D23">
        <w:rPr>
          <w:noProof/>
        </w:rPr>
        <w:t>1527</w:t>
      </w:r>
      <w:r>
        <w:fldChar w:fldCharType="end"/>
      </w:r>
    </w:p>
    <w:p w:rsidR="00660716" w:rsidRDefault="00660716" w:rsidP="00660716"/>
    <w:p w:rsidR="00660716" w:rsidRDefault="00660716" w:rsidP="00660716">
      <w:pPr>
        <w:pStyle w:val="EntradandiceAuto"/>
      </w:pPr>
      <w:r>
        <w:t>Sección Segunda. Auto 122/1997, de 29 de abril de 1997. Acordando la inadmisión a trámite del recurso de amparo 3.779/1996.</w:t>
      </w:r>
      <w:r>
        <w:tab/>
      </w:r>
      <w:r>
        <w:tab/>
      </w:r>
      <w:r>
        <w:fldChar w:fldCharType="begin"/>
      </w:r>
      <w:r>
        <w:instrText xml:space="preserve"> PAGEREF AUTO_1997_122 \h </w:instrText>
      </w:r>
      <w:r>
        <w:fldChar w:fldCharType="separate"/>
      </w:r>
      <w:r w:rsidR="00817D23">
        <w:rPr>
          <w:noProof/>
        </w:rPr>
        <w:t>1534</w:t>
      </w:r>
      <w:r>
        <w:fldChar w:fldCharType="end"/>
      </w:r>
    </w:p>
    <w:p w:rsidR="00660716" w:rsidRDefault="00660716" w:rsidP="00660716"/>
    <w:p w:rsidR="00660716" w:rsidRDefault="00660716" w:rsidP="00660716">
      <w:pPr>
        <w:pStyle w:val="EntradandiceAuto"/>
      </w:pPr>
      <w:r>
        <w:t>Sección Segunda. Auto 123/1997, de 29 de abril de 1997. Acuerda el desistimiento en el recurso de amparo 761/1997, promovido en litigio social.</w:t>
      </w:r>
      <w:r>
        <w:tab/>
      </w:r>
      <w:r>
        <w:tab/>
      </w:r>
      <w:r>
        <w:fldChar w:fldCharType="begin"/>
      </w:r>
      <w:r>
        <w:instrText xml:space="preserve"> PAGEREF AUTO_1997_123 \h </w:instrText>
      </w:r>
      <w:r>
        <w:fldChar w:fldCharType="separate"/>
      </w:r>
      <w:r w:rsidR="00817D23">
        <w:rPr>
          <w:noProof/>
        </w:rPr>
        <w:t>1538</w:t>
      </w:r>
      <w:r>
        <w:fldChar w:fldCharType="end"/>
      </w:r>
    </w:p>
    <w:p w:rsidR="00660716" w:rsidRDefault="00660716">
      <w:pPr>
        <w:spacing w:after="160" w:line="259" w:lineRule="auto"/>
      </w:pPr>
      <w:r>
        <w:br w:type="page"/>
      </w:r>
    </w:p>
    <w:p w:rsidR="00660716" w:rsidRDefault="00660716" w:rsidP="008107C7"/>
    <w:p w:rsidR="00660716" w:rsidRDefault="00660716" w:rsidP="008107C7"/>
    <w:p w:rsidR="008107C7" w:rsidRDefault="008107C7" w:rsidP="008107C7"/>
    <w:p w:rsidR="008107C7" w:rsidRDefault="008107C7" w:rsidP="008107C7"/>
    <w:p w:rsidR="008107C7" w:rsidRDefault="008107C7" w:rsidP="008107C7"/>
    <w:p w:rsidR="008107C7" w:rsidRDefault="008107C7" w:rsidP="008107C7"/>
    <w:p w:rsidR="008107C7" w:rsidRDefault="008107C7" w:rsidP="008107C7"/>
    <w:p w:rsidR="008107C7" w:rsidRDefault="008107C7" w:rsidP="008107C7"/>
    <w:p w:rsidR="008107C7" w:rsidRDefault="008107C7" w:rsidP="008107C7">
      <w:pPr>
        <w:pStyle w:val="CabeceraApartado"/>
      </w:pPr>
      <w:r>
        <w:t>SENTENCIAS</w:t>
      </w:r>
    </w:p>
    <w:p w:rsidR="008107C7" w:rsidRDefault="008107C7">
      <w:pPr>
        <w:spacing w:after="160" w:line="259" w:lineRule="auto"/>
        <w:rPr>
          <w:rFonts w:ascii="Times New Roman" w:eastAsia="Times New Roman" w:hAnsi="Times New Roman" w:cs="Times New Roman"/>
          <w:sz w:val="48"/>
          <w:szCs w:val="24"/>
          <w:lang w:eastAsia="es-ES"/>
        </w:rPr>
      </w:pPr>
      <w:r>
        <w:br w:type="page"/>
      </w:r>
    </w:p>
    <w:p w:rsidR="008107C7" w:rsidRDefault="008107C7" w:rsidP="008107C7">
      <w:pPr>
        <w:pStyle w:val="TtuloResolucin"/>
      </w:pPr>
      <w:bookmarkStart w:id="4" w:name="SENTENCIA_1997_1"/>
      <w:r>
        <w:lastRenderedPageBreak/>
        <w:t>SENTENCIA 1/1997, de 13 de enero de 1997</w:t>
      </w:r>
    </w:p>
    <w:bookmarkEnd w:id="4"/>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39, de 14 de febrero de 1997)</w:t>
      </w:r>
    </w:p>
    <w:p w:rsidR="008107C7" w:rsidRDefault="008107C7" w:rsidP="008107C7">
      <w:pPr>
        <w:pStyle w:val="TtuloBOE"/>
      </w:pPr>
    </w:p>
    <w:p w:rsidR="008107C7" w:rsidRDefault="008107C7" w:rsidP="008107C7">
      <w:pPr>
        <w:pStyle w:val="SntesisDescriptiva"/>
      </w:pPr>
      <w:r>
        <w:t>ECLI:ES:TC:1997:1</w:t>
      </w:r>
    </w:p>
    <w:p w:rsidR="008107C7" w:rsidRDefault="008107C7" w:rsidP="008107C7">
      <w:pPr>
        <w:pStyle w:val="SntesisDescriptiva"/>
      </w:pPr>
    </w:p>
    <w:p w:rsidR="008107C7" w:rsidRDefault="008107C7" w:rsidP="008107C7">
      <w:pPr>
        <w:pStyle w:val="SntesisDescriptiva"/>
      </w:pPr>
      <w:r>
        <w:t>Recurso de amparo 2.728/1992. Contra Auto de la Sala de lo Contencioso-Administrativo del T.S.J. de Madrid dictada en trámite de ejecución de Sentencia.</w:t>
      </w:r>
    </w:p>
    <w:p w:rsidR="008107C7" w:rsidRDefault="008107C7" w:rsidP="008107C7">
      <w:pPr>
        <w:pStyle w:val="SntesisDescriptiva"/>
      </w:pPr>
    </w:p>
    <w:p w:rsidR="008107C7" w:rsidRDefault="008107C7" w:rsidP="008107C7">
      <w:pPr>
        <w:pStyle w:val="SntesisAnaltica"/>
      </w:pPr>
      <w:r>
        <w:t>Vulneración del derecho a la tutela judicial efectiva : intangibilidad de la cosa juzgada.</w:t>
      </w:r>
    </w:p>
    <w:p w:rsidR="008107C7" w:rsidRDefault="008107C7" w:rsidP="008107C7">
      <w:pPr>
        <w:pStyle w:val="SntesisAnaltica"/>
      </w:pPr>
    </w:p>
    <w:p w:rsidR="008107C7" w:rsidRDefault="008107C7" w:rsidP="008107C7">
      <w:pPr>
        <w:pStyle w:val="Extracto"/>
      </w:pPr>
      <w:r>
        <w:t>1.</w:t>
      </w:r>
      <w:r>
        <w:tab/>
        <w:t>Por su propia esencia, la discriminación, como tratamiento peyorativo, exige un factor de alteridad, la existencia del «otro» mejor tratado y, por ello, necesita para su consideración y enjuiciamiento un término de comparación que, por ser un hecho constitutivo de la pretensión (veáse al respecto el art. 1.214 C.C.), ha de ser suministrado -no sólo alegado, sino probado- por quien la esgrime (SSTC 307/1993, 80/1994, 321/1994 y 11/1995), elemento de juicio para comprobar si se da el sedicente agravio comparativo que debe venir referido a una situación jurídica concreta donde se encuentren otros ciudadanos o grupos de ciudadanos (STC 80/1994 y AATC 98/1986 y 940/1987), sin que baste una invocación abstracta genérica e indeterminada como aquí sucede. [F.J. 2]</w:t>
      </w:r>
    </w:p>
    <w:p w:rsidR="008107C7" w:rsidRDefault="008107C7" w:rsidP="008107C7">
      <w:pPr>
        <w:pStyle w:val="Extracto"/>
      </w:pPr>
    </w:p>
    <w:p w:rsidR="008107C7" w:rsidRDefault="008107C7" w:rsidP="008107C7">
      <w:pPr>
        <w:pStyle w:val="Extracto"/>
      </w:pPr>
      <w:r>
        <w:t>2.</w:t>
      </w:r>
      <w:r>
        <w:tab/>
        <w:t>La actividad jurisdiccional dirigida a ejecutar lo juzgado ha de respetar escrupulosamente el fallo o parte dispositiva y ejercitarse con energía e intensidad suficientes para superar los obstáculos que pudieran oponérsele (STC 153/1992). En tal sentido, el derecho a la ejecución impide que el órgano judicial encargado de ella, aunque sea el mismo que dictó la Sentencia, se aparte de lo mandado en el pronunciamiento a cumplir o se abstenga de adoptar las medidas necesarias para conseguirlo (SSTC 306/1993 y 322/1994). Ello significa entonces que tal derecho tiene como presupuesto lógico, y aun constitucional, la intangibilidad de la firmeza de las resoluciones judiciales y de las situaciones jurídicas allí declaradas (STC 135/1994), sin que, por lo mismo, puedan ser introducidas en el procedimiento de ejecución, para alterar el contenido de la parte dispositiva de la Sentencia, cuestiones no abordadas en ella ni decididas en el fallo que se trate de ejecutar o con las que éste no guarde una directa e inmediata relación de causalidad (SSTC 91/1993 y 219/1994). [F.J. 3]</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don Fernando García-Mon y González-Regueral, don Rafael de Mendizábal Allende, don Julio Diego González Campos,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2.728/92 interpuesto por don Manuel Solana Cortés, a quien representa el Procurador de los Tribunales don Francisco de Guinea y Gauna con la dirección del Letrado don Fernando Rodríguez de Rivera y Morón, contra el Auto que la Sección Octava de la Sala de lo Contencioso-Administrativo del Tribunal Superior de Justicia de Madrid dictó el 20 de julio de 1992, en ejecución de Sentencia. Han comparecido el Ministerio Fiscal y el Abogado del Estado, en la representación y defensa que le son propias, siendo Ponente el Magistrado don Rafael de Mendizábal Allende,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Don Manuel Solana Cortés, en escrito que presentó el 13 de noviembre de 1992, interpuso el recurso de amparo de que se hace mérito en el encabezamiento, diciendo que, en Sentencia que pronunció el 11 de marzo de 1991, la Sección Octava de la Sala de lo Contencioso-Administrativo del Tribunal Superior de Justicia de Madrid le reconoció el derecho a percibir indemnización por residencia eventual en virtud de su asistencia al Curso de Estado Mayor impartido en Madrid entre el 15 de septiembre de 1985 y el 5 de octubre de 1987, condenando a la Administración del Estado a abonarle «los importes que resulten». Ante la tardanza de la Administración en dar cumplimiento a dicha Sentencia, instó de la Sala sentenciadora su ejecución. En el incidente que se abrió al efecto la Administración remitió un oficio en el que ponía de manifiesto que había conocido con posterioridad al pronunciamiento de la Sentencia que el recurrente solicitó y obtuvo una determinada cantidad (87.192 pesetas) en concepto de traslado de residencia por la realización del mismo Curso y proponía tres soluciones alternativas para la ejecución (indemnización por residencia eventual hasta la fecha en que el demandante realizó el traslado de residencia; descontar en el pago de aquélla indemnización la cantidad recibida por traslado de residencia; hacer ese descuento en el momento de la fijación de la cuantía de aquella indemnización). Tras oír contradictoriamente a las partes, el 20 de julio de 1992 la Sala dictó Auto en el que declaró no haber lugar a proseguir la ejecución y dio por saldada la deuda de la Administración con el recurrente en materia de residencia, mediante el abono de 87.192 pesetas en concepto de indemnización por traslado de residencia. Este Auto fue confirmado en súplica en otro de 13 de octubre del mismo año. </w:t>
      </w:r>
    </w:p>
    <w:p w:rsidR="008107C7" w:rsidRDefault="008107C7" w:rsidP="008107C7">
      <w:pPr>
        <w:pStyle w:val="TextoNormal"/>
      </w:pPr>
      <w:r>
        <w:t xml:space="preserve">El demandante de amparo sostiene que la decisión adoptada en el Auto que combate infringe el art. 14 C.E. porque aplica «la norma con criterios discriminatorios». Afirma que, conforme a la normativa contenida en el Real Decreto 1.344/1984, para fijar la cuantía de la indemnización por residencia eventual no resulta trascendente, precisa ni necesaria la justificación del gasto habido. El Tribunal Superior de Justicia, al tomar en consideración la indemnización recibida en concepto de traslado de residencia, ha aplicado la norma con criterios distintos y discriminatorios para él en relación con otros asistentes al curso y «otros funcionarios en similar o idéntica aplicación del decreto». </w:t>
      </w:r>
    </w:p>
    <w:p w:rsidR="008107C7" w:rsidRDefault="008107C7" w:rsidP="008107C7">
      <w:pPr>
        <w:pStyle w:val="TextoNormal"/>
      </w:pPr>
      <w:r>
        <w:t xml:space="preserve">También afirma que la recurrida decisión jurisdiccional ha conculcado el derecho a que se respeten y ejecuten las resoluciones judiciales firmes en sus propios términos (art. 24.1 C.E.). El respeto debido a la cosa juzgada impide que en el período de ejecución del fallo se hagan declaraciones que alteren o modifiquen la parte dispositiva del mismo o que, por </w:t>
      </w:r>
      <w:r>
        <w:lastRenderedPageBreak/>
        <w:t>otro lado, resuelvan cuestiones no controvertidas en el pleito, salvo las de carácter complementario que constituyan presupuesto ineludible de lo ejecutoriamente resuelto. Así las cosas, la Administración no podía introducir en período de ejecución de Sentencia una cuestión que no había sido debatida en el proceso, pese a que existía y debía ser conocida con anterioridad al mismo, y, por ello, el Tribunal no podía dejar de ejecutar el fallo en sus propios términos, sin merma del indicado derecho fundamental, con fundamento en alegaciones o hechos que debieron ser realizadas o traídos al proceso en el curso de su desarrollo. Concluye la demanda con la solicitud de que sea estimado el recurso de amparo.</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La Sección Cuarta, tras requerir al Procurador para que acreditase la representación que decía ostentar y recabar de la Sección Octava de la Sala de lo Contencioso-Administrativo del Tribunal Superior de Justicia de Madrid la remisión de certificación o copia adverada de las actuaciones, en providencia de 14 de junio de 1993 decidió poner de manifiesto al Fiscal y al recurrente la posible concurrencia de la causa de inadmisión prevista en el art. 50.1 c) de la Ley Orgánica del Tribunal Constitucional, consistente en la manifiesta falta de contenido constitucional de la demanda. El traslado fue evacuado mediante sendos escritos presentados el 25 y el 30 de junio, respectivamente, y, en providencia, de 19 de julio, admitió a trámite la demanda, solicitando del mencionado Tribunal el emplazamiento de quienes fueron parte en el proceso para que pudieran comparecer en este de amparo, si les conviniere. </w:t>
      </w:r>
    </w:p>
    <w:p w:rsidR="008107C7" w:rsidRDefault="008107C7" w:rsidP="008107C7">
      <w:pPr>
        <w:pStyle w:val="TextoNormal"/>
      </w:pPr>
      <w:r>
        <w:t>El Abogado del Estado compareció mediante escrito presentado el 28 de julio y, en providencia de 30 de septiembre, la Sección Cuarta dio vista de las actuaciones a la partes por plazo común de veinte días.</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El demandante de amparo evacuó el traslado en escrito registrado el 21 de octubre, en el que se remitió a los hechos y fundamentos de Derecho de su demanda. </w:t>
      </w:r>
    </w:p>
    <w:p w:rsidR="008107C7" w:rsidRDefault="008107C7" w:rsidP="008107C7">
      <w:pPr>
        <w:pStyle w:val="TextoNormal"/>
      </w:pPr>
      <w:r>
        <w:t xml:space="preserve">El Fiscal formuló sus alegaciones en escrito que presentó el 26 de octubre, en el que interesa sea dictada Sentencia denegatoria del amparo solicitado. Expone al efecto que la violación que del art. 14 C.E. denuncia el demandante (aplicación de la norma con criterios discriminatorios, ya que «no es necesario hacer ninguna justificación de los gastos habidos en la residencia habitual»), aparte de su carácter de cuestión de legalidad ordinaria, nada tiene que ver con las razones expuestas en el Auto recurrido para desestimar la pretensión de ejecución del demandante, en el que se afirma el carácter incompatible de las indemnizaciones por traslado de residencia respecto de las correspondientes a residencia eventual, de modo que, cobrada una cantidad por uno de los conceptos, no puede pretenderse cobrar cantidad alguna por el otro, en tanto el supuesto de hecho sea el mismo. Por otra parte, el Auto impugnado da una interpretación razonada y razonable de su decisión, sin que corresponda al Tribunal Constitucional controlar la interpretación que de la legalidad ordinaria hacen los Tribunales, salvo los casos en que las mismas supongan una evidente vulneración de un derecho fundamental. También carece de trascendencia constitucional la queja relativa al trato discriminatorio recibido por el demandante «con referencia a aquellos otros en que se ha venido aplicando la norma mediante el pago de unas cantidades que, con independencia de los gastos que pudieran generar cada uno, estaba ya fijada en la orden de convocatoria del concurso», pues aquél no aporta ni una sola resolución que permita comprobar la efectiva existencia de soluciones contradictorias de un mismo órgano jurisdiccional sobre la cuestión. </w:t>
      </w:r>
    </w:p>
    <w:p w:rsidR="008107C7" w:rsidRDefault="008107C7" w:rsidP="008107C7">
      <w:pPr>
        <w:pStyle w:val="TextoNormal"/>
      </w:pPr>
      <w:r>
        <w:t xml:space="preserve">El pronunciamiento del Auto recurrido se encuentra amparado en el contenido del fallo de la Sentencia que se trataba de ejecutar, por lo que tampoco se ha producido infracción </w:t>
      </w:r>
      <w:r>
        <w:lastRenderedPageBreak/>
        <w:t>del art. 24.1 C.E. Acreditada en ejecución de Sentencia la percepción de unas cantidades por traslado de residencia, que son incompatibles con las dietas por residencia eventual, la Sala considera lógicamente que ya se ha producido la ejecución del fallo. En el Auto resolutorio del recurso de súplica se explica, de forma razonada y no arbitraria, que la incompatibilidad de percepciones se traduce en una obligación alternativa para la Administración, de modo que, cumplida una de las posibles modalidades, se extingue la obligación y, por lo tanto, no se puede proceder a la ejecución de la otra. No se trata, por tanto, de un Auto contrario a la Sentencia firme, sino de determinar que lo dispuesto en la Sentencia ha sido ejecutado mediante una prestación de iguales características, aunque incompatible con la inicialmente solicitada y concedida. Es cierto que la Sala pudo optar por alguna de las otras dos fórmulas que se sugerían en el oficio del Ministerio de Defensa y cuantificar ambas indemnizaciones, pagando la diferencia en caso de que la realmente percibida fuera inferior a la que correspondería al recurrente según la Sentencia, pero la decisión de la Sala entendiendo que se trataba de obligaciones alternativas y, cumplida una de ellas, extinguida la otra, es perfectamente razonable y, por tanto, no incurre en vulneración del derecho a la tutela judicial efectiva. A esta decisión del Tribunal Superior de Justicia no es obstáculo el hecho de que constara en el expediente administrativo la percepción de la indemnización por traslado de residencia y, pese a ello, no fuera alegada por el Abogado del Estado en el curso del proceso ni, por tanto, apreciada por el Tribunal hasta la ejecución de su Sentencia, pues, de haberse tenido en cuenta, la Sentencia hubiera sido claramente desestimatoria de las pretensiones del demandante, precisamente por la incompatibilidad de las prestaciones.</w:t>
      </w:r>
    </w:p>
    <w:p w:rsidR="008107C7" w:rsidRDefault="008107C7" w:rsidP="008107C7">
      <w:pPr>
        <w:pStyle w:val="TextoNormal"/>
      </w:pPr>
    </w:p>
    <w:p w:rsidR="008107C7" w:rsidRDefault="008107C7" w:rsidP="008107C7">
      <w:pPr>
        <w:pStyle w:val="TextoNormal"/>
      </w:pPr>
      <w:r w:rsidRPr="008107C7">
        <w:rPr>
          <w:rStyle w:val="NumeroAFNegritaCaracter"/>
        </w:rPr>
        <w:t>4</w:t>
      </w:r>
      <w:r>
        <w:t>. El Abogado del Estado, en escrito presentado el 27 de octubre, también interesa la desestimación del amparo, porque, en primer término, el demandante no fundamenta en absoluto la violación que denuncia del art. 14 C.E. ni aporta término de comparación hábil alguno que permita inferir que ha existido violación de tal precepto constitucional. En segundo lugar, y por lo que se refiere al art. 24.1 C.E., porque el control que de la ejecución de las resoluciones judiciales realiza el Tribunal Constitucional no tiene como cometido determinar cuáles sean las decisiones que, en cada caso, hayan de adoptarse para la ejecución de lo resuelto, debiéndose limitar a vigilar que la posible inejecución de un fallo judicial no sea debida a una decisión arbitraria o irrazonable o a la pasividad o desfallecimiento del órgano judicial encargado de la ejecución. Lo cierto es que, cuando interpuso el recurso contencioso-administrativo, el demandante de amparo ya había recibido indemnización por traslado de residencia para acudir al Curso de Estado Mayor y, constatado este hecho, la Sala de lo Contencioso-Administrativo considera que se ha dado satisfacción al contenido del fallo de su Sentencia. No cabe, pues, imputar pasividad o inactividad al Tribunal encargado de la ejecución, que arbitró un mecanismo a través del cual puede considerarse cumplida la Sentencia. Otra solución hubiera llevado al pago al recurrente de la cantidad correspondiente por indemnización por residencia eventual y a la exigencia simultánea a éste de que restituyera a la Administración lo recibido en concepto de indemnización por traslado de domicilio.</w:t>
      </w:r>
    </w:p>
    <w:p w:rsidR="008107C7" w:rsidRDefault="008107C7" w:rsidP="008107C7">
      <w:pPr>
        <w:pStyle w:val="TextoNormal"/>
      </w:pPr>
    </w:p>
    <w:p w:rsidR="008107C7" w:rsidRDefault="008107C7" w:rsidP="008107C7">
      <w:pPr>
        <w:pStyle w:val="TextoNormal"/>
      </w:pPr>
      <w:r w:rsidRPr="008107C7">
        <w:rPr>
          <w:rStyle w:val="NumeroAFNegritaCaracter"/>
        </w:rPr>
        <w:t>5</w:t>
      </w:r>
      <w:r>
        <w:t>. En providencia de 9 de enero de 1997, se señaló para deliberación y votación de la presente Sentencia el día 13 del mismo mes y año.</w:t>
      </w:r>
    </w:p>
    <w:p w:rsidR="008107C7" w:rsidRDefault="008107C7" w:rsidP="008107C7">
      <w:pPr>
        <w:pStyle w:val="TextoNormal"/>
      </w:pPr>
    </w:p>
    <w:p w:rsidR="008107C7" w:rsidRDefault="008107C7" w:rsidP="008107C7">
      <w:pPr>
        <w:pStyle w:val="TextoNormalNegritaCentrado"/>
        <w:keepNext/>
      </w:pPr>
      <w:r>
        <w:lastRenderedPageBreak/>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En el Auto frente al cual se esgrime la pretensión de amparo, dentro del procedimiento para ejecutar la Sentencia dictada el 11 de marzo de 1991, la Sala de lo Contencioso-Administrativo (Sección Octava) del Tribunal Superior de Justicia de Madrid dio por compensada la deuda que la Administración militar tenía contraída con el ganador del pleito, a quien le había reconocido aquélla el derecho a ser indemnizado por residencia eventual como consecuencia de haber asistido al Curso de Estado Mayor impartido en Madrid entre el 15 de septiembre de 1985 y el 5 de octubre de 1987. El pronunciamiento judicial era triple, conteniendo como premisa la anulación de los actos administrativos impugnados con la correlativa declaración del derecho a ser indemnizado por tal concepto y con la condena de la Administración al pago de la cantidad correspondiente.</w:t>
      </w:r>
    </w:p>
    <w:p w:rsidR="008107C7" w:rsidRDefault="008107C7" w:rsidP="008107C7">
      <w:pPr>
        <w:pStyle w:val="TextoNormal"/>
      </w:pPr>
      <w:r>
        <w:t>Sin embargo, el hoy demandante había solicitado y obtenido en su día, incluso antes de iniciarse el proceso contencioso-administrativo, otra indemnización por traslado de residencia para asistir al mismo Curso, circunstancia que desconocía la Sala juzgadora al tiempo de dictar Sentencia, aun cuando no la Administración. Sabido con posterioridad y siendo incompatibles esas dos indemnizaciones, el Auto cuya nulidad se predica aquí y ahora considera que así se configura «una auténtica obligación legal alternativa, en definición del art. 1.131 párrafo primero del Código Civil, en relación a su art. 1.090, que conlleva la extinción de una prestación tan pronto es satisfecha la alternativa a modo de una novación extintiva por incompatibilidad sobrevenida entre obligaciones de contenido económico unitario y especificación alternativa, conforme al art. 1.204 del mismo Código, en conexión con los preceptos legales anteriores».</w:t>
      </w:r>
    </w:p>
    <w:p w:rsidR="008107C7" w:rsidRDefault="008107C7" w:rsidP="008107C7">
      <w:pPr>
        <w:pStyle w:val="TextoNormal"/>
      </w:pPr>
    </w:p>
    <w:p w:rsidR="008107C7" w:rsidRDefault="008107C7" w:rsidP="008107C7">
      <w:pPr>
        <w:pStyle w:val="TextoNormal"/>
      </w:pPr>
      <w:r w:rsidRPr="008107C7">
        <w:rPr>
          <w:rStyle w:val="NumeroAFNegritaCaracter"/>
        </w:rPr>
        <w:t>2</w:t>
      </w:r>
      <w:r>
        <w:t>. Una vez perfilado el anverso formal del objeto procesal, este se completa por su reverso, la pretensión, consistente en anular el Auto donde tal se dice, con su fundamento o ratio petendi que se pone en dos normas constitucionales, el principio de igualdad ante la Ley, quebrantado -se dice- por aplicar discriminatoriamente al Real Decreto 1.344/1984 y el derecho a obtener el cumplimiento íntegro y en sus propios términos de las decisiones judiciales. El primero de esos dos argumentos puede y debe ser rechazado a limine, en el umbral de esta Sentencia, puesto que -por su propia esencia- la discriminación, como tratamiento peyorativo, exige un factor de alteridad, la existencia del "otro" mejor tratado y, por ello, necesita para su consideración y enjuiciamiento un término de comparación que, por ser un hecho constitutivo de la pretensión (veáse al respecto el art. 1.214 C.c.), ha de ser suministrado -no sólo alegado sino probado- por quien la esgrime, (SSTC 307/1993, 80/1994, 321/1994 y 11/1995), elemento de juicio para comprobar si se da el sedicente agravio comparativo que debe venir referido a una situación jurídica concreta donde se encuentren otros ciudadanos o grupos de ciudadanos (STC 80/1994 y AATC 98/1986 y 940/1987), sin que baste una invocación abstracta genérica e indeterminada como aquí sucede. La queja se diluye así en una mera invocación de una desigualdad no identificada ni ponderable, reduciéndose a una discrepancia de criterio con la solución dada al caso por el Tribunal Superior de Justicia. En definitiva, se plantea una cuestión importante en el plano de la legalidad -el sentido y alcance, la interpretación del ya mencionado Real Decreto- pero sin una dimensión constitucional desde la perspectiva del art. 14 C.E.</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Lo mismo ocurre con el tema principal, que no llega a transcender ese ámbito de la legalidad, ya que consiste en determinar si son compatibles, o no, las indemnizaciones por </w:t>
      </w:r>
      <w:r>
        <w:lastRenderedPageBreak/>
        <w:t>residencia eventual y por traslado de residencia.  Ahora bien, no puede soslayarse que, tal y como ya hemos tenido ocasión de advertir en otras ocasiones (STC 102/1995), ambos niveles, el constitucional y el legal, se encuentran interrelacionados. Es precisamente la interpretación de aquella legalidad, sostenida por la Sala juzgadora en el Auto que dictó dando por ejecutada su sentencia, la causa directa e inmediata del efecto (modificación de la cosa juzgada) al cual se imputa la vulneración del art.  24.1 C.E.</w:t>
      </w:r>
    </w:p>
    <w:p w:rsidR="008107C7" w:rsidRDefault="008107C7" w:rsidP="008107C7">
      <w:pPr>
        <w:pStyle w:val="TextoNormal"/>
      </w:pPr>
      <w:r>
        <w:t>El derecho que se configura en el sobredicho precepto constitucional exige, además de una respuesta razonable y razonada a la pretensión, que el pronunciamiento judicial sea cumplido, exigencia inherente a la efectividad que se predica de la tutela judicial. En tal línea discursiva hay que situar la norma constitucional donde se impone con el mayor énfasis la obligación de cumplir las Sentencias y demás resoluciones judiciales firmes que a todos nos incumbe (art. 118 C.E.), precepto que también tiene otros aspectos y cuyo alcance va más allá, trasciende su enunciado, como ha puesto de relieve la doctrina legal del Tribunal Supremo, con valor normativo complementario del ordenamiento jurídico. La garantía en que consiste la la tutela judicial, con su complejidad de contenido, no tiene otro designio que la consagración práctica de los derechos cuya protección se impetra ante los Tribunales. No basta con acatar su opinión sino que hay que hacerla realidad. Lo contrario sería convertir las decisiones judiciales, y el reconocimiento por ellas de los derechos a favor de cualquiera de las partes, en meras declaraciones de propósitos o de buenas intenciones (por todas, STC 316/1994).  De nada serviría obtenerlas, con todos los sacramentos procesales en un juicio formalmente impecable, si el solemne pronunciamiento que lo corone no llegara a tener reflejo en el mundo de los hechos. El derecho al cumplimiento o ejecución se integra, pues, por si mismo, sin violencia conceptual alguna, en el más amplio de la tutela judicial.</w:t>
      </w:r>
    </w:p>
    <w:p w:rsidR="008107C7" w:rsidRDefault="008107C7" w:rsidP="008107C7">
      <w:pPr>
        <w:pStyle w:val="TextoNormal"/>
      </w:pPr>
      <w:r>
        <w:t>Colorario de lo dicho es que la actividad jurisdiccional dirigida a esa finalidad de ejecutar lo juzgado ha de respetar escrupulosamenta el fallo o parte dispositiva y ejercitarse con energía e intensidad suficientes para superar los obstáculo que pudieran oponersele (STC 153/1992). En tal sentido, el derecho a la ejecución impide que el órgano judicial encargado de ella, aunque sea el mismo que dictó la Sentencia, se aparte de lo mandado en el pronunciamiento a cumplir o se abstenga de adoptar las medidas necesarias para conseguirlo (SSTC 306/1993 y 322/1994). Ello significa entonces que tal derecho tiene como presupuesto lógico y aun constitucional, la intangibilidad de la firmeza de las resoluciones judiciales y de las situaciones jurídicas allí declaradas (STC 135/1994), sin que, por lo mismo, puedan ser introducidas en el procedimiento de ejecución, para alterar el contenido de la parte dispositiva de la Sentencia, cuestiones no abordadas en ella ni decididas en el fallo que se trate de ejecutar o con las que éste no guarde una directa e inmediata relación de causalidad (SSTC 91/1993 y 219/1994).</w:t>
      </w:r>
    </w:p>
    <w:p w:rsidR="008107C7" w:rsidRDefault="008107C7" w:rsidP="008107C7">
      <w:pPr>
        <w:pStyle w:val="TextoNormal"/>
      </w:pPr>
    </w:p>
    <w:p w:rsidR="008107C7" w:rsidRDefault="008107C7" w:rsidP="008107C7">
      <w:pPr>
        <w:pStyle w:val="TextoNormal"/>
      </w:pPr>
      <w:r w:rsidRPr="008107C7">
        <w:rPr>
          <w:rStyle w:val="NumeroAFNegritaCaracter"/>
        </w:rPr>
        <w:t>4</w:t>
      </w:r>
      <w:r>
        <w:t>. Pues bien, dicho lo cual puede anticiparse ya que en este caso se ha desconocido el derecho fundamental de quien nos pide amparo a que la Sentencia a su favor, dictada el 11 de marzo de 1991 por la Sala de lo Contencioso-Administrativo fuera ejecutada en sus propios términos. En el curso del procedimiento para ello, la Sala sentenciadora tuvo conocimiento de que, con el mismo fundamento, el hoy demandante había solicitado y obtenido una indemnización por traslado de residencia. Una vez comprobada la doble percepción y la incompatibilidad existente entre uno y otro concepto retributivo, el Auto que se impugna en esta sede llega a la conclusión de que la obligación pecuniaria impuesta a la Administración en la Sentencia quedó configurada como una obligación de cumplimiento alternativo considerándole extinguida por el cobro de una de tales indemnizaciones.</w:t>
      </w:r>
    </w:p>
    <w:p w:rsidR="008107C7" w:rsidRDefault="008107C7" w:rsidP="008107C7">
      <w:pPr>
        <w:pStyle w:val="TextoNormal"/>
      </w:pPr>
      <w:r>
        <w:lastRenderedPageBreak/>
        <w:t>Esta conclusión no sólo desconoce el contenido de la Sentencia en trance de ejecución, sino que por tal vía sesgada introduce una cuestión nueva no debatida en el pleito. El Auto donde la propone el Tribunal Superior de Justicia niega así al ganador del pleito lo que le había reconocido la Sentencia y lo hace con un instrumento inadecuado, reabriendo un debate ya concluso en momento inoportuno con temas no planteados ni sometidos a debate contradictorio en la fase procesal idónea y enervándo así la efectividad de la tutela judicial en su vertiente del derecho a la ejecución de lo juzgado definitivamente con la cualidad de la firmeza. Buena prueba de que ello es que, si la disyuntiva sobre la compatibilidad o incompatibilidad de los dos tipos de indemnización hubiera sido planteada cuando debió serlo (en la fase de alegaciones del proceso) antes de dictarse Sentencia, el contenido de ésta habría sido tan distinto que conducía indefectiblemente a la desestimación del recurso contencioso-administrativo, como el propio Tribunal Superior de Justicia reconoce en su Auto de 20 de julio de 1992.</w:t>
      </w:r>
    </w:p>
    <w:p w:rsidR="008107C7" w:rsidRDefault="008107C7" w:rsidP="008107C7">
      <w:pPr>
        <w:pStyle w:val="TextoNormal"/>
      </w:pPr>
      <w:r>
        <w:t>Cierto es que al Tribunal Constitucional no le corresponde, en vía de amparo, sustituir a la autoridad judicial en el cometido de determinar el modo de llevar a puro y debido efecto sus pronunciamientos ni, por lo tanto, examinar la corrección de las decisiones que, en cada caso, adopten aquéllos para la ejecución de lo resuelto, pero no lo es menos que le incumbe velar por que las decisiones que se adopten en el seno del procedimiento de ejecución lo sean de un modo razonablemente coherente con el contenido de la resolución que se haya de ejecutar, así como reparar en su caso las lesiones que sean fruto de decisiones arbitrarias e irrazonables o tengan su origen en la pasividad o desfallecimiento del órgano judicial encargado de la ejecución (SSTC 167/1987, 153/1992, 247/1993 y 251/1993) y, también como ocurre aquí y ahora, cuando desconozcan de la intangibilidad de la cosa juzgada.</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Estimar el presente recurso de amparo y, en consecuencia,</w:t>
      </w:r>
    </w:p>
    <w:p w:rsidR="008107C7" w:rsidRDefault="008107C7" w:rsidP="008107C7">
      <w:pPr>
        <w:pStyle w:val="TextoNormal"/>
      </w:pPr>
      <w:r>
        <w:t>1º Declarar que se ha vulnerado el derecho fundamental que asiste al demandante para obtener la tutela judicial efectiva en su vertiente de la ejecución de lo juzgado.</w:t>
      </w:r>
    </w:p>
    <w:p w:rsidR="008107C7" w:rsidRDefault="008107C7" w:rsidP="008107C7">
      <w:pPr>
        <w:pStyle w:val="TextoNormal"/>
      </w:pPr>
      <w:r>
        <w:t>2º Restablecerle en el disfrute de ese derecho, a cuyo fin declaramos la nulidad de los Autos pronunciados en el recurso núm. 589/89-03 por la Sección Octava de la Sala de lo Contencioso-Administrativo del Tribunal Superior de Justicia de Madrid los días 20 de julio y 13 de octubre de 1992.</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trece de enero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5" w:name="SENTENCIA_1997_2"/>
      <w:r>
        <w:lastRenderedPageBreak/>
        <w:t>SENTENCIA 2/1997, de 13 de enero de 1997</w:t>
      </w:r>
    </w:p>
    <w:bookmarkEnd w:id="5"/>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39, de 14 de febrero de 1997)</w:t>
      </w:r>
    </w:p>
    <w:p w:rsidR="008107C7" w:rsidRDefault="008107C7" w:rsidP="008107C7">
      <w:pPr>
        <w:pStyle w:val="TtuloBOE"/>
      </w:pPr>
    </w:p>
    <w:p w:rsidR="008107C7" w:rsidRDefault="008107C7" w:rsidP="008107C7">
      <w:pPr>
        <w:pStyle w:val="SntesisDescriptiva"/>
      </w:pPr>
      <w:r>
        <w:t>ECLI:ES:TC:1997:2</w:t>
      </w:r>
    </w:p>
    <w:p w:rsidR="008107C7" w:rsidRDefault="008107C7" w:rsidP="008107C7">
      <w:pPr>
        <w:pStyle w:val="SntesisDescriptiva"/>
      </w:pPr>
    </w:p>
    <w:p w:rsidR="008107C7" w:rsidRDefault="008107C7" w:rsidP="008107C7">
      <w:pPr>
        <w:pStyle w:val="SntesisDescriptiva"/>
      </w:pPr>
      <w:r>
        <w:t>Recurso de amparo 285/1994. Contra Auto de la Audiencia Provincial de Vitoria desestimando recurso de apelación interpuesto por el recurrente contra Autos denegatorios del permiso de salida solicitado por el recluso ahora recurrente y dictados por el Juzgado de Vigilancia Penitenciaria de Bilbao.</w:t>
      </w:r>
    </w:p>
    <w:p w:rsidR="008107C7" w:rsidRDefault="008107C7" w:rsidP="008107C7">
      <w:pPr>
        <w:pStyle w:val="SntesisDescriptiva"/>
      </w:pPr>
    </w:p>
    <w:p w:rsidR="008107C7" w:rsidRDefault="008107C7" w:rsidP="008107C7">
      <w:pPr>
        <w:pStyle w:val="SntesisAnaltica"/>
      </w:pPr>
      <w:r>
        <w:t>Supuesta vulneración del derecho a la tutela judicial efectiva: motivación de la resolución recurrida.</w:t>
      </w:r>
    </w:p>
    <w:p w:rsidR="008107C7" w:rsidRDefault="008107C7" w:rsidP="008107C7">
      <w:pPr>
        <w:pStyle w:val="SntesisAnaltica"/>
      </w:pPr>
    </w:p>
    <w:p w:rsidR="008107C7" w:rsidRDefault="008107C7" w:rsidP="008107C7">
      <w:pPr>
        <w:pStyle w:val="Extracto"/>
      </w:pPr>
      <w:r>
        <w:t>1.</w:t>
      </w:r>
      <w:r>
        <w:tab/>
        <w:t>En la medida en que está en juego el valor superior de la libertad, el derecho a la tutela judicial efectiva sin indefensión no sólo exige resoluciones judiciales motivadas, sino motivaciones concordantes con los supuestos en los que la Constitución permite la afectación de ese valor superior. [F.J. 3]</w:t>
      </w:r>
    </w:p>
    <w:p w:rsidR="008107C7" w:rsidRDefault="008107C7" w:rsidP="008107C7">
      <w:pPr>
        <w:pStyle w:val="Extracto"/>
      </w:pPr>
    </w:p>
    <w:p w:rsidR="008107C7" w:rsidRDefault="008107C7" w:rsidP="008107C7">
      <w:pPr>
        <w:pStyle w:val="Extracto"/>
      </w:pPr>
      <w:r>
        <w:t>2.</w:t>
      </w:r>
      <w:r>
        <w:tab/>
        <w:t>Respecto a los permisos de salida a los reclusos, la Ley Orgánica 1/1979, General Penitenciaria (art. 47.2), y, con mayor desarrollo, el Reglamento Penitenciario (art. 254.2 del entonces vigente, aprobado por Real Decreto 1. 201/1981, y arts. 152 a 154 del reformado por Real Decreto 190/1996), los vinculan a la finalidad de preparar la vida en libertad del recluso, si bien establecen, asimismo, no sólo determinados requisitos (grado de cumplimiento, extinción de una cuarta parte de la condena y no observar mala conducta), sino la necesidad de un previo examen por los Equipos de Tratamiento y, ulteriormente, por las Juntas de Régimen y Administración de los establecimientos penitenciarios, de las particulares circunstancias que, en relación con el permiso solicitado, concurren en el solicitante. De manera que la concesión o denegación de tales permisos dependerá de la apreciación de dichos requisitos y, cumplidos éstos, de las concretas circunstancias de cada caso . [F.J. 4]</w:t>
      </w:r>
    </w:p>
    <w:p w:rsidR="008107C7" w:rsidRDefault="008107C7" w:rsidP="008107C7">
      <w:pPr>
        <w:pStyle w:val="Extracto"/>
      </w:pPr>
    </w:p>
    <w:p w:rsidR="008107C7" w:rsidRDefault="008107C7" w:rsidP="008107C7">
      <w:pPr>
        <w:pStyle w:val="Extracto"/>
      </w:pPr>
      <w:r>
        <w:t>3.</w:t>
      </w:r>
      <w:r>
        <w:tab/>
        <w:t>Las resoluciones impugnadas, que deniegan el permiso solicitado por el demandante de amparo, no sólo contienen una motivación suficiente «ex» art. 24.1 C.E.; sino también consistente con los supuestos en los que la Constitución permite la afectación de la libertad. De suerte que la interpretación realizada por los órganos jurisdiccionales de la normativa aplicable a los permisos de salida, en relación con la finalidad constitucionalmente legítima de que sirvan para preparar la vida en libertad del interno, no puede ser considerada como manifiestamente irrazonable o arbitraria (STC 148/1994) . [F.J. 5]</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 Mon y González Regueral, don Rafael de Mendizábal Allende, don Julio Diego González Campos,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285/94, interpuesto por don José María Fidalgo García, representado por el Procurador de los Tribunales don Norberto Pablo Jerez Fernández, con la dirección del Letrado don Angel González Jurado, contra el Auto de fecha 30 de diciembre de 1993, dictado por la Audiencia Provincial de Vitoria, por el que se desestimaba el recurso de apelación interpuesto por el recurrente contra los Autos de 27 de julio y 8 de septiembre de 1993, dictados en el expediente 5.480/93 sobre permiso de salida, seguido ante el Juzgado de Vigilancia Penitenciaria de Bilbao. Ha intervenido el Ministerio Fiscal y ha sido Ponente el Magistrado don Julio Diego González Campos,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que tuvo entrada en el registro de este Tribunal el 2 de febrero de 1994, el penado don José María Fidalgo García solicitó que se le nombrara Abogado y Procurador de oficio a fin de interponer recurso de amparo contra las resoluciones del Juzgado de Vigilancia Penitenciaria de Bilbao y de la Audiencia Provincial de Vitoria por las que se le había denegado la concesión de un permiso ordinario de salida.</w:t>
      </w:r>
    </w:p>
    <w:p w:rsidR="008107C7" w:rsidRDefault="008107C7" w:rsidP="008107C7">
      <w:pPr>
        <w:pStyle w:val="TextoNormal"/>
      </w:pPr>
    </w:p>
    <w:p w:rsidR="008107C7" w:rsidRDefault="008107C7" w:rsidP="008107C7">
      <w:pPr>
        <w:pStyle w:val="TextoNormal"/>
      </w:pPr>
      <w:r w:rsidRPr="008107C7">
        <w:rPr>
          <w:rStyle w:val="NumeroAFNegritaCaracter"/>
        </w:rPr>
        <w:t>2</w:t>
      </w:r>
      <w:r>
        <w:t>. Por providencia de 5 de mayo de 1994, la Sección Tercera de este Tribunal acordó dirigir atenta comunicación al Juzgado de Vigilancia Penitenciaria de Bilbao a fin de que remitiera certificación o fotocopia adverada de los Autos dictados por ese Juzgado en el expediente citado, así como de los recursos interpuestos.</w:t>
      </w:r>
    </w:p>
    <w:p w:rsidR="008107C7" w:rsidRDefault="008107C7" w:rsidP="008107C7">
      <w:pPr>
        <w:pStyle w:val="TextoNormal"/>
      </w:pPr>
    </w:p>
    <w:p w:rsidR="008107C7" w:rsidRDefault="008107C7" w:rsidP="008107C7">
      <w:pPr>
        <w:pStyle w:val="TextoNormal"/>
      </w:pPr>
      <w:r w:rsidRPr="008107C7">
        <w:rPr>
          <w:rStyle w:val="NumeroAFNegritaCaracter"/>
        </w:rPr>
        <w:t>3</w:t>
      </w:r>
      <w:r>
        <w:t>. El 1 de junio de 1994, el Juzgado de Vigilancia Penitenciaria de Bilbao remitió testimonio del citado expediente en el que aparecían los recursos presentados por el demandante de amparo y las resoluciones recaídas sobre los mismos. La Sección Tercera acordó, por providencia de 13 de junio de 1994, dirigir escritos al Consejo General de la Abogacía y al Decano del Ilustre Colegio de Procuradores de Madrid, para que se procediera al nombramiento de los que por turno correspondieran. Hechas las designaciones, el 4 de julio de 1994 se tuvo por designados como Procurador y como Abogado a quienes actúan en este proceso ordenándose que se les hiciera saber la designación y, con entrega de las copias de los escritos presentados al Procurador, se le requirió para que formalizara la demanda de amparo en el plazo de veinte días, con sujeción a lo dispuesto en el art. 49 LOTC, o bien se excusara de la defensa en el plazo de diez días que establece el art. 9 del Acuerdo del Pleno del Tribunal Constitucional de 20 de diciembre de 1982 ("Boletín Oficial del Estado" núm. 34, de 9 de febrero de 1983).</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4</w:t>
      </w:r>
      <w:r>
        <w:t xml:space="preserve">. En fecha 28 de julio de 1994 tuvo entrada en el Registro de este Tribunal la demanda de amparo debidamente formalizada. Los hechos de los que nace la pretensión son, brevemente expuestos, los siguientes: </w:t>
      </w:r>
    </w:p>
    <w:p w:rsidR="008107C7" w:rsidRDefault="008107C7" w:rsidP="008107C7">
      <w:pPr>
        <w:pStyle w:val="TextoNormal"/>
      </w:pPr>
      <w:r>
        <w:t xml:space="preserve">A) El recurrente solicitó en su día permiso ordinario de salida a la Junta de Régimen y Administración del Centro Penitenciario de Nanclares de Oca. La petición fue denegada por unanimidad el 10 de junio de 1993 con base en el informe unánime y desfavorable del Equipo de Observación y Tratamiento, sin que en el informe o en el Acuerdo se expresaran las razones de tal denegación, aunque en el expediente constaban sanciones canceladas. </w:t>
      </w:r>
    </w:p>
    <w:p w:rsidR="008107C7" w:rsidRDefault="008107C7" w:rsidP="008107C7">
      <w:pPr>
        <w:pStyle w:val="TextoNormal"/>
      </w:pPr>
      <w:r>
        <w:t xml:space="preserve">B) Contra dicho Acuerdo denegatorio el recurrente formuló queja ante el Juzgado de Vigilancia Penitenciaria de Bilbao, dando lugar a la apertura del expediente 5.480/93, concluido por Auto de fecha 27 de julio de 1993, desestimatorio de la queja, en el que se razona que si bien el interno había cumplido una cuarta parte de la condena y se hallaba clasificado en segundo grado, tal y como establece el art. 254.2 del Reglamento Penitenciario, "no concurren las demás circunstancias que dicho precepto exige para la concesión del permiso de salida solicitado"; fundamentando la denegación asimismo en el informe desfavorable del Ministerio Fiscal y de la Junta de Régimen. </w:t>
      </w:r>
    </w:p>
    <w:p w:rsidR="008107C7" w:rsidRDefault="008107C7" w:rsidP="008107C7">
      <w:pPr>
        <w:pStyle w:val="TextoNormal"/>
      </w:pPr>
      <w:r>
        <w:t>C) El 8 de septiembre de 1993, el Juzgado de Vigilancia de Bilbao desestimó el recurso de reforma interpuesto al entender que "por el momento no concurren circunstancias modificativas que pudieran tomarse en consideración para reformar el Auto recurrido". Interpuesto el correspondiente recurso de apelación ante la Audiencia Provincial de Vitoria, ésta lo desestimó por Auto de 30 de diciembre de 1993, al entender que el tiempo que restaba al interno para cumplir las tres cuartas partes de la condena que permiten acceder a la libertad condicional -se preveía en 1996- estaba aún muy lejano, siendo esta razón suficiente para que el permiso no cumpliera su finalidad de preparar la futura vida en libertad.</w:t>
      </w:r>
    </w:p>
    <w:p w:rsidR="008107C7" w:rsidRDefault="008107C7" w:rsidP="008107C7">
      <w:pPr>
        <w:pStyle w:val="TextoNormal"/>
      </w:pPr>
    </w:p>
    <w:p w:rsidR="008107C7" w:rsidRDefault="008107C7" w:rsidP="008107C7">
      <w:pPr>
        <w:pStyle w:val="TextoNormal"/>
      </w:pPr>
      <w:r w:rsidRPr="008107C7">
        <w:rPr>
          <w:rStyle w:val="NumeroAFNegritaCaracter"/>
        </w:rPr>
        <w:t>5</w:t>
      </w:r>
      <w:r>
        <w:t>. Se fundamenta la demanda de amparo en la supuesta vulneración del art. 14 C.E., al entender que el demandante de amparo recibía un trato discriminatorio respecto al que se daba a otros reclusos del mismo Centro. Considera asimismo vulnerado el recurrente el art. 24 C.E., afirmando que la tutela judicial que se le otorgara no fue efectiva, al no expresarse en la decisión denegatoria del permiso, que afectaba a la forma de cumplimiento de la pena de privación de libertad, las razones o motivos que justificaron tal denegación. Se alega que ha sido lesionado el derecho a utilizar los medios de prueba pertinentes para su defensa, ya que al no conocer las razones de la desestimación no pudo ejercitar su derecho de defensa frente a motivaciones para él desconocidas. Por último, entiende el demandante que no se ha respetado el art. 25.2 C.E., por cuanto no se le permitió tener contacto con el exterior a través de los instrumentos legales habilitados al efecto, dificultándose de esa forma que el cumplimiento de la condena se orientara a la reinserción y reeducación del penado.</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Por providencia de fecha 17 de octubre de 1994, la Sección Tercera acordó conceder al Ministerio Fiscal y al demandante de amparo plazo común de diez días -al amparo de lo previsto en el núm. 3 del art. 50 LOTC- para que formularan las alegaciones que estimasen pertinentes en relación con la posible carencia manifiesta de contenido constitucional de la demanda. </w:t>
      </w:r>
    </w:p>
    <w:p w:rsidR="008107C7" w:rsidRDefault="008107C7" w:rsidP="008107C7">
      <w:pPr>
        <w:pStyle w:val="TextoNormal"/>
      </w:pPr>
      <w:r>
        <w:t xml:space="preserve">El demandante evacuó el traslado conferido ratificando las alegaciones que aparecen en la demanda e insistiendo en la falta de motivación del Acuerdo administrativo y las resoluciones judiciales que se impugnan. </w:t>
      </w:r>
    </w:p>
    <w:p w:rsidR="008107C7" w:rsidRDefault="008107C7" w:rsidP="008107C7">
      <w:pPr>
        <w:pStyle w:val="TextoNormal"/>
      </w:pPr>
      <w:r>
        <w:lastRenderedPageBreak/>
        <w:t xml:space="preserve">El Ministerio Fiscal, por su parte, formuló sus alegaciones solicitando la inadmisión a trámite de la demanda de amparo presentada por entender que carecía de forma manifiesta de contenido constitucional, señalando, en síntesis, que el motivo de amparo en que cabe resumir el escrito de demanda hace referencia a la falta de especificación de las causas por las cuales se deniega el otorgamiento del permiso de salida; lo recurrido por el demandante resultan ser así las tres resoluciones judiciales citadas y no propiamente el Acuerdo de la Junta de Régimen y Administración. El primero de los Autos recurridos no está huérfano de fundamentación jurídica, por más que no sea una resolución paradigmática en orden a la satisfacción del derecho a la tutela judicial efectiva ya que del segundo antecedente de hecho de la misma se deduce que es "el exceso de condena", "la lejanía en la fecha de cumplimiento de las tres cuartas partes de la condena", la causa que se tiene en cuenta para la denegación que se acuerda. Se señala que tampoco el Auto que resolvió la reforma es explícito en la determinación de las razones por las cuales no se modifica el precedente. Pero entiende que el Auto de la Audiencia Provincial de Vitoria de 30 de diciembre de 1993 sí concreta de modo preciso que es la lejanía en el tiempo del momento en que se hayan cumplido las tres cuartas partes de la condena la razón por la que se deniega el otorgamiento del permiso. Falta por tanto el fundamento del permiso que es la "preparación de la vida en libertad". Considera que la razón denegatoria está específicamente prevista en el art. 47.2 de la Ley Orgánica General Penitenciaria (L.O.G.P.) y en el 254.2 del Reglamento que la desarrolla. </w:t>
      </w:r>
    </w:p>
    <w:p w:rsidR="008107C7" w:rsidRDefault="008107C7" w:rsidP="008107C7">
      <w:pPr>
        <w:pStyle w:val="TextoNormal"/>
      </w:pPr>
      <w:r>
        <w:t>Considera asimismo el Ministerio Fiscal en su escrito que el resto de invocaciones del demandante no son sino argumentos de apoyo a la tesis principal antes refutada. No hay vulneración del principio de igualdad porque no se aporta término de comparación. No se vulnera el derecho a utilizar los medios de prueba idóneos porque el Auto sí expresa la causa de la denegación. Y no se ha vulnerado el art. 25.2 C.E. porque este principio no es sino un mandato al legislador que no genera derecho fundamental alguno. Solicitó por ello la inadmisión a trámite de la demanda.</w:t>
      </w:r>
    </w:p>
    <w:p w:rsidR="008107C7" w:rsidRDefault="008107C7" w:rsidP="008107C7">
      <w:pPr>
        <w:pStyle w:val="TextoNormal"/>
      </w:pPr>
    </w:p>
    <w:p w:rsidR="008107C7" w:rsidRDefault="008107C7" w:rsidP="008107C7">
      <w:pPr>
        <w:pStyle w:val="TextoNormal"/>
      </w:pPr>
      <w:r w:rsidRPr="008107C7">
        <w:rPr>
          <w:rStyle w:val="NumeroAFNegritaCaracter"/>
        </w:rPr>
        <w:t>7</w:t>
      </w:r>
      <w:r>
        <w:t xml:space="preserve">. El 24 de enero de 1995, la Sección Tercera acordó, a tenor de lo dispuesto en el art. 51 LOTC., admitir a trámite la demanda de amparo formulada y dirigir comunicación a la Audiencia Provincial de Vitoria, para que en el plazo de diez días, remitiera certificación o fotocopia de las actuaciones correspondientes al rollo núm. 567/93, y al Juzgado de Vigilancia Penitenciaria de Bilbao, informándole de la admisión a trámite del recurso. </w:t>
      </w:r>
    </w:p>
    <w:p w:rsidR="008107C7" w:rsidRDefault="008107C7" w:rsidP="008107C7">
      <w:pPr>
        <w:pStyle w:val="TextoNormal"/>
      </w:pPr>
      <w:r>
        <w:t>Por providencia de fecha 2 de marzo de 1995, se acordó igualmente, a tenor de lo dispuesto en el art. 52.1 LOTC, dar vista de lo actuado y testimonios recibidos por un plazo común de veinte días al Ministerio Fiscal y al solicitante de amparo a fin de que en dicho término pudieran presentar las alegaciones que a su derecho conviniesen.</w:t>
      </w:r>
    </w:p>
    <w:p w:rsidR="008107C7" w:rsidRDefault="008107C7" w:rsidP="008107C7">
      <w:pPr>
        <w:pStyle w:val="TextoNormal"/>
      </w:pPr>
    </w:p>
    <w:p w:rsidR="008107C7" w:rsidRDefault="008107C7" w:rsidP="008107C7">
      <w:pPr>
        <w:pStyle w:val="TextoNormal"/>
      </w:pPr>
      <w:r w:rsidRPr="008107C7">
        <w:rPr>
          <w:rStyle w:val="NumeroAFNegritaCaracter"/>
        </w:rPr>
        <w:t>8</w:t>
      </w:r>
      <w:r>
        <w:t xml:space="preserve">. Tras una ampliación del plazo conferido, el 5 de abril de 1995 tuvo entrada en este Tribunal el escrito de alegaciones de la representación del recurrente en amparo. En ellas se reiteran todas y cada una de las manifestaciones recogidas en su escrito de demanda, que solicitó se tuvieran por reproducidas. </w:t>
      </w:r>
    </w:p>
    <w:p w:rsidR="008107C7" w:rsidRDefault="008107C7" w:rsidP="008107C7">
      <w:pPr>
        <w:pStyle w:val="TextoNormal"/>
      </w:pPr>
      <w:r>
        <w:t>En fecha 30 de marzo de 1995 se recibieron las alegaciones del Ministerio Fiscal, en las que asimismo se reitera el contenido del escrito sintéticamente expuesto en el antecedente 6º de esta resolución.</w:t>
      </w:r>
    </w:p>
    <w:p w:rsidR="008107C7" w:rsidRDefault="008107C7" w:rsidP="008107C7">
      <w:pPr>
        <w:pStyle w:val="TextoNormal"/>
      </w:pPr>
    </w:p>
    <w:p w:rsidR="008107C7" w:rsidRDefault="008107C7" w:rsidP="008107C7">
      <w:pPr>
        <w:pStyle w:val="TextoNormal"/>
      </w:pPr>
      <w:r w:rsidRPr="008107C7">
        <w:rPr>
          <w:rStyle w:val="NumeroAFNegritaCaracter"/>
        </w:rPr>
        <w:t>9</w:t>
      </w:r>
      <w:r>
        <w:t xml:space="preserve">. La Sección Tercera, mediante providencia de 7 de octubre de 1996, acordó hacer uso de la facultad prevista en el art. 84 LOTC y poner de manifiesto al recurrente y al Ministerio </w:t>
      </w:r>
      <w:r>
        <w:lastRenderedPageBreak/>
        <w:t>Fiscal la posible relevancia del derecho fundamental reconocido en el art. 17.1 C.E. para la estimación o desestimación de la pretensión de amparo, dándoles plazo común de diez días para que formularan cuantas alegaciones estimasen pertinentes a este respecto.</w:t>
      </w:r>
    </w:p>
    <w:p w:rsidR="008107C7" w:rsidRDefault="008107C7" w:rsidP="008107C7">
      <w:pPr>
        <w:pStyle w:val="TextoNormal"/>
      </w:pPr>
    </w:p>
    <w:p w:rsidR="008107C7" w:rsidRDefault="008107C7" w:rsidP="008107C7">
      <w:pPr>
        <w:pStyle w:val="TextoNormal"/>
      </w:pPr>
      <w:r w:rsidRPr="008107C7">
        <w:rPr>
          <w:rStyle w:val="NumeroAFNegritaCaracter"/>
        </w:rPr>
        <w:t>10</w:t>
      </w:r>
      <w:r>
        <w:t xml:space="preserve">. Por escrito que tuvo entrada en este Tribunal el 24 de octubre de 1996, la representación del recurrente da cuenta del traslado conferido, sosteniendo la relevancia del derecho a la libertad para la estimación del amparo solicitado, reproduciendo por extenso los razonamientos utilizados en la STC 128/1995. </w:t>
      </w:r>
    </w:p>
    <w:p w:rsidR="008107C7" w:rsidRDefault="008107C7" w:rsidP="008107C7">
      <w:pPr>
        <w:pStyle w:val="TextoNormal"/>
      </w:pPr>
      <w:r>
        <w:t>Con fecha 28 de octubre de 1996 se presentan las alegaciones del Fiscal. Partiendo del planteamiento inicial de la demanda de amparo, entiende el Fiscal que en este caso el derecho a la libertad tendría una efectividad meramente accesoria, en cuanto su vulneración sólo se produciría si se desconociera alguno o algunos de los derechos inicialmente alegados por el recurrente. En la medida en que el propio Fiscal, en los dos anteriores trámites de alegaciones, sostiene la no existencia de tales vulneraciones, tampoco existiría, en su planteamiento, la del derecho ahora puesto de manifiesto. En segundo lugar, entiende el Fiscal que es imposible, conceptualmente, anudar a la denegación de un permiso de salida el concepto de privación arbitraria de libertad: esta privación de libertad, legalmente prevista, no es sino efecto directo de la Sentencia de condena, mientras que el permiso de salida no constituye sino un elemento más del tratamiento penitenciario orientado a la reinserción social del condenado. Cita, por último, el Fiscal la doctrina constitucional que estima confirma su opinión (ATC 112/1988 y STC 28/1988), para concluir en el sentido de no entender relevante el derecho fundamental puesto de manifiesto para la resolución del presente proceso.</w:t>
      </w:r>
    </w:p>
    <w:p w:rsidR="008107C7" w:rsidRDefault="008107C7" w:rsidP="008107C7">
      <w:pPr>
        <w:pStyle w:val="TextoNormal"/>
      </w:pPr>
    </w:p>
    <w:p w:rsidR="008107C7" w:rsidRDefault="008107C7" w:rsidP="008107C7">
      <w:pPr>
        <w:pStyle w:val="TextoNormal"/>
      </w:pPr>
      <w:r w:rsidRPr="008107C7">
        <w:rPr>
          <w:rStyle w:val="NumeroAFNegritaCaracter"/>
        </w:rPr>
        <w:t>11</w:t>
      </w:r>
      <w:r>
        <w:t>. Por providencia de 9 de enero de 1997, se acordó señalar para deliberación y votación de la presente Sentencia el día 13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Se interpone el presente recurso de amparo contra las resoluciones de la Audiencia Provincial de Vitoria y el Juzgado de Vigilancia Penitenciaria de Bilbao dictadas al resolver los recursos presentados por el Sr. Fidalgo García contra el Acuerdo de la Junta de Régimen y Administración del Centro Penitenciario de Nanclares de Oca, de 10 de Junio de 1993, por el que se le denegó la concesión de un permiso ordinario de salida, pues considera el recurrente que las mismas han vulnerado el principio de igualdad ante la Ley al dar un trato más favorable a otros penados que a él mismo, su derecho a la libertad personal, el derecho a la tutela judicial efectiva dada la insuficiente motivación de las resoluciones, y el principio constitucional recogido en el art.  25.2 C.E., según el cual, "las penas privativas de libertad (...)  estarán orientadas hacia la reeducación y reinserción social".</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Conviene comenzar el análisis de la presente demanda de amparo por precisar que la supuesta discriminación aducida no puede ser valorada por este Tribunal, por cuanto tal alegación se nos presenta completamente desprovista de fundamento alguno, debiendo ser rechazada sin necesidad de ulterior consideración. No se identifica, ni se aporta por el recurrente término alguno idóneo de comparación que permita llevar a cabo el juicio de igualdad y del que pudiera deducirse que el mismo órgano jurisdiccional haya adoptado resoluciones distintas en supuestos sustancialmente iguales (SSTC 105/1987, fundamento jurídico 1º; </w:t>
      </w:r>
      <w:r>
        <w:lastRenderedPageBreak/>
        <w:t>85/1989, 90/1990, fundamento jurídico 2º y 57/1994, entre otras muchas). Tan sólo se contiene una alusión genérica, y por ello insuficiente, a otros casos en los que presos en situaciones similares o con mayores condenas a la del recurrente sí obtuvieron permisos de salida, o un trato penitenciario que considera más benigno. La pretensión de amparo basada en esta causa ha de ser, pues, desestimada.</w:t>
      </w:r>
    </w:p>
    <w:p w:rsidR="008107C7" w:rsidRDefault="008107C7" w:rsidP="008107C7">
      <w:pPr>
        <w:pStyle w:val="TextoNormal"/>
      </w:pPr>
    </w:p>
    <w:p w:rsidR="008107C7" w:rsidRDefault="008107C7" w:rsidP="008107C7">
      <w:pPr>
        <w:pStyle w:val="TextoNormal"/>
      </w:pPr>
      <w:r w:rsidRPr="008107C7">
        <w:rPr>
          <w:rStyle w:val="NumeroAFNegritaCaracter"/>
        </w:rPr>
        <w:t>3</w:t>
      </w:r>
      <w:r>
        <w:t>. Tampoco la alegación relativa a la posible vulneración del derecho a la tutela judicial efectiva -art. 24.1 C.E.-, puede ser acogida por este Tribunal, aunque en este caso la conclusión desestimatoria requiere algunas precisiones, por cuanto la motivación exigible en supuestos de resoluciones judiciales que afectan -aunque no pueda conceptualmente admitirse que vulneren- al derecho fundamental a la libertad personal debe entenderse como particularmente rigurosa.</w:t>
      </w:r>
    </w:p>
    <w:p w:rsidR="008107C7" w:rsidRDefault="008107C7" w:rsidP="008107C7">
      <w:pPr>
        <w:pStyle w:val="TextoNormal"/>
      </w:pPr>
      <w:r>
        <w:t>A) Es en efecto claro que, en puridad, la previa imposición de una pena de prisión conlleva la imposibilidad de fundar una pretensión de amparo frente a la denegación del permiso penitenciario de salida invocando el derecho fundamental a la libertad, pues es la Sentencia firme condenatoria -adoptada tras el proceso judicial debido- la que constituye título legítimo de privación de ese derecho fundamental. También lo es, como nos recuerda el Fiscal -y con ello decae el tercero de los fundamentos de la demanda-, que este Tribunal ha reiterado en numerosas ocasiones que la finalidad reeducadora y de reinserción social a que constitucionalmente debe servir la imposición de una pena privativa de libertad, no contiene derecho fundamental alguno, sino que constituye un mandato al legislador para orientar la política penal y penitenciaria en ese preciso sentido, que es el constitucionalmente determinado (SSTC 2/1987, 28/1988, y, últimamente -en supuesto sustancialmente idéntico al que aquí nos ocupa- 112/1996, fundamento jurídico 4º), y por más que la consagración constitucional de esta finalidad no sea excluyente de otras [STC 150/1991, fundamento jurídico 4º B)].</w:t>
      </w:r>
    </w:p>
    <w:p w:rsidR="008107C7" w:rsidRDefault="008107C7" w:rsidP="008107C7">
      <w:pPr>
        <w:pStyle w:val="TextoNormal"/>
      </w:pPr>
      <w:r>
        <w:t>B) Ahora bién, con todo ello, no es menos cierto que la situación de prisión supone una radical exclusión del valor superior de la libertad, de manera que la motivación exigible a cualquier resolución judicial que afecte a ese valor superior no se reduce a la mera expresión de las "razones que permitan conocer cuáles han sido los criterios jurídicos esenciales fundamentadores de la decisión" (STC 14/1991, fundamento jurídico 2º, entre otras), sino que debe extenderse a las circunstancias que constitucionalmente justifican la situación de privación de libertad. Por decirlo en otros términos: en la medida en que está en juego el valor superior de la libertad, el derecho a la tutela judicial efectiva sin indefensión no sólo exige resoluciones judiciales motivadas, sino motivaciones concordantes con los supuestos en los que la Constitución permite la afectación de ese valor superior.</w:t>
      </w:r>
    </w:p>
    <w:p w:rsidR="008107C7" w:rsidRDefault="008107C7" w:rsidP="008107C7">
      <w:pPr>
        <w:pStyle w:val="TextoNormal"/>
      </w:pPr>
      <w:r>
        <w:t>C) Situado así el tema en el ámbito del art. 24.1 C.E., una vez apreciada la existencia de una motivación suficiente la jurisdicción de este Tribunal no llega tan lejos como para enjuiciar el acierto o desacierto sustancial de las resoluciones judiciales, pues ello llevaría, como tantas veces hemos afirmado, a incidir en cuestiones de mera legalidad y que, por esto mismo, pertenecen a la esfera competencial estricta de los Jueces y Tribunales ordinarios. Como solemnemente proclamó la STC 148/1994, del Pleno del Tribunal, "el art. 24.1 C.E. (...)  no ampara el acierto de las resoluciones judiciales, de modo que la selección e interpretación de la norma aplicable - siendo esto último lo que ahora importa- corresponde en exclusiva a los órganos judiciales sin otra excepción que la de aquellos supuestos en que la resolución judicial sea manifiestamente infundada, arbitraria, que no podría considerarse expresión del ejercicio de la justicia, sino simple apariencia de la misma" (fundamento jurídico 4º).</w:t>
      </w:r>
    </w:p>
    <w:p w:rsidR="008107C7" w:rsidRDefault="008107C7" w:rsidP="008107C7">
      <w:pPr>
        <w:pStyle w:val="TextoNormal"/>
      </w:pPr>
    </w:p>
    <w:p w:rsidR="008107C7" w:rsidRDefault="008107C7" w:rsidP="008107C7">
      <w:pPr>
        <w:pStyle w:val="TextoNormal"/>
      </w:pPr>
      <w:r w:rsidRPr="008107C7">
        <w:rPr>
          <w:rStyle w:val="NumeroAFNegritaCaracter"/>
        </w:rPr>
        <w:t>4</w:t>
      </w:r>
      <w:r>
        <w:t>. La aplicación de esta doctrina al supuesto planteado, exige prestar particular atención al contenido argumentativo de las resoluciones impugnadas, pues excluida la vulneración de los alegados arts. 17.1 y 25.2 C.E., como acabamos de dejar sentado en el anterior fundamento, la resolución del presente caso dependerá de que la motivación de las resoluciones impugnadas sea reconducible a los supuestos constitucionalmente lícitos de privación del permiso de salida y del valor superior del ordenamiento, de que aquí se trata.  Aunque una precisión previa es aquí necesaria en relación con un caso similar al presente, el resuelto por la reciente STC 112/1996 de esta Sala. Pues ha de tenerse presente que en aquel supuesto el Ministerio Fiscal alegó que el informe del Equipo de Observación era despersonalizado y genérico, ya que no contenía datos concretos sobre la conducta del penado, ni existía informe alguno donde se resaltase la mala conducta o peligrosidad del mismo, por lo que el Acuerdo de la Junta de Régimen y Administración adolecía de falta de motivación (STC 112/1996, antecedente 16 en relación con el 9º).</w:t>
      </w:r>
    </w:p>
    <w:p w:rsidR="008107C7" w:rsidRDefault="008107C7" w:rsidP="008107C7">
      <w:pPr>
        <w:pStyle w:val="TextoNormal"/>
      </w:pPr>
      <w:r>
        <w:t>En el presente caso, las circunstancias son otras ya que, como se ha indicado en el antecedente 4º, existían sanciones, aunque canceladas. Y la motivación en que se basa la denegación -no concurrencia de los requisitos reglamentarios para la concesión del permiso- debe entenderse razonablemente referida a la calificación de la conducta del interno; a lo que se agrega que "la facultad de otorgar permisos ordinarios de salida va unida a la finalidad de preparación para la vida en libertad, que razonablemente ha de entenderse eficaz cuando la posibilidad de alcanzar el beneficio de libertad condicional está más próximo en el tiempo" (Auto de la Audiencia Provincial de Vitoria de 30 de diciembre de 1993, fundamento jurídico 2º).</w:t>
      </w:r>
    </w:p>
    <w:p w:rsidR="008107C7" w:rsidRDefault="008107C7" w:rsidP="008107C7">
      <w:pPr>
        <w:pStyle w:val="TextoNormal"/>
      </w:pPr>
      <w:r>
        <w:t>Con ello el destinatario de la resolución pudo conocer las razones jurídicas que fundamentaron la denegación del permiso y éstas, además, son reconducibles a aquellos supuestos en los que la Constitución, y la Ley por ella llamada a configurar los supuestos de lícita privación de libertad, la entienden admisible. Tal y como hemos recientemente afirmado, "(t)odos los permisos cooperan potencialmente a la preparación de la vida en libertad del interno, pueden fortalecer los vínculos familiares, reducen las tensiones propias del internamiento y las consecuencias de la vida continuada en prisión que siempre conlleva el subsiguiente alejamiento de la realidad diaria. Constituyen un estímulo a la buena conducta, a la creación de un sentido de responsabilidad del interno, y con ello al desarrollo de su personalidad. Le proporcionan información sobre el medio social en el que ha de integrarse, e indican cuál es la evolución del penado. Pero, al mismo tiempo, constituyen una vía fácil de eludir la custodia, y por ello su concesión no es automática una vez constatados los requisitos objetivos previstos en la Ley. No basta entonces con que éstos concurran, sino que además no han de darse otras circunstancias que aconsejen su denegación a la vista de la perturbación que puedan ocasionar en relación con los fines antes expresados" (STC 112/1996, fundamento jurídico 4º).</w:t>
      </w:r>
    </w:p>
    <w:p w:rsidR="008107C7" w:rsidRDefault="008107C7" w:rsidP="008107C7">
      <w:pPr>
        <w:pStyle w:val="TextoNormal"/>
      </w:pPr>
      <w:r>
        <w:t xml:space="preserve">Ello justifica que respecto a los permisos especiales aquí considerados la Ley Orgánica 1/1979, de 26 de diciembre, General Penitenciaria (art. 47.2) y, con mayor desarrollo, el Reglamento Penitenciario (art. 254.2 del entonces vigente, aprobado por Real Decreto 1.201/1981, de 8 de mayo, y arts. 152 a 154 del reformado por Real Decreto 190/1996, de 9 de febrero), los vinculen a la finalidad de preparar la vida en libertad del recluso, si bien establecen, asimismo, no sólo determinados requisitos (grado de cumplimiento, extinción de una cuarta parte de la condena y no observar mala conducta) sino la necesidad de un previo examen por los Equipos de Tratamiento y, ulteriormente, por las Juntas de Régimen y Administración de los establecimientos, de las particulares circunstancias que, en relación </w:t>
      </w:r>
      <w:r>
        <w:lastRenderedPageBreak/>
        <w:t>con el permiso solicitado, concurren en el solicitante. De manera que la concesión o denegación de tales permisos dependerá de la apreciación de dichos requisitos y, cumplidos éstos, de las concretas circunstancias de cada caso.</w:t>
      </w:r>
    </w:p>
    <w:p w:rsidR="008107C7" w:rsidRDefault="008107C7" w:rsidP="008107C7">
      <w:pPr>
        <w:pStyle w:val="TextoNormal"/>
      </w:pPr>
      <w:r>
        <w:t>Ahora bien, como antes se ha dicho, ello no supone que sea admisible cualquier motivación de la que se deduzca la conveniencia de no otorgar el permiso, sino sólo aquellas que sean consistentes con los presupuestos constitucionales y legales en esta materia. Y si la preparación para la vida en libertad es una finalidad que encuentra plena justificación constitucional y a la que indudablemente sirven los permisos de salida, es claro que ninguna tacha cabe hacer en esta sede a la negativa razonada a conceder tal permiso en el presente caso. Pues en condiciones de inmediación de las que este Tribunal no goza, el órgano judicial competente ha estimado, apreciando los requisitos y las circunstancias concretas del supuesto, que su otorgamiento no resultaba adecuado para la consecución de aquella finalidad.</w:t>
      </w:r>
    </w:p>
    <w:p w:rsidR="008107C7" w:rsidRDefault="008107C7" w:rsidP="008107C7">
      <w:pPr>
        <w:pStyle w:val="TextoNormal"/>
      </w:pPr>
    </w:p>
    <w:p w:rsidR="008107C7" w:rsidRDefault="008107C7" w:rsidP="008107C7">
      <w:pPr>
        <w:pStyle w:val="TextoNormal"/>
      </w:pPr>
      <w:r w:rsidRPr="008107C7">
        <w:rPr>
          <w:rStyle w:val="NumeroAFNegritaCaracter"/>
        </w:rPr>
        <w:t>5</w:t>
      </w:r>
      <w:r>
        <w:t>. En suma, las resoluciones impugnadas, que deniegan el permiso solicitado por el demandante de amparo, no sólo contiene una motivación suficiente ex art. 24.1 C.E. sino también consistente con los supuestos en los que la Constitución permite la afectación de la libertad. De suerte que la interpretación realizada por los órganos jurisdiccionales de la normativa aplicable a los permisos de salida, en relación con la finalidad constitucionalmente legítima de que sirvan para preparar la vida en libertad del interno, no puede ser considerada como manifiestamente irrazonable o arbitraria (STC 148/1994, fundamento jurídico 4º). Y ello ha de conducir, consecuentemente, a la desestimación de la pretensión de amparo.</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Denegar el amparo solicitado.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trece de enero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6" w:name="SENTENCIA_1997_3"/>
      <w:r>
        <w:lastRenderedPageBreak/>
        <w:t>SENTENCIA 3/1997, de 13 de enero de 1997</w:t>
      </w:r>
    </w:p>
    <w:bookmarkEnd w:id="6"/>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39, de 14 de febrero de 1997)</w:t>
      </w:r>
    </w:p>
    <w:p w:rsidR="008107C7" w:rsidRDefault="008107C7" w:rsidP="008107C7">
      <w:pPr>
        <w:pStyle w:val="TtuloBOE"/>
      </w:pPr>
    </w:p>
    <w:p w:rsidR="008107C7" w:rsidRDefault="008107C7" w:rsidP="008107C7">
      <w:pPr>
        <w:pStyle w:val="SntesisDescriptiva"/>
      </w:pPr>
      <w:r>
        <w:t>ECLI:ES:TC:1997:3</w:t>
      </w:r>
    </w:p>
    <w:p w:rsidR="008107C7" w:rsidRDefault="008107C7" w:rsidP="008107C7">
      <w:pPr>
        <w:pStyle w:val="SntesisDescriptiva"/>
      </w:pPr>
    </w:p>
    <w:p w:rsidR="008107C7" w:rsidRDefault="008107C7" w:rsidP="008107C7">
      <w:pPr>
        <w:pStyle w:val="SntesisDescriptiva"/>
      </w:pPr>
      <w:r>
        <w:t>Recurso de amparo 309/1994. Contra Sentencia de la Sala Primera del Tribunal Supremo que casó la dictada por la Audiencia Provincial de Madrid recaída en apelación en autos dimanantes del Juzgado de Primera Instancia núm. 26 de la misma capital por intromisión ilegítima en el derecho al honor.</w:t>
      </w:r>
    </w:p>
    <w:p w:rsidR="008107C7" w:rsidRDefault="008107C7" w:rsidP="008107C7">
      <w:pPr>
        <w:pStyle w:val="SntesisDescriptiva"/>
      </w:pPr>
    </w:p>
    <w:p w:rsidR="008107C7" w:rsidRDefault="008107C7" w:rsidP="008107C7">
      <w:pPr>
        <w:pStyle w:val="SntesisAnaltica"/>
      </w:pPr>
      <w:r>
        <w:t>Vulneración de los derechos a comunicar libremente información y de libertad de expresión: ponderación indebida de los derechos fundamentales en conflicto.</w:t>
      </w:r>
    </w:p>
    <w:p w:rsidR="008107C7" w:rsidRDefault="008107C7" w:rsidP="008107C7">
      <w:pPr>
        <w:pStyle w:val="SntesisAnaltica"/>
      </w:pPr>
    </w:p>
    <w:p w:rsidR="008107C7" w:rsidRDefault="008107C7" w:rsidP="008107C7">
      <w:pPr>
        <w:pStyle w:val="Extracto"/>
      </w:pPr>
      <w:r>
        <w:t>1.</w:t>
      </w:r>
      <w:r>
        <w:tab/>
        <w:t>Al autorizar el medio de comunicación la publicación de un escrito ajeno cuyo autor se ha identificado previamente será éste quien asuma la responsabilidad que del mismo pueda derivarse si su contenido resulta lesivo del derecho al honor de una tercera persona. Sin embargo, la situación es muy distinta si el escrito ajeno es publicado sin que el medio conozca la identidad de su autor, pues en tal supuesto dicho escrito no constituye una acción que pueda ser separada de la de su publicación por el medio, conforme a la doctrina expuesta en nuestra STC 159/1986. De suerte que al autorizar la publicación del escrito pese a no conocer la identidad de su autor, ha de entenderse que el medio, por ese hecho, ha asumido su contenido. Lo que entraña una doble consecuencia: en primer lugar, que el ejercicio de las libertades que el art. 20. 1 reconoce y garantiza habrá de ser enjuiciado, exclusivamente, en relación con el medio, dado que el redactor del escrito es desconocido. En segundo término, que al medio le corresponderá o no la eventual responsabilidad que pueda derivarse del escrito si su contenido ha sobrepasado el ámbito constitucionalmente protegido de la libertad de información y, en su caso, de la libertad de expresión, lesionando el honor de terceras personas o, por el contrario, lo ha respetado. [F.J. 3]</w:t>
      </w:r>
    </w:p>
    <w:p w:rsidR="008107C7" w:rsidRDefault="008107C7" w:rsidP="008107C7">
      <w:pPr>
        <w:pStyle w:val="Extracto"/>
      </w:pPr>
    </w:p>
    <w:p w:rsidR="008107C7" w:rsidRDefault="008107C7" w:rsidP="008107C7">
      <w:pPr>
        <w:pStyle w:val="Extracto"/>
      </w:pPr>
      <w:r>
        <w:t>2.</w:t>
      </w:r>
      <w:r>
        <w:tab/>
        <w:t>Del examen del contenido de la «carta al Director» se desprende con claridad que la misma, en atención a su contenido, no puede ser enjuiciada ni exclusiva ni principalmente en relación con el ejercicio de la libertad de información, dado que los hechos a los que se refiere su redactor con imprecisa referencia a terceros en realidad sólo le sirven de base para llevar a cabo una crítica, censura o denuncia del comportamiento de la persona que por aquel entonces era Presidente de una Federación deportiva. A lo que va unida, asimismo, una crítica a los organismos superiores del Deporte por permitir que esa persona continúe en el ejercicio de ese cargo. De manera que es el ejercicio del derecho fundamental a la libertad de expresión el que ha de ser contrastado con el límite que constituye el derecho al honor del demandante en el proceso «a quo» . [F.J. 5]</w:t>
      </w:r>
    </w:p>
    <w:p w:rsidR="008107C7" w:rsidRDefault="008107C7" w:rsidP="008107C7">
      <w:pPr>
        <w:pStyle w:val="Extracto"/>
      </w:pPr>
    </w:p>
    <w:p w:rsidR="008107C7" w:rsidRDefault="008107C7" w:rsidP="008107C7">
      <w:pPr>
        <w:pStyle w:val="Extracto"/>
      </w:pPr>
      <w:r>
        <w:t>3.</w:t>
      </w:r>
      <w:r>
        <w:tab/>
        <w:t xml:space="preserve">Tenemos declarado que cuando se ejercita la libertad de expresión reconocida por el art. 20.1 a) C.E., los límites permisibles de la crítica son más amplios si ésta se refiere a personas que, por dedicarse a actividades públicas, están expuestas a un </w:t>
      </w:r>
      <w:r>
        <w:lastRenderedPageBreak/>
        <w:t>más riguroso control de sus actividades y manifestaciones que si se trata de simples particulares sin proyección pública alguna, pues en un sistema inspirado en los valores democráticos, la sujeción a esa crítica es inseparable de todo cargo de relevancia pública (SSTC 107/1988, 105/1990 y 85/1992, entre otras). Asimismo, que la crítica legítima en asuntos de interés público ampara incluso aquellas que puedan molestar, inquietar, disgustar o desabrir el ánimo de la persona a la que se dirigen (STC 85/1992). Aunque hemos precisado que quien ejerce esa libertad no puede olvidar que la misma, como los demás derechos y libertades fundamentales, no es absoluta. Si la convivencia en libertad y la paz social tienen como fundamento el respeto tanto de la dignidad de la persona como de los derechos de los demás (art. 10.1 C.E.), es claro que no puede estar amparado por la libertad de expresión quien, al criticar una determinada conducta, emplea expresiones que resultan lesivas para el honor de la persona que es objeto de la crítica, aun cuando ésta tenga un carácter público, pues tal carácter no le priva de ser titular del derecho al honor que el art. 18.1 C.E. garantiza (SSTC 190/1992 y 336/1993). Máxime si tales expresiones no se han pronunciado de forma improvisada, en una entrevista o en una intervención oral en un debate, «sino que han sido consignadas con el sosiego y la meditación que cabe presumir en quien redacta un escrito que se destina a su publicación en un diario» (STC 336/1993) . [F.J. 6]</w:t>
      </w:r>
    </w:p>
    <w:p w:rsidR="008107C7" w:rsidRDefault="008107C7" w:rsidP="008107C7">
      <w:pPr>
        <w:pStyle w:val="Extracto"/>
      </w:pPr>
    </w:p>
    <w:p w:rsidR="008107C7" w:rsidRDefault="008107C7" w:rsidP="008107C7">
      <w:pPr>
        <w:pStyle w:val="Extracto"/>
      </w:pPr>
      <w:r>
        <w:t>4.</w:t>
      </w:r>
      <w:r>
        <w:tab/>
        <w:t>Del contraste entre lo estimado en la Sentencia aquí impugnada con la doctrina que se acaba de exponer ha de llegarse a la conclusión de que en el presente caso no se ha sobrepasado el ámbito constitucionalmente protegido de la libertad de expresión en relación con el límite de la misma que constituye el derecho al honor. Al respecto han de tenerse presente, en primer lugar, las circunstancias concurrentes en el momento de publicarse la «carta al Director». Las expresiones en ella contenidas, en efecto, fueron vertidas en el contexto de un debate público, en el que se registran diversas informaciones y declaraciones aparecidas en diferentes medios de comunicación social en fechas inmediatamente próximas a la publicación de dicho escrito. Con la particularidad de que en alguna de las declaraciones de los judocas se manifiesta que era necesario que hubiera «un escándalo» para que se conozca por todos quien es el Presidente de la Federación y no sea votado en las próximas elecciones. Asimismo, es innegable la existencia de una situación de conflicto entre los atletas y el Presidente de la Federación así como entre ésta y el C.S.D. El examen de la carta al Director, en segundo término, pone de relieve, como antes se ha dicho, que la exposición de ciertos hechos sólo sirven de apoyo para criticar o censurar ante la opinión pública el comportamiento de la persona responsable de dicho organismo deportivo. Las expresiones vertidas en la carta juzgando desfavorablemente la conducta del Presidente de la mencionada Federación se sitúan, pues, en el terreno de la crítica a una persona que, por la actividad pública que llevaba a cabo, estaba sujeta a un riguroso control de la misma por parte de la opinión pública. Con la consiguiente ampliación de los límites permitidos a tal crítica por referirse a asuntos de interés general, como tiene declarado la doctrina de este Tribunal . [F.J. 7]</w:t>
      </w:r>
    </w:p>
    <w:p w:rsidR="008107C7" w:rsidRDefault="008107C7" w:rsidP="008107C7">
      <w:pPr>
        <w:pStyle w:val="Extracto"/>
      </w:pPr>
    </w:p>
    <w:p w:rsidR="008107C7" w:rsidRDefault="008107C7" w:rsidP="008107C7">
      <w:pPr>
        <w:pStyle w:val="Extracto"/>
      </w:pPr>
      <w:r>
        <w:t>5.</w:t>
      </w:r>
      <w:r>
        <w:tab/>
        <w:t xml:space="preserve">Forzoso es admitir que, aun careciendo de rigor la denuncia, tales expresiones se encuadran claramente en el ámbito de la crítica a la actividad pública del Presidente de una Federación Deportiva. Y apreciadas tanto en su contexto como en </w:t>
      </w:r>
      <w:r>
        <w:lastRenderedPageBreak/>
        <w:t>relación con las circunstancias del momento en que se redacta la carta al Director, no cabe considerar que sean lesivas del honor de quien, como Presidente de un organismo deportivo, administracaudales públicos. Cabe observar además que la denuncia del comportamiento del Presidente de la Federación está basada no en una afirmación sino en un hecho hipotético («Si el C.S.D. dice ...») y que la crítica contenida en la conclusión está dirigida a la actitud pasiva del C.S.D. caso de haberse producido tal supuesto. Y por lo que respecta a la pregunta retórica que cierra el segundo inciso de ese apartado, una expresión en la que por su forma interrogativa no se afirma que los dos hechos hayan ocurrido, sino sólo que es posible que ocurran si no se impiden . [F.J. 7]</w:t>
      </w:r>
    </w:p>
    <w:p w:rsidR="008107C7" w:rsidRDefault="008107C7" w:rsidP="008107C7">
      <w:pPr>
        <w:pStyle w:val="Extracto"/>
      </w:pPr>
    </w:p>
    <w:p w:rsidR="008107C7" w:rsidRDefault="008107C7" w:rsidP="008107C7">
      <w:pPr>
        <w:pStyle w:val="Extracto"/>
      </w:pPr>
      <w:r>
        <w:t>6.</w:t>
      </w:r>
      <w:r>
        <w:tab/>
        <w:t>No cabe considerar, por tanto, que con tales expresiones el redactor de la carta haya querido imputar a esa persona la comisión de hechos susceptible de constituir un delito, como ha estimado la Sentencia impugnada en este proceso constitucional. En realidad, tanto con las expresiones que se acaban de examinar como con las que se refieren al estado de las cuentas de la Federación se viene a expresar una denuncia: que el C.S.D. debe fiscalizar las cantidades que han sido entregadas a dicho organismo ante un posible comportamiento irregular de su Presidente, evidenciado a juicio del redactor del escrito en las noticias aparecidas en los medios de comunicación sobre las dietas de los atletas y las cantidades destinadas a la preparación de éstos para los Juegos Olímpicos. Pero no cabe considerar que esta opinión, aun siendo desfavorable, entrañe una lesión del derecho al honor, ya que se ha expresado, como queda dicho, en el contexto de una crítica al comportamiento público de una persona pública y que por su cargo administraba caudales del mismo carácter . [F.J. 7]</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 xml:space="preserve">En el recurso de amparo núm. 309/94, promovido por don Juan Luis Cebrián Echarri y "Promotora de Informaciones, S.A.", representados por el Procurador de los Tribunales don Argimiro Vázquez Guillén y asistidos de Letrado, contra la Sentencia de la Sala Primera del Tribunal Supremo núm. 1.210/93, de 20 de diciembre de 1993, que casó y anuló la dictada por la Sección Decimosegunda de la Audiencia Provincial de Madrid el 24 de diciembre de 1990 (rollo 347/89), recaída en apelación en autos dimanantes del Juzgado de Primera Instancia núm. 26 de la misma capital núm. 301/86, por intromisión ilegítima del derecho al </w:t>
      </w:r>
      <w:r>
        <w:lastRenderedPageBreak/>
        <w:t>honor. Ha comparecido como parte don Luis Báguena Salvador, representado por la Procuradora de los Tribunales doña Sandra Alonso Osorio y asistido de Letrado. Ha intervenido el Ministerio Fiscal y ha sido Ponente el Magistrado don Julio Diego González Campos,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registrado e este Tribunal el 3 de febrero de 1994, don Luis Cebrián Echarri y "Promotora de Informaciones, S.A.", representado por el Procurador de los Tribunales don Argimiro Vázquez Guillén, interponen recurso de amparo contra la Sentencia de la Sala Primera del Tribunal Supremo, de 20 de diciembre de 1993, por lo que, estimando el recurso interpuesto por don Luis Báguena Salvador, casó y anuló la dictada en apelación de la que se ha hecho mérito en el encabezamiento y, en sustitución de ella, acordó confirmar la dictada en instancia, con modificación del fallo en cuanto a reducir a 5.000.000 ptas. la indemnización que los demandados solidariamente han de abonar al demandante, más el interés legal, y a la publicación en el diario "El País", a costa de aquellos, solamente del encabezamiento y fallo de la referida Sentencia de Primera Instancia y el fallo de ésta, sin expresa imposición de las costas de ninguna de las instancias.</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hechos relevantes para el examen de la pretensión de amparo, según se desprenden de las actuaciones recibidas, son los siguientes: </w:t>
      </w:r>
    </w:p>
    <w:p w:rsidR="008107C7" w:rsidRDefault="008107C7" w:rsidP="008107C7">
      <w:pPr>
        <w:pStyle w:val="TextoNormal"/>
      </w:pPr>
      <w:r>
        <w:t xml:space="preserve">A) El 8 de septiembre de 1984, se publicó en el diario "El País", dentro de la Sección dedicada a "Cartas al Director", una bajo el título "El Yudo en los Juegos Olímpicos de Los Angeles", a cuyo pie aparecía como autor y firmante "José L. Aguyó. Cinturón negro (primer dan) de yudo, Málaga". Cuyo texto es el siguiente: </w:t>
      </w:r>
    </w:p>
    <w:p w:rsidR="008107C7" w:rsidRDefault="008107C7" w:rsidP="008107C7">
      <w:pPr>
        <w:pStyle w:val="TextoNormal"/>
      </w:pPr>
      <w:r>
        <w:t xml:space="preserve">"El yudo en los Juegos Olímpicos de Los Ángeles.- Le envío esta carta para rogarle tenga a bien publicarla, intentando matizar ciertos puntos acerca del comportamiento de Luis Báguena, presidente de la Federación Española de Yudo, al frente de este organismo deportivo.- De todo el mundo son conocidas, ya que los distintos medios de comunicación social se hicieron eco de ellas, las vicisitudes por las que pasaron los yudocas olímpicos españoles que nos representaron el Los Ángeles: amenazas de Luis Báguena si hablaban, ninguna ayuda para su preparación olímpica, tener que viajar a la Costa Brava y dormir en el suelo porque interesaba a este señor de cara a sus pretensiones políticas, etcétera. ¿Cómo es posible que el Consejo Superior de Deportes y el Ministerio de Cultura permitan a un individuo así estar al frente de una federación deportiva nacional?.- Si existen incompatibilidades para ocupar ciertos cargos a los militares, al margen de sus deberes castrenses, y Luis Báguena es militar (teniente coronel) de la Guardia Civil, ¿cómo es que a este señor le dejan estar en posesión del mismo?.- Tampoco se entiende que si el Consejo Superior de Deportes dice haber dado 10 millones a la Federación Española de Yudo para la preparación olímpica del equipo nacional, no pudiendo justificar ni una sola peseta en gastos de preparación olímpica el tal Luis Báguena, ese CSD no haga nada por pararle los pies.- Los yudocas olímpicos españoles dijeron por televisión en Los Ángeles que tenían una carta del CSD donde se notificaba que se había cursado el importe a la Federación Española de Yudo para que se diesen 200.000 pesetas a cada uno de sus componentes, sin que éstos hubiesen recibido ni una sola peseta. ¿Es que también se va a quedar Luis Báguena con el dinero de los yudocas olímpicos?.- La Asociación de Profesores- Entrenadores de Yudo Nacional ha dicho en varias ocasiones que las cuentas de la federación española de este deporte no están nada claras, </w:t>
      </w:r>
      <w:r>
        <w:lastRenderedPageBreak/>
        <w:t xml:space="preserve">y que lo único que hace Báguena es demagogia barata, engañando a todo el mundo.- Resulta increíble que el presidente de la Federación Española de Yudo diga en un periódico madrileño, no hace muchos días que todo lo que han dicho los yudocas españoles sobre él no es más que una campaña en su contra y, por tanto, es mentira. Pero ¿quién va a creer a este hombre, que ha destruido el yudo español, sancionando a yudocas de la categoría de Rafael Ortega y José Luis de Frutos simplemente por expresar lo que piensan acerca de su persona en los medios de comunicación social: yudocas, por otra parte, que dieron todo en su época por defender los colores de España y que saben bastante de yudo, como demostró De Frutos en los Juegos Olímpicos de Montreal, al quedar clasificado en cuarto puesto, todo lo contrario a Báguena, que jamás practicó yudo y, por tanto, no tiene la menor idea de este deporte?.- Supongo que nadie puede hacer caso de la palabra de Luis Báguena, el cual se marchó a Los Ángeles sin pedir su reglamentario permiso militar, y al volver a Madrid, requerido por sus superiores, dijo que nunca había estado en tal lugar, a pesar de que fue visto por todo el mundo y de que consta en la lista de pasajeros del vuelo de Iberia, todo lo cual le valió un arresto militar de dos meses.- José L. Agulló. Cinturón negro (primer dan) de yudo. Málaga.". </w:t>
      </w:r>
    </w:p>
    <w:p w:rsidR="008107C7" w:rsidRDefault="008107C7" w:rsidP="008107C7">
      <w:pPr>
        <w:pStyle w:val="TextoNormal"/>
      </w:pPr>
      <w:r>
        <w:t xml:space="preserve">B) Considerando que la carta transcrita podía ser constitutiva de un delito de injurias y calumnias, el citado Luis Báguena Salvador, solicitó del diario "El País" la identificación expresa del autor de la "carta", con el fin de formular las correspondientes acciones penales. No obstante, y pese a constar en el pie de la misma su nombre y Provincia de origen, a la Dirección del periódico le fue imposible -por error en la transferencia de los datos del D.N.I. a su base de datos, según se afirma en la demanda de amparo- facilitar la información identificativa requerida, por lo que presentó querella contra los hoy recurrentes de amparo que fue sobreseída por el órgano judicial. </w:t>
      </w:r>
    </w:p>
    <w:p w:rsidR="008107C7" w:rsidRDefault="008107C7" w:rsidP="008107C7">
      <w:pPr>
        <w:pStyle w:val="TextoNormal"/>
      </w:pPr>
      <w:r>
        <w:t xml:space="preserve">C) Fallida la vía penal, interpuso demanda al amparo de la Ley 1/1980, por intromisión ilegítima de su derecho al honor ante el Juzgado de Primera Instancia de Madrid núm. 26, que dictó Sentencia con fecha 8 de junio de 1987, estimando íntegramente la pretensión del actor y condenado solidariamente al director del periódico y a la empresa editora al pago de una indemnización de 10.000.000 ptas. con sus respectivos intereses legales y a la publicación de la Sentencia en el mencionado medio de comunicación. </w:t>
      </w:r>
    </w:p>
    <w:p w:rsidR="008107C7" w:rsidRDefault="008107C7" w:rsidP="008107C7">
      <w:pPr>
        <w:pStyle w:val="TextoNormal"/>
      </w:pPr>
      <w:r>
        <w:t xml:space="preserve">D) Contra esta Sentencia interpusieron los demandantes de amparo recurso de apelación ante la Audiencia Provincial de Madrid, cuya Sección Decimosegunda, mediante Sentencia de 24 de diciembre de 1990, revocó la Sentencia de instancia, declarando la absolución de los mismos. </w:t>
      </w:r>
    </w:p>
    <w:p w:rsidR="008107C7" w:rsidRDefault="008107C7" w:rsidP="008107C7">
      <w:pPr>
        <w:pStyle w:val="TextoNormal"/>
      </w:pPr>
      <w:r>
        <w:t>E) El apelado interpuso recurso de casación ante el Tribunal Supremo, cuya Sala Primera dictó Sentencia el 20 de diciembre de 1993, casando y anulando la del Tribunal a quo y condenando a los hoy recurrentes al pago de una indemnización de 5.000.000 ptas. y a la publicación en "El País" sólo del encabezamiento y fallo de la Sentencia de instancia y del fallo de la dictada por el supremo Tribunal, con los demás pronunciamientos ya indicados.</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En su escrito de demanda alegan los recurrentes que la mencionada Sentencia de la Sala Primera del Tribunal Supremo ha lesionado su derecho constitucional a comunicar libremente información veraz (art. 20.1 C.E.) por haber efectuado una ponderación inadecuada en relación con el derecho al honor del demandante en el proceso a quo, siendo así que el primero se halla en una posición prevalente según ha declarado la jurisprudencia de este Tribunal. </w:t>
      </w:r>
    </w:p>
    <w:p w:rsidR="008107C7" w:rsidRDefault="008107C7" w:rsidP="008107C7">
      <w:pPr>
        <w:pStyle w:val="TextoNormal"/>
      </w:pPr>
      <w:r>
        <w:t xml:space="preserve">Más concretamente, los recurrentes manifiestan, en primer lugar, que la información difundida por el diario "El País" del 8 de septiembre de 1984 era una "carta al Director", </w:t>
      </w:r>
      <w:r>
        <w:lastRenderedPageBreak/>
        <w:t xml:space="preserve">suscrita por persona en principio identificada, y no un artículo o trabajo periodístico confeccionado por los redactores o colaboradores del periódico. Información que a su juicio tenía indudable relevancia pública por cuanto cabe apreciar, de un lado, que en 1984 tuvieron lugar los Juegos Olímpicos de Los Ángeles y los componentes del equipo español de judo que en ellos participaron habían imputado,en declaraciones hechas a diversos medios informativos, el fracaso de su actuación a la mala gestión del entonces Presidente de la Federación de Judo, don Luis Báguena Salvador, como causa de su falta de preparación para dichos Juegos. De otro, que el mencionado era persona de carácter público, en cuanto Presidente de dicha Federación deportiva y las críticas iban dirigidas a su actuación al frente de ese organismo. De suerte que, al recibirse la referida "carta al Director", que venía con otra de presentación en la que figuraban las circunstancias personales de su autor, que fueron comprobadas, se acordó su publicación por la relevancia pública de su contenido. Si bien, se agrega, tras la querella formulada por el Sr. Báguena contra el periódico, fue imposible recuperar de la memoria del ordenador donde se habían configurado dichas circunstancias personales, al parecer por haber "bailado" una cifra del D.N.I. de su autor, haciendo que este error convirtiera a la carta en anónima. </w:t>
      </w:r>
    </w:p>
    <w:p w:rsidR="008107C7" w:rsidRDefault="008107C7" w:rsidP="008107C7">
      <w:pPr>
        <w:pStyle w:val="TextoNormal"/>
      </w:pPr>
      <w:r>
        <w:t>En segundo lugar, sobre la veracidad de la información contenida en la mencionada carta los recurrentes sostienen, con cita de la jurisprudencia de este Tribunal, que goza de protección constitucional la información rectamente obtenida y difundida, aunque resulte inexacta, con tal de que se haya observado el deber de comprobar su veracidad, propio de un profesional diligente; diligencia que es menor cuando el contenido de la información ha sido elaborado por persona que es ajena al medio periodístico, como se ha declarado en la STC 15/1993. En el presente caso, se alega, la esencia de la información contenida en la carta ya había sido previamente publicada por los demás medios informativos, de donde la recogió su autor. De suerte que si se diferencia entre verdad y veracidad de la información, las declaraciones hechas por los componentes del equipo de judo pueden o no ser ciertas, pero la verdad es que se hicieron y, si la fuente es creíble, y en este caso lo era, el periodista ha de estimar veraz la información; siendo suficiente para el contraste de la noticia, según la STC 178/1993, que la fuente de la que procede sea digna de crédito. A cuyo fin el escrito de demanda procede a examinar seguidamente el contenido de la información contenida en la referida carta, en relación con la fundamentación de la Sentencia que se impugna, rechazando en particular que la misma contenga una imputación de malversación de caudales públicos al Sr. Báguena ya que, de un lado el Juez de lo Penal, ante el que se formuló querella por calumnia, ordenó el archivo de las diligencias y, de otro, aun reconociendo que en la información existe un error, puesto que el Consejo Superior de Deportes no había remitido a la Federación de Judo los 10.000.000. ptas. a los que se refiere la carta, es cierto que, por no haberse recibido, no pudieron ser aplicados a la preparación de los atletas, por causa imputable a la Federación, por lo que la información, publicada, en su esencia, era plenamente veraz.</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Por providencia de 18 de abril de 1994 la Sección Tercera acordó admitir a trámite la demanda de amparo y dirigir sendas comunicaciones a la Sala Primera del Tribunal Supremo y a la Audiencia provincial de Madrid a fin de que remitieran certificación o fotocopia adverada de las actuaciones correspondientes al procedimiento del que trae causa el presente recurso y solicitar que este último órgano judicial emplazara a quienes hubieran sido partes en el mismo. Por otra de igual fecha se acordó abrir pieza separada para la tramitación del incidente sobre suspensión y por Auto de 9 de mayo de 1994, la Sala acordó: 1. Suspender la ejecución de la Sentencia impugnada, en cuanto al pronunciamiento relativo </w:t>
      </w:r>
      <w:r>
        <w:lastRenderedPageBreak/>
        <w:t>a la publicación en el diario "El País" de su encabezamiento y fallo y los de la Sentencia de instancia. 2. Denegar la suspensión de la ejecución en cuanto al pronunciamiento relativo al pago de la indemnización más intereses legales al demandante en el proceso a quo.</w:t>
      </w:r>
    </w:p>
    <w:p w:rsidR="008107C7" w:rsidRDefault="008107C7" w:rsidP="008107C7">
      <w:pPr>
        <w:pStyle w:val="TextoNormal"/>
      </w:pPr>
    </w:p>
    <w:p w:rsidR="008107C7" w:rsidRDefault="008107C7" w:rsidP="008107C7">
      <w:pPr>
        <w:pStyle w:val="TextoNormal"/>
      </w:pPr>
      <w:r w:rsidRPr="008107C7">
        <w:rPr>
          <w:rStyle w:val="NumeroAFNegritaCaracter"/>
        </w:rPr>
        <w:t>5</w:t>
      </w:r>
      <w:r>
        <w:t>. Recibidas las actuaciones, la Sección Tercera acordó mediante providencia de 30 de junio de 1994 acusar recibo de las mismas, tener por personada y parte en el procedimiento a la Procuradora de los Tribunales doña Sandra Alonso Osorio, en nombre y representación de don Luis Báguena Salvador, con concesión de un plazo común de veinte días a las partes personadas para la presentación de las alegaciones previstas en el art. 52.1 de la Ley Orgánica de este Tribunal.</w:t>
      </w:r>
    </w:p>
    <w:p w:rsidR="008107C7" w:rsidRDefault="008107C7" w:rsidP="008107C7">
      <w:pPr>
        <w:pStyle w:val="TextoNormal"/>
      </w:pPr>
    </w:p>
    <w:p w:rsidR="008107C7" w:rsidRDefault="008107C7" w:rsidP="008107C7">
      <w:pPr>
        <w:pStyle w:val="TextoNormal"/>
      </w:pPr>
      <w:r w:rsidRPr="008107C7">
        <w:rPr>
          <w:rStyle w:val="NumeroAFNegritaCaracter"/>
        </w:rPr>
        <w:t>6</w:t>
      </w:r>
      <w:r>
        <w:t>. Mediante escrito de fecha 19 de julio de 1994, registrado en este Tribunal el siguiente día 20, la representación de los demandantes de amparo se ratificó en las alegaciones contenidas en su escrito de demanda.</w:t>
      </w:r>
    </w:p>
    <w:p w:rsidR="008107C7" w:rsidRDefault="008107C7" w:rsidP="008107C7">
      <w:pPr>
        <w:pStyle w:val="TextoNormal"/>
      </w:pPr>
    </w:p>
    <w:p w:rsidR="008107C7" w:rsidRDefault="008107C7" w:rsidP="008107C7">
      <w:pPr>
        <w:pStyle w:val="TextoNormal"/>
      </w:pPr>
      <w:r w:rsidRPr="008107C7">
        <w:rPr>
          <w:rStyle w:val="NumeroAFNegritaCaracter"/>
        </w:rPr>
        <w:t>7</w:t>
      </w:r>
      <w:r>
        <w:t>. El Ministerio Fiscal, por escrito de 21 de julio de 1994, registrado en este Tribunal el 28 siguiente, interesó la denegación del amparo solicitado. Tras exponer el objeto de la queja, estima con la Sentencia impugnada, que en la carta al Director se viene a imputar al demandante, no sólo subliminalmente, sino de forma expresa, una malversación de caudales públicos, de lo que resulta patente la intromisión ilegítima en el honor del afectado. Entrando a valorar si la ponderación de los derechos en conflicto ha sido o no adecuada, se indica que este caso presenta la particularidad de referirse a una "carta al Director", supuesto que ha sido objeto de examen en las SSTC 159/1986, 15/1993 y especialmente, en la 336/1993. Doctrina que, junto con la relativa a la veracidad de la información, es aquí aplicable y tras citar el fundamento jurídico 7º de la referida STC 336/1993, considera que la diligencia exigible al responsable del medio informativo que va a publicar una carta al Director se reduce a la identificación ex ante de la persona que aparece como firmante, para comprobar que realmente existe y es capaz de responder del contenido, privando a la información de su carácter veraz el incumplimiento de tal deber, como claramente se expresa en la Sentencia de este Tribunal últimamente citada. En el presente caso la persona que aparecía como firmante no ha podido ser identificada en las diligencias penales previamente tramitadas y que terminaron por Auto de sobreseimiento, sin que las explicaciones que se contienen en la demanda de amparo sobre esta circunstancia resulten satisfactorias para enervar el deber de identificación. A lo que se agrega, frente a lo alegado en la demanda, que la información referida en la carta sobre la suma que se dice haber recibido del Consejo Superior de Deportes no había aparecido en otros medios de información, como afirma la Sentencia aquí impugnada. De suerte que una vez comprobado el carácter difamatorio de la información y la negligencia por parte del Director del periódico, la consecuencia no puede ser otra que estamos ante una información inveraz y como tal carente de protección constitucional, debiendo prevalecer el derecho al honor del afectado.</w:t>
      </w:r>
    </w:p>
    <w:p w:rsidR="008107C7" w:rsidRDefault="008107C7" w:rsidP="008107C7">
      <w:pPr>
        <w:pStyle w:val="TextoNormal"/>
      </w:pPr>
    </w:p>
    <w:p w:rsidR="008107C7" w:rsidRDefault="008107C7" w:rsidP="008107C7">
      <w:pPr>
        <w:pStyle w:val="TextoNormal"/>
      </w:pPr>
      <w:r w:rsidRPr="008107C7">
        <w:rPr>
          <w:rStyle w:val="NumeroAFNegritaCaracter"/>
        </w:rPr>
        <w:t>8</w:t>
      </w:r>
      <w:r>
        <w:t xml:space="preserve">. En su escrito de alegaciones de fecha 28 de julio de 1994, registrado en este Tribunal el siguiente día 29, la representación de don Luis Báguena Salvador impugnó la demanda de amparo y solicitó, en consecuencia, su desestimación. A su entender nos encontramos ante una carta al Director apócrifa, en la que en varios párrafos se falta a la verdad, como así lo ha estimado la Sentencia de la Sala Primera del Tribunal Supremo, estando dirigidas las alegaciones de los demandantes sólo a introducir nuevos hechos y valoraciones de la </w:t>
      </w:r>
      <w:r>
        <w:lastRenderedPageBreak/>
        <w:t>prueba practicada. En efecto, existe el dato inexacto de haber remitido el Consejo Superior de Deportes a la Federación de Judo la cantidad de 10.000.000 ptas., extremo que ha sido probado en el proceso a quo. Y aunque los demandantes de amparo traten de soslayar que en la carta exista la imputación de un delito de malversación, utilizando unos párrafos y silenciando otros, no cabe olvidar ni el contexto ni la concreta afirmación de que el Presidente de la Federación "también se va a quedar" con la referida suma, lo que constituye una clara imputación del delito. De otra parte, los demandantes de amparo alegan que si tal imputación hubiera sido cierta la querella interpuesta no habría sido sobreseida, pero silencian que el sobreseimiento se declaró por "falta de autor del posible delito" y ello fue consecuencia del negligente comportamiento del medio en la comprobación de las circunstancias personales del autor de la carta. Sin que puedan aceptarse las explicaciones que ofrecen los demandantes de amparo, pues los procesos informáticos permiten recuperar datos más allá de un posible error en el número del D.N.I., al margen de ser difícil de entender que no quedara archivado en el periódico el original de la carta. Asimismo, aunque los demandantes pretenden que la imputación va dirigida a la Federación, personificada en su Presidente y luego reconocen que se refieren sólo a éste, lo cierto es que se trata de una misma persona la que es objeto de imputación y ésta se designa en la carta con nombre y apellidos al imputársele la comisión de un delito. A lo que cabe agregar, por último, que ha quedado demostrada otra inexactitud, la relativa a la práctica del judo por el Presidente de la Federación, sin que sea relevante que se efectuara de forma profesional o como amateur.</w:t>
      </w:r>
    </w:p>
    <w:p w:rsidR="008107C7" w:rsidRDefault="008107C7" w:rsidP="008107C7">
      <w:pPr>
        <w:pStyle w:val="TextoNormal"/>
      </w:pPr>
    </w:p>
    <w:p w:rsidR="008107C7" w:rsidRDefault="008107C7" w:rsidP="008107C7">
      <w:pPr>
        <w:pStyle w:val="TextoNormal"/>
      </w:pPr>
      <w:r w:rsidRPr="008107C7">
        <w:rPr>
          <w:rStyle w:val="NumeroAFNegritaCaracter"/>
        </w:rPr>
        <w:t>9</w:t>
      </w:r>
      <w:r>
        <w:t>. Por providencia de 9 de enero de 1997, se señaló para deliberación y votación de la presente Sentencia el día 13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El director de un periódico y la sociedad mercantil que lo edita han solicitado el amparo de este Tribunal frente a la Sentencia dictada el 20 de diciembre de 1993 por la Sala Primera del Tribunal Supremo, pues a su entender la "carta al Director" publicada por el diario "El País" el 9 de septiembre de 1984 contenía información con relevancia pública y de carácter veraz, no constituyendo una intromisión en el derecho al honor de quien fuera demandante en el proceso a quo. Por lo que estiman que la resolución judicial contra la que dirigen su queja ha lesionado el derecho fundamental que el art. 20.1 d) C.E. les reconoce. Sin embargo, a esta pretensión se oponen tanto quien fuera demandante en el procedimiento judicial del que este recurso trae causa, como el Ministerio Fiscal. Los cuales consideran correcta la ponderación entre los derechos fundamentales en presencia que ha efectuado la resolución judicial impugnada y, en consecuencia, han solicitado la denegación del amparo.</w:t>
      </w:r>
    </w:p>
    <w:p w:rsidR="008107C7" w:rsidRDefault="008107C7" w:rsidP="008107C7">
      <w:pPr>
        <w:pStyle w:val="TextoNormal"/>
      </w:pPr>
      <w:r>
        <w:t>El enjuiciamiento de las pretensiones de las partes en este proceso constitucional requiere que, partiendo de los hechos declarados probados por las resoluciones judiciales [art. 44.1 b) LOTC] identifiquemos en primer lugar cuáles son los derechos fundamentales en presencia (SSTC 336/1993 y 22/1995, entre otras). Para determinar seguidamente, de conformidad con la función que corresponde a este Tribunal [arts. 123. 1 y 161.1 b) C.E.], si el órgano jurisdiccional ha efectuado o no una adecuada delimitación de los derechos fundamentales que se han individualizado, atendidas las circunstancias particulares del caso. Lo que implica, dicho en otros términos, considerar si el ejercicio de esos derechos fundamentales ha tenido lugar dentro del ámbito constitucionalmente protegido o, por el contrario, se ha transgredido dicho ámbito (SSTC 15/1993, 336/1993 y 167/1995, entre otras).</w:t>
      </w:r>
    </w:p>
    <w:p w:rsidR="008107C7" w:rsidRDefault="008107C7" w:rsidP="008107C7">
      <w:pPr>
        <w:pStyle w:val="TextoNormal"/>
      </w:pPr>
    </w:p>
    <w:p w:rsidR="008107C7" w:rsidRDefault="008107C7" w:rsidP="008107C7">
      <w:pPr>
        <w:pStyle w:val="TextoNormal"/>
      </w:pPr>
      <w:r w:rsidRPr="008107C7">
        <w:rPr>
          <w:rStyle w:val="NumeroAFNegritaCaracter"/>
        </w:rPr>
        <w:t>2</w:t>
      </w:r>
      <w:r>
        <w:t>. Para la correcta identificación de los derechos fundamentales en presencia han de tenerse en cuenta dos circunstancias del caso aquí enjuiciado.  En primer lugar, que se trata de un escrito que no ha sido elaborado por los profesionales del medio de comunicación o sus colaboradores habituales sino de una "carta al Director", redactada por persona enteramente ajena a dicho medio.  Con la particularidad, en segundo término, de haber resultado desconocida, por circunstancias sólo imputables al medio de comunicación, la identidad de la persona que redactó dicho escrito, como ha declarado la resolución judicial impugnada. Nos encontramos, pues, ante un supuesto similar a los resueltos por las SSTC 15/1993 y 336/1993 y, por ello, es conveniente recordar, con carácter previo, la doctrina allí expuesta.</w:t>
      </w:r>
    </w:p>
    <w:p w:rsidR="008107C7" w:rsidRDefault="008107C7" w:rsidP="008107C7">
      <w:pPr>
        <w:pStyle w:val="TextoNormal"/>
      </w:pPr>
      <w:r>
        <w:t>A) En primer lugar, partiendo de la doctrina sentada en la STC 159/1986 hemos declarado que en los supuestos en los que el medio de comunicación autoriza la publicación de un escrito ajeno era obligado distinguir dos acciones separables. De un lado, el escrito en sí, ajeno al medio de comunicación y, de otro, el hecho de su publicación en la sección correspondiente del periódico.  Lo que nos permitirá precisar, en relación con una u otra acción, cual de las libertades reconocidas en el art. 20.1 C.E.  ha sido ejercida y, en atención a las circunstancias del caso, si su ejercicio se ha llevado a cabo dentro del ámbito que la Constitución garantiza (STC 336/1993).</w:t>
      </w:r>
    </w:p>
    <w:p w:rsidR="008107C7" w:rsidRDefault="008107C7" w:rsidP="008107C7">
      <w:pPr>
        <w:pStyle w:val="TextoNormal"/>
      </w:pPr>
      <w:r>
        <w:t>En cuanto a la primera acción, hemos dicho que habrá de determinarse, en atención al contenido del escrito, si su autor ejerce la libertad de expresar pensamiento, ideas u opiniones [art. 20.1 a) C.E.] o bien se limita a transmitir unos concretos hechos, sin entrar a valorarlos ni expresar su opinión sobre los mismos, situándose en este caso en el ámbito del derecho que el art.  20.1 d) le reconoce. Aunque se ha advertido -y el presente caso permite comprobarlo, como se verá de inmediato- que las opiniones con frecuencia tienen su apoyo o se derivan de ciertos hechos, de manera que el deslinde entre aquella libertad y la de información nunca es total y absoluto (SSTC 6/1988 y 190/1992, entre otras). Y en cuanto a la acción del periódico autorizando la publicación del escrito recibido, que el medio se limita a difundir lo manifestado por persona que es ajena al mismo y, consiguientemente, ejerce en principio su derecho constitucional a comunicar información veraz [art. 20.1 d) C.E.].</w:t>
      </w:r>
    </w:p>
    <w:p w:rsidR="008107C7" w:rsidRDefault="008107C7" w:rsidP="008107C7">
      <w:pPr>
        <w:pStyle w:val="TextoNormal"/>
      </w:pPr>
      <w:r>
        <w:t>B) Respecto a este último derecho reiteradamente hemos puesto de relieve su importancia en atención a su doble carácter de libertad personal y garantía de una opinión pública en un Estado democrático, a cuya formación contribuye (STC 42/1995, con cita de las SSTC 104/1986, 171/1990, 172/1990, 40/1992, 85/1992 y 170/1994). Aunque este Tribunal ha cuidado de precisar el contenido y los límites de la "información veraz" cuya comunicación y recepción, como derechos íntimamente conectados (STC 186/1986), es objeto de protección constitucional.</w:t>
      </w:r>
    </w:p>
    <w:p w:rsidR="008107C7" w:rsidRDefault="008107C7" w:rsidP="008107C7">
      <w:pPr>
        <w:pStyle w:val="TextoNormal"/>
      </w:pPr>
      <w:r>
        <w:t xml:space="preserve">Así, en primer lugar, se ha dicho que esta protección alcanza a la información sobre asuntos de interés general o de relevancia pública (SSTC 67/1988, 171/1990, 22/1995 y 28/1996), pues es el conocimiento de aquellos asuntos importantes para la vida en común el que condiciona la participación de todos en una sociedad democrática y posibilita el ejercicio efectivo de otros derechos y libertades (STC 186/1986, fundamento jurídico 2º). En segundo término, que aunque la veracidad de la información no se identifica con la verdad material en el proceso penal ni con una realidad incontrovertible, pues ello restringiría el ejercicio de la libertad de información sólo a los hechos que pudieran ser plena y exactamente comprobados (SSTC 143/1991 y 41/1994), su respeto requiere un específico deber de diligencia del informador: que lo que el medio transmita como hechos haya sido objeto de previo contraste con datos objetivos (SSTC 6/1988, 219/1992 y 41/1994, entre otras). </w:t>
      </w:r>
      <w:r>
        <w:lastRenderedPageBreak/>
        <w:t>Pues existiendo esa conducta diligente será amparable "la información rectamente obtenida y difundida aun cuando su total exactitud sea controvertible", pero no en el caso de que se actúe con menosprecio de la verdad o falsedad de lo comunicado y se transmitan como hechos "simples rumores o, peor aún meras invenciones o insinuaciones insidiosas" (STC 6/1988, fundamento jurídico 5º). Por último, han de tenerse presente los diferentes extremos que, atendidas las circunstancias del caso, permiten precisar el deber de diligencia del informador, expuestos en la STC 28/1996, fundamento jurídico 3º, con apoyo en la doctrina de este Tribunal. Entre ellos, en lo que aquí importa, que el nivel de diligencia exigible adquirirá su máxima intensidad cuando la noticia que se divulga pueda suponer, por su propio contenido, un descrédito en la consideración de la persona a la que la información se refiere (SSTC 240/1991 y 178/1993).</w:t>
      </w:r>
    </w:p>
    <w:p w:rsidR="008107C7" w:rsidRDefault="008107C7" w:rsidP="008107C7">
      <w:pPr>
        <w:pStyle w:val="TextoNormal"/>
      </w:pPr>
      <w:r>
        <w:t>C) En particular, respecto a aquellos supuestos en los que el medio autoriza la publicación de un escrito procedente de persona enteramente ajena al mismo, hemos precisado que "el deber de diligencia del Director del periódico entraña la comprobación de la identidad de la persona que figura como autor de la carta, antes de autorizar su publicación", como es práctica habitual.  Agregando que si esta específica diligencia no fuera exigible, "no quedarían debidamente deslindados, respectivamente, el ejercicio de la libertad de expresión de una persona ajena al medio, que éste posibilita al publicar la carta, y el derecho que asiste al diario de informar de esa opinión a sus lectores"; y, ello supondría, asímismo, "que quedase afectado el derecho de los lectores a recibir una información veraz, que el art. 20.1 d) C.E.  garantiza". La comprobación de la identidad de la persona que es autora del escrito permite, pues, "que ésta asuma su responsabilidad caso de que la carta sea constitutiva de delito", dado que, en otro caso, "se abriría la puerta a la creación de espacios inmunes a posibles vulneraciones del derecho al honor constitucionalmente garantizado" [STC 336/1993, fundamento jurídico 7º B)].</w:t>
      </w:r>
    </w:p>
    <w:p w:rsidR="008107C7" w:rsidRDefault="008107C7" w:rsidP="008107C7">
      <w:pPr>
        <w:pStyle w:val="TextoNormal"/>
      </w:pPr>
    </w:p>
    <w:p w:rsidR="008107C7" w:rsidRDefault="008107C7" w:rsidP="008107C7">
      <w:pPr>
        <w:pStyle w:val="TextoNormal"/>
      </w:pPr>
      <w:r w:rsidRPr="008107C7">
        <w:rPr>
          <w:rStyle w:val="NumeroAFNegritaCaracter"/>
        </w:rPr>
        <w:t>3</w:t>
      </w:r>
      <w:r>
        <w:t>. Ahora bien, la anterior doctrina no lleva necesariamente a estimar que la acción del medio autorizando la publicación de una "carta al Director" procedente de persona que no resulta identificada entrañe, en todo caso, la responsabilidad de aquel, y que a este fin sea suficiente la verificación de que no ha existido esa diligencia específica. Pues cuando se trata de enjuiciar una posible lesión del derecho al honor de una tercera persona por el escrito ajeno que el medio ha publicado, lo decisivo es no sólo el hecho de la publicación sino determinar, en atención al contenido de dicho escrito si se ha producido o no la vulneración de ese derecho fundamental.</w:t>
      </w:r>
    </w:p>
    <w:p w:rsidR="008107C7" w:rsidRDefault="008107C7" w:rsidP="008107C7">
      <w:pPr>
        <w:pStyle w:val="TextoNormal"/>
      </w:pPr>
      <w:r>
        <w:t xml:space="preserve">En efecto, al autorizar la publicación de un escrito ajeno cuyo autor se ha identificado previamente será éste quien asuma la responsabilidad que del mismo pueda derivarse si su contenido resulta lesivo del derecho al honor de una tercera persona. Sin embargo, la situación es muy distinta si el escrito ajeno es publicado sin que el medio conozca la identidad de su autor, pues en tal supuesto dicho escrito no constituye una acción que pueda ser separada de la de su publicación por el medio, conforme a la doctrina expuesta en la STC 159/1986. De suerte que al autorizar la publicación del escrito pese a no conocer la identidad de su autor ha de entenderse que el medio, por ese hecho, ha asumido su contenido. Lo que entraña una doble consecuencia: en primer lugar, que el ejercicio de las libertades que el art. 20.1 reconoce y garantiza habrá de ser enjuiciado, exclusivamente, en relación con el medio, dado que el redactor del escrito es desconocido. En segundo término, que al medio le corresponderá o no la eventual responsabilidad que pueda derivarse del escrito si su contenido ha sobrepasado el ámbito constitucionalmente protegido de la libertad de información y, en </w:t>
      </w:r>
      <w:r>
        <w:lastRenderedPageBreak/>
        <w:t>su caso, de la libertad de expresión, lesionando el honor de terceras personas o, por el contrario, lo ha respetado.</w:t>
      </w:r>
    </w:p>
    <w:p w:rsidR="008107C7" w:rsidRDefault="008107C7" w:rsidP="008107C7">
      <w:pPr>
        <w:pStyle w:val="TextoNormal"/>
      </w:pPr>
    </w:p>
    <w:p w:rsidR="008107C7" w:rsidRDefault="008107C7" w:rsidP="008107C7">
      <w:pPr>
        <w:pStyle w:val="TextoNormal"/>
      </w:pPr>
      <w:r w:rsidRPr="008107C7">
        <w:rPr>
          <w:rStyle w:val="NumeroAFNegritaCaracter"/>
        </w:rPr>
        <w:t>4</w:t>
      </w:r>
      <w:r>
        <w:t>. A los fines de este examen, conviene comenzar indicando que la aquí controvertida "carta al Director" fue publicada en el diario "El País" bajo el título "El yudo en los Juegos Olímpicos de Los Ángeles" en fecha relativamente próxima a la finalización de ese acontecimiento deportivo, ya que apareció en la edición del 8 de septiembre de 1984. Y si nos atenemos al párrafo inicial de este escrito, el propósito de su no identificado redactor -que afirmaba ser "cinturón negro (primer dan) de yudo"- era el de tratar de "matizar ciertos puntos acerca del comportamiento de don Luis de Báguena, Presidente de la Federación Española de Yudo al frente de este organismo deportivo".  Comportamiento que desde el segundo párrafo es relacionado con las "vicisitudes por las que pasaron los yudocas olímpicos españoles que nos representaron en Los Ángeles" y que el redactor del escrito parecía estimar que eran de público conocimiento al aludir a que "los distintos medios de comunicación social se hicieron eco de ellas". Por tanto, en sus párrafos iniciales el escrito se presentaba como una puntualización efectuada por un judoca sobre ciertos hechos próximos en el tiempo y relacionados con el entonces Presidente de la mencionada Federación. Pero si se examina el resto de la "carta al Director" y, en particular, los cinco párrafos acotados en el fundamento de Derecho 2º de la Sentencia que aquí se impugna y allí designados con las letras a) a e), en los que el Alto Tribunal ha basado su pronunciamiento, las conclusiones que se desprenden del contenido del escrito y de las circunstancias en las que fue redactado son otras.</w:t>
      </w:r>
    </w:p>
    <w:p w:rsidR="008107C7" w:rsidRDefault="008107C7" w:rsidP="008107C7">
      <w:pPr>
        <w:pStyle w:val="TextoNormal"/>
      </w:pPr>
      <w:r>
        <w:t>A) Los hechos relativos al comportamiento del entonces Presidente de la Federación de Judo y Disciplinas Asociadas son expuestos por el redactor del escrito haciendo una constante referencia a declaraciones de terceras personas. Si bien cabe observar que tales referencias son por lo general, imprecisas en cuanto a su fuente.</w:t>
      </w:r>
    </w:p>
    <w:p w:rsidR="008107C7" w:rsidRDefault="008107C7" w:rsidP="008107C7">
      <w:pPr>
        <w:pStyle w:val="TextoNormal"/>
      </w:pPr>
      <w:r>
        <w:t>En efecto, sobre el hecho aludido en el segundo inciso del párrafo designado como a) el redactor del escrito afirma que "Los yudocas olímpicos españoles dijeron por televisión en Los Ángeles que tenían una carta del C.S.D.  ..." (donde se les notificaba que el Consejo había cursado a la Federación el importe de la bolsa olímpica). Respecto al hecho a que se refiere el primer inciso del mismo párrafo, se expresa que "...si el C.S.D. dice haber dado los 10 millones a la Federación". Y en cuanto al hecho consignado en el párrafo b) sobre el estado de las cuentas de la Federación y la valoración del comportamiento de su Presidente, también se afirma que la Asociación de Profesores-Entrenadores de Judo Nacional lo "ha dicho en varias ocasiones".  Existiendo también referencias a declaraciones de los judocas supuestamente sancionados por "expresar lo que piensan acerca de su persona (el Sr. Báguena Salvador) en los medios de comunicación".</w:t>
      </w:r>
    </w:p>
    <w:p w:rsidR="008107C7" w:rsidRDefault="008107C7" w:rsidP="008107C7">
      <w:pPr>
        <w:pStyle w:val="TextoNormal"/>
      </w:pPr>
      <w:r>
        <w:t>No cabe entender, pues, que el redactor de la "carta al Director" haya informado al público de hechos que personalmente conocía, ni tampoco que con apoyo en los mismos tratara de rectificar los que previamente habían informado los medios de comunicación, contraponiéndolos con aquellos. En realidad, de la lectura del escrito se desprende con claridad que los hechos expuestos, a partir de fuentes que no se precisan suficientemente, están al servicio de otra finalidad: la de denunciar, censurar o criticar el comportamiento del entonces Presidente de la mencionada Federación en relación con los componentes del equipo olímpico español de judo, partiendo de diversas noticias aparecidas en los medios de comunicación, en particular en el mes de agosto de 1984, como se evidencia por la lectura de la prensa de aquel momento.</w:t>
      </w:r>
    </w:p>
    <w:p w:rsidR="008107C7" w:rsidRDefault="008107C7" w:rsidP="008107C7">
      <w:pPr>
        <w:pStyle w:val="TextoNormal"/>
      </w:pPr>
      <w:r>
        <w:lastRenderedPageBreak/>
        <w:t>B) Que la referencia a los hechos va acompañada de una crítica o censura a la actuación de la persona que entonces era Presidente de dicha Federación se evidencia, en efecto, desde el segundo párrafo del escrito, donde tras imputarle ciertos hechos relativos a los componentes del equipo olímpico español de judocas -en concreto, las "amenazas... si hablaban", de no darles "ninguna ayuda para la preparación olímpica" y hacerles "dormir en el suelo porque interesaba a este señor de cara a sus pretensiones políticas" -el redactor del escrito termina preguntándose "¿Cómo es posible que el C.S.D. y el Ministerio de Cultura permitan a un individuo así estar al frente de una Federación Deportiva Nacional?". De manera que la crítica también se proyecta frente a una supuesta pasividad de los organismos superiores del deporte. Y este aspecto se reitera en el párrafo 3º, en relación con posibles incompatibilidades por la condición de militar del Sr. Báguena así como en el primer inciso del párrafo designado como a), donde después de hacer referencia a una supuesta falta de justificación por parte de la Federación de las cantidades recibidas para gastos de preparación olímpica de los atletas se afirma que "Tampoco se entiende que ... ese C.S.D.  no haga nada para pararle los pies" al Sr. Báguena Salvador.</w:t>
      </w:r>
    </w:p>
    <w:p w:rsidR="008107C7" w:rsidRDefault="008107C7" w:rsidP="008107C7">
      <w:pPr>
        <w:pStyle w:val="TextoNormal"/>
      </w:pPr>
      <w:r>
        <w:t>Ahora bien, centrándonos en la crítica que se dirige al entonces Presidente de la mencionada Federación, ésta se manifiesta con toda claridad en el segundo inciso del párrafo a), con referencia a la bolsa olímpica supuestamente no percibida por los componentes del equipo de judo. Y enlazando con lo anterior, el redactor de la "carta al Director" se pregunta "¿Es que también se va a quedar Luis Báguena con el dinero de los yudocas olímpicos?". Al igual que cuando se refiere en el párrafo b) a unas supuestas declaraciones de la Asociación de Profesores-Entrenadores de Judo Nacional en las que se afirma que "las cuentas de la Federación Española de este Deporte no están nada claras"; cuando se manifiesta, con referencia a las sanciones impuestas a dos judocas de categoría que, con ello "este hombre ... ha destruido el yudo español"; [párrafo c)] o se afirma que la persona tantas veces mencionada "...jamás practicó yudo y por tanto no tiene la menor idea de este deporte" [párrafo d)].</w:t>
      </w:r>
    </w:p>
    <w:p w:rsidR="008107C7" w:rsidRDefault="008107C7" w:rsidP="008107C7">
      <w:pPr>
        <w:pStyle w:val="TextoNormal"/>
      </w:pPr>
      <w:r>
        <w:t>A ello se une, finalmente, un reproche basado en la falta de credibilidad de la persona que era Presidente de la Federación, dado que los párrafos designados como c) y e) comienzan, respectivamente, con estas expresiones "Pero ¿quién va a creer a este hombre...?" y "Supongo que nadie puede hacer caso de la palabra de don Luis Báguena...", en el primer caso con referencia a que éste "ha destruido el yudo español" al sancionar a dos atletas y en el segundo al imputarle el haber dicho que "nunca estuvo en Los Ángeles" cuando ello no era cierto. Lo que se reitera en el párrafo b) in fine, al aludir a unas declaraciones de un tercero en las que supuestamente se manifestaba que "lo único que hace Báguena es demagogia barata, engañando a todo el mundo".</w:t>
      </w:r>
    </w:p>
    <w:p w:rsidR="008107C7" w:rsidRDefault="008107C7" w:rsidP="008107C7">
      <w:pPr>
        <w:pStyle w:val="TextoNormal"/>
      </w:pPr>
    </w:p>
    <w:p w:rsidR="008107C7" w:rsidRDefault="008107C7" w:rsidP="008107C7">
      <w:pPr>
        <w:pStyle w:val="TextoNormal"/>
      </w:pPr>
      <w:r w:rsidRPr="008107C7">
        <w:rPr>
          <w:rStyle w:val="NumeroAFNegritaCaracter"/>
        </w:rPr>
        <w:t>5</w:t>
      </w:r>
      <w:r>
        <w:t>. En suma, del examen anterior se desprende con claridad que la controvertida "carta al Director", en atención a su contenido, no puede ser enjuiciada ni exclusiva ni principalmente en relación con el ejercicio de la libertad de información, dado que los hechos a los que se refiere su redactor con imprecisa referencia a terceros en realidad sólo le sirven de base para llevar a cabo una crítica, censura o denuncia del comportamiento de la persona que por aquel entonces era Presidente de la mencionada Federación. A lo que va unida, asimismo, una crítica a los organismos superiores del Deporte por permitir que esa persona continúe en el ejercicio de ese cargo. De manera que es el ejercicio del derecho fundamental a la libertad de expresión el que ha de ser contrastado con el límite que constituye el derecho al honor del demandante en el proceso a quo.</w:t>
      </w:r>
    </w:p>
    <w:p w:rsidR="008107C7" w:rsidRDefault="008107C7" w:rsidP="008107C7">
      <w:pPr>
        <w:pStyle w:val="TextoNormal"/>
      </w:pPr>
      <w:r>
        <w:lastRenderedPageBreak/>
        <w:t>Conclusión de la que naturalmente se deriva una consecuencia respecto al enjuiciamiento sobre el ejercicio de los derechos fundamentales en presencia que ha efectuado la resolución judicial impugnada. Ésta, en efecto, ha estimado que era totalmente inveraz la información contenida en los incisos 1º y 2º del apartado designado como a), (fundamento de Derecho 4º de la Sentencia) así como la información que se contiene en los apartados b) y c) de dicho escrito (fundamento de Derecho 6º), considerando veraz, en cambio, la información expuesta en el apartado e). Pero es obvio que el requisito de veracidad de la información constituye un límite interno del derecho reconocido en el art. 20.1 d) C.E., como reiteradamente ha declarado este Tribunal, y tal límite no opera en el ámbito de la libertad de expresión, (SSTC 105/1990 y 78/1995).</w:t>
      </w:r>
    </w:p>
    <w:p w:rsidR="008107C7" w:rsidRDefault="008107C7" w:rsidP="008107C7">
      <w:pPr>
        <w:pStyle w:val="TextoNormal"/>
      </w:pPr>
      <w:r>
        <w:t>Ahora bien esta conclusión no implica que aquí haya de detenerse nuestro examen, pues la Sentencia impugnada, de otra parte, ha estimado que en el apartado del escrito identificado como d) "se ataca el prestigio profesional del demandante" en el proceso a quo, "en su calidad de Presidente de la Federación". Y que en el apartado a) se viene a imputar al demandante en el proceso a quo "no sólo subliminalmente, sino de forma expresa, una malversación de los diez millones de pesetas y de las doscientas mil pesetas de dietas para los yudocas, bien por haber dado a estas cantidades un destino distinto al legalmente previsto para ellas, bien por apropiación de las mismas" (fundamento de Derecho 4º). Lo que se reitera posteriormente respecto al apartado a), y se extiende también al apartado b), al señalar "la gravedad de las imputaciones" que allí se contienen y que "de ser ciertas, podrán ser constitutivas de posibles delitos" de malversación de caudales públicos (fundamento de Derecho 8º). Afirmando por último que en la controvertida "carta al Director" se contiene una información que "vierte imputaciones gravemente afrentosas para el honor del demandante... cuales son, sobre todo, las que se expresan en los apartados a) y b)" (fundamento de Derecho 9º).  Por lo que hemos de considerar seguidamente si es o no correcto el enjuiciamiento que, desde esta perspectiva, han llevado a cabo los órganos jurisdiccionales.</w:t>
      </w:r>
    </w:p>
    <w:p w:rsidR="008107C7" w:rsidRDefault="008107C7" w:rsidP="008107C7">
      <w:pPr>
        <w:pStyle w:val="TextoNormal"/>
      </w:pPr>
    </w:p>
    <w:p w:rsidR="008107C7" w:rsidRDefault="008107C7" w:rsidP="008107C7">
      <w:pPr>
        <w:pStyle w:val="TextoNormal"/>
      </w:pPr>
      <w:r w:rsidRPr="008107C7">
        <w:rPr>
          <w:rStyle w:val="NumeroAFNegritaCaracter"/>
        </w:rPr>
        <w:t>6</w:t>
      </w:r>
      <w:r>
        <w:t>. En supuestos en los que se ponderaba el ejercicio de las libertades reconocidas por el art. 20.1 C.E. en relación con el derecho al honor, este Tribunal ha declarado que la fuerza expansiva de todo derecho fundamental restringe el alcance de las normas limitadoras que actúan sobre el mismo y, de ahí, "la exigencia de que los límites de los derechos fundamentales han de ser interpretados con carácter restrictivo y en el sentido más favorable a la eficacia y esencia de tales derechos", siendo exigible una "rigurosa ponderación de cualquier norma o decisión que coarte su ejercicio" (STC 159/1986, fundamento jurídico 6º). Lo que es aplicable a uno de los límites externos de dichas libertades, como es el derecho al honor, constitucionalmente garantizado (SSTC 51/1985, 159/1986, 214/1991, 190/1992 y 42/1995, entre otras).</w:t>
      </w:r>
    </w:p>
    <w:p w:rsidR="008107C7" w:rsidRDefault="008107C7" w:rsidP="008107C7">
      <w:pPr>
        <w:pStyle w:val="TextoNormal"/>
      </w:pPr>
      <w:r>
        <w:t xml:space="preserve">Más concretamente, hemos declarado que cuando se ejercita la libertad de expresión reconocida por el art. 20.1 a) C.E., los límites permisibles de la crítica son más amplios si ésta se refiere a personas que, por dedicarse a actividades públicas, están expuestas a un más riguroso control de sus actividades y manifestaciones que si se trata de simples particulares sin proyección pública alguna, pues en un sistema inspirado en los valores democráticos, la sujeción a esa crítica es inseparable de todo cargo de relevancia pública (SSTC 107/1988, 105/1990 y 85/1992, entre otras).  Asimismo, que la crítica legítima en asuntos de interés público ampara incluso aquellas que puedan molestar, inquietar, disgustar o desabrir el ánimo de la persona a la que se dirigen (STC 85/1992). Aunque hemos precisado que quien ejerce esa libertad no puede olvidar que la misma, como los demás derechos y libertades fundamentales, no es absoluta. Si la convivencia en libertad y la paz social tienen como </w:t>
      </w:r>
      <w:r>
        <w:lastRenderedPageBreak/>
        <w:t>fundamento el respeto tanto de la dignidad de la persona como de los derechos de los demás (art. 10.1 C.E.), es claro que no puede estar amparado por la libertad de expresión quien, al criticar una determinada conducta, emplea expresiones que resultan lesivas para el honor de la persona que es objeto de la crítica, aun cuando ésta tenga un carácter público, pues tal carácter no le priva de ser titular del derecho al honor que el art. 18.1 C.E.  garantiza (SSTC 190/1992 y 336/1993). Máxime si tales expresiones no se han pronunciado de forma improvisada, en una entrevista o en una intervención oral en un debate, "sino que han sido consignadas con el sosiego y la meditación que cabe presumir en quien redacta un escrito que se destina a su publicación en un diario" [STC 336/1993, fundamento jurídico 6º B)].</w:t>
      </w:r>
    </w:p>
    <w:p w:rsidR="008107C7" w:rsidRDefault="008107C7" w:rsidP="008107C7">
      <w:pPr>
        <w:pStyle w:val="TextoNormal"/>
      </w:pPr>
      <w:r>
        <w:t>De lo que resulta que "una cosa es efectuar una evaluación personal, por desfavorable que sea, de una conducta" y otra cosa distinta el empleo de expresiones o calificativos que, apreciados en su significado usual y en su contexto, no guardan relación con la formación de una opinión pública libre y sólo constituyen, por tanto, la mera exteriorización de sentimientos personales de menosprecio o animosidad, colocándose en este caso su autor fuera del ámbito constitucionalmente protegido de la libre expresión, por entrañar la privación a una persona de su honor y reputación al ser vejada en un medio de gran audiencia (STC 167/1995, fundamento jurídico 2º, con cita de las SSTC 105/1990 y 170/1994).</w:t>
      </w:r>
    </w:p>
    <w:p w:rsidR="008107C7" w:rsidRDefault="008107C7" w:rsidP="008107C7">
      <w:pPr>
        <w:pStyle w:val="TextoNormal"/>
      </w:pPr>
    </w:p>
    <w:p w:rsidR="008107C7" w:rsidRDefault="008107C7" w:rsidP="008107C7">
      <w:pPr>
        <w:pStyle w:val="TextoNormal"/>
      </w:pPr>
      <w:r w:rsidRPr="008107C7">
        <w:rPr>
          <w:rStyle w:val="NumeroAFNegritaCaracter"/>
        </w:rPr>
        <w:t>7</w:t>
      </w:r>
      <w:r>
        <w:t>. Pues bien, del contraste entre lo estimado en la Sentencia aquí impugnada con la doctrina que se acaba de exponer ha de llegarse a la conclusión de que en el presente caso no se ha sobrepasado el ámbito constitucionalmente protegido de la libertad de expresión en relación con el límite de la misma que constituye el derecho al honor.</w:t>
      </w:r>
    </w:p>
    <w:p w:rsidR="008107C7" w:rsidRDefault="008107C7" w:rsidP="008107C7">
      <w:pPr>
        <w:pStyle w:val="TextoNormal"/>
      </w:pPr>
      <w:r>
        <w:t>A) Al respecto han de tenerse presente, en primer lugar, las circunstancias concurrentes en el momento de publicarse la "carta al Director".  Las expresiones en ella contenidas, en efecto, fueron vertidas en el contexto de un debate público, en el que se registran diversas informaciones y declaraciones aparecidas en diferentes medios de comunicación social en fechas inmediatamente próximas a la publicación de dicho escrito. Con la particularidad de que en alguna de las declaraciones de los judocas (la contenida en "El País" del 16 de agosto de 1984) se manifiesta que era necesario que hubiera "un escándalo" para que se conozca por todos quien es el Presidente de la Federación y no sea votado en las próximas elecciones. Lo que puede explicar que el autor del escrito, que se presentaba a los lectores como un judoca, interviniera en ese debate tomando partido frente al Presidente de la Federación y haciéndose eco de las noticias aparecidas en los medios de comunicación.</w:t>
      </w:r>
    </w:p>
    <w:p w:rsidR="008107C7" w:rsidRDefault="008107C7" w:rsidP="008107C7">
      <w:pPr>
        <w:pStyle w:val="TextoNormal"/>
      </w:pPr>
      <w:r>
        <w:t>Asimismo, es innegable la existencia de una situación de conflicto entre los atletas y el Presidente de la Federación así como entre ésta y el C.S.D.  Lo primero se aprecia claramente en las diversas manifestaciones que los atletas hacen a los medios de comunciación tras regresar de los Juegos Olímpicos de Los Ángeles, coincidentes en general en la crítica al Presidente de la Federación por sus amenazas, no haber recibido a tiempo la ayuda económica prometida y haber sido inadecuada la preparación previa a los juegos. Y lo segundo, igualmente relevante en relación con el contenido del escrito aquí enjuiciado, se evidencia en la carta de fecha 4 de julio de 1984, transcrita en el fundamento 4º de la Sentencia aquí impugnada, en la que el Director de Cultura Física y Deportes del C.S.D. manifiesta a uno de los judocas que ha existido incumplimiento por parte de la Federación de la normativa aplicable para poder recibir las ayudas presupuestadas así como las cantidades asignadas para sus actividades ordinarias. Lo que originó un retraso en la entrega de las mismas por parte del Consejo que aún subsistía en aquella fecha.</w:t>
      </w:r>
    </w:p>
    <w:p w:rsidR="008107C7" w:rsidRDefault="008107C7" w:rsidP="008107C7">
      <w:pPr>
        <w:pStyle w:val="TextoNormal"/>
      </w:pPr>
      <w:r>
        <w:t xml:space="preserve">B) El examen de la carta al Director, en segundo término, pone de relieve, como antes se ha dicho, que la exposición de ciertos hechos -a los que se refieren las noticias aparecidas </w:t>
      </w:r>
      <w:r>
        <w:lastRenderedPageBreak/>
        <w:t>en los medios de comunicación en la mayor parte de los casos- sólo sirven de apoyo para criticar o censurar ante la opinión pública el comportamiento de la persona que, en aquel entonces, era Presidente de la Federación de Judo y Disciplinas Asociadas y, por tanto, responsable de dicho organismo deportivo. Crítica que se extiende, en los párrafos 2º y 3º del escrito, incluso a los dos organismos de los que aquella depende, el C.S.D. y el Ministerio de Cultura, por no impedir ese comportamiento o permitir que, pese al mismo, dicha persona continúe al frente de la mencionada Federación.</w:t>
      </w:r>
    </w:p>
    <w:p w:rsidR="008107C7" w:rsidRDefault="008107C7" w:rsidP="008107C7">
      <w:pPr>
        <w:pStyle w:val="TextoNormal"/>
      </w:pPr>
      <w:r>
        <w:t>Las expresiones vertidas en la carta juzgando desfavorablemente la conducta del Presidente de la mencionada Federación se sitúan, pues, en el terreno de la crítica a una persona que, por la actividad pública que llevaba a cabo, estaba sujeta a un riguroso control de la misma por parte de la opinión pública. Con la consiguiente ampliación de los límites permitidos a tal crítica por referirse a asuntos de interés general, como tiene declarado la doctrina de este Tribunal.</w:t>
      </w:r>
    </w:p>
    <w:p w:rsidR="008107C7" w:rsidRDefault="008107C7" w:rsidP="008107C7">
      <w:pPr>
        <w:pStyle w:val="TextoNormal"/>
      </w:pPr>
      <w:r>
        <w:t>C) Por último, son dos las conclusiones a las que cabe llegar en cuanto al significado y alcance de las concretas expresiones empleadas en relación con el derecho al honor. De un lado, que tales expresiones entrañan, en su conjunto, un juicio ciertamente desfavorable de la persona que entonces era Presidente de la mencionada Federación. Como pone de relieve el hecho de solicitar reiteradamente la intervención del C.S.D. ante esa conducta o las imputaciones relativas a haber destruido el judo español o desconocer enteramente ese deporte. Con la circunstancia, además, de que falta el necesario rigor al aludirse al comportamiento de la persona objeto de la crítica - en particular en lo que respecta a la no justificación de ciertas partidas, no haber entregado unas cantidades a los atletas o la situación poco clara de las cuentas de la Federación- por cuanto lo expuesto sobre esos puntos no se apoya en hechos fiables o mínimamente contrastados sino sólo en referencias a declaraciones de terceros ("si el C.S.D. dice haber dado", "los judocas olímpicos dijeron", "la Asociación...ha dicho en varias ocasiones").</w:t>
      </w:r>
    </w:p>
    <w:p w:rsidR="008107C7" w:rsidRDefault="008107C7" w:rsidP="008107C7">
      <w:pPr>
        <w:pStyle w:val="TextoNormal"/>
      </w:pPr>
      <w:r>
        <w:t>Sin embargo, forzoso es admitir de otro lado que, aun careciendo de rigor la denuncia, tales expresiones se encuadran claramente en el ámbito de la crítica a la actividad pública del Presidente de una Federación Deportiva. Y apreciadas tanto en su contexto como en relación con las circunstancias del momento en que se redacta la carta al Director, no cabe considerar que sean lesivas del honor de quien, como Presidente de un organismo deportivo, administra caudales públicos. En cuanto a las expresiones del primer inciso del apartado a), el redactor de la carta, cierto es, parte de una suposición errónea que expresa en condicional ("Si el C.S.D. dice haber dado 10 millones a la Federación") y que le conduce a otra similar ("no haber podido justificar su Presidente ni una sola peseta"), desde las que se llega a una conclusión crítica ("Tampoco se entiende que...ese C.S.D. no haga nada para pararle los pies").  Pero cabe observar que la denuncia del comportamiento del Presidente de la Federación está basada no en una afirmación sino en un hecho hipotético ("Si el C.S.D. dice...") y que la crítica contenida en la conclusión está dirigida a la actitud pasiva del C.S.D. caso de haberse producido tal supueto.  Y por lo que respecta a la pregunta retórica que cierra el segundo inciso de ese apartado, gramaticalmente es una perífrasis de futuro ("¿Es que también se va a quedar Luis Báguena...?"), usual en el lenguaje coloquial. Constituyendo así una expresión en la que por su forma interrogativa no se afirma que los dos hechos hayan ocurrido, sino sólo que es posible que ocurran si no se impiden; correspondiendo al C.S.D. evitarlo por lo dicho en la conclusión del inciso anterior, con la que la pregunta enlaza directamente ("también").</w:t>
      </w:r>
    </w:p>
    <w:p w:rsidR="008107C7" w:rsidRDefault="008107C7" w:rsidP="008107C7">
      <w:pPr>
        <w:pStyle w:val="TextoNormal"/>
      </w:pPr>
      <w:r>
        <w:t xml:space="preserve">No cabe considerar, por tanto, que con tales expresiones el redactor de la carta haya querido imputar a esa persona la comisión de hechos susceptible de constituir un delito, </w:t>
      </w:r>
      <w:r>
        <w:lastRenderedPageBreak/>
        <w:t>como ha estimado la Sentencia impugnada en este proceso constitucional. En realidad, tanto con las expresiones que se acaban de examinar como con las que se refieren al estado de las cuentas de la Federación [apartado b)] se viene a expresar una denuncia: que el C.S.D. debe fiscalizar las cantidades que han sido entregadas a dicho organismo ante un posible comportamiento irregular de su Presidente, evidenciado a juicio del redactor del escrito en las noticias aparecidas en los medios de comunicación sobre las dietas de los atletas y las cantidades destinadas a la preparación de éstos para los Juegos Olímpicos. Pero no cabe considerar que esta opinión, aun siendo desfavorable, entrañe una lesión del derecho al honor, ya que se ha expresado, como queda dicho, en el contexto de una crítica al comportamiento público de una persona pública y que por su cargo administraba caudales del mismo carácter.</w:t>
      </w:r>
    </w:p>
    <w:p w:rsidR="008107C7" w:rsidRDefault="008107C7" w:rsidP="008107C7">
      <w:pPr>
        <w:pStyle w:val="TextoNormal"/>
      </w:pPr>
    </w:p>
    <w:p w:rsidR="008107C7" w:rsidRDefault="008107C7" w:rsidP="008107C7">
      <w:pPr>
        <w:pStyle w:val="TextoNormal"/>
      </w:pPr>
      <w:r w:rsidRPr="008107C7">
        <w:rPr>
          <w:rStyle w:val="NumeroAFNegritaCaracter"/>
        </w:rPr>
        <w:t>8</w:t>
      </w:r>
      <w:r>
        <w:t>. En definitiva, ha de llegarse a la conclusión de que el enjuiciamiento que ha llevado a cabo la Sentencia dictada el 20 de diciembre de 1993 por la Sala Primera del Tribunal Supremo no es el adecuado, pues confrontadas con el derecho al honor del demandante en el proceso a quo, ni el medio de comunicación ni su Director han sobrepasado el ámbito que la Constitución reconoce a la libertad de información, por la relevancia pública de lo comunicado, ni a la libertad de expresión, en atención al contenido de dicho escrito. Y esta conclusión ha de conducir al otorgamiento del amparo solicitado por los demandantes.</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Otorgar el amparo solicitado por don Juan Luis Cebrián Echarri y Promotora de Informaciones, S.A. y, en consecuencia:</w:t>
      </w:r>
    </w:p>
    <w:p w:rsidR="008107C7" w:rsidRDefault="008107C7" w:rsidP="008107C7">
      <w:pPr>
        <w:pStyle w:val="TextoNormal"/>
      </w:pPr>
      <w:r>
        <w:t>1º. Reconocer que la decisión judicial impugnada ha lesionado el derecho de los recurrentes a la libertad de información y el derecho a expresar y difundir libremente los pensamientos, ideas y opiniones.</w:t>
      </w:r>
    </w:p>
    <w:p w:rsidR="008107C7" w:rsidRDefault="008107C7" w:rsidP="008107C7">
      <w:pPr>
        <w:pStyle w:val="TextoNormal"/>
      </w:pPr>
      <w:r>
        <w:t>2º. Restablecerles en su derecho y, a este fin, anular la Sentencia núm.  1.210, dictada en el recurso 0804/91 con fecha 20 de diciembre de 1993 por la Sala Primera del Tribunal Supremo, con los efectos que procedan en Derecho.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trece de enero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7" w:name="SENTENCIA_1997_4"/>
      <w:r>
        <w:lastRenderedPageBreak/>
        <w:t>SENTENCIA 4/1997, de 13 de enero de 1997</w:t>
      </w:r>
    </w:p>
    <w:bookmarkEnd w:id="7"/>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39, de 14 de febrero de 1997)</w:t>
      </w:r>
    </w:p>
    <w:p w:rsidR="008107C7" w:rsidRDefault="008107C7" w:rsidP="008107C7">
      <w:pPr>
        <w:pStyle w:val="TtuloBOE"/>
      </w:pPr>
    </w:p>
    <w:p w:rsidR="008107C7" w:rsidRDefault="008107C7" w:rsidP="008107C7">
      <w:pPr>
        <w:pStyle w:val="SntesisDescriptiva"/>
      </w:pPr>
      <w:r>
        <w:t>ECLI:ES:TC:1997:4</w:t>
      </w:r>
    </w:p>
    <w:p w:rsidR="008107C7" w:rsidRDefault="008107C7" w:rsidP="008107C7">
      <w:pPr>
        <w:pStyle w:val="SntesisDescriptiva"/>
      </w:pPr>
    </w:p>
    <w:p w:rsidR="008107C7" w:rsidRDefault="008107C7" w:rsidP="008107C7">
      <w:pPr>
        <w:pStyle w:val="SntesisDescriptiva"/>
      </w:pPr>
      <w:r>
        <w:t>Recurso de amparo 2.843/1994. Contra Sentencia de la Sala Tercera del Tribunal Supremo estimando recurso de apelación contra la dictada por el T.S.J. de Andalucía con sede en Sevilla sobre sanción consistente en el cierre de farmacia.</w:t>
      </w:r>
    </w:p>
    <w:p w:rsidR="008107C7" w:rsidRDefault="008107C7" w:rsidP="008107C7">
      <w:pPr>
        <w:pStyle w:val="SntesisDescriptiva"/>
      </w:pPr>
    </w:p>
    <w:p w:rsidR="008107C7" w:rsidRDefault="008107C7" w:rsidP="008107C7">
      <w:pPr>
        <w:pStyle w:val="SntesisAnaltica"/>
      </w:pPr>
      <w:r>
        <w:t>Vulneración del principio de legalidad: sanción sin cobertura normativa suficiente.</w:t>
      </w:r>
    </w:p>
    <w:p w:rsidR="008107C7" w:rsidRDefault="008107C7" w:rsidP="008107C7">
      <w:pPr>
        <w:pStyle w:val="SntesisAnaltica"/>
      </w:pPr>
    </w:p>
    <w:p w:rsidR="008107C7" w:rsidRDefault="008107C7" w:rsidP="008107C7">
      <w:pPr>
        <w:pStyle w:val="Extracto"/>
      </w:pPr>
      <w:r>
        <w:t>1.</w:t>
      </w:r>
      <w:r>
        <w:tab/>
        <w:t>La cuestión resuelta en las SSTC 93/1992 y 153/1996 (inexistencia de norma legal o reglamentaria que permita imponer sanciones a farmacéuticos por la apertura de sus establecimientos en períodos de descanso impuestos por el Colegio respectivo) es sustancialmente idéntica por su objeto y fundamentos a la que motiva las presentes actuaciones . [F.J. único]</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Julio Diego González Campos, don Rafael de Mendizábal Allende, don Carles Viver Pi- 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2.843/94, interpuesto por don Luciano Rosch Nadal, Procurador de los Tribunales y de doña Isabel Barbero Custodio y doña Dalila Bravo Garzolini, contra Sentencia de la Sala Tercera del Tribunal Supremo que estima recurso de apelación contra la dictada por el Tribunal Superior de Justicia de Andalucía con sede en Sevilla sobre sanción consistente en el cierre de farmacia. Ha intervenido el Ministerio Fiscal y el Consejo General de Colegios Oficiales de Farmacéuticos, representado por el Procurador don Ramiro Reynolds de Miguel, siendo Ponente el Magistrado don Tomás S. Vives Antón,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Mediante escrito presentado en este Tribunal el 3 de agosto de 1994, don Luciano Rosch Nadal, Procurador de los Tribunales y de doña Isabel Barbero Custodio, y doña Dalila Bravo Garzolini, interpuso demanda de amparo por violación de los art. 14, 24.1 y 25.1 </w:t>
      </w:r>
      <w:r>
        <w:lastRenderedPageBreak/>
        <w:t xml:space="preserve">C.E., contra los Acuerdos de la Junta de Gobierno del Colegio Oficial de Farmacéuticos de Córdoba, de 12 de febrero de 1990, y el posterior, confirmatorio, dictado por el Consejo General de Colegios Farmacéuticos, en fecha 9 de mayo de 1990, por los que se les impuso a las recurrentes la sanción de suspensión del ejercicio profesional durante veinte días. </w:t>
      </w:r>
    </w:p>
    <w:p w:rsidR="008107C7" w:rsidRDefault="008107C7" w:rsidP="008107C7">
      <w:pPr>
        <w:pStyle w:val="TextoNormal"/>
      </w:pPr>
      <w:r>
        <w:t>También recurren contra la Sentencia de la Sala de lo Contencioso- Administrativo del Tribunal Supremo de 30 de mayo de 1994 que declaró ajustadas a Derecho las anteriores resoluciones, revocando la Sentencia del Tribunal Superior de Justicia de Andalucía de 25 de septiembre de 1991, que estimó el recurso contencioso interpuesto por las recurrentes.</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hechos de los que trae causa la presente demanda de amparo, según se exponen en la misma, son los siguientes: </w:t>
      </w:r>
    </w:p>
    <w:p w:rsidR="008107C7" w:rsidRDefault="008107C7" w:rsidP="008107C7">
      <w:pPr>
        <w:pStyle w:val="TextoNormal"/>
      </w:pPr>
      <w:r>
        <w:t xml:space="preserve">a) El Colegio de Farmacéuticos de Córdoba, en Asamblea de 6 de junio de 1989, decidió el cierre obligatorio de las oficinas de farmacia durante quince días, por vacaciones, sin que tal Acuerdo fuera objeto de publicación oficial en ningún Boletín. A las recurrentes les fue impuesto el cierre por vacaciones del 16 al 31 de agosto, pero, entendiendo que la norma aprobada no era de aplicación a las oficinas de titularidad compartida -cual es el caso- dada su finalidad, no procedieron a cumplimentar el Acuerdo de cierre. </w:t>
      </w:r>
    </w:p>
    <w:p w:rsidR="008107C7" w:rsidRDefault="008107C7" w:rsidP="008107C7">
      <w:pPr>
        <w:pStyle w:val="TextoNormal"/>
      </w:pPr>
      <w:r>
        <w:t xml:space="preserve">b) Por este hecho fueron sancionadas por la Junta de Gobierno del I.C.O. de Farmacéuticos de Córdoba, por la comisión de falta grave, con suspensión del ejercicio profesional por veinte días. Interpuesto recurso de alzada ante el Consejo General de Colegios Oficiales de Farmacéuticos, fue desestimado en sesión de 9 de mayo de 1990. </w:t>
      </w:r>
    </w:p>
    <w:p w:rsidR="008107C7" w:rsidRDefault="008107C7" w:rsidP="008107C7">
      <w:pPr>
        <w:pStyle w:val="TextoNormal"/>
      </w:pPr>
      <w:r>
        <w:t>Deducido el correspondiente recurso contencioso-administrativo, éste fue estimado por Sentencia del Tribunal Superior de Justicia de Andalucía de 25 de septiembre de 1991, anulando por no conformes a Derecho las resoluciones sancionatorias. Recurrida en apelación la Sentencia ante la Sala Tercera del Tribunal Supremo, en su Sentencia de 30 de mayo de 1994 revocó la anterior, declarando ajustada a Derecho la sanción.</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La demanda de amparo se fundamenta en la violación de los derechos fundamentales reconocidos en los art. 14, 24.1 y 25 C.E., por las razones que se expresan a continuación. </w:t>
      </w:r>
    </w:p>
    <w:p w:rsidR="008107C7" w:rsidRDefault="008107C7" w:rsidP="008107C7">
      <w:pPr>
        <w:pStyle w:val="TextoNormal"/>
      </w:pPr>
      <w:r>
        <w:t xml:space="preserve">La infracción del art. 14 C.E., se debe a la circunstancia de haber dispensado el Colegio el mismo trato a las farmacias de titularidad compartida que a las unipersonales. A juicio de las recurrentes, no se dan en las farmacias de titularidad compartida las razones que supuestamente pueden justificar el cierre por vacaciones de las farmacias de titularidad unipersonal, ya que, en este último caso, lo que se pretende es que cuando el farmacéutico tome vacaciones, no quede al frente de la farmacia un sustituto. </w:t>
      </w:r>
    </w:p>
    <w:p w:rsidR="008107C7" w:rsidRDefault="008107C7" w:rsidP="008107C7">
      <w:pPr>
        <w:pStyle w:val="TextoNormal"/>
      </w:pPr>
      <w:r>
        <w:t xml:space="preserve">La vulneración del art. 24.1 C.E., en su manifestación de incongruencia omisiva, se imputa de forma directa e inmediata a la Sentencia del Tribunal Supremo objeto de recurso, ya que, no dio respuesta a la pretensión planteada expresamente por las recurrentes, relativa a la inaplicación de la norma sancionadora a las farmacias de titularidad compartida por las razones anteriormente expuestas. La infracción del art. 25.1 C.E., se imputa, de forma inmediata al Acuerdo sancionador y a la Sentencia ulterior del Tribunal Supremo de 30 de mayo de 1994, por dos razones: </w:t>
      </w:r>
    </w:p>
    <w:p w:rsidR="008107C7" w:rsidRDefault="008107C7" w:rsidP="008107C7">
      <w:pPr>
        <w:pStyle w:val="TextoNormal"/>
      </w:pPr>
      <w:r>
        <w:t xml:space="preserve">a) Al confirmar el Acuerdo sancionador, el Tribunal Supremo se apartó de la doctrina contenida en la STC 93/1992, que resuelve un supuesto idéntico al que motiva estas actuaciones. </w:t>
      </w:r>
    </w:p>
    <w:p w:rsidR="008107C7" w:rsidRDefault="008107C7" w:rsidP="008107C7">
      <w:pPr>
        <w:pStyle w:val="TextoNormal"/>
      </w:pPr>
      <w:r>
        <w:t>Las recurrentes, además de reiterar la aplicación al caso de los fundamentos jurídicos de la STC 93/1992, muestran su disconformidad con la fundamentación de la Sentencia im</w:t>
      </w:r>
      <w:r>
        <w:lastRenderedPageBreak/>
        <w:t xml:space="preserve">pugnada, ya que mantiene una interpretación amplia y expansiva de las potestades disciplinarias de los Colegios Profesionales, se equivoca en la interpretación de las competencias de los Colegios Farmacéuticos en relación con la fijación de horarios de guardias o vacaciones, ya que una cosa es fijar turnos de vacaciones y otra imponer el cierre obligatorio de un establecimiento, y finalmente mantiene que el art. 25 C.E. no es aplicable a las relaciones de sujeción especial. </w:t>
      </w:r>
    </w:p>
    <w:p w:rsidR="008107C7" w:rsidRDefault="008107C7" w:rsidP="008107C7">
      <w:pPr>
        <w:pStyle w:val="TextoNormal"/>
      </w:pPr>
      <w:r>
        <w:t xml:space="preserve">b) Por otra parte, el Colegio no ha tenido en cuenta el argumento de que la farmacia de los recurrentes es de titularidad compartida, lo que garantiza que en los períodos de vacaciones de un titular, la farmacia pueda seguir abierta bajo la responsabilidad del otro, desapareciendo de este modo el fundamento de la norma sancionadora, que no es otro que el evitar que durante los períodos de vacación, la farmacia quede en manos de sustitutos. </w:t>
      </w:r>
    </w:p>
    <w:p w:rsidR="008107C7" w:rsidRDefault="008107C7" w:rsidP="008107C7">
      <w:pPr>
        <w:pStyle w:val="TextoNormal"/>
      </w:pPr>
      <w:r>
        <w:t>En cualquier caso, los recurrentes entienden que con su conducta, lo único que han hecho ha sido aumentar el número de farmacias abiertas, de forma que el servicio público queda reforzado.</w:t>
      </w:r>
    </w:p>
    <w:p w:rsidR="008107C7" w:rsidRDefault="008107C7" w:rsidP="008107C7">
      <w:pPr>
        <w:pStyle w:val="TextoNormal"/>
      </w:pPr>
    </w:p>
    <w:p w:rsidR="008107C7" w:rsidRDefault="008107C7" w:rsidP="008107C7">
      <w:pPr>
        <w:pStyle w:val="TextoNormal"/>
      </w:pPr>
      <w:r w:rsidRPr="008107C7">
        <w:rPr>
          <w:rStyle w:val="NumeroAFNegritaCaracter"/>
        </w:rPr>
        <w:t>4</w:t>
      </w:r>
      <w:r>
        <w:t>. Mediante providencia de fecha 14 de noviembre de 1994, la Sección acordó admitir a trámite la demanda de amparo, y en aplicación de lo dispuesto en el art. 51 de la LOTC, dirigir atenta comunicación a la Sala de lo Contencioso-Administrativo del Tribunal Supremo, y a la del Tribunal Superior de Justicia del Andalucía, con sede en Sevilla, para que en plazo no superior a diez días, remitiesen certificación o fotocopia de las actuaciones correspondientes al recurso correspondiente, debiendo previamente, por este último órgano, emplazarse para comparecer en el recurso de amparo, si así lo desean, y defender sus derechos, a quienes hubieran sido parte en el procedimiento, excepto al recurrente en amparo, haciendo constar en dicho emplazamiento la exclusión de quienes quieran coadyuvar con el recurrente o formular cualquier impugnación, y les hubiera ya transcurrido el plazo que la Ley Orgánica de este Tribunal establece para recurrir.</w:t>
      </w:r>
    </w:p>
    <w:p w:rsidR="008107C7" w:rsidRDefault="008107C7" w:rsidP="008107C7">
      <w:pPr>
        <w:pStyle w:val="TextoNormal"/>
      </w:pPr>
    </w:p>
    <w:p w:rsidR="008107C7" w:rsidRDefault="008107C7" w:rsidP="008107C7">
      <w:pPr>
        <w:pStyle w:val="TextoNormal"/>
      </w:pPr>
      <w:r w:rsidRPr="008107C7">
        <w:rPr>
          <w:rStyle w:val="NumeroAFNegritaCaracter"/>
        </w:rPr>
        <w:t>5</w:t>
      </w:r>
      <w:r>
        <w:t xml:space="preserve">. En virtud de escrito que tuvo su entrada en este Tribunal el 13 de enero de 1995, el Procurador de los Tribunales don Ramiro Reynolds de Miguel, en nombre del Consejo General de Farmacéuticos, solicitó que se la tuviera por personado en las actuaciones, a lo que se accedió por medio de providencia de 4 de mayo de 1995, concediéndole, mediante nueva providencia de fecha 19 de octubre de 1995, un plazo de veinte días para formular alegaciones, lo que hizo el 17 de noviembre siguiente, solicitando la desestimación de la demanda. </w:t>
      </w:r>
    </w:p>
    <w:p w:rsidR="008107C7" w:rsidRDefault="008107C7" w:rsidP="008107C7">
      <w:pPr>
        <w:pStyle w:val="TextoNormal"/>
      </w:pPr>
      <w:r>
        <w:t xml:space="preserve">Por lo que a la posible violación del art. 25.1 C.E. respecta, alega en primer lugar su falta de invocación en sede jurisdiccional, lo que de acuerdo con la doctrina contenida en la STC 77/1989 y ATC 173/1983, implica la inadmisión de la demanda respecto de este punto. </w:t>
      </w:r>
    </w:p>
    <w:p w:rsidR="008107C7" w:rsidRDefault="008107C7" w:rsidP="008107C7">
      <w:pPr>
        <w:pStyle w:val="TextoNormal"/>
      </w:pPr>
      <w:r>
        <w:t xml:space="preserve">En relación con el fondo del asunto, tras disentir de la doctrina establecida en la STC 93/1992, estima el Colegio que al imponer la sanción se cumplió con las exigencias establecidas por el art. 25 C.E., pues la resolución impugnada es respetuosa con la doble vertiente del principio de legalidad, tanto en su aspecto material de predeterminación normativa, ya que la propia jurisprudencia constitucional viene admitiendo la viabilidad de tipificar conductas mediante la técnica de las leyes sancionadoras en blanco, esto es, completadas mediante Acuerdos reglamentarios que regulan una situación de supremacía especial de los colegiados, como en el formal, por la suficiencia de rango de la norma ya que aunque el reglamento del Colegio de Córdoba no ha sido publicado, se limita reproducir en este punto, el Estatuto General Farmacéutico de 1934, norma de rango suficiente, por su carácter preconstitucional, para avalar la imposición de la sanción. </w:t>
      </w:r>
    </w:p>
    <w:p w:rsidR="008107C7" w:rsidRDefault="008107C7" w:rsidP="008107C7">
      <w:pPr>
        <w:pStyle w:val="TextoNormal"/>
      </w:pPr>
      <w:r>
        <w:lastRenderedPageBreak/>
        <w:t xml:space="preserve">Si bien hasta este punto la cuestión es pacífica, a juicio del Colegio, el verdadero problema que se plantea es el de determinar las competencias y funciones de los Colegios profesionales en la materia controvertida. Así la diferencia que se establece en la STC 93/1992, "según la finalidad más o menos presumible de los Acuerdos colegiales, nos coloca fuera del ámbito del principio de legalidad, situándonos en el propio del ejercicio libre de las profesiones liberales, que es a lo que apunta la demanda de amparo." En definitiva, la conducta sancionada fue contraria a los deberes deontológicos de los recurrentes, pues la realización de los turnos de guardia que implican un indudable sacrificio a sus titulares, justificado por la atención del servicio público que tienen encomendado, deben ser también objeto de coordinación y compensación económica, precisamente para garantizar el servicio y paliar dicho sacrificio, pues en caso contrario, los turnos de guardia languidecerían, con el consiguiente perjuicio para la población. </w:t>
      </w:r>
    </w:p>
    <w:p w:rsidR="008107C7" w:rsidRDefault="008107C7" w:rsidP="008107C7">
      <w:pPr>
        <w:pStyle w:val="TextoNormal"/>
      </w:pPr>
      <w:r>
        <w:t xml:space="preserve">No es, por lo tanto, un interés económico exclusivo ni principal el que lleva a los Colegios a dictar este tipo de Acuerdos, es la garantía del orden y eficacia en los turnos lo que los inspira, cuestión resuelta en el fundamento jurídico 4º de la Sentencia del T.S. impugnada. </w:t>
      </w:r>
    </w:p>
    <w:p w:rsidR="008107C7" w:rsidRDefault="008107C7" w:rsidP="008107C7">
      <w:pPr>
        <w:pStyle w:val="TextoNormal"/>
      </w:pPr>
      <w:r>
        <w:t xml:space="preserve">En defensa de su tesis terminan citando la propia STC 93/1992, que definió los turnos de guardia establecidos por el Colegio como "de obligada observancia", deduciéndose de una constante jurisprudencia del Tribunal Supremo, de la que es solo un ejemplo la Sentencia impugnada, que esta obligatoriedad afecta tanto a los supuestos de cierre indebido de la farmacia, como a los de prestación de "servicios reforzados", pues el desacato al Colegio se produce del mismo modo en uno y otro caso. </w:t>
      </w:r>
    </w:p>
    <w:p w:rsidR="008107C7" w:rsidRDefault="008107C7" w:rsidP="008107C7">
      <w:pPr>
        <w:pStyle w:val="TextoNormal"/>
      </w:pPr>
      <w:r>
        <w:t xml:space="preserve">En relación a la posible violación del art. 24.1 C.E., niega el Colegio que se produjera incongruencia de ningún tipo, ya que se dio respuesta a la pretensión formulada, que era la relativa a la procedencia de la imposición de la sanción, confundiendo la recurrente en amparo lo que es un simple argumento o alegación, cono la pretensión misma. </w:t>
      </w:r>
    </w:p>
    <w:p w:rsidR="008107C7" w:rsidRDefault="008107C7" w:rsidP="008107C7">
      <w:pPr>
        <w:pStyle w:val="TextoNormal"/>
      </w:pPr>
      <w:r>
        <w:t>Finalmente, tampoco se habría producido vulneración alguna del art. 14 C.E., pues el que la titularidad de la farmacia esté o no compartida, no afecta a su integración en el turno de guardias, porque la prestación del servicio público de asistencia de medicamentos, se realiza en función de que la farmacia de la zona concreta que debe permanecer abierta, sea la única que efectivamente lo esté, para que no introduzca la confusión y el desorden en el sistema.</w:t>
      </w:r>
    </w:p>
    <w:p w:rsidR="008107C7" w:rsidRDefault="008107C7" w:rsidP="008107C7">
      <w:pPr>
        <w:pStyle w:val="TextoNormal"/>
      </w:pPr>
    </w:p>
    <w:p w:rsidR="008107C7" w:rsidRDefault="008107C7" w:rsidP="008107C7">
      <w:pPr>
        <w:pStyle w:val="TextoNormal"/>
      </w:pPr>
      <w:r w:rsidRPr="008107C7">
        <w:rPr>
          <w:rStyle w:val="NumeroAFNegritaCaracter"/>
        </w:rPr>
        <w:t>6</w:t>
      </w:r>
      <w:r>
        <w:t>. La recurrente en amparo presentó sus alegaciones el 17 de noviembre de 1995, dando por íntegramente reproducidas las contenidas en el escrito de demanda.</w:t>
      </w:r>
    </w:p>
    <w:p w:rsidR="008107C7" w:rsidRDefault="008107C7" w:rsidP="008107C7">
      <w:pPr>
        <w:pStyle w:val="TextoNormal"/>
      </w:pPr>
    </w:p>
    <w:p w:rsidR="008107C7" w:rsidRDefault="008107C7" w:rsidP="008107C7">
      <w:pPr>
        <w:pStyle w:val="TextoNormal"/>
      </w:pPr>
      <w:r w:rsidRPr="008107C7">
        <w:rPr>
          <w:rStyle w:val="NumeroAFNegritaCaracter"/>
        </w:rPr>
        <w:t>7</w:t>
      </w:r>
      <w:r>
        <w:t xml:space="preserve">. El Ministerio Fiscal, que presentó sus alegaciones el 17 de marzo de 1995, tras precisar que el recurso interpuesto es de naturaleza mixta pues se impugnan actos al amparo de los art. 43 y 44 de la LOTC, interesó que se dictara una Sentencia en la que se otorgara el amparo por violación del principio de legalidad (art. 25 C.E.). </w:t>
      </w:r>
    </w:p>
    <w:p w:rsidR="008107C7" w:rsidRDefault="008107C7" w:rsidP="008107C7">
      <w:pPr>
        <w:pStyle w:val="TextoNormal"/>
      </w:pPr>
      <w:r>
        <w:t xml:space="preserve">En primer lugar, el Fiscal considera que no se vulneró el derecho a la igualdad, pues lo que realmente pretenden los recurrentes, es que el Tribunal Constitucional remedie la situación conocida como "discriminación por indiferenciación", esto es la supuesta discriminación por no conceder la norma un trato diferenciado ante supuestos desiguales, planteamiento que expresamente ha sido declarado por el Tribunal Constitucional como ajeno al mandato que incorpora el art. 14 C.E. (STC 308/1994, fundamento jurídico 5º). </w:t>
      </w:r>
    </w:p>
    <w:p w:rsidR="008107C7" w:rsidRDefault="008107C7" w:rsidP="008107C7">
      <w:pPr>
        <w:pStyle w:val="TextoNormal"/>
      </w:pPr>
      <w:r>
        <w:t xml:space="preserve">En relación con la violación del art. 25.1 C.E., señala el Ministerio Público que, el caso que motiva estas actuaciones coincide sustancialmente con el resuelto por la STC 92/1993 (fundamentos jurídicos 7º y 8º), que fijó el concreto alcance de la disposición sancionadora </w:t>
      </w:r>
      <w:r>
        <w:lastRenderedPageBreak/>
        <w:t>empleada, siendo en consecuencia de aplicación la doctrina contenida en la resolución citada.</w:t>
      </w:r>
    </w:p>
    <w:p w:rsidR="008107C7" w:rsidRDefault="008107C7" w:rsidP="008107C7">
      <w:pPr>
        <w:pStyle w:val="TextoNormal"/>
      </w:pPr>
    </w:p>
    <w:p w:rsidR="008107C7" w:rsidRDefault="008107C7" w:rsidP="008107C7">
      <w:pPr>
        <w:pStyle w:val="TextoNormal"/>
      </w:pPr>
      <w:r w:rsidRPr="008107C7">
        <w:rPr>
          <w:rStyle w:val="NumeroAFNegritaCaracter"/>
        </w:rPr>
        <w:t>8</w:t>
      </w:r>
      <w:r>
        <w:t>. Mediante providencia de 9 de enero de 1997, se señaló el día 13 siguiente, para deliberación y fallo del presente recurso.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EB5FD0">
        <w:rPr>
          <w:rStyle w:val="NumeroAFNegritaCaracter"/>
        </w:rPr>
        <w:t>ÚNICO.</w:t>
      </w:r>
      <w:r>
        <w:t xml:space="preserve"> La lectura de la Sentencia del Tribunal Supremo objeto de recurso de amparo, y más concretamente de su fundamento jurídico 1º, releva de cualquier comentario respecto del cumplimiento por la parte recurrente del requisito legalmente impuesto de</w:t>
      </w:r>
    </w:p>
    <w:p w:rsidR="008107C7" w:rsidRDefault="008107C7" w:rsidP="008107C7">
      <w:pPr>
        <w:pStyle w:val="TextoNormal"/>
      </w:pPr>
      <w:r>
        <w:t>invocar ante el órgano jurisdiccional la violación del derecho reconocido en el art. 25 C.E., ya que no sólo se invocó su vulneración, sino que se hizo, según se dice en la Sentencia, expresa cita de la STC 93/1992, que resolvió un supuesto prácticamente</w:t>
      </w:r>
    </w:p>
    <w:p w:rsidR="008107C7" w:rsidRDefault="008107C7" w:rsidP="008107C7">
      <w:pPr>
        <w:pStyle w:val="TextoNormal"/>
      </w:pPr>
      <w:r>
        <w:t>idéntico al presente, otorgando el amparo por la vulneración del derecho aludido.</w:t>
      </w:r>
    </w:p>
    <w:p w:rsidR="008107C7" w:rsidRDefault="008107C7" w:rsidP="008107C7">
      <w:pPr>
        <w:pStyle w:val="TextoNormal"/>
      </w:pPr>
      <w:r>
        <w:t>Así las cosas, puede afirmarse que la cuestión resuelta en las SSTC 93/1992 y 153/1996, inexistencia de norma legal o reglamentaria que permita imponer sanciones a farmacéuticos por la apertura de sus establecimientos en períodos de descanso impuestos por el Colegio respectivo, es sustancialmente idéntica por su objeto y fundamentos a la que motiva las presentes actuaciones.</w:t>
      </w:r>
    </w:p>
    <w:p w:rsidR="008107C7" w:rsidRDefault="008107C7" w:rsidP="008107C7">
      <w:pPr>
        <w:pStyle w:val="TextoNormal"/>
      </w:pPr>
      <w:r>
        <w:t>Procede, pues, afirmar aquí, como dijimos en las Sentencias citadas que "la conclusión de nuestro razonamiento consiste en apreciar la falta de concreción necesaria en la norma sancionatoria (que no es otra que la ya lejana de los Estatutos de 1934) de la conducta sancionada. Dada aquella insuficiencia, los criterios interpretativos conducen a la estimación del amparo. Es claro que si los intereses colegiales en juego en orden al calendario de vacaciones exigen la sanción del incumplimiento por exceso de los Acuerdos al respecto, deberá haber una norma que tipifique como sancionable tal conducta. Entre tanto la solución que se impone es, en el caso presente, el otorgamiento del amparo".</w:t>
      </w:r>
    </w:p>
    <w:p w:rsidR="008107C7" w:rsidRDefault="008107C7" w:rsidP="008107C7">
      <w:pPr>
        <w:pStyle w:val="TextoNormal"/>
      </w:pPr>
      <w:r>
        <w:t>En consecuencia, resulta innecesario entrar a examinar las restantes vulneraciones de derechos fundamentales aducidas por las recurrentes.</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Otorgar el amparo solicitado, y por consiguiente:</w:t>
      </w:r>
    </w:p>
    <w:p w:rsidR="008107C7" w:rsidRDefault="008107C7" w:rsidP="008107C7">
      <w:pPr>
        <w:pStyle w:val="TextoNormal"/>
      </w:pPr>
      <w:r>
        <w:t>1º Declarar que los Acuerdos de la Junta de Gobierno del Colegio Oficial de Farmacéuticos de Córdoba, de 12 de febrero de 1990 y el posterior, confirmatorio, dictado por el Consejo General del Colegio de Farmacéuticos en fecha 9 de mayo de 1990, violaron el art. 25.1 de la Constitución.</w:t>
      </w:r>
    </w:p>
    <w:p w:rsidR="008107C7" w:rsidRDefault="008107C7" w:rsidP="008107C7">
      <w:pPr>
        <w:pStyle w:val="TextoNormal"/>
      </w:pPr>
      <w:r>
        <w:t>2º Anular dichos Acuerdos, así como la Sentencia de la Sala de lo Contencioso-Administrativo del Tribunal Supremo, de 30 de mayo de 1994, en la medida en que los confirmó.</w:t>
      </w:r>
    </w:p>
    <w:p w:rsidR="008107C7" w:rsidRDefault="008107C7" w:rsidP="008107C7">
      <w:pPr>
        <w:pStyle w:val="TextoNormal"/>
      </w:pPr>
    </w:p>
    <w:p w:rsidR="008107C7" w:rsidRDefault="008107C7" w:rsidP="008107C7">
      <w:pPr>
        <w:pStyle w:val="TextoNormal"/>
      </w:pPr>
      <w:r>
        <w:lastRenderedPageBreak/>
        <w:t>Publíquese esta Sentencia en el "Boletín Oficial del Estado"</w:t>
      </w:r>
    </w:p>
    <w:p w:rsidR="008107C7" w:rsidRDefault="008107C7" w:rsidP="008107C7">
      <w:pPr>
        <w:pStyle w:val="TextoNormal"/>
      </w:pPr>
      <w:r>
        <w:t>Dada en Madrid, a trece de enero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8" w:name="SENTENCIA_1997_5"/>
      <w:r>
        <w:lastRenderedPageBreak/>
        <w:t>SENTENCIA 5/1997, de 13 de enero de 1997</w:t>
      </w:r>
    </w:p>
    <w:bookmarkEnd w:id="8"/>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39, de 14 de febrero de 1997)</w:t>
      </w:r>
    </w:p>
    <w:p w:rsidR="008107C7" w:rsidRDefault="008107C7" w:rsidP="008107C7">
      <w:pPr>
        <w:pStyle w:val="TtuloBOE"/>
      </w:pPr>
    </w:p>
    <w:p w:rsidR="008107C7" w:rsidRDefault="008107C7" w:rsidP="008107C7">
      <w:pPr>
        <w:pStyle w:val="SntesisDescriptiva"/>
      </w:pPr>
      <w:r>
        <w:t>ECLI:ES:TC:1997:5</w:t>
      </w:r>
    </w:p>
    <w:p w:rsidR="008107C7" w:rsidRDefault="008107C7" w:rsidP="008107C7">
      <w:pPr>
        <w:pStyle w:val="SntesisDescriptiva"/>
      </w:pPr>
    </w:p>
    <w:p w:rsidR="008107C7" w:rsidRDefault="008107C7" w:rsidP="008107C7">
      <w:pPr>
        <w:pStyle w:val="SntesisDescriptiva"/>
      </w:pPr>
      <w:r>
        <w:t>Recurso de amparo 3.101/1994. Contra Sentencia del Juzgado de Primera Instancia  núm. 9 de Alicante dictada en autos de menor cuantía sobre reclamación de cantidad.</w:t>
      </w:r>
    </w:p>
    <w:p w:rsidR="008107C7" w:rsidRDefault="008107C7" w:rsidP="008107C7">
      <w:pPr>
        <w:pStyle w:val="SntesisDescriptiva"/>
      </w:pPr>
    </w:p>
    <w:p w:rsidR="008107C7" w:rsidRDefault="008107C7" w:rsidP="008107C7">
      <w:pPr>
        <w:pStyle w:val="SntesisAnaltica"/>
      </w:pPr>
      <w:r>
        <w:t>Inadmisión por no agotamiento de la vía previa: recurso de audiencia al rebelde.</w:t>
      </w:r>
    </w:p>
    <w:p w:rsidR="008107C7" w:rsidRDefault="008107C7" w:rsidP="008107C7">
      <w:pPr>
        <w:pStyle w:val="SntesisAnaltica"/>
      </w:pPr>
    </w:p>
    <w:p w:rsidR="008107C7" w:rsidRDefault="008107C7" w:rsidP="008107C7">
      <w:pPr>
        <w:pStyle w:val="Extracto"/>
      </w:pPr>
      <w:r>
        <w:t>1.</w:t>
      </w:r>
      <w:r>
        <w:tab/>
        <w:t>Si la petición de audiencia era posible, debe afirmarse que resultaba necesaria para tener por agotada la vía judicial previa [art. 44.1 a) LOTC], que en relación con los actos judiciales productores de indefensión tanto comprende la interposición contra ellos de los recursos establecidos en las leyes procesales, como la declaración de nulidad de oficio siempre que no haya recaído Sentencia definitiva, e incluso los demás medios de impugnación de actos firmes establecidos en las leyes. Acorde con lo cual este Tribunal, en la STC 310/1993 declaró, modulando la doctrina anterior, que «exigencias derivadas, tanto del cumplimiento del principio de subsidiariedad (art. 53.2 C.E.), como de los principios de inmediación y celeridad, han de obligar a las partes a agotar la vía judicial ordinaria mediante la interposición, cuando se trate de remediar situaciones de indefensión provocadas por el incumplimiento de las garantías procesales exigibles en los emplazamientos, del denominado recurso de audiencia al rebelde». Si, en consecuencia, la parte ahora demandante de amparo, para que se pudieran tener por debidamente cumplidas las exigencias del art. 44.1 a) LOTC, debió haber agotado la vía judicial previa utilizando el denominado recurso de audiencia al rebelde previsto en la Ley de Enjuiciamiento Civil y no lo llevó a efecto, procede en este trámite la inadmisión del amparo en aplicación de lo establecido en dicho precepto en relación con el 50.1 a) de la propia LOTC . [F.J. 4]</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 xml:space="preserve">En el recurso de amparo núm. 3101/94, interpuesto por la Procuradora doña Paloma Valles Tormo, en nombre y representación de don Pedro Ruiz Caballero, asistido del Letrado </w:t>
      </w:r>
      <w:r>
        <w:lastRenderedPageBreak/>
        <w:t>don Juan Carlos Vazquez Picó, contra la Sentencia del Juzgado de Primera Instancia núm. 9 de Alicante, de 16 de septiembre de 1993, sobre reclamación de cantidad. Ha comparecido el Ministerio Fiscal. Ha sido Ponente don José Gabaldón López,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registrado en este Tribunal el 23 de septiembre de 1994, don Pedro Ruiz Caballero, bajo la representación procesal de la Procuradora doña Paloma Valles Tormo, interpuso demanda de amparo constitucional contra la Sentencia dictada por el Juzgado de Primera Instancia núm. 9 de Alicante, de 16 de septiembre de 1993, recaída en autos de menor cuantía, sobre reclamación de cantidad.</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hechos en que se fundamenta la demanda son, sucintamente expuestos, los siguientes: </w:t>
      </w:r>
    </w:p>
    <w:p w:rsidR="008107C7" w:rsidRDefault="008107C7" w:rsidP="008107C7">
      <w:pPr>
        <w:pStyle w:val="TextoNormal"/>
      </w:pPr>
      <w:r>
        <w:t xml:space="preserve">a) Con motivo de una comprobación registral para la solicitud de un crédito bancario, el Sr. Ruiz Caballero tuvo conocimiento de un embargo sobre una finca urbana de su propiedad. Por esta razón, se personó inmediatamente en el Juzgado de primera Instancia núm. 9 de Alicante, órgano judicial del que procedía el mandamiento anotado registralmente, siéndole facilitado en tal acto copia de la Sentencia de 16 de septiembre de 1993, recaída en el procedimiento de menor cuantía núm. 13/93 de dicho Juzgado. </w:t>
      </w:r>
    </w:p>
    <w:p w:rsidR="008107C7" w:rsidRDefault="008107C7" w:rsidP="008107C7">
      <w:pPr>
        <w:pStyle w:val="TextoNormal"/>
      </w:pPr>
      <w:r>
        <w:t xml:space="preserve">b) Dicho procedimiento de reclamación de cantidad fue instado por el Colegio Oficial de Arquitectos de la Comunidad Valenciana contra la entidad mercantil denominada "Torre Beach International, S.A.", y el Sr. Ruiz, habiendo sido emplazados ambos en su día en el domicilio legal de la primera, Carretera Alicante-Cartagena s/n de la población del Pilar de la Horadada (Alicante). </w:t>
      </w:r>
    </w:p>
    <w:p w:rsidR="008107C7" w:rsidRDefault="008107C7" w:rsidP="008107C7">
      <w:pPr>
        <w:pStyle w:val="TextoNormal"/>
      </w:pPr>
      <w:r>
        <w:t>c) La mercantil y el Sr. Ruiz fueron declarados en rebeldía. Recayó Sentencia el día 16 de septiembre de 1993, publicada en el Boletín Oficial de la Provincia de Alicante con fecha 14 de octubre de 1993, condenando a la mercantil citada y al Sr. Ruiz Caballero solidariamente a abonar a los actores la cantidad de cuatro millones ciento cincuenta y tres mil quinientas cuarenta y una pesetas, más seiscientas veintitrés mil treinta y una pesetas, en concepto de I.V.A e intereses legales.</w:t>
      </w:r>
    </w:p>
    <w:p w:rsidR="008107C7" w:rsidRDefault="008107C7" w:rsidP="008107C7">
      <w:pPr>
        <w:pStyle w:val="TextoNormal"/>
      </w:pPr>
    </w:p>
    <w:p w:rsidR="008107C7" w:rsidRDefault="008107C7" w:rsidP="008107C7">
      <w:pPr>
        <w:pStyle w:val="TextoNormal"/>
      </w:pPr>
      <w:r w:rsidRPr="008107C7">
        <w:rPr>
          <w:rStyle w:val="NumeroAFNegritaCaracter"/>
        </w:rPr>
        <w:t>3</w:t>
      </w:r>
      <w:r>
        <w:t>. La parte recurrente en amparo solicita la nulidad de la Sentencia y la suspensión de la ejecución de la resolución recurrida por vulneración del art. 24.1 C.E. Manifiesta que su emplazamiento como demandado se realizó durante todo el proceso en domicilio distinto. Por consiguiente, no habiéndose notificado personalmente la Sentencia y no habiendo podido tener conocimiento de su publicación oficial en el Boletín Oficial de la Provincia de Alicante, habida cuenta de residir en la Provincia de Murcia, se vió imposibilitado de interponer recurso alguno que fuere pertinente en tal juicio de rebeldía, lo que ha motivado su indefensión. Entiende que la violación del derecho constitucional a la tutela judicial efectiva es imputable al órgano judicial que ha dictado la Sentencia ya que en autos quedaba expresamente señalado un domicilio distinto de aquel en que fue citado.</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Por sendas providencias de 9 de marzo de 1995, la Sección Cuarta admitió a trámite el recurso y acordó formar la oportuna pieza separada de suspensión, concediendo a la parte </w:t>
      </w:r>
      <w:r>
        <w:lastRenderedPageBreak/>
        <w:t>recurrente y al Ministerio Fiscal un plazo común de tres días para que pudieran alegar lo pertinente para la suspensión.</w:t>
      </w:r>
    </w:p>
    <w:p w:rsidR="008107C7" w:rsidRDefault="008107C7" w:rsidP="008107C7">
      <w:pPr>
        <w:pStyle w:val="TextoNormal"/>
      </w:pPr>
    </w:p>
    <w:p w:rsidR="008107C7" w:rsidRDefault="008107C7" w:rsidP="008107C7">
      <w:pPr>
        <w:pStyle w:val="TextoNormal"/>
      </w:pPr>
      <w:r w:rsidRPr="008107C7">
        <w:rPr>
          <w:rStyle w:val="NumeroAFNegritaCaracter"/>
        </w:rPr>
        <w:t>5</w:t>
      </w:r>
      <w:r>
        <w:t>. Por escrito presentado el 21 de marzo de 1995, la representación del recurrente reiteró la solicitud de suspensión de la ejecución de la Sentencia dictada por el Juzgado de Primera Instancia núm. 9 de Alicante, de 16 de septiembre de 1993, dando por reproducidos los argumentos vertidos en el otrosí de la demanda.</w:t>
      </w:r>
    </w:p>
    <w:p w:rsidR="008107C7" w:rsidRDefault="008107C7" w:rsidP="008107C7">
      <w:pPr>
        <w:pStyle w:val="TextoNormal"/>
      </w:pPr>
    </w:p>
    <w:p w:rsidR="008107C7" w:rsidRDefault="008107C7" w:rsidP="008107C7">
      <w:pPr>
        <w:pStyle w:val="TextoNormal"/>
      </w:pPr>
      <w:r w:rsidRPr="008107C7">
        <w:rPr>
          <w:rStyle w:val="NumeroAFNegritaCaracter"/>
        </w:rPr>
        <w:t>6</w:t>
      </w:r>
      <w:r>
        <w:t>. Por escrito presentado el 22 de marzo de 1995 el Ministerio Fiscal interesó que se acordara la suspensión solicitada, toda vez que la condena al pago de una cantidad (4.153.541 ptas. más 623.031 ptas. en concepto de I.V.A. e intereses legales) había derivado en la traba sobre un bien inmueble con reflejo registral y al señalamiento de la subasta del mismo, lo que constituye un factor añadido que debe ser sopesado dado que la transmisión de propiedad a terceras personas puede provocar una gran dificultad de recuperación si el bien, pasado el tiempo, fuera adquirido de buena fe.</w:t>
      </w:r>
    </w:p>
    <w:p w:rsidR="008107C7" w:rsidRDefault="008107C7" w:rsidP="008107C7">
      <w:pPr>
        <w:pStyle w:val="TextoNormal"/>
      </w:pPr>
    </w:p>
    <w:p w:rsidR="008107C7" w:rsidRDefault="008107C7" w:rsidP="008107C7">
      <w:pPr>
        <w:pStyle w:val="TextoNormal"/>
      </w:pPr>
      <w:r w:rsidRPr="008107C7">
        <w:rPr>
          <w:rStyle w:val="NumeroAFNegritaCaracter"/>
        </w:rPr>
        <w:t>7</w:t>
      </w:r>
      <w:r>
        <w:t>. Por el ATC 129/1995, de 8 de mayo de 1995, la Sala Segunda acordó suspender la ejecución de la Sentencia impugnada en amparo.</w:t>
      </w:r>
    </w:p>
    <w:p w:rsidR="008107C7" w:rsidRDefault="008107C7" w:rsidP="008107C7">
      <w:pPr>
        <w:pStyle w:val="TextoNormal"/>
      </w:pPr>
    </w:p>
    <w:p w:rsidR="008107C7" w:rsidRDefault="008107C7" w:rsidP="008107C7">
      <w:pPr>
        <w:pStyle w:val="TextoNormal"/>
      </w:pPr>
      <w:r w:rsidRPr="008107C7">
        <w:rPr>
          <w:rStyle w:val="NumeroAFNegritaCaracter"/>
        </w:rPr>
        <w:t>8</w:t>
      </w:r>
      <w:r>
        <w:t>. Por providencia de 1 de junio de 1995, la Sección acordó dar vista de las actuaciones recibidas a la parte recurrente y al Ministerio Fiscal por plazo común de veinte días, dentro de los cuales podrían presentar las alegaciones que estimaran pertinentes, conforme determina el art. 52.1 de la Ley Orgánica de este Tribunal.</w:t>
      </w:r>
    </w:p>
    <w:p w:rsidR="008107C7" w:rsidRDefault="008107C7" w:rsidP="008107C7">
      <w:pPr>
        <w:pStyle w:val="TextoNormal"/>
      </w:pPr>
    </w:p>
    <w:p w:rsidR="008107C7" w:rsidRDefault="008107C7" w:rsidP="008107C7">
      <w:pPr>
        <w:pStyle w:val="TextoNormal"/>
      </w:pPr>
      <w:r w:rsidRPr="008107C7">
        <w:rPr>
          <w:rStyle w:val="NumeroAFNegritaCaracter"/>
        </w:rPr>
        <w:t>9</w:t>
      </w:r>
      <w:r>
        <w:t>. Por escrito presentado ante este Tribunal el 28 de junio de 1995, la parte recurrente en amparo reitera, en síntesis, lo manifestado en su demanda.</w:t>
      </w:r>
    </w:p>
    <w:p w:rsidR="008107C7" w:rsidRDefault="008107C7" w:rsidP="008107C7">
      <w:pPr>
        <w:pStyle w:val="TextoNormal"/>
      </w:pPr>
    </w:p>
    <w:p w:rsidR="008107C7" w:rsidRDefault="008107C7" w:rsidP="008107C7">
      <w:pPr>
        <w:pStyle w:val="TextoNormal"/>
      </w:pPr>
      <w:r w:rsidRPr="008107C7">
        <w:rPr>
          <w:rStyle w:val="NumeroAFNegritaCaracter"/>
        </w:rPr>
        <w:t>10</w:t>
      </w:r>
      <w:r>
        <w:t xml:space="preserve">. El Ministerio Fiscal, por escrito presentado ante este Tribunal el 28 de junio de 1995 interesa se inadmita el recurso de amparo por falta de agotamiento de la vía judicial o su desestimación por no vulnerar la resolución impugnada el art. 24.1 de la Constitución al no producir indefensión al recurrente. </w:t>
      </w:r>
    </w:p>
    <w:p w:rsidR="008107C7" w:rsidRDefault="008107C7" w:rsidP="008107C7">
      <w:pPr>
        <w:pStyle w:val="TextoNormal"/>
      </w:pPr>
      <w:r>
        <w:t xml:space="preserve">Con fundamento en la STC 310/1993 entiende que para el agotamiento de la vía judicial previa al amparo constitucional resulta necesario la interposición del recurso de audiencia al rebelde. Como el recurrente pudo interponerlo y no lo hizo concluye el Ministerio Fiscal que no se agotó la vía judicial previa. </w:t>
      </w:r>
    </w:p>
    <w:p w:rsidR="008107C7" w:rsidRDefault="008107C7" w:rsidP="008107C7">
      <w:pPr>
        <w:pStyle w:val="TextoNormal"/>
      </w:pPr>
      <w:r>
        <w:t xml:space="preserve">En cuanto a la violación del art. 24.1 C.E. manifiesta el Fiscal que es necesario tener en cuenta que la demanda se dirigió contra la sociedad de la que el actor aparece como representante y esta representación no es la de un simple empleado de la misma. El emplazamiento, pues, se hizo correctamente, y la no presencia de ambos en el proceso sólo supone una voluntad de no comparecer. La vulneración del derecho fundamental es, en consecuencia, para el Fiscal, aparente y meramente formal sin contenido material. </w:t>
      </w:r>
    </w:p>
    <w:p w:rsidR="008107C7" w:rsidRDefault="008107C7" w:rsidP="008107C7">
      <w:pPr>
        <w:pStyle w:val="TextoNormal"/>
      </w:pPr>
      <w:r>
        <w:t xml:space="preserve">En segundo lugar, manifiesta el Fiscal, que en los mismos autos aparece acreditado que se intenta posteriormente notificar al actor la subasta de la finca embargada en el domicilio de Murcia que consta en el contrato de arrendamiento de servicios, pero tampoco se logra practicar la notificación en este domicilio porque el portero manifiesta que tanto la sociedad como el recurrente en amparo no son conocidos en esa dirección lo que supone que aunque </w:t>
      </w:r>
      <w:r>
        <w:lastRenderedPageBreak/>
        <w:t>el Juzgado hubiere emplazado al actor en ese domicilio también hubiera fracasado el acto de comunicación. Además, concluye, en los mismos autos aparece otro intento de notificación en la urbanización "Dehesa de Campoamor" en Alicante y tampoco pudo hacerse porque no pudieron encontrarlo.</w:t>
      </w:r>
    </w:p>
    <w:p w:rsidR="008107C7" w:rsidRDefault="008107C7" w:rsidP="008107C7">
      <w:pPr>
        <w:pStyle w:val="TextoNormal"/>
      </w:pPr>
    </w:p>
    <w:p w:rsidR="008107C7" w:rsidRDefault="008107C7" w:rsidP="008107C7">
      <w:pPr>
        <w:pStyle w:val="TextoNormal"/>
      </w:pPr>
      <w:r w:rsidRPr="008107C7">
        <w:rPr>
          <w:rStyle w:val="NumeroAFNegritaCaracter"/>
        </w:rPr>
        <w:t>11</w:t>
      </w:r>
      <w:r>
        <w:t>. Por providencia de fecha 9 de enero de 1997, se fijó para deliberación y votación de la presente Sentencia el dia 13 del mismo mes.</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Antes de resolver sobre la pretensión de fondo planteada por el recurrente procede examinar la admisibilidad de la demanda en relación con el agotamiento de la vía judicial previa, en concreto sobre la interposición del llamado recurso de audiencia al rebelde para remediar la indefensión sufrida, tal como alega el Fiscal, porque este Tribunal ha venido señalando reiteradamente que dicho remedio procesal constituye cauce adecuado para que los Tribunales del orden jurisdiccional competente conozcan y resuelvan una vez dictada Sentencia, sobre la indefensión ocasionada por la incomparecencia en juicio del demandado por causas que no le sean imputables, siempre que no pueda utilizar frente a ellas ningún recurso por ser ya firmes (SSTC 310/1993, fundamento jurídico 2º y 134/1995, fundamento jurídico 1º).</w:t>
      </w:r>
    </w:p>
    <w:p w:rsidR="008107C7" w:rsidRDefault="008107C7" w:rsidP="008107C7">
      <w:pPr>
        <w:pStyle w:val="TextoNormal"/>
      </w:pPr>
      <w:r>
        <w:t>Cierto que ese denominado recurso de audiencia al rebelde no tiene naturaleza de recurso ordinario y ni siquiera de recurso, puesto que es, simplemente, un medio extraordinario rescisorio de Sentencias firmes, como lo es, en otra esfera, el recurso de revisión. De ahí que a su exigencia como previo al amparo para considerar agotada la vía judicial sea aplicable lo ya dicho tempranamente en el ATC 249/1983 y repetido más tarde, (en relación con el recurso de revisión sobre todo) es decir, que los medios de impugnación extraordinarios son también exigibles para considerar agotada la vía judicial previa cuando se trata, precisamente, de uno de los supuestos para cuya reparación está establecida la concreta vía extraordinaria de que se trate y el amparo se refiera a aquél.  Cierto también es que el art. 44. 1 a) LOTC no obliga a utilizar en cada caso, como señala la STC 8/1993, todos los medios de imugnacion sino tan sólo aquéllos normales que de manera clara se manifiesten ejercitables y razonablemente exigibles (SSTC 81/1983, 65/1985, 114/1986) pues, como señala a su vez la STC 134/1995, no se trata de que antes de intentar el amparo "se interponga cualquier recurso imaginable sino sólo aquéllos que, siendo procedentes según las normas procesales concretamente aplicables, permitan una reparación adecuada de la sedicente lesión del derecho fundamental en juego". Pero también hay que tener en cuenta como afirma la misma Sentencia, que el que la Ley de Enjuiciamiento Civil "llama sencillamente audiencia al rebelde parece a primera vista ...  la vía más idónea para solucionar situaciones anómalas o patológicas como ésta en que se pide amparo por haber recaído dos Sentencias firmes..." y es el procedimiento que "permite poner remedio a este tipo de situaciones cuando el vicio causante de la indefensión se descubre una vez pronunciada Sentencia y por ser firme, no impugnable con los medios ordinarios". Esto es así, especialmente, cuando el recurrente alega en amparo, como apoyo de su pretensión, las mismas causas que justifican la utilización del denominado recurso de audiencia al rebelde.</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Para la Ley de Enjuiciamiento Civil (Título IV del Libro II), la posibilidad de oír al rebelde representa un medio para obtener la rescisión de una Sentencia firme que pueden </w:t>
      </w:r>
      <w:r>
        <w:lastRenderedPageBreak/>
        <w:t>utilizar los demandados que hayan estado permanentemente en rebeldía y no hayan tenido posibilidad de recurrir contra la misma (arts. 771, 772, 779 L.E.C.)  y responde por un lado a la exigencia de reparación de los supuestos de indefensión producidos por defectuoso emplazamiento o imposibilidad material de personación y por otro al principio de seguridad jurídica que deriva de la presunción de cosa juzgada que excluye una extensión desordenada del ámbito de corrección de dichas sitaciones de indefensión.</w:t>
      </w:r>
    </w:p>
    <w:p w:rsidR="008107C7" w:rsidRDefault="008107C7" w:rsidP="008107C7">
      <w:pPr>
        <w:pStyle w:val="TextoNormal"/>
      </w:pPr>
      <w:r>
        <w:t>Y así, la solucion prevista en la Ley de Enjuiciamiento Civil a esta doble exigencia parte del condicionamiento previo a unas circunstancias y plazos cuando el correcto emplazamiento no ha ido seguido de la personación del demandado, y formula al efecto los supuestos de emplazamiento personal a quien por fuerza mayor no puede comparecer (art. 774), de emplazamiento mediante cédula entregada a parientes, familiares, criados o vecinos si acredita que por causa no imputable a él no le fue entregada (art.  776) y, finalmente, el del emplazado por edictos por no tener domicilio conocido "que acredite haber estado constantemente fuera del lugar del pueblo en que se ha seguido el juicio desde que fue emplazado para él hasta la publicación de la Sentencia" y "acredite asimismo que se hallaba ausente del pueblo de su última residencia al tiempo de publicarse en él los edictos para emplazarlo".</w:t>
      </w:r>
    </w:p>
    <w:p w:rsidR="008107C7" w:rsidRDefault="008107C7" w:rsidP="008107C7">
      <w:pPr>
        <w:pStyle w:val="TextoNormal"/>
      </w:pPr>
    </w:p>
    <w:p w:rsidR="008107C7" w:rsidRDefault="008107C7" w:rsidP="008107C7">
      <w:pPr>
        <w:pStyle w:val="TextoNormal"/>
      </w:pPr>
      <w:r w:rsidRPr="008107C7">
        <w:rPr>
          <w:rStyle w:val="NumeroAFNegritaCaracter"/>
        </w:rPr>
        <w:t>3</w:t>
      </w:r>
      <w:r>
        <w:t>. En el caso que nos ocupa, en el proceso civil se pidió y obtuvo el emplazamiento del allí demandado, "Torre Beach International" y del ahora recurrente, don Pedro Ruíz Caballero (incluso con traslado a su esposa) en el domicilio de dicha sociedad que se indicaba en la demanda, o sea en la carretera Alicante-Cartagena s.n. de Pilar de la Horadada, pese a que el Sr.  Ruíz figuraba también con otro domicilio distinto en el contrato cuyo cumplimiento se pretendía, contrato en el que por cierto aparecía como representante social de la misma. Y el emplazamiento tuvo lugar en aquel domicilio mediante cédula al parecer entregada a dos testigos. De suerte que no hay constancia de que el ahora recurrente, ni por sí mismo ni en calidad de representante legal de la sociedad, conociera el emplazamiento ni la declaración de rebeldía (acordada dos días más tarde y notificada en estrados) en cuya situación siguió durante todo el proceso, permaneciendo además ausente al parecer de aquel domicilio, en el cual ninguna otra diligencia se practicó (ni siquiera la intentada para confesión judicial) como tampoco en el que figuraba en el contrato, c/Ronda Norte, 1 de Murcia.</w:t>
      </w:r>
    </w:p>
    <w:p w:rsidR="008107C7" w:rsidRDefault="008107C7" w:rsidP="008107C7">
      <w:pPr>
        <w:pStyle w:val="TextoNormal"/>
      </w:pPr>
      <w:r>
        <w:t>Sin embargo, el recurrente alega que tuvo conocimiento del proceso (6 de septiembre de 1994) con motivo de una comprobación en el Registro de la Propiedad que le reveló el embargo e incluso cuando presentó ante este Tribunal la demanda de amparo (23 de septiembre de 1994) no había transcurrido un año desde la publicación de la Sentencia en el B.O. de la Provincia (14 de octubre de 1993). De su propio relato de hechos se infiere, pues, que al ahora demandante de amparo le asistía según el art. 777 de la L.E.C. el derecho de solicitar audiencia para la rescisión de la Sentencia recaída en dicho litigio por cuanto, practicado el emplazamiento por cédula, no había transcurrido el plazo que establece el núm. 1º de dicho artículo y él mismo asegura que desconoció dicho emplazamiento efectuado (como antes decimos en el domicilio de la empresa de la que era administrador) y haber estado ausente tanto del lugar en que se siguió el juicio como de la provincia en cuyo B.O.P. se publicaron los edictos. De suerte que son sus propias afirmaciones las que revelan que se daban los requisitos exigidos en el citado art. 777 L.E.C. para pedir ante los Tribunales ordinarios la rescisión de la Sentencia.</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Si la petición de audiencia era, pues, posible, debe afirmarse que resultaba necesaria para tener por agotada la vía judicial previa [art. 44.1 a) LOTC], que en relación con los actos judiciales productores de indefensión tanto comprende la interposición contra ellos de </w:t>
      </w:r>
      <w:r>
        <w:lastRenderedPageBreak/>
        <w:t>los recursos establecidos en las leyes procesales, como la declaración de nulidad de oficio siempre que no haya recaído Sentencia definitiva, e incluso los demás medios de impugnación de actos firmes establecidos en las leyes.  Acorde con lo cual este Tribunal, en la STC 310/1993 (fundamento jurídico 3º) declaró, modulando la doctrina anterior, que "exigencias derivadas, tanto del cumplimiento del principio de subsidiariedad (art. 53.2 C.E.), como de los principios de inmediación y celeridad, han de obligar a las partes a agotar la vía judicial ordinaria mediante la interposición, cuando se trate de remediar situación es de indefensión provocadas por el incumplimiento de las garantías procesales exigibles en los emplazamientos, del denominado recurso de audiencia al rebelde"×</w:t>
      </w:r>
    </w:p>
    <w:p w:rsidR="008107C7" w:rsidRDefault="008107C7" w:rsidP="008107C7">
      <w:pPr>
        <w:pStyle w:val="TextoNormal"/>
      </w:pPr>
      <w:r>
        <w:t>Si, en consecuencia, la parte ahora demandante de amparo, para que se pudieran tener por debidamente cumplidas las exigencias del art. 44.1 a) LOTC, debió haber agotado, como antes decimos, la vía judicial previa utilizado el denominado recurso de audiencia al rebelde previsto en la Ley de Enjuiciamiento Civil y no lo llevó a efecto, procede en este trámite la inadmisión del amparo en aplicación de lo establecido en dicho precepto en relación con el 50.1 a) de la propia LOTC.</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Inadmitir la presente demanda de amparo.</w:t>
      </w:r>
    </w:p>
    <w:p w:rsidR="008107C7" w:rsidRDefault="008107C7" w:rsidP="008107C7">
      <w:pPr>
        <w:pStyle w:val="TextoNormal"/>
      </w:pPr>
    </w:p>
    <w:p w:rsidR="008107C7" w:rsidRDefault="008107C7" w:rsidP="008107C7">
      <w:pPr>
        <w:pStyle w:val="TextoNormal"/>
      </w:pPr>
      <w:r>
        <w:t>Dada en Madrid, a trece de enero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9" w:name="SENTENCIA_1997_6"/>
      <w:r>
        <w:lastRenderedPageBreak/>
        <w:t>SENTENCIA 6/1997, de 13 de enero de 1997</w:t>
      </w:r>
    </w:p>
    <w:bookmarkEnd w:id="9"/>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39, de 14 de febrero de 1997)</w:t>
      </w:r>
    </w:p>
    <w:p w:rsidR="008107C7" w:rsidRDefault="008107C7" w:rsidP="008107C7">
      <w:pPr>
        <w:pStyle w:val="TtuloBOE"/>
      </w:pPr>
    </w:p>
    <w:p w:rsidR="008107C7" w:rsidRDefault="008107C7" w:rsidP="008107C7">
      <w:pPr>
        <w:pStyle w:val="SntesisDescriptiva"/>
      </w:pPr>
      <w:r>
        <w:t>ECLI:ES:TC:1997:6</w:t>
      </w:r>
    </w:p>
    <w:p w:rsidR="008107C7" w:rsidRDefault="008107C7" w:rsidP="008107C7">
      <w:pPr>
        <w:pStyle w:val="SntesisDescriptiva"/>
      </w:pPr>
    </w:p>
    <w:p w:rsidR="008107C7" w:rsidRDefault="008107C7" w:rsidP="008107C7">
      <w:pPr>
        <w:pStyle w:val="SntesisDescriptiva"/>
      </w:pPr>
      <w:r>
        <w:t>Recurso de amparo 3.436/1994. Contra Sentencia de la Audiencia Provincial de Santander dictada en apelación frente a la del Juzgado de Primera Instancia núm. 8 de los de Santander en autos sobre divorcio.</w:t>
      </w:r>
    </w:p>
    <w:p w:rsidR="008107C7" w:rsidRDefault="008107C7" w:rsidP="008107C7">
      <w:pPr>
        <w:pStyle w:val="SntesisDescriptiva"/>
      </w:pPr>
    </w:p>
    <w:p w:rsidR="008107C7" w:rsidRDefault="008107C7" w:rsidP="008107C7">
      <w:pPr>
        <w:pStyle w:val="SntesisAnaltica"/>
      </w:pPr>
      <w:r>
        <w:t>Vulneración del derecho a la tutela judicial efectiva: ejecución de resolución firme de disolución de matrimonio declarada previamente por la jurisdicción eclesiástica.</w:t>
      </w:r>
    </w:p>
    <w:p w:rsidR="008107C7" w:rsidRDefault="008107C7" w:rsidP="008107C7">
      <w:pPr>
        <w:pStyle w:val="SntesisAnaltica"/>
      </w:pPr>
    </w:p>
    <w:p w:rsidR="008107C7" w:rsidRDefault="008107C7" w:rsidP="008107C7">
      <w:pPr>
        <w:pStyle w:val="Extracto"/>
      </w:pPr>
      <w:r>
        <w:t>1.</w:t>
      </w:r>
      <w:r>
        <w:tab/>
        <w:t>Este Tribunal tiene declarado que, a tenor de la Disposición transitoria segunda del Acuerdo entre el Estado Español y la Santa Sede sobre Asuntos Jurídicos de 1979 -aplicable al presente caso, ya que se trataba de un proceso en curso al entrar en vigor el Acuerdo-, el régimen transitorio respecto de la eficacia civil de las Sentencias canónicas de nulidad matrimonial y su efecto constitutivo sobre el estado civil de los cónyuges, se producía con la mera anotación de la Sentencia canónica en el Registro Civil. Concretamente, en las SSTC 66/1982, 65/1985 y 209/1991 se afirmó, partiendo de que el derecho a la efectividad de la tutela judicial exige que el fallo judicial se cumpla, que «el proceso de reconocimiento de efectos civiles a las Sentencias y resoluciones de los Tribunales eclesiásticos que prevé el art. XXIV del Concordato [de 1953] es equiparable al de ejecución de una Sentencia o resolución judicial. Por ello, el reconocimiento de efectos civiles a las Sentencias canónicas que deriva del régimen transitorio previsto en la Disposición transitoria segunda citada ha de encuadrarse dentro de la exigencia constitucional contenida en el art. 24 de la Constitución» (STC 65/1985). En suma, debe concluirse que, partiendo del entendimiento que este Tribunal ha hecho de la Disposición transitoria segunda del Acuerdo sobre Asuntos Jurídicos, las Sentencias recurridas no fueron respetuosas con la efectividad de las resoluciones canónicas por cuanto consideraron que subsistía, hasta el pronunciamiento del divorcio, un matrimonio que ya fue declarado nulo en 1985. En cuanto a este extremo, existe en efecto una contradicción vulneradora de lo que, conforme a la doctrina sentada por este Tribunal, sería la plena efectividad de la Sentencia canónica de 1985 y, por tanto, conculcadora del derecho a la tutela judicial efectiva del recurrente . [F.J. 5]</w:t>
      </w:r>
    </w:p>
    <w:p w:rsidR="008107C7" w:rsidRDefault="008107C7" w:rsidP="008107C7">
      <w:pPr>
        <w:pStyle w:val="Extracto"/>
      </w:pPr>
    </w:p>
    <w:p w:rsidR="008107C7" w:rsidRDefault="008107C7" w:rsidP="008107C7">
      <w:pPr>
        <w:pStyle w:val="Extracto"/>
      </w:pPr>
      <w:r>
        <w:t>2.</w:t>
      </w:r>
      <w:r>
        <w:tab/>
        <w:t xml:space="preserve">En cambio, desde la perspectiva de los efectos económico-patrimoniales la conclusión debe de ser distinta. La Sentencia canónica de nulidad no fue seguida de efectos de naturaleza económico-patrimonial, por lo que no cabría entender que, en estos extremos, se produce ninguna merma de la efectividad de la misma. Sean cuales sean en el orden civil los efectos patrimoniales que se deriven de la disolución, o previa invalidez, del vínculo matrimonial, en nada resultarán incompatibles con lo decidido en la resolución canónica cuya plena efectividad fundamenta la pretensión de amparo. En la STC 1/1981 se afirmó claramente que los efectos civiles de las resoluciones eclesiásticas regulados por la ley civil, son de la exclusiva competencia de los Jueces y Tribunales civiles, en tanto en cuanto los principios </w:t>
      </w:r>
      <w:r>
        <w:lastRenderedPageBreak/>
        <w:t>de aconfesionalidad del Estado (art. 16.3 C.E.) y de exclusividad jurisdiccional (art. 117.3 C.E.) obligan a matizar, desde la entrada en vigor de la Constitución, la aplicación de reglas, como las derivadas del Concordato de 1953, que sólo encuentran sentido en el marco de «la confesionalidad del Estado y una concepción de la jurisdicción (...) que no padecía por el ejercicio por los Tribunales Eclesiásticos de funciones que, en cuanto se proyectan en el orden jurídico civil, podrían entenderse propias de la jurisdicción estatal» . [F.J. 6]</w:t>
      </w:r>
    </w:p>
    <w:p w:rsidR="008107C7" w:rsidRDefault="008107C7" w:rsidP="008107C7">
      <w:pPr>
        <w:pStyle w:val="Extracto"/>
      </w:pPr>
    </w:p>
    <w:p w:rsidR="008107C7" w:rsidRDefault="008107C7" w:rsidP="008107C7">
      <w:pPr>
        <w:pStyle w:val="Extracto"/>
      </w:pPr>
      <w:r>
        <w:t>3.</w:t>
      </w:r>
      <w:r>
        <w:tab/>
        <w:t>Ciertamente se ha sostenido que, a tenor de los arts. 95, 97 y 98 del C.C. los supuestos en los que cabe indemnización patrimonial pueden ser distintos en casos de divorcio y de nulidad. Esta es una cuestión de legalidad ordinaria en la que este Tribunal no puede entrar. Sin embargo, en el supuesto aquí enjuiciado pueden mantenerse los efectos patrimoniales pronunciados en la Sentencia de divorcio, sin terciar en la polémica de legalidad, puesto que el propio Tribunal Supremo, en la Sentencia de 10 de marzo de 1992, declaró en forma explícita y mediante una razonada y detenida argumentación, que en el presente caso concurría el supuesto de nulidad previsto en el art. 98 del C.C. y podían aplicarse los criterios contemplados en el art. 97 para cuantificar los efectos patrimoniales, aunque, como queda dicho, concluyó denegando su concesión por otro motivo: porque la Sentencia de los Tribunales eclesiásticos sobre nulidad de matrimonio canónico no había sido previamente declarada ajustada al Derecho del Estado por los Tribunales civiles competentes. Dadas estas concretas circunstancias, debe afirmarse que, desde la perspectiva propia de nuestro enjuiciamiento, el mantenimiento de los efectos patrimoniales concedidos por las Sentencias del divorcio, única vía que la jurisdicción ordinaria dejó abierta a la ex esposa del recurrente, no altera el derecho a la ejecución de las Sentencias firmes alegado por éste . [F.J. 6]</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 xml:space="preserve">En el recurso de amparo núm. 3.436/94, promovido por don Angel San José Vear, representado por la Procuradora de los Tribunales doña María Rosa García González y asistido por el Letrado don Pedro Vallés Gómez, frente a la Sentencia de la Sección Tercera de la Audiencia Provincial de Santander, de 27 de septiembre de 1994, dictada en el rollo de apelación núm. 144/94 sobre la del Juzgado de Primera Instancia núm. 8 de los de Santander </w:t>
      </w:r>
      <w:r>
        <w:lastRenderedPageBreak/>
        <w:t>de 23 de noviembre de 1993, en autos sobre divorcio núm. 578/92. Ha intervenido el Ministerio Fiscal. Ha sido Ponente el Magistrado don Carles Viver Pi-Sunyer,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Con fecha 25 de octubre de 1994, tuvo entrada en el Registro General de este Tribunal escrito de la representación procesal de don Angel San José Vear por medio del cual se presenta recurso de amparo frente a la Sentencia de la Sección Tercera de la Audiencia Provincial de Santander de 27 de septiembre de 1994, dictada en apelación sobre juicio de divorcio.</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hechos que fundamentan la demanda de amparo, brevemente expuestos, son los siguientes: </w:t>
      </w:r>
    </w:p>
    <w:p w:rsidR="008107C7" w:rsidRDefault="008107C7" w:rsidP="008107C7">
      <w:pPr>
        <w:pStyle w:val="TextoNormal"/>
      </w:pPr>
      <w:r>
        <w:t xml:space="preserve">a) Habiendo contraído matrimonio canónico en 1953, en marzo de 1977 el hoy recurrente interpuso ante el Tribunal Eclesiástico correspondiente demanda de nulidad matrimonial, bajo la vigencia del Concordato de 1953 y la anterior redacción de los arts. 80 y 82 C.C. Estando todavía pendiente de conclusión el proceso eclesiástico, entraron en vigor el Acuerdo sobre Asuntos Jurídicos entre España y la Santa Sede, de 3 de enero de 1979, y la nueva redacción de los referidos preceptos del Código Civil, por Ley 30/1981, de 7 de julio. La nulidad del matrimonio canónico fue definitivamente acordada por Sentencia del Tribunal Eclesiástico Metropolitano de Oviedo de 14 de marzo de 1985. Instada su ejecución civil, el 11 de septiembre de 1985 se inscribe nota marginal en el Registro Civil en la que consta la nulidad acordada. </w:t>
      </w:r>
    </w:p>
    <w:p w:rsidR="008107C7" w:rsidRDefault="008107C7" w:rsidP="008107C7">
      <w:pPr>
        <w:pStyle w:val="TextoNormal"/>
      </w:pPr>
      <w:r>
        <w:t xml:space="preserve">b) Con posterioridad a dicha Sentencia y a su correspondiente anotación, la ex-esposa del hoy recurrente demandó la indemnización prevista en el art. 98 C.C. - compensatoria al cónyuge de buena fe, si existió convivencia, de la nulidad matrimonial-; tal demanda fue definitivamente desestimada por Sentencia de la Sala Primera del Tribunal Supremo de 10 de marzo de 1992, revocatoria de la de apelación, en la que se dejó sentado que no se había producido la homologación civil de la Sentencia de nulidad canónica, requerida por el art. 80 C.C. en su nueva redacción (fundamento de Derecho 1º), lo que llevó a la desestimación de la demanda indemnizatoria. Este mismo resultado se alcanzaba, según la Sentencia referida, por concurrencia de buena fe en ambos cónyuges. </w:t>
      </w:r>
    </w:p>
    <w:p w:rsidR="008107C7" w:rsidRDefault="008107C7" w:rsidP="008107C7">
      <w:pPr>
        <w:pStyle w:val="TextoNormal"/>
      </w:pPr>
      <w:r>
        <w:t xml:space="preserve">c) Ulteriormente, la ex-esposa del hoy recurrente planteó demanda de divorcio, que fue seguida ante el Juzgado de Primera Instancia núm. 8 de Santander. Pese a la oposición del demandante de amparo -basada entre otros motivos en la existencia de cosa juzgada, por la eficacia civil de la nulidad canónica decretada en 1985-, la demanda fue estimada por Sentencia de 23 de noviembre de 1993, y definitivamente confirmada por la de la Audiencia de 27 de septiembre de 1994, objeto del presente proceso constitucional. </w:t>
      </w:r>
    </w:p>
    <w:p w:rsidR="008107C7" w:rsidRDefault="008107C7" w:rsidP="008107C7">
      <w:pPr>
        <w:pStyle w:val="TextoNormal"/>
      </w:pPr>
      <w:r>
        <w:t xml:space="preserve">En ambas Sentencias se afirma, en lo que aquí interesa y concordantemente con lo apreciado por la Sentencia de la Sala Primera Tribunal Supremo, de 10 de marzo de 1992, antes citada, que ninguna de las partes había instado la homologación civil de la Sentencia canónica de nulidad, no bastando, conforme al régimen instaurado con la reforma del Código Civil de 1981 -y a diferencia de lo legalmente previsto con anterioridad-, la anotación de la Sentencia canónica en el Registro Civil. Por ello se entiende civilmente subsistente el matrimonio y procedente la demanda de divorcio. Ambas resoluciones acuerdan estimar la demanda, declarar disuelto el matrimonio y el régimen económico matrimonial de sociedad </w:t>
      </w:r>
      <w:r>
        <w:lastRenderedPageBreak/>
        <w:t>de gananciales, atribuir el uso y disfrute de la vivienda a doña Olga Mediavilla González, así como una pensión compensatoria a cargo de don Angel San José Vear.</w:t>
      </w:r>
    </w:p>
    <w:p w:rsidR="008107C7" w:rsidRDefault="008107C7" w:rsidP="008107C7">
      <w:pPr>
        <w:pStyle w:val="TextoNormal"/>
      </w:pPr>
    </w:p>
    <w:p w:rsidR="008107C7" w:rsidRDefault="008107C7" w:rsidP="008107C7">
      <w:pPr>
        <w:pStyle w:val="TextoNormal"/>
      </w:pPr>
      <w:r w:rsidRPr="008107C7">
        <w:rPr>
          <w:rStyle w:val="NumeroAFNegritaCaracter"/>
        </w:rPr>
        <w:t>3</w:t>
      </w:r>
      <w:r>
        <w:t>. Fundamenta su pretensión el demandante de amparo en la vulneración de los arts. 9 (seguridad jurídica) y 24 C.E. (derecho a la tutela judicial efectiva impartida por el Juez ordinario predeterminado por la ley). Aduce en este sentido que las resoluciones recurridas fueron dictadas por órganos incompetentes en cuanto, según el Derecho aplicable a los hechos en el momento relevante, la jurisdicción para conocer de la nulidad y de su ejecución era la canónica. Asimismo, entiende que el principio de seguridad jurídica fue vulnerado por cuanto la legislación a aplicar era la vigente con anterioridad a la reforma del Código Civil en 1981. Igualmente alega la vulneración de la cosa juzgada por la resolución canónica. Cita, por último, la doctrina sentada en las SSTC 62/1984, 158/1985 y 367/1993.</w:t>
      </w:r>
    </w:p>
    <w:p w:rsidR="008107C7" w:rsidRDefault="008107C7" w:rsidP="008107C7">
      <w:pPr>
        <w:pStyle w:val="TextoNormal"/>
      </w:pPr>
    </w:p>
    <w:p w:rsidR="008107C7" w:rsidRDefault="008107C7" w:rsidP="008107C7">
      <w:pPr>
        <w:pStyle w:val="TextoNormal"/>
      </w:pPr>
      <w:r w:rsidRPr="008107C7">
        <w:rPr>
          <w:rStyle w:val="NumeroAFNegritaCaracter"/>
        </w:rPr>
        <w:t>4</w:t>
      </w:r>
      <w:r>
        <w:t>. Con fecha 15 de junio de 1995, la Sección Cuarta de este Tribunal acordó conceder al recurrente y al Ministerio Fiscal plazo común de diez días para que formularan, conforme al art. 50.3 LOTC, cuantas alegaciones estimaran pertinentes en relación con la posible carencia manifiesta de contenido constitucional de la demanda de amparo.</w:t>
      </w:r>
    </w:p>
    <w:p w:rsidR="008107C7" w:rsidRDefault="008107C7" w:rsidP="008107C7">
      <w:pPr>
        <w:pStyle w:val="TextoNormal"/>
      </w:pPr>
    </w:p>
    <w:p w:rsidR="008107C7" w:rsidRDefault="008107C7" w:rsidP="008107C7">
      <w:pPr>
        <w:pStyle w:val="TextoNormal"/>
      </w:pPr>
      <w:r w:rsidRPr="008107C7">
        <w:rPr>
          <w:rStyle w:val="NumeroAFNegritaCaracter"/>
        </w:rPr>
        <w:t>5</w:t>
      </w:r>
      <w:r>
        <w:t>. Sustanciado dicho trámite, en el que el Fiscal vino a sumarse a las alegaciones del recurrente en orden a la admisión a trámite de la demanda, la Sección Cuarta de este Tribunal, mediante providencia de 24 de julio de 1995, acordó admitir a trámite el recurso de que se trata y requerir de la Sección y Juzgado de referencia la remisión de testimonio de las actuaciones, interesando al propio tiempo el emplazamiento de cuantos, con excepción del propio recurrente, hubieran sido parte en el procedimiento, para que pudieran comparecer en el presente proceso constitucional.</w:t>
      </w:r>
    </w:p>
    <w:p w:rsidR="008107C7" w:rsidRDefault="008107C7" w:rsidP="008107C7">
      <w:pPr>
        <w:pStyle w:val="TextoNormal"/>
      </w:pPr>
    </w:p>
    <w:p w:rsidR="008107C7" w:rsidRDefault="008107C7" w:rsidP="008107C7">
      <w:pPr>
        <w:pStyle w:val="TextoNormal"/>
      </w:pPr>
      <w:r w:rsidRPr="008107C7">
        <w:rPr>
          <w:rStyle w:val="NumeroAFNegritaCaracter"/>
        </w:rPr>
        <w:t>6</w:t>
      </w:r>
      <w:r>
        <w:t>. Mediante nuevo proveído de 16 de octubre de 1995, la Sección Cuarta del Tribunal acordó dar vista de las actuaciones recibidas al recurrente y al Ministerio Fiscal, concediéndoles plazo común de veinte días para que formularan cuantas alegaciones estimasen pertinentes conforme a lo previsto en el art. 52.1 LOTC.</w:t>
      </w:r>
    </w:p>
    <w:p w:rsidR="008107C7" w:rsidRDefault="008107C7" w:rsidP="008107C7">
      <w:pPr>
        <w:pStyle w:val="TextoNormal"/>
      </w:pPr>
    </w:p>
    <w:p w:rsidR="008107C7" w:rsidRDefault="008107C7" w:rsidP="008107C7">
      <w:pPr>
        <w:pStyle w:val="TextoNormal"/>
      </w:pPr>
      <w:r w:rsidRPr="008107C7">
        <w:rPr>
          <w:rStyle w:val="NumeroAFNegritaCaracter"/>
        </w:rPr>
        <w:t>7</w:t>
      </w:r>
      <w:r>
        <w:t>. Con fecha 14 de noviembre de 1995, fue presentado en el Juzgado de Guardia de Madrid escrito de la representación procesal del recurrente, en el que se tiene por instruido de las actuaciones y se dan por reproducidas las alegaciones ya formuladas en los anteriores escritos de interposición y de admisibilidad del recurso.</w:t>
      </w:r>
    </w:p>
    <w:p w:rsidR="008107C7" w:rsidRDefault="008107C7" w:rsidP="008107C7">
      <w:pPr>
        <w:pStyle w:val="TextoNormal"/>
      </w:pPr>
    </w:p>
    <w:p w:rsidR="008107C7" w:rsidRDefault="008107C7" w:rsidP="008107C7">
      <w:pPr>
        <w:pStyle w:val="TextoNormal"/>
      </w:pPr>
      <w:r w:rsidRPr="008107C7">
        <w:rPr>
          <w:rStyle w:val="NumeroAFNegritaCaracter"/>
        </w:rPr>
        <w:t>8</w:t>
      </w:r>
      <w:r>
        <w:t xml:space="preserve">. El 13 de noviembre de 1995 tuvieron entrada en el registro del Tribunal las alegaciones del Ministerio Fiscal, en las que se sostiene la estimación del recurso. </w:t>
      </w:r>
    </w:p>
    <w:p w:rsidR="008107C7" w:rsidRDefault="008107C7" w:rsidP="008107C7">
      <w:pPr>
        <w:pStyle w:val="TextoNormal"/>
      </w:pPr>
      <w:r>
        <w:t xml:space="preserve">Tras dar por reproducidos los antecedentes del caso y extractar los fundamentos de la demanda de amparo, expone la doctrina constitucional que entiende relevante para la resolución del caso planteado, que a su juicio responde a las siguientes ideas esenciales: 1) Aun cuando la determinación de la normativa aplicable y su interpretación corresponden a la jurisdicción ordinaria, por tratarse de cuestiones de mera legalidad, éstas devienen materia constitucional si de su resolución se deriva la vulneración de un derecho fundamental; 2) El derecho a la tutela judicial efectiva no se agota con la posibilidad de acceder a los Tribunales de Justicia, ni a garantizar la obtención de una resolución de fondo fundada en Derecho, </w:t>
      </w:r>
      <w:r>
        <w:lastRenderedPageBreak/>
        <w:t xml:space="preserve">sino que exige a su vez "que el fallo judicial se cumpla, pues lo contrario sería convertir las decisiones judiciales y el reconocimiento de los derechos que ellas comportan en favor de alguna de las partes, en meras declaraciones de intenciones"; 3) El proceso de reconocimiento de efectos civiles a las decisiones eclesiásticas que preveía el art. XXIV del Concordato de 1953 "es equiparable al de ejecución de una Sentencia o resolución judicial. Por ello, el reconocimiento de efectos civiles a las Sentencias canónicas que deriva del régimen transitorio previsto en la Disposición transitoria 2ª del Acuerdo de 3 de enero de 1979 ha de encuadrarse dentro de la exigencia constitucional contenida en el art. 24.1 C.E.". </w:t>
      </w:r>
    </w:p>
    <w:p w:rsidR="008107C7" w:rsidRDefault="008107C7" w:rsidP="008107C7">
      <w:pPr>
        <w:pStyle w:val="TextoNormal"/>
      </w:pPr>
      <w:r>
        <w:t>Sentadas estas premisas, entiende el Fiscal que el presente proceso debe reducirse al examen de la segunda de las alegaciones del recurrente, por cuanto la primera se funda en precepto constitucional (art. 9.3 C.E.) no susceptible de invocación en el recurso de amparo (art. 41.1 LOTC). Tampoco entiende el Fiscal que exista vulneración del derecho al Juez legalmente predeterminado, pues el proceso de divorcio fue objeto de conocimiento por el órgano judicial competente. Por ello centra el Fiscal su argumentación en la cuestión relativa al desconocimiento por los órganos judiciales de la eficacia civil de una Sentencia canónica de nulidad dictada de conformidad con la legislación vigente en el momento de la iniciación del proceso canónico. A este respecto, y con cita de la doctrina sentada en la STC 209/1991, concluye el Fiscal que la falta de reconocimiento de la Sentencia canónica - conforme al régimen transitoriamente aplicable, según determinaron los Acuerdos de 1979, a los procesos canónicos ya iniciados en la fecha de su entrada en vigor- supone la violación del derecho a la tutela judicial efectiva, por cuanto con él se garantiza que el fallo judicial firme se cumpla. Para el Fiscal, por tanto, el Juez civil, al desconocer el valor de la Sentencia canónica, vulneró "la tutela judicial efectiva porque no reconoce los efectos civiles de dicha Sentencia (canónica) y aplica al supuesto fáctico una legislación distinta de la procedente que supone, según la doctrina del Tribunal Constitucional, privar de ejecutoriedad a una Sentencia firme, lo que constituye la vulneración denunciada".</w:t>
      </w:r>
    </w:p>
    <w:p w:rsidR="008107C7" w:rsidRDefault="008107C7" w:rsidP="008107C7">
      <w:pPr>
        <w:pStyle w:val="TextoNormal"/>
      </w:pPr>
    </w:p>
    <w:p w:rsidR="008107C7" w:rsidRDefault="008107C7" w:rsidP="008107C7">
      <w:pPr>
        <w:pStyle w:val="TextoNormal"/>
      </w:pPr>
      <w:r w:rsidRPr="008107C7">
        <w:rPr>
          <w:rStyle w:val="NumeroAFNegritaCaracter"/>
        </w:rPr>
        <w:t>9</w:t>
      </w:r>
      <w:r>
        <w:t>. Por providencia de 9 de enero de 1997, se señaló para deliberación y votación de la presente Sentencia el día 13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El recurrente pretende en el presente proceso constitucional que se declare que las resoluciones impugnadas han vulnerado el principio de seguridad jurídica (art. 9.3 C.E.), el derecho al Juez ordinario predeterminado por la Ley (art. 24.2 C.E.)  y a la tutela judicial efectiva en su vertiente de derecho a la ejecución de las Sentencias firmes (art. 24.1 C.E., pues a tal derecho fundamental hay que reconducir la muy genérica alegación de la "cosa juzgada").  Todo ello por cuanto, en el planteamiento del demandante de amparo, dichas resoluciones declararon el divorcio de un matrimonio ya previamente declarado nulo por la jurisdicción - eclesiástica- competente, nulidad que tuvo eficacia civil con la simple anotación registral de la Sentencia canónica, al ser de aplicación lo previsto en el art. XXIV.3º del Concordato de 1953 y los antiguos arts. 80 y 82 C.C. -en su redacción anterior a la reforma de 1981-, todo ello en virtud de la Disposición transitoria segunda del Acuerdo sobre Asuntos Jurídicos entre España y la Santa Sede de 3 de enero de 1979.</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Es claro que debemos comenzar por excluir cualquier análisis de una eventual vulneración del principio de seguridad jurídica, por el sencillo motivo de no consagrarse con él </w:t>
      </w:r>
      <w:r>
        <w:lastRenderedPageBreak/>
        <w:t>derecho fundamental alguno susceptible de ser recurrido en amparo ante este Tribunal (arts. 53.2 C.E. y 41.1 LOTC).</w:t>
      </w:r>
    </w:p>
    <w:p w:rsidR="008107C7" w:rsidRDefault="008107C7" w:rsidP="008107C7">
      <w:pPr>
        <w:pStyle w:val="TextoNormal"/>
      </w:pPr>
    </w:p>
    <w:p w:rsidR="008107C7" w:rsidRDefault="008107C7" w:rsidP="008107C7">
      <w:pPr>
        <w:pStyle w:val="TextoNormal"/>
      </w:pPr>
      <w:r w:rsidRPr="008107C7">
        <w:rPr>
          <w:rStyle w:val="NumeroAFNegritaCaracter"/>
        </w:rPr>
        <w:t>3</w:t>
      </w:r>
      <w:r>
        <w:t>. Muy escaso análisis requiere igualmente la alegación relativa al derecho al Juez ordinario y legalmente predeterminado, pues el contenido constitucional de este derecho no se corresponde con el fondo argumental del recurso.  Definido aquél, en lo sustancial, como una garantía de que el órgano judicial llamado a conocer del proceso haya sido previamente creado por Ley, que esté investido de jurisdicción y competencia antes del hecho que motive su actuación y, finalmente, que su régimen orgánico y procesal no permita ser calificado de especial o excepcional (SSTC 47/1983, 23/1986, 148/1987, etc.), no cabe sino concluir que el Juzgado y Audiencia que conocieron del pleito de divorcio eran justamente los juzgadores ordinarios y predeterminados de tal pleito. La garantía de independencia e imparcialidad del órgano juzgador que constituye el interés directo protegido por tal derecho fundamental, y que radica precisamente en la Ley (SSTC 47/1983 y 101/1984, entre otras muchas) nada tiene que ver con las alegaciones del recurrente, que más parecen basarse en un inexistente derecho fundamental a la exacta, fiel y acertada interpretación y aplicación judicial de las reglas legales que determinan la jurisdicción y competencia de cada uno de los diversos órganos juzgadores.</w:t>
      </w:r>
    </w:p>
    <w:p w:rsidR="008107C7" w:rsidRDefault="008107C7" w:rsidP="008107C7">
      <w:pPr>
        <w:pStyle w:val="TextoNormal"/>
      </w:pPr>
    </w:p>
    <w:p w:rsidR="008107C7" w:rsidRDefault="008107C7" w:rsidP="008107C7">
      <w:pPr>
        <w:pStyle w:val="TextoNormal"/>
      </w:pPr>
      <w:r w:rsidRPr="008107C7">
        <w:rPr>
          <w:rStyle w:val="NumeroAFNegritaCaracter"/>
        </w:rPr>
        <w:t>4</w:t>
      </w:r>
      <w:r>
        <w:t>. Mayor enjundia tiene la alegada vulneración del derecho a la ejecución de las resoluciones judiciales firmes.  Las características específicas del caso aquí enjuiciado obligan a contrastar la Sentencia canónica que se dice inejecutada con las dos civiles a las que se imputa la mencionada infracción constitucional distinguiendo cuidadosamente dos cuestiones que, aunque relacionadas, plantean en el presente supuesto una problemática distinta desde la perspectiva propia de nuestro enjuiciamiento: de un lado, está la cuestión de la eficacia civil de las Sentencias canónicas que declaran la nulidad de un matrimonio y, más concretamente, el efecto constitutivo, en el orden civil, de la Sentencia canónica de nulidad matrimonial. De otro, los demás efectos derivados de la declaración de nulidad, y, en concreto, en este caso, los económico-patrimoniales de esa declaración.</w:t>
      </w:r>
    </w:p>
    <w:p w:rsidR="008107C7" w:rsidRDefault="008107C7" w:rsidP="008107C7">
      <w:pPr>
        <w:pStyle w:val="TextoNormal"/>
      </w:pPr>
    </w:p>
    <w:p w:rsidR="008107C7" w:rsidRDefault="008107C7" w:rsidP="008107C7">
      <w:pPr>
        <w:pStyle w:val="TextoNormal"/>
      </w:pPr>
      <w:r w:rsidRPr="008107C7">
        <w:rPr>
          <w:rStyle w:val="NumeroAFNegritaCaracter"/>
        </w:rPr>
        <w:t>5</w:t>
      </w:r>
      <w:r>
        <w:t>. Pues bien, por lo que se refiere al efecto constitutivo, y atendiendo a los hechos declarados probados que se recogen en los antecedentes de esta Sentencia, debe concluirse que las resoluciones civiles objeto del presente recurso de amparo, lejos de dar ejecución a la Sentencia del Tribunal Eclesiástico Metropolitano de Oviedo de 4 de marzo de 1985, confirmatoria de la del Tribunal Eclesiástico Diocesano de Santander de 1 de junio de 1983, que declararon la nulidad del matrimonio contraído entre el recurrente y doña Olga Mediavilla González, las contradijeron, ya que en sus primeros pronunciamientos declaran la disolución, por divorcio, de un matrimonio previamente declarado nulo por la jurisdicción canónica.</w:t>
      </w:r>
    </w:p>
    <w:p w:rsidR="008107C7" w:rsidRDefault="008107C7" w:rsidP="008107C7">
      <w:pPr>
        <w:pStyle w:val="TextoNormal"/>
      </w:pPr>
      <w:r>
        <w:t xml:space="preserve">Este Tribunal tiene declarado que, a tenor de la Disposición transitoria segunda a), del Acuerdo entre el Estado Español y la Santa Sede sobre asuntos jurídicos de 1979 -aplicable al presente caso, ya que se trataba de un proceso en curso al entrar en vigor el Acuerdo-, el régimen transitorio respecto de la eficacia civil de las Sentencias canónicas de nulidad matrimonial y su efecto constitutivo sobre el estado civil de los cónyuges, se producía con la mera anotación de la Sentencia canónica en el Registro Civil.  Concretamente, en las SSTC 66/1982, 65/1985 y 209/1991 se afirmó, partiendo de que el derecho a la efectividad de la tutela judicial exige que el fallo judicial se cumpla, que "(e)l proceso de reconocimiento de </w:t>
      </w:r>
      <w:r>
        <w:lastRenderedPageBreak/>
        <w:t>efectos civiles a las sentencias y resoluciones de los Tribunales eclesiásticos que prevé el art. XXIV del Concordato (de 1953) es equiparable al de ejecución de una Sentencia o resolución judicial. Por ello, el reconocimiento de efectos civiles a las Sentencias canónicas que deriva del régimen transitorio previsto en la Disposición transitoria 2a. del Acuerdo de 3 de enero de 1979 ha de encuadrarse dentro de la exigencia constitucional contenida en el art. 24 de la Constitución" [STC 65/1985, fundamento jurídico 7º C), que resume la línea argumental de la STC 66/1982, posteriormente recogida en la STC 209/1991].</w:t>
      </w:r>
    </w:p>
    <w:p w:rsidR="008107C7" w:rsidRDefault="008107C7" w:rsidP="008107C7">
      <w:pPr>
        <w:pStyle w:val="TextoNormal"/>
      </w:pPr>
      <w:r>
        <w:t>En suma, debe concluirse que, partiendo del entendimiento que este Tribunal ha hecho de la Disposición transitoria segunda a) del Acuerdo sobre Asuntos Jurídicos, las Sentencias recurridas no fueron respetuosas con la efectividad de las resoluciones canónicas por cuanto consideraron que subsistía, hasta el pronunciamiento del divorcio un matrimonio que ya fue declarado nulo en 1985.  En cuanto a este extremo, existe en efecto una contradicción vulneradora de lo que, conforme a la doctrina sentada por este Tribunal, sería la plena efectividad de la Sentencia canónica de 1985 y, por tanto, conculcadora del derecho a la tutela judicial efectiva del recurrente.</w:t>
      </w:r>
    </w:p>
    <w:p w:rsidR="008107C7" w:rsidRDefault="008107C7" w:rsidP="008107C7">
      <w:pPr>
        <w:pStyle w:val="TextoNormal"/>
      </w:pPr>
    </w:p>
    <w:p w:rsidR="008107C7" w:rsidRDefault="008107C7" w:rsidP="008107C7">
      <w:pPr>
        <w:pStyle w:val="TextoNormal"/>
      </w:pPr>
      <w:r w:rsidRPr="008107C7">
        <w:rPr>
          <w:rStyle w:val="NumeroAFNegritaCaracter"/>
        </w:rPr>
        <w:t>6</w:t>
      </w:r>
      <w:r>
        <w:t>. En cambio, desde la perspectiva de los efectos económico-patrimoniales la conclusión debe de ser distinta.  Conviene destacar de entrada que los pronunciamientos de condena de cantidad recogidos en las resoluciones recurridas no aparecen en contradicción con ningún extremo de la resolución canónica. Así se razona en el fundamento 2º de la Sentencia de apelación, en el que justamente se destaca que la única diferencia existente entre las partes se refiere a los efectos económicos de la disolución del vínculo matrimonial.  La Sentencia canónica de nulidad no fue seguida de efectos de naturaleza económico-patrimonial, por lo que no cabría entender que, en estos extremos, se produce ninguna merma de la efectividad de la misma. Sean cuales sean, pues, en el orden civil, los efectos patrimoniales que se deriven de la disolución, o previa invalidez, del vínculo matrimonial, en nada resultarán incompatibles con lo decidido en la resolución canónica cuya plena efectividad fundamenta la pretensión de amparo. Esto mismo cabe deducir, por lo demás, de la doctrina establecida por la Sala Primera del Tribunal Supremo (Sentencia de 23 de febrero de 1993).</w:t>
      </w:r>
    </w:p>
    <w:p w:rsidR="008107C7" w:rsidRDefault="008107C7" w:rsidP="008107C7">
      <w:pPr>
        <w:pStyle w:val="TextoNormal"/>
      </w:pPr>
      <w:r>
        <w:t>En rigor, tales extremos económicos patrimoniales, como declaró la STC 1/1981 para los relativos a las relaciones paterno-filiales de una resolución eclesiástica, serían además extraños al ámbito de lo que, en virtud de dichos Acuerdos, resulta constitucionalmente admisible como propio de las decisiones eclesiásticas sobre nulidad matrimonial. En dicha Sentencia, tras detenido análisis, se afirmó claramente que los efectos civiles de las resoluciones eclesiásticas -allí sobre separación, aquí sobre nulidad-, regulados por la ley civil, son de la exclusiva competencia de los Jueces y Tribunales civiles (fundamento jurídico 10º), en tanto en cuanto los principios de aconfesionalidad del Estado (art.  16.3 C.E.)  y de exclusividad jurisdiccional (art. 117.3 C.E.)  obligan a matizar, desde la entrada en vigor de la Constitución, la aplicación de reglas, como las derivadas del Concordato de 1953, que sólo encuentran sentido en el marco de "la confesionalidad del Estado y una concepción de la jurisdicción (...)  que no padecía por el ejercicio por los Tribunales Eclesiásticos de funciones que, en cuanto se proyectan en el orden jurídico civil, podrían entenderse propias de la jurisdicción estatal" (ibid.).</w:t>
      </w:r>
    </w:p>
    <w:p w:rsidR="008107C7" w:rsidRDefault="008107C7" w:rsidP="008107C7">
      <w:pPr>
        <w:pStyle w:val="TextoNormal"/>
      </w:pPr>
      <w:r>
        <w:t xml:space="preserve">Ciertamente se ha sostenido que a tenor de los arts. 95, 97 y 98 del C.C. los supuestos en los que cabe indemnización patrimonial pueden ser distintos en casos de divorcio y de nulidad. Esta es una cuestión de legalidad ordinaria en la que este Tribunal no puede entrar. Sin embargo, en el supuesto aquí enjuiciado pueden mantenerse los efectos patrimoniales pronunciados en la Sentencia de divorcio, sin terciar en la polémica de legalidad, puesto que </w:t>
      </w:r>
      <w:r>
        <w:lastRenderedPageBreak/>
        <w:t>el propio Tribunal Supremo en la Sentencia de 10 de marzo de 1992, en el fundamento de Derecho primero, declaró en forma explícita y mediante una razonada y detenida argumentación, que en el presente caso concurría el supuesto de nulidad previsto en el art. 98 del C.C. y podían aplicarse los criterios contemplados en el art. 97 para cuantificar los efectos patrimoniales, aunque, como queda dicho, concluyó denegando su concesión por otro motivo: porque la Sentencia de los Tribunales eclesiásticos sobre nulidad de matrimonio canónico no había sido previamente declarada ajustada al Derecho del Estado por los Tribunales civiles competentes.  Dadas estas concretas circunstancias, debe afirmarse que, desde la perspectiva propia de nuestro enjuiciamiento, el mantenimiento de los efectos patrimoniales concedidos por las Sentencias del divorcio, única vía que la jurisdicción ordinaria dejó abierta a la ex-esposa del recurrente, no altera el derecho a la ejecución de las Sentencias firmes alegado por éste.</w:t>
      </w:r>
    </w:p>
    <w:p w:rsidR="008107C7" w:rsidRDefault="008107C7" w:rsidP="008107C7">
      <w:pPr>
        <w:pStyle w:val="TextoNormal"/>
      </w:pPr>
    </w:p>
    <w:p w:rsidR="008107C7" w:rsidRDefault="008107C7" w:rsidP="008107C7">
      <w:pPr>
        <w:pStyle w:val="TextoNormal"/>
      </w:pPr>
      <w:r w:rsidRPr="008107C7">
        <w:rPr>
          <w:rStyle w:val="NumeroAFNegritaCaracter"/>
        </w:rPr>
        <w:t>7</w:t>
      </w:r>
      <w:r>
        <w:t>. En suma, debe concluirse con el otorgamiento parcial del amparo solicitado puesto que las Sentencias recurridas conculcaron el derecho a la ejecución de las resoluciones firmes en cuanto declararon la disolución por divorcio de una matrimonio que ya había sido declarado nulo por la jurisdicción eclesiástica; sin embargo, este reproche no puede extenderse a las declaraciones relativas a los efectos económico-patrimoniales de la disolución puesto que vienen a precisar los efectos civiles de las resoluciones canónicas que declararon la nulidad del vínculo matrimonial.</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Otorgar parcialmente el amparo solicitado y, en consecuencia:</w:t>
      </w:r>
    </w:p>
    <w:p w:rsidR="008107C7" w:rsidRDefault="008107C7" w:rsidP="008107C7">
      <w:pPr>
        <w:pStyle w:val="TextoNormal"/>
      </w:pPr>
      <w:r>
        <w:t>1º. Reconocer que la Sentencia de la Sección Tercera de la Audiencia Provincial de Santander de 27 de septiembre de 1994, dictada en el rollo de apelación núm.  144/94 y la del Juzgado de Primera Instancia núm. 8 de los de Santander de 23 de noviembre, en autos de divorcio núm.  578/92, al declarar la disolución por divorcio de su matrimonio con doña Olga Mediavilla González, han vulnerado su derecho a la ejecución de las resoluciones firmes integrado en el derecho a la tutela judicial efectiva (art.  24.1 C.E.).</w:t>
      </w:r>
    </w:p>
    <w:p w:rsidR="008107C7" w:rsidRDefault="008107C7" w:rsidP="008107C7">
      <w:pPr>
        <w:pStyle w:val="TextoNormal"/>
      </w:pPr>
      <w:r>
        <w:t>2º. Declarar la nulidad de las mencionadas Sentencias tan sólo en cuanto declaran la referida disolución por divorcio.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trece de enero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10" w:name="SENTENCIA_1997_7"/>
      <w:r>
        <w:lastRenderedPageBreak/>
        <w:t>SENTENCIA 7/1997, de 14 de enero de 1997</w:t>
      </w:r>
    </w:p>
    <w:bookmarkEnd w:id="10"/>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39, de 14 de febrero de 1997)</w:t>
      </w:r>
    </w:p>
    <w:p w:rsidR="008107C7" w:rsidRDefault="008107C7" w:rsidP="008107C7">
      <w:pPr>
        <w:pStyle w:val="TtuloBOE"/>
      </w:pPr>
    </w:p>
    <w:p w:rsidR="008107C7" w:rsidRDefault="008107C7" w:rsidP="008107C7">
      <w:pPr>
        <w:pStyle w:val="SntesisDescriptiva"/>
      </w:pPr>
      <w:r>
        <w:t>ECLI:ES:TC:1997:7</w:t>
      </w:r>
    </w:p>
    <w:p w:rsidR="008107C7" w:rsidRDefault="008107C7" w:rsidP="008107C7">
      <w:pPr>
        <w:pStyle w:val="SntesisDescriptiva"/>
      </w:pPr>
    </w:p>
    <w:p w:rsidR="008107C7" w:rsidRDefault="008107C7" w:rsidP="008107C7">
      <w:pPr>
        <w:pStyle w:val="SntesisDescriptiva"/>
      </w:pPr>
      <w:r>
        <w:t>Recurso de amparo 120/1994. Contra Autos dictados por la Audiencia Provincial de Palma de Mallorca en vía de  apelación dictados en procedimiento interdictal.</w:t>
      </w:r>
    </w:p>
    <w:p w:rsidR="008107C7" w:rsidRDefault="008107C7" w:rsidP="008107C7">
      <w:pPr>
        <w:pStyle w:val="SntesisDescriptiva"/>
      </w:pPr>
    </w:p>
    <w:p w:rsidR="008107C7" w:rsidRDefault="008107C7" w:rsidP="008107C7">
      <w:pPr>
        <w:pStyle w:val="SntesisAnaltica"/>
      </w:pPr>
      <w:r>
        <w:t>Vulneración del derecho a un proceso con todas las grantías: Juez imparcial.</w:t>
      </w:r>
    </w:p>
    <w:p w:rsidR="008107C7" w:rsidRDefault="008107C7" w:rsidP="008107C7">
      <w:pPr>
        <w:pStyle w:val="SntesisAnaltica"/>
      </w:pPr>
    </w:p>
    <w:p w:rsidR="008107C7" w:rsidRDefault="008107C7" w:rsidP="008107C7">
      <w:pPr>
        <w:pStyle w:val="Extracto"/>
      </w:pPr>
      <w:r>
        <w:t>1.</w:t>
      </w:r>
      <w:r>
        <w:tab/>
        <w:t>La revisión prevista en la Ley procesal sólo es aplicable a las Sentencias firmes (art. 1.797). No son objeto de revisión los Autos afectados de nulidad por haber sido pronunciados por una Sala de Justicia presidida por un Magistrado que fue apartado del conocimiento del pleito por el Pleno de la Audiencia, al apreciar que en él concurría una causa de recusación. [F.J. 2]</w:t>
      </w:r>
    </w:p>
    <w:p w:rsidR="008107C7" w:rsidRDefault="008107C7" w:rsidP="008107C7">
      <w:pPr>
        <w:pStyle w:val="Extracto"/>
      </w:pPr>
    </w:p>
    <w:p w:rsidR="008107C7" w:rsidRDefault="008107C7" w:rsidP="008107C7">
      <w:pPr>
        <w:pStyle w:val="Extracto"/>
      </w:pPr>
      <w:r>
        <w:t>2.</w:t>
      </w:r>
      <w:r>
        <w:tab/>
        <w:t>Este Tribunal ha incluido, en el ámbito del derecho a un proceso con todas las garantías, el derecho a un Juez imparcial (por todas, SSTC 145/1984 y 164/1988). También es doctrina reiterada de este Tribunal que las causas de abstención y recusación tienden, precisamente, a asegurar la imparcialidad del Juez (por todas, SSTC 145/1988, 119/1990), siendo el incidente de recusación «el único cauce previsto por el ordenamiento procesal para obtener el restablecimiento por los Tribunales ordinarios de este derecho fundamental o evitar la consumación de su lesión» (STC 137/1994). En el caso presente se constata que el propio órgano judicial (Pleno de la Audiencia Provincial) consideró que el Presidente de la Sección Cuarta que dictó el Auto de 31 de mayo de 1993 estaba incurso en causa de recusación, y, por tanto, reconoció de forma implícita que dicha resolución vulneró el derecho a un Juez imparcial. Por ello, y habiendo sido susceptible la interposición del recurso de súplica (art. 402 L. E.C.) para restablecer a la recurrente en el derecho fundamental, procede declarar la nulidad de los Autos dictados por la Sección Cuarta de la Audiencia Provincial de Palma de Mallorca. [F.J. 3]</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lastRenderedPageBreak/>
        <w:t>SENTENCIA</w:t>
      </w:r>
    </w:p>
    <w:p w:rsidR="008107C7" w:rsidRDefault="008107C7" w:rsidP="008107C7">
      <w:pPr>
        <w:pStyle w:val="TextoNormalCentrado"/>
        <w:keepNext/>
      </w:pPr>
    </w:p>
    <w:p w:rsidR="008107C7" w:rsidRDefault="008107C7" w:rsidP="008107C7">
      <w:pPr>
        <w:pStyle w:val="TextoNormal"/>
      </w:pPr>
      <w:r>
        <w:t>En el recurso de amparo 120/94 interpuesto por Palma de Mallorca de Inversiones, S.L., representada por el Procurador don Albito Martínez Díez y bajo la dirección del Letrado don Gabriel-Angel Bienvenido Mayol Llinás, contra Autos de 31 de mayo y 20 de diciembre de 1993, y providencia de esta última fecha, dictados por la Sección Cuarta de la Audiencia Provincial de Palma de Mallorca en el rollo de apelación 988/92. Ha intervenido el Ministerio Fiscal y ha sido parte Ocibar, S.A., representada por la Procuradora doña Consuelo Rodríguez Chacón y bajo la dirección del Letrado don Juan A. Samper Vidal. Ha sido Ponente el Magistrado don Manuel Jiménez de Parga y Cabrera,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Por escrito registrado en este Tribunal, el 14 de enero de 1994, se interpuso el recurso de amparo que se deja mencionado en el encabezamiento y que se fundamenta en los siguientes hechos: </w:t>
      </w:r>
    </w:p>
    <w:p w:rsidR="008107C7" w:rsidRDefault="008107C7" w:rsidP="008107C7">
      <w:pPr>
        <w:pStyle w:val="TextoNormal"/>
      </w:pPr>
      <w:r>
        <w:t xml:space="preserve">a) La entidad recurrente (una sociedad limitada resultante de la transformación de una anónima de la misma denominación), propietaria de un negocio de Bar-Restaurante en la costa de Calviá (Mallorca), cuyo único acceso por tierra se realiza a través de una carretera-espigón lindante con el mar, que discurre por la zona de una concesión de construcción y explotación de un Puerto Deportivo de la que es titular Ocibar, S.A., debido al deteriorado estado de la referida carretera de acceso, tras poner en conocimiento de las Autoridades administrativas la grave situación existente, interpuso demanda de interdicto de obra ruinosa, para la adopción de medidas urgentes, contra Ocibar, S.A., que debía tramitarse según lo previsto en los arts. 1.676, 1º a 1.681 L.E.C. </w:t>
      </w:r>
    </w:p>
    <w:p w:rsidR="008107C7" w:rsidRDefault="008107C7" w:rsidP="008107C7">
      <w:pPr>
        <w:pStyle w:val="TextoNormal"/>
      </w:pPr>
      <w:r>
        <w:t xml:space="preserve">b) El Juzgado de Primera Instancia núm. 10 de Palma de Mallorca (procedimiento interdictal 415/92), luego del oportuno reconocimiento judicial y la práctica de dos informes periciales emitidos uno por un Arquitecto Superior nombrado por el Juzgado y otro por un Arquitecto Superior designado por la parte actora (actuaciones en las que se dio intervención a la parte demandada, que se personó en el procedimiento, asistió al reconocimiento judicial y formuló cuantas alegaciones tuvo por conveniente a los peritos) dictó Auto el 18 de mayo de 1992, en el que estimó la demanda interdictal y requirió a Ocibar, S.A. para que en el plazo de quince días realizase las obras que en la resolución se describían, con los oportunos pronunciamientos para el caso de incumplimiento por la obligada. En dicho Auto se indicaba que contra él no cabía recurso alguno, por aplicación de lo dispuesto en el art. 1.681 L.E.C. </w:t>
      </w:r>
    </w:p>
    <w:p w:rsidR="008107C7" w:rsidRDefault="008107C7" w:rsidP="008107C7">
      <w:pPr>
        <w:pStyle w:val="TextoNormal"/>
      </w:pPr>
      <w:r>
        <w:t xml:space="preserve">c) La demandada, no obstante, interpuso recurso de reposición contra el referido Auto, que fue admitido a trámite por providencia de 26 de mayo de 1992. La actora en el procedimiento interdictal interpuso a su vez recurso de reposición contra la providencia de admisión. El Juzgado, por Auto de 18 de junio de 1992, estimó este recurso de reposición: dejó sin efecto la providencia y no admitió, en suma, el recurso formulado contra el Auto de 18 de mayo de 1992. </w:t>
      </w:r>
    </w:p>
    <w:p w:rsidR="008107C7" w:rsidRDefault="008107C7" w:rsidP="008107C7">
      <w:pPr>
        <w:pStyle w:val="TextoNormal"/>
      </w:pPr>
      <w:r>
        <w:t xml:space="preserve">d) Ocibar, S.A., interpuso recurso de apelación contra el Auto de 18 de junio de 1992 por entender, en síntesis, que el procedimiento interdictal se había seguido infringiendo las normas procesales: no fue observada la tramitación prevista en el art. 1.682 L.E.C., lo que le </w:t>
      </w:r>
      <w:r>
        <w:lastRenderedPageBreak/>
        <w:t xml:space="preserve">causó la indefensión contraria al art. 24.1 C.E., solicitando, en consecuencia, la nulidad de todas las actuaciones. </w:t>
      </w:r>
    </w:p>
    <w:p w:rsidR="008107C7" w:rsidRDefault="008107C7" w:rsidP="008107C7">
      <w:pPr>
        <w:pStyle w:val="TextoNormal"/>
      </w:pPr>
      <w:r>
        <w:t xml:space="preserve">e) El recurso de apelación fue admitido en un solo efecto, y, pendiente de tramitación, la parte actora solicitó la ejecución del primer Auto de 18 de mayo de 1992, a lo que accedió el Juzgado autorizando la realización de las obras por la actora a costa de Ocibar, S.A.. Por su parte, la Comunidad Autónoma de las Islas Baleares se personó en el procedimiento y solicitó la nulidad de las actuaciones del juicio de interdicto de obra ruinosa, al haberse seguido sin su intervención y ser la zona donde se halla la obra ruinosa del dominio público estatal; y subsidiariamente pidió que las obras de reparación se ajustasen a las determinaciones señaladas por las Administraciones competentes. El Juzgado, por Auto de 17 de febrero de 1993, desestimó ambas pretensiones. Este Auto fue apelado por la Comunidad Autónoma. </w:t>
      </w:r>
    </w:p>
    <w:p w:rsidR="008107C7" w:rsidRDefault="008107C7" w:rsidP="008107C7">
      <w:pPr>
        <w:pStyle w:val="TextoNormal"/>
      </w:pPr>
      <w:r>
        <w:t xml:space="preserve">f) Con fecha de 31 de mayo de 1993, la Sección Cuarta de la Audiencia Provincial de Palma de Mallorca, integrada por los Magistrados don Miguel-Angel Aguiló Monjo, doña María- Begoña Guarda Laso y don Francisco Iñigo Martorell, actuando el primero como Presidente de la Sección, dictó Auto en el rollo de apelación 988/92, en el que, aunque se reconoce que la resolución apelada era el Auto de 18 de junio de 1992 que declaraba el carácter irrecurrible del Auto de 18 de mayo de 1992, se llega a la conclusión de declarar la nulidad de la integridad del procedimiento interdictal 415/92, al considerar que "se ha omitido total e íntegramente las normas de procedimiento establecido por la ley con clara indefensión para la parte recurrente (Ocibar, S.A.), con clara infracción de los principios de audiencia y contradicción a los efectos prevenidos en los arts. 238 y ss. de la L.O.P.J."; y ello porque el Auto de 18 de mayo de 1992 se dictó sin seguir el procedimiento previsto en el art. 1.682 L.E.C. que exige la celebración de un juicio verbal contradictorio, no practicado ni celebrado en este caso, provocando con ello la nulidad de actuaciones desde la providencia de admisión a trámite de la demanda interdictal. </w:t>
      </w:r>
    </w:p>
    <w:p w:rsidR="008107C7" w:rsidRDefault="008107C7" w:rsidP="008107C7">
      <w:pPr>
        <w:pStyle w:val="TextoNormal"/>
      </w:pPr>
      <w:r>
        <w:t xml:space="preserve">g) La ahora recurrente en amparo, mediante un mismo escrito, formuló demanda de nulidad del Auto de 31 de mayo de 1993; planteó la recusación del Magistrado don Miguel-Angel Aguiló Monjo alegando que es el hermano del Letrado Jefe de la Asesoría Jurídica de la Comunidad Autónoma, don Pedro-Antonio Aguiló Monjo, máximo responsable de la interposición de la demanda de nulidad de actuaciones presentada en el procedimiento interdictal, además de Letrado colaborador o socio del bufete del Abogado de la parte demandada y apelante; asimismo, subsidiariamente, interpuso recurso de súplica contra el mencionado Auto de 31 de mayo de 1993. </w:t>
      </w:r>
    </w:p>
    <w:p w:rsidR="008107C7" w:rsidRDefault="008107C7" w:rsidP="008107C7">
      <w:pPr>
        <w:pStyle w:val="TextoNormal"/>
      </w:pPr>
      <w:r>
        <w:t xml:space="preserve">h) Con fecha de 30 de septiembre de 1993, el Pleno de la Audiencia Provincial de Palma de Mallorca acordó estimar la recusación formulada contra el Magistrado don Miguel-Angel Aguiló Monjo, por concurrir el supuesto previsto en el art. 220 L.O.P.J. El 20 de diciembre de 1993, la Sección Cuarta de dicha Audiencia, integrada por doña María- Begoña Guarda Laso, como Presidente, y por don Mateo Ramón Homar y doña Margarita Beltrán Mairata, como Magistrados (al haber dejado de conocer del asunto el Magistrado don Miguel-Angel Aguiló Monjo, en virtud de la recusación formulada contra él, y haberse abstenido el Magistrado don Francisco Iñigo Martorell, por haber discrepado del voto de la mayoría en la decisión de la recusación) dictó Auto, notificado el 24 de diciembre, en el que declaró la inadmisibilidad a trámite de la demanda de nulidad del Auto de 31 de mayo de 1993 formulado por la empresa aquí quejosa, así como la desestimación de su recurso de súplica presentado subsidiariamente. El mismo día, la Sección Cuarta acordó, por providencia, dar vista a las partes y audiencia por tres días sobre la nulidad ex officio de actuaciones, al amparo de lo dispuesto en los arts. 240,2º, 238,3º, 217 y ss. L.O.P.J., y art. 194 y ss. L.E.C. </w:t>
      </w:r>
      <w:r>
        <w:lastRenderedPageBreak/>
        <w:t>Finalmente, y por Auto de 21 de enero de 1994, acordó no haber lugar a declarar de oficio la nulidad de actuaciones del rollo de apelación 988/92, al haberse acordado la recusación del Magistrado integrante de la Sección, don Miguel-Angel Aguiló Monjo, una vez que el Auto de 31 de mayo de 1992 era ya firme y definitivo.</w:t>
      </w:r>
    </w:p>
    <w:p w:rsidR="008107C7" w:rsidRDefault="008107C7" w:rsidP="008107C7">
      <w:pPr>
        <w:pStyle w:val="TextoNormal"/>
      </w:pPr>
    </w:p>
    <w:p w:rsidR="008107C7" w:rsidRDefault="008107C7" w:rsidP="008107C7">
      <w:pPr>
        <w:pStyle w:val="TextoNormal"/>
      </w:pPr>
      <w:r w:rsidRPr="008107C7">
        <w:rPr>
          <w:rStyle w:val="NumeroAFNegritaCaracter"/>
        </w:rPr>
        <w:t>2</w:t>
      </w:r>
      <w:r>
        <w:t>. La demanda, de forma no muy precisa, funda la queja de amparo en la vulneración del art. 24 C.E., que articula en cuatro motivos. En el primero, estima que se vulneró el art. 24 C.E. porque la Sala, en el Auto de 31 de mayo de 1993, se pronunció sobre extremos como el de que la demandada no era dueña de la cosa en ruina o la de que las obras son ilegales como construcciones clandestinas, pronunciamientos que hubieran exigido un trámite probatorio previo. En el segundo motivo, se denuncia la violación del art. 24 C.E., por considerar que la Sala entró a conocer cuestiones diferentes de la única que podía ser objeto de debate, ya que la apelación se limitaba a la revisión del Auto de 18 de junio de 1992. En el motivo tercero, igualmente se denuncia la violación del art. 24 C.E., pues la Sala, reconociendo que el Auto de 31 de mayo de 1992 era irrecurrible y firme, resuelve declarar la nulidad de las actuaciones de todo el procedimiento, destrozando literalmente así el principio de seguridad jurídica. Finalmente, en el cuarto motivo se alega la vulneración del art. 24 C.E. cuando se dicta una resolución en la que un miembro del Tribunal debió abstenerse y no lo hizo, habiendo sido estimada la recusación de dicho Magistrado.</w:t>
      </w:r>
    </w:p>
    <w:p w:rsidR="008107C7" w:rsidRDefault="008107C7" w:rsidP="008107C7">
      <w:pPr>
        <w:pStyle w:val="TextoNormal"/>
      </w:pPr>
    </w:p>
    <w:p w:rsidR="008107C7" w:rsidRDefault="008107C7" w:rsidP="008107C7">
      <w:pPr>
        <w:pStyle w:val="TextoNormal"/>
      </w:pPr>
      <w:r w:rsidRPr="008107C7">
        <w:rPr>
          <w:rStyle w:val="NumeroAFNegritaCaracter"/>
        </w:rPr>
        <w:t>3</w:t>
      </w:r>
      <w:r>
        <w:t>. Por providencia de 24 de marzo de 1994, la Sección Segunda acordó abrir el trámite del art. 50.3 LOTC, a fin de que la recurrente y el Ministerio Fiscal pudieran alegar lo que estimasen pertinente en relación con la posible existencia de la causa de inadmisión consistente en carecer la demanda manifiestamente de contenido [art. 50.1c) LOTC]. Tras las alegaciones presentadas por la recurrente y el Fiscal, que solicitó la admisión, por providencia de 22 de abril de 1994 se acordó admitir a trámite la demanda, y, a tenor de lo dispuesto en el art. 51 LOTC, requerir a la Sección Cuarta de la Audiencia Provincial de Palma de Mallorca y al Juzgado de Primera Instancia núm. 10 de dicha ciudad para que remitieran, respectivamente, testimonio del rollo de apelación 988/92 y de todo lo actuado en relación con la abstención del Magistrado don Francisco Iñigo Martorell, así como de los autos del interdicto de obra ruinosa 415/92, interesando al propio tiempo el emplazamiento de cuantos fueran parte en el proceso judicial antecedente, para que, en el plazo de diez días, pudieran comparecer en el presente proceso constitucional</w:t>
      </w:r>
    </w:p>
    <w:p w:rsidR="008107C7" w:rsidRDefault="008107C7" w:rsidP="008107C7">
      <w:pPr>
        <w:pStyle w:val="TextoNormal"/>
      </w:pPr>
    </w:p>
    <w:p w:rsidR="008107C7" w:rsidRDefault="008107C7" w:rsidP="008107C7">
      <w:pPr>
        <w:pStyle w:val="TextoNormal"/>
      </w:pPr>
      <w:r w:rsidRPr="008107C7">
        <w:rPr>
          <w:rStyle w:val="NumeroAFNegritaCaracter"/>
        </w:rPr>
        <w:t>4</w:t>
      </w:r>
      <w:r>
        <w:t>. Por escrito registrado el 24 de mayo de 1994, el Letrado de la Comunidad Autónoma de las Islas Baleares formuló las alegaciones y adjuntó diversa documentación, a los solos efectos de que se tengan por realizadas sin personarse en los Autos; y por providencia de 30 de mayo de 1994, se acordó tener por recibidas las actuaciones solicitadas, y por parte a la Procuradora doña Consuelo Rodríguez Chacón, en nombre de Ocibar, S.A., y dar vista de todas las actuaciones del recurso a las partes personadas y al Ministerio Fiscal para que dentro del plazo común de veinte días pudieran presentar las alegaciones que a su derecho conviniera.</w:t>
      </w:r>
    </w:p>
    <w:p w:rsidR="008107C7" w:rsidRDefault="008107C7" w:rsidP="008107C7">
      <w:pPr>
        <w:pStyle w:val="TextoNormal"/>
      </w:pPr>
    </w:p>
    <w:p w:rsidR="008107C7" w:rsidRDefault="008107C7" w:rsidP="008107C7">
      <w:pPr>
        <w:pStyle w:val="TextoNormal"/>
      </w:pPr>
      <w:r w:rsidRPr="008107C7">
        <w:rPr>
          <w:rStyle w:val="NumeroAFNegritaCaracter"/>
        </w:rPr>
        <w:t>5</w:t>
      </w:r>
      <w:r>
        <w:t xml:space="preserve">. Por escrito registrado el 17 de junio de 1994, la recurrente, tras dar por reproducidos los hechos y fundamentos expuestos en el escrito de demanda, alega, a los efectos del art. 95.2 LOTC, que Ocibar, S.A., actuó con mala fe y temeridad, siendo su conducta procesal la determinante de las resoluciones judiciales que ahora se impugnan en la vía del amparo. </w:t>
      </w:r>
      <w:r>
        <w:lastRenderedPageBreak/>
        <w:t>En este sentido, señala que ante la Audiencia, Ocibar, S.A., sostuvo que el procedimiento se realizó sin su intervención, inaudita parte, cuando el examen de las actuaciones demuestra que intervino desde el inicio del proceso, asistiendo al reconocimiento judicial, personándose representada por Procurador y defendida por Abogado, el cual formuló aclaraciones a los peritos. Asimismo, mantuvo ante la Audiencia que no era dueña de la obra ruinosa cuando consta en el rollo de apelación los documentos que acreditan su titularidad.</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Mediante escrito registrado el 23 de junio de 1994, el representante procesal de Ocibar, S.A., tras contestar a los hechos alegados en la demanda se opone a la concesión del amparo y, al efecto, invoca tres causas procesales por las que no procede el amparo. Entiende, en primer lugar, que no se han agotado todos los recursos utilizables dentro de la vía judicial [art. 44.1 a) LOTC], porque la recurrente debía haber intentado la revisión de la resolución judicial conforme al art. 1.796, 4º L.E.C. Como segunda causa alega infringido el art. 44.1.c) LOTC, al no haber invocado la recurrente el derecho fundamental vulnerado al formular los recursos de nulidad y subsidiario de súplica que fueron declarados inadmisibles por el Auto de 20 de diciembre de 1993. Finalmente, se alega la extemporaneidad del recurso, con arreglo al art. 44.2 LOTC. Aduce que si la violación del derecho fundamental se produjo por el Auto de 31 de mayo de 1993, al interponerse el recurso más de seis meses después de este Auto ha sido deducido fuera del plazo de veinte días a partir de la notificación de la resolución judicial: al ser firme el Auto recurrido, con arreglo al art. 240 L.O.P.J. el único remedio procesal frente a situaciones de indefensión constitucional, causadas por vicios procesales advertidos después de que haya recaído sentencia firme, es el recurso de amparo. </w:t>
      </w:r>
    </w:p>
    <w:p w:rsidR="008107C7" w:rsidRDefault="008107C7" w:rsidP="008107C7">
      <w:pPr>
        <w:pStyle w:val="TextoNormal"/>
      </w:pPr>
      <w:r>
        <w:t>En cuanto a los motivos del recurso de amparo invocados por la recurrente, considera, en síntesis, que deben ser rechazados porque la Audiencia se limitó a declarar la nulidad del procedimiento interdictal seguido en atención a las vulneraciones jurídicas que estimó.</w:t>
      </w:r>
    </w:p>
    <w:p w:rsidR="008107C7" w:rsidRDefault="008107C7" w:rsidP="008107C7">
      <w:pPr>
        <w:pStyle w:val="TextoNormal"/>
      </w:pPr>
    </w:p>
    <w:p w:rsidR="008107C7" w:rsidRDefault="008107C7" w:rsidP="008107C7">
      <w:pPr>
        <w:pStyle w:val="TextoNormal"/>
      </w:pPr>
      <w:r w:rsidRPr="008107C7">
        <w:rPr>
          <w:rStyle w:val="NumeroAFNegritaCaracter"/>
        </w:rPr>
        <w:t>7</w:t>
      </w:r>
      <w:r>
        <w:t xml:space="preserve">. El Fiscal, por escrito registrado el 24 de junio de 1994, tras exponer los hechos que considera relevantes para la resolución del asunto, y la doctrina constitucional que distingue entre el derecho al juez predeterminado por la ley y el derecho al juez imparcial, sostiene que al presidir la Sección Cuarta de la Audiencia Provincial de Palma de Mallorca don Miguel-Angel Aguiló Monjo, que posteriormente fue declarado por el Pleno de la Audiencia incurso en la causa de recusación prevista en el art. 220 L.O.P.J., es evidente que el Auto de 31 de mayo de 1993 fue dictado por un Tribunal del que formaba parte un Magistrado en quien concurría una circunstancia que podría impedirle la valoración objetiva e imparcial de la cuestión litigiosa. </w:t>
      </w:r>
    </w:p>
    <w:p w:rsidR="008107C7" w:rsidRDefault="008107C7" w:rsidP="008107C7">
      <w:pPr>
        <w:pStyle w:val="TextoNormal"/>
      </w:pPr>
      <w:r>
        <w:t xml:space="preserve">Estima el Fiscal que en el presente caso, aunque la recurrente invocó la causa de recusación una vez dictada la resolución judicial, de acuerdo con el art. 223.1 L.O.P.J., que exige que la recusación se formule tan luego como se tenga conocimiento de la causa en que se funde, y la afirmación de la recurrente de que planteó la recusación tan pronto como conoció el parentesco del Magistrado con el Jefe de la Asesoría Jurídica de la Comunidad Autónoma de las Islas Baleares, debe considerarse cumplido el requisito del agotamiento previo de los recursos utilizables dentro de la vía judicial, por los mismos razonamientos que tuvo en cuenta el Pleno de la Audiencia para no considerar extemporánea la recusación planteada. De todo ello, se sigue que procede estimar el amparo por haberse vulnerado el derecho a un juez imparcial. </w:t>
      </w:r>
    </w:p>
    <w:p w:rsidR="008107C7" w:rsidRDefault="008107C7" w:rsidP="008107C7">
      <w:pPr>
        <w:pStyle w:val="TextoNormal"/>
      </w:pPr>
      <w:r>
        <w:t xml:space="preserve">Respecto de la alegación de la recurrente de que se vulneró el art. 24 C.E. al acordarse en el Auto la nulidad del procedimiento cuando el objeto del recurso debió ser únicamente </w:t>
      </w:r>
      <w:r>
        <w:lastRenderedPageBreak/>
        <w:t>si cabía o no recurso contra el Auto de 18 de junio de 1992, entiende el Fiscal que la nulidad fue alegada por la parte contraria, y que el art. 240 L.O.P.J. faculta al Juez o Tribunal para acordar de oficio "antes de que hubiere recaído sentencia definitiva, y siempre que no proceda la subsanación, declarar, previa audiencia de las partes, la nulidad de todas las actuaciones o de alguna de ellas", de lo que cabe concluir que en ese aspecto no merece la resolución reproche constitucional alguno.</w:t>
      </w:r>
    </w:p>
    <w:p w:rsidR="008107C7" w:rsidRDefault="008107C7" w:rsidP="008107C7">
      <w:pPr>
        <w:pStyle w:val="TextoNormal"/>
      </w:pPr>
    </w:p>
    <w:p w:rsidR="008107C7" w:rsidRDefault="008107C7" w:rsidP="008107C7">
      <w:pPr>
        <w:pStyle w:val="TextoNormal"/>
      </w:pPr>
      <w:r w:rsidRPr="008107C7">
        <w:rPr>
          <w:rStyle w:val="NumeroAFNegritaCaracter"/>
        </w:rPr>
        <w:t>8</w:t>
      </w:r>
      <w:r>
        <w:t>. El 24 de mayo de 1996, la recurrente en amparo, Palma de Mallorca de Inversiones, S.L., presentó un escrito en este Tribunal Constitucional exponiendo hechos nuevos acontecidos en sus relaciones con Ocibar, S.A., aportando al efecto numerosos documentos. Semanas después, el 5 de julio de 1996, la empresa quejosa volvió a efectuar otras manifestaciones, si bien todos los hechos relatados en los dos escritos, como expresamente reconoce, "no parece que puedan afectar o ser relevantes para la solución de la cuestión planteada con la demanda de amparo".</w:t>
      </w:r>
    </w:p>
    <w:p w:rsidR="008107C7" w:rsidRDefault="008107C7" w:rsidP="008107C7">
      <w:pPr>
        <w:pStyle w:val="TextoNormal"/>
      </w:pPr>
    </w:p>
    <w:p w:rsidR="008107C7" w:rsidRDefault="008107C7" w:rsidP="008107C7">
      <w:pPr>
        <w:pStyle w:val="TextoNormal"/>
      </w:pPr>
      <w:r w:rsidRPr="008107C7">
        <w:rPr>
          <w:rStyle w:val="NumeroAFNegritaCaracter"/>
        </w:rPr>
        <w:t>9</w:t>
      </w:r>
      <w:r>
        <w:t>. Por providencia de 13 de enero de 1997, se fijó para la deliberación y fallo del presente recurso el día 14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El objeto de este recurso de amparo son dos Autos de la Audiencia Provincial de Palma de Mallorca:</w:t>
      </w:r>
    </w:p>
    <w:p w:rsidR="008107C7" w:rsidRDefault="008107C7" w:rsidP="008107C7">
      <w:pPr>
        <w:pStyle w:val="TextoNormal"/>
      </w:pPr>
      <w:r>
        <w:t>A) Un Auto de fecha 31 de mayo de 1993, dictado por una Sala de Justicia (la Sección Cuarta), cuyo Presidente fue luego apartado del conocimiento del asunto litigioso por el Pleno de la Audiencia Provincial, al estimar la recusación formulada contra el mismo; Auto de 31 de mayo de 1993 que, según la peticionaria de amparo, además y por otros motivos, conculcó los derechos a la tutela judicial efectiva y a un proceso con todas las garantías.</w:t>
      </w:r>
    </w:p>
    <w:p w:rsidR="008107C7" w:rsidRDefault="008107C7" w:rsidP="008107C7">
      <w:pPr>
        <w:pStyle w:val="TextoNormal"/>
      </w:pPr>
      <w:r>
        <w:t>B) Un Auto de fecha 20 de diciembre de 1993, dictado por la misma Sala de Justicia que el anterior, pero sin el Presidente recusado y con la sustitución voluntaria de otro Magistrado, que se abstuvo. Este Auto de 20 de diciembre de 1993 declaró inadmisible a trámite la demanda de nulidad del Auto de 31 de mayo de 1993 y desestimó el recurso de súplica contra esta resolución.</w:t>
      </w:r>
    </w:p>
    <w:p w:rsidR="008107C7" w:rsidRDefault="008107C7" w:rsidP="008107C7">
      <w:pPr>
        <w:pStyle w:val="TextoNormal"/>
      </w:pPr>
      <w:r>
        <w:t>En el suplico de la demanda de amparo se incluye también una providencia del 20 de diciembre de 1993, dictada por la misma Sección Cuarta. Sin embargo, con posterioridad a la presentación de la demanda de amparo constitucional ha sido resuelta la cuestión planteada en esa Providencia, quedando, por tanto, al margen de nuestra consideración el haber obtenido el recurrente, en ese punto, la satisfacción de sus pretensiones.</w:t>
      </w:r>
    </w:p>
    <w:p w:rsidR="008107C7" w:rsidRDefault="008107C7" w:rsidP="008107C7">
      <w:pPr>
        <w:pStyle w:val="TextoNormal"/>
      </w:pPr>
      <w:r>
        <w:t>Los derechos fundamentales que podrían haber sido violados, y sobre cuyo restablecimiento hemos de pronunciarnos, son el derecho al Juez imparcial, el derecho a la tutela judicial efectiva y el derecho a un proceso con todas las garantías; derechos reconocidos en el art. 24 de la Constitución, en la forma y con el alcance que después precisaremos.</w:t>
      </w:r>
    </w:p>
    <w:p w:rsidR="008107C7" w:rsidRDefault="008107C7" w:rsidP="008107C7">
      <w:pPr>
        <w:pStyle w:val="TextoNormal"/>
      </w:pPr>
    </w:p>
    <w:p w:rsidR="008107C7" w:rsidRDefault="008107C7" w:rsidP="008107C7">
      <w:pPr>
        <w:pStyle w:val="TextoNormal"/>
      </w:pPr>
      <w:r w:rsidRPr="008107C7">
        <w:rPr>
          <w:rStyle w:val="NumeroAFNegritaCaracter"/>
        </w:rPr>
        <w:t>2</w:t>
      </w:r>
      <w:r>
        <w:t>. Delimitado el objeto del amparo, hay que enjuiciar, con carácter previo, las causas de inadmisibilidad alegadas por la representación de Ocibar, S.A.</w:t>
      </w:r>
    </w:p>
    <w:p w:rsidR="008107C7" w:rsidRDefault="008107C7" w:rsidP="008107C7">
      <w:pPr>
        <w:pStyle w:val="TextoNormal"/>
      </w:pPr>
      <w:r>
        <w:t xml:space="preserve">Se argumenta, en primer lugar, que la recurrente no ha agotado todos los recursos utilizables en la vía judicial [art. 44.1,a) LOTC] porque debía haber acudido previamente al </w:t>
      </w:r>
      <w:r>
        <w:lastRenderedPageBreak/>
        <w:t>juicio de revisión previsto en el art. 1.796, 4º, de la Ley de Enjuiciamiento Civil. Es un motivo de inadmisibilidad que rechazamos.  La revisión prevista en la Ley Procesal sólo es aplicable a las Sentencias firmes (art. 1.797). No son objeto de revisión los Autos, como el de 31 de mayo de 1993, afectados de nulidad por haber sido pronunciados por una Sala de Justicia presidida por un Magistrado que fue apartado del conocimiento del pleito por el Pleno de la Audiencia, al apreciar que en él concurría una causa de recusación. La peticionaria de amparo, una vez que conoció el motivo de abstención/recusación, solicitó la nulidad del Auto de 31 de mayo de 1993, y más tarde, al declarar la misma Sala de Justicia (con otra composición) inadmisible la demanda de nulidad y desestimar el recurso de súplica, acudió en solicitud de amparo a este Tribunal Constitucional.</w:t>
      </w:r>
    </w:p>
    <w:p w:rsidR="008107C7" w:rsidRDefault="008107C7" w:rsidP="008107C7">
      <w:pPr>
        <w:pStyle w:val="TextoNormal"/>
      </w:pPr>
      <w:r>
        <w:t>Tampoco puede acogerse la extemporaneidad que se alega con apoyo en el art.  44.2 LOTC.  El recurso de amparo se interpuso dentro de los veinte días siguientes a la notificación del Auto de 20 de diciembre de 1993, que declaró la inadmisibilidad de la demanda de nulidad del Auto de 31 de mayo de 1993 y desestimó la súplica. Aunque se entendiera que contra el Auto de 31 de mayo de 1993 no cabía recurso alguno, la circunstancia de que fuera dictado por un Tribunal del que formaba parte un Magistrado del que posteriormente el Pleno de la Audiencia Provincial declaró que estaba incurso en una causa legal de recusación, nos lleva a considerar que su impugnabilidad no era manifiestamente improcedente o inexistente en la ley, habida cuenta del tenor del art.  228 L.O.P.J. En otro sentido, tampoco cabe apreciar un ánimo dilatorio en la conducta procesal de la recurrente.</w:t>
      </w:r>
    </w:p>
    <w:p w:rsidR="008107C7" w:rsidRDefault="008107C7" w:rsidP="008107C7">
      <w:pPr>
        <w:pStyle w:val="TextoNormal"/>
      </w:pPr>
      <w:r>
        <w:t>Asímismo, debe rechazarse la falta de invocación formal del derecho vulnerado, pues en el escrito de formulación del recurso de nulidad, presentado el 7 de junio de 1993, se invocan las lesiones constitucionales que fundamentan el amparo. Lo mismo se consignó en el recurso de súplica desestimado. Y respecto de la falta de planteamiento en su día de la recusación, deben aceptarse -como apunta el Ministerio Fiscal- los propios razonamientos que se contienen en el Acuerdo del Pleno de la Audiencia Provincial que declaró la recusación del Magistrado integrante de la Sección que dictó el Auto de 31 de mayo de 1993.</w:t>
      </w:r>
    </w:p>
    <w:p w:rsidR="008107C7" w:rsidRDefault="008107C7" w:rsidP="008107C7">
      <w:pPr>
        <w:pStyle w:val="TextoNormal"/>
      </w:pPr>
      <w:r>
        <w:t>El fundamento jurídico 1º del Auto del Pleno de la Audiencia resolvió así la cuestión:</w:t>
      </w:r>
    </w:p>
    <w:p w:rsidR="008107C7" w:rsidRDefault="008107C7" w:rsidP="008107C7">
      <w:pPr>
        <w:pStyle w:val="TextoNormal"/>
      </w:pPr>
      <w:r>
        <w:t>"Manifiesta el recusante que no alegó con anterioridad al día 7 de junio de 1993 los motivos de la recusación que hace constar en escrito de la referida fecha presentado ante la Sección Cuarta de esta Audiencia Provincial, porque los desconocía. La buena fe que se presume como uno de los principios informadores del ordenamiento jurídico, que se infringe cuando se finge ignorar lo que se sabe, no ha sido desvirtuada mediante la actividad probatoria desplegada en el decurso de la tramitación del expediente de recusación.  Incluso en el escrito de contestación a los argumentos de la recusación no se hace referencia a este extremo. Y, teniendo en cuenta que el art. 223.1 de la Ley Orgánica del Poder Judicial dispone que se propondrá la recusación 'tan luego como se tenga conocimiento de la causa en que se funda', no procede desestimarla por extemporánea ..... ya que, como se ha dicho, frente a la manifestación del recusante de que no tenía conocimiento anterior de los motivos en que se fundamentaba la recusación, manifestación protegida por el principio de la buena fe, no se ha practicado prueba que la desacredite".</w:t>
      </w:r>
    </w:p>
    <w:p w:rsidR="008107C7" w:rsidRDefault="008107C7" w:rsidP="008107C7">
      <w:pPr>
        <w:pStyle w:val="TextoNormal"/>
      </w:pPr>
      <w:r>
        <w:t>La subsidiariedad del amparo constitucional fue respetada por la recurrente al dar la oportunidad a la Audiencia Provincial de preservar los derechos fundamentales conculcados.  El Auto de 20 de diciembre de 1993 pudo apreciar la nulidad del Auto de 31 de mayo de 1993, dictado por una Sala de Justicia presidida por un Magistrado afectado de parcialidad. El art. 240.2 L.O.P.J. la facultaba para hacerlo incluso de oficio. La recurrente, en suma, agotó todos los recursos de la vía judicial.</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3</w:t>
      </w:r>
      <w:r>
        <w:t>. Desestimados los motivos de inadmisibilidad alegados por la representación de Ocibar, S.A., hay que decidir, en primer lugar, si ha existido la vulneración del derecho a un Juez imparcial. La recurrente considera que se violó ese derecho al haber presidido la Sala que dictó el Auto de 31 de mayo de 1993 un Magistrado en quien concurría una causa de abstención/recusación.</w:t>
      </w:r>
    </w:p>
    <w:p w:rsidR="008107C7" w:rsidRDefault="008107C7" w:rsidP="008107C7">
      <w:pPr>
        <w:pStyle w:val="TextoNormal"/>
      </w:pPr>
      <w:r>
        <w:t>La recurrente, en efecto, invocando lo dispuesto en los arts. 217 y siguientes de la Ley Orgánica del Poder Judicial, propuso la recusación del Presidente de la Sala, Ilmo. Sr. don Miguel Aguiló Monjo, tan pronto como conoció que concurría en éste la causa legal de abstención y recusación, esto es, ser hermano del Letrado Jefe de la Asesoría Jurídica de la Comunidad Autónoma, don Pedro Antonio Aguiló Monjo, que fue parte en el pleito, solicitando en el mismo escrito la nulidad del Auto de 31 de mayo de 1993, e interponiendo subsidiariamente recurso de súplica. El Pleno de la Audiencia Provincial, estimó la recusación planteada, quedando apartado definitivamente del conocimiento del asunto el referido Magistrado.</w:t>
      </w:r>
    </w:p>
    <w:p w:rsidR="008107C7" w:rsidRDefault="008107C7" w:rsidP="008107C7">
      <w:pPr>
        <w:pStyle w:val="TextoNormal"/>
      </w:pPr>
      <w:r>
        <w:t>Este Tribunal ha incluido, en el ámbito del derecho a un proceso con todas las garantías, el derecho a un Juez imparcial (por todas, SSTC 145/1984 y 164/1988). "Desde el principio y con apoyo en la jurisprudencia del T.E.D.H.  (asunto Piersack, de 1 de octubre de 1982, y De Cubber, de 26 de octubre de 1984), hemos distinguido en este derecho una doble vertiente: la subjetiva, que trata de evitar la parcialidad del criterio del Juez -o su mera sospecha- derivada de sus relaciones con las partes, y la objetiva, que trata de evitar esa misma parcialidad derivada de su relación con el objeto del proceso o de su relación orgánica o funcional con el mismo" (STC 32/1994).</w:t>
      </w:r>
    </w:p>
    <w:p w:rsidR="008107C7" w:rsidRDefault="008107C7" w:rsidP="008107C7">
      <w:pPr>
        <w:pStyle w:val="TextoNormal"/>
      </w:pPr>
      <w:r>
        <w:t>También es doctrina reiterada de este Tribunal que las causas de abstención y recusación tienden, precisamente, a asegurar la imparcialidad del juez (por todas, SSTC 145/1988, 119/1990), siendo el incidente de recusación "el único cauce previsto por el ordenamiento procesal para obtener el restablecimiento por los Tribunales ordinarios de este derecho fundamental o evitar la consumación de su lesión" (STC 137/1994, fundamento jurídico 2º).</w:t>
      </w:r>
    </w:p>
    <w:p w:rsidR="008107C7" w:rsidRDefault="008107C7" w:rsidP="008107C7">
      <w:pPr>
        <w:pStyle w:val="TextoNormal"/>
      </w:pPr>
      <w:r>
        <w:t>Pues bien, en el caso presente se constata que el propio órgano judicial (Pleno de la Audiencia Provincial) consideró que el Presidente de la Sección Cuarta que dictó el Auto de 31 de mayo de 1993, estaba incurso en causa de recusación, y, por tanto, reconoció de forma implícita que dicha resolución vulneró el derecho a un Juez imparcial.  Por ello, y habiendo sido susceptible la interposición del recurso de súplica (art.  402 L.E.C.)  para restablecer a la recurrente en el derecho fundamental, procede declarar la nulidad de los Autos de 31 de mayo y 20 de diciembre de 1993, dictados por la Sección Cuarta de la Audiencia Provincial de Palma de Mallorca.</w:t>
      </w:r>
    </w:p>
    <w:p w:rsidR="008107C7" w:rsidRDefault="008107C7" w:rsidP="008107C7">
      <w:pPr>
        <w:pStyle w:val="TextoNormal"/>
      </w:pPr>
    </w:p>
    <w:p w:rsidR="008107C7" w:rsidRDefault="008107C7" w:rsidP="008107C7">
      <w:pPr>
        <w:pStyle w:val="TextoNormal"/>
      </w:pPr>
      <w:r w:rsidRPr="008107C7">
        <w:rPr>
          <w:rStyle w:val="NumeroAFNegritaCaracter"/>
        </w:rPr>
        <w:t>4</w:t>
      </w:r>
      <w:r>
        <w:t>. Apreciada la violación del derecho a un Juez imparcial, (art. 24.2 C.E.), con la nulidad de las resoluciones dictadas a la recurrente de amparo por el Tribunal afectado de tal vicio, no hay que entrar en la consideración de las otras conculcaciones de derechos fundamentales alegadas en la demanda.</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lastRenderedPageBreak/>
        <w:t>Ha decidido</w:t>
      </w:r>
    </w:p>
    <w:p w:rsidR="008107C7" w:rsidRDefault="008107C7" w:rsidP="008107C7">
      <w:pPr>
        <w:pStyle w:val="TextoNormalCentrado"/>
        <w:keepNext/>
      </w:pPr>
    </w:p>
    <w:p w:rsidR="008107C7" w:rsidRDefault="008107C7" w:rsidP="008107C7">
      <w:pPr>
        <w:pStyle w:val="TextoNormal"/>
      </w:pPr>
      <w:r>
        <w:t>Otorgar el amparo solicitado por Palma de Mallorca de Inversiones, S.L, y en consecuencia:</w:t>
      </w:r>
    </w:p>
    <w:p w:rsidR="008107C7" w:rsidRDefault="008107C7" w:rsidP="008107C7">
      <w:pPr>
        <w:pStyle w:val="TextoNormal"/>
      </w:pPr>
      <w:r>
        <w:t>1º. Reconocer el derecho de la recurrente al Juez imparcial, ínsito en el derecho a un proceso con todas las garantías (art. 24.2 C.E.).</w:t>
      </w:r>
    </w:p>
    <w:p w:rsidR="008107C7" w:rsidRDefault="008107C7" w:rsidP="008107C7">
      <w:pPr>
        <w:pStyle w:val="TextoNormal"/>
      </w:pPr>
      <w:r>
        <w:t>2º. Restablecer a la recurrente en sus derechos fundamentales, declarando al efecto la nulidad de los Autos de 31 de mayo y 20 de diciembre de 1993, dictados por la Sección Cuarta de la Audiencia Provincial de Palma de Mallorca en el rollo de apelación civil 988/92.</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catorce de enero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11" w:name="SENTENCIA_1997_8"/>
      <w:r>
        <w:lastRenderedPageBreak/>
        <w:t>SENTENCIA 8/1997, de 14 de enero de 1997</w:t>
      </w:r>
    </w:p>
    <w:bookmarkEnd w:id="11"/>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39, de 14 de febrero de 1997)</w:t>
      </w:r>
    </w:p>
    <w:p w:rsidR="008107C7" w:rsidRDefault="008107C7" w:rsidP="008107C7">
      <w:pPr>
        <w:pStyle w:val="TtuloBOE"/>
      </w:pPr>
    </w:p>
    <w:p w:rsidR="008107C7" w:rsidRDefault="008107C7" w:rsidP="008107C7">
      <w:pPr>
        <w:pStyle w:val="SntesisDescriptiva"/>
      </w:pPr>
      <w:r>
        <w:t>ECLI:ES:TC:1997:8</w:t>
      </w:r>
    </w:p>
    <w:p w:rsidR="008107C7" w:rsidRDefault="008107C7" w:rsidP="008107C7">
      <w:pPr>
        <w:pStyle w:val="SntesisDescriptiva"/>
      </w:pPr>
    </w:p>
    <w:p w:rsidR="008107C7" w:rsidRDefault="008107C7" w:rsidP="008107C7">
      <w:pPr>
        <w:pStyle w:val="SntesisDescriptiva"/>
      </w:pPr>
      <w:r>
        <w:t>Recurso de amparo 707/1994 1.178/1994 1.179/1994 1.180/1994 1.181/1994 1.182/1994 (acumulados). Todos los recursos interpuestos contra Sentencia de la Sala de lo Contencioso-administrativo del T.S.J. de Cataluña sobre autorización para derribo de una finca en Barcelona.</w:t>
      </w:r>
    </w:p>
    <w:p w:rsidR="008107C7" w:rsidRDefault="008107C7" w:rsidP="008107C7">
      <w:pPr>
        <w:pStyle w:val="SntesisDescriptiva"/>
      </w:pPr>
    </w:p>
    <w:p w:rsidR="008107C7" w:rsidRDefault="008107C7" w:rsidP="008107C7">
      <w:pPr>
        <w:pStyle w:val="SntesisAnaltica"/>
      </w:pPr>
      <w:r>
        <w:t>Vulneración del derecho a la tutela judicial efectiva: indefensión derivada de falta de emplazamiento.</w:t>
      </w:r>
    </w:p>
    <w:p w:rsidR="008107C7" w:rsidRDefault="008107C7" w:rsidP="008107C7">
      <w:pPr>
        <w:pStyle w:val="SntesisAnaltica"/>
      </w:pPr>
    </w:p>
    <w:p w:rsidR="008107C7" w:rsidRDefault="008107C7" w:rsidP="008107C7">
      <w:pPr>
        <w:pStyle w:val="Extracto"/>
      </w:pPr>
      <w:r>
        <w:t>1.</w:t>
      </w:r>
      <w:r>
        <w:tab/>
        <w:t>No habiendo existido una notificación en legal forma de la Sentencia, debe aplicarse la regla general según la cual el plazo debe computarse a partir del momento en que el interesado pudo darse por enterado ( SSTC 72/1990 y 50/1995), lo que es congruente con las circunstancias del caso, toda vez que hasta el momento de la entrega del testimonio no se dispuso de los elementos esenciales para formular la demanda de amparo, habiendo sido diligente la actitud de los recurrentes, pues acudieron al Tribunal que dictó dicha Sentencia para conocer su texto en breve plazo, lo que excluye que pueda entenderse que hicieran dejación de su derecho. Ello no supone, desde luego, que el plazo quede al arbitrio de la parte, sino que cuando, como aquí ocurre, existe un escalonamiento en el conocimiento de la Sentencia, de modo que primero se sabe que existe y cuál es su sentido, pero aún se desconoce su contenido, surge una carga en el afectado de promover con la mayor diligencia su acceso al texto íntegro de la misma, momento en el que, por tener «conocimiento suficiente y fehaciente de la Sentencia» (ATC 642/1984), está en condiciones de interponer la demanda de amparo, con lo que en este momento es cuando comienza a contar el plazo de los veinte días establecido en el art. 44.2 LOTC. [F.J. 2]</w:t>
      </w:r>
    </w:p>
    <w:p w:rsidR="008107C7" w:rsidRDefault="008107C7" w:rsidP="008107C7">
      <w:pPr>
        <w:pStyle w:val="Extracto"/>
      </w:pPr>
    </w:p>
    <w:p w:rsidR="008107C7" w:rsidRDefault="008107C7" w:rsidP="008107C7">
      <w:pPr>
        <w:pStyle w:val="Extracto"/>
      </w:pPr>
      <w:r>
        <w:t>2.</w:t>
      </w:r>
      <w:r>
        <w:tab/>
        <w:t>Las posibles vulneraciones de derechos fundamentales que se hayan podido producir en el proceso contencioso-administrativo que dio lugar a la Sentencia recurrida no son susceptibles de reparación en el pleito civil que a los efectos de denegación de la prórroga se haya de interponer, con lo que no se ve afectada la subsidiariedad de este recurso de amparo, que precisamente presupone, como declara la STC 147/1994, que el demandante de amparo tenga «la ocasión de plantear, en la sede jurisdiccional ordinaria, la vulneración del derecho fundamental que aquí invoca» y, consecuentemente, conserve «la posibilidad de que esa reputada vulneración de derecho fundamental sea en efecto apreciada, con las consecuencias que de ello se sigan». [F.J. 3]</w:t>
      </w:r>
    </w:p>
    <w:p w:rsidR="008107C7" w:rsidRDefault="008107C7" w:rsidP="008107C7">
      <w:pPr>
        <w:pStyle w:val="Extracto"/>
      </w:pPr>
    </w:p>
    <w:p w:rsidR="008107C7" w:rsidRDefault="008107C7" w:rsidP="008107C7">
      <w:pPr>
        <w:pStyle w:val="Extracto"/>
      </w:pPr>
      <w:r>
        <w:t>3.</w:t>
      </w:r>
      <w:r>
        <w:tab/>
        <w:t xml:space="preserve">Con arreglo a una reiteradísima jurisprudencia de este Tribunal, contenida, entre otras muchas, y por citar únicamente las más recientes, en las SSTC 314/1993, 325/1993, 65/1994, 70/1994, 100/1994, 15/1995, 105/1995, 155/1995 y 90/1996, el </w:t>
      </w:r>
      <w:r>
        <w:lastRenderedPageBreak/>
        <w:t>emplazamiento edictal no garantiza suficientemente la defensa de quienes estuviesen legitimados para comparecer como demandados e incluso como coadyuvantes, siendo exigible su emplazamiento personal, siempre que fueren conocidos o identificables con los datos obrantes en el escrito de interposición o en el expediente administrativo; en estos supuestos la falta de emplazamiento personal supone una vulneración del art. 24.1 C.E., salvo que se aprecie que tuvieron conocimiento de la existencia del proceso en tiempo hábil para comparecer y ejercer su derecho de defensa, pues en ningún caso puede invocar indefensión quien con su actitud pasiva, negligente o maliciosa coadyuvó a su producción . [F.J. 4]</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los recursos de amparo acumulados núms. 707, 1.178, 1.179, 1.180, 1.181, 1.182/94, promovidos, respectivamente, por don José Luis Lisa Peleato, Juan Parent Vendranas, doña María del Claustro Bacardit Giribets, don José Ribes Creus, don Martí Martí Llobet y doña Rosario Zabala Quintanilla. Todos ellos han sido representados por el Procurador de los Tribunales don Juan Antonio García San Miguel y Orueta y habiendo sido asistido don José Luis Lisa Peleato por el Letrado don Alejandro Burbano Pantaleoni en tanto los restantes recurrentes lo han sido por el Letrado don Pere Vallés Arbós. Todos los recursos han sido interpuestos contra la Sentencia de la Sección Tercera de la Sala de lo Contencioso-administrativo del Tribunal Superior de Justicia de Cataluña de fecha de 21 de diciembre de 1993, recaída en autos 379/92 sobre autorización para el derribo de la finca de la calle Provenza núm. 490 de Barcelona. Han intervenido el Ministerio Fiscal, el Abogado del Estado y la entidad mercantil Padipro, S.A., representada por el Procurador de lo Tribunales don Angel Jimeno García y asistida por el Letrado don Pablo Sanz Guitián. Ha sido Ponente el Magistrado don Pedro Cruz Villalón,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A) Mediante escrito registrado en este Tribunal el día 4 de marzo de 1994, don Juan Antonio García San Miguel y Orueta, Procurador de los Tribunales, en nombre y representación de don José Luis Lisa Peleato, interpuso demanda de amparo constitucional, que se ha tramitado con el núm. 707/94, contra la Sentencia de la Sección Tercera de la Sala de lo Contencioso-administrativo del Tribunal Superior de Justicia de Cataluña de fecha de 21 de </w:t>
      </w:r>
      <w:r>
        <w:lastRenderedPageBreak/>
        <w:t xml:space="preserve">diciembre de 1993, recaída en autos 379/92 sobre autorización para el derribo de la finca de la calle Provenza núm. 490 de Barcelona. </w:t>
      </w:r>
    </w:p>
    <w:p w:rsidR="008107C7" w:rsidRDefault="008107C7" w:rsidP="008107C7">
      <w:pPr>
        <w:pStyle w:val="TextoNormal"/>
      </w:pPr>
      <w:r>
        <w:t xml:space="preserve">B) Los hechos relevantes para la resolución del recurso son los siguientes: </w:t>
      </w:r>
    </w:p>
    <w:p w:rsidR="008107C7" w:rsidRDefault="008107C7" w:rsidP="008107C7">
      <w:pPr>
        <w:pStyle w:val="TextoNormal"/>
      </w:pPr>
      <w:r>
        <w:t xml:space="preserve">a) El demandante de amparo es arrendatario de un local de negocio sito en la finca de la calle Provenza núm. 490, también señalada con el núm. 252 de la calle Padilla, con la que forma esquina. </w:t>
      </w:r>
    </w:p>
    <w:p w:rsidR="008107C7" w:rsidRDefault="008107C7" w:rsidP="008107C7">
      <w:pPr>
        <w:pStyle w:val="TextoNormal"/>
      </w:pPr>
      <w:r>
        <w:t xml:space="preserve">b) La entidad mercantil Padipro, S.A., propietaria del inmueble, promovió ante el Gobierno Civil de Barcelona expediente de derribo de la citada finca, en el que fue parte el demandante de amparo que se opuso a las pretensiones de la propietaria. El Gobierno Civil de Barcelona resolvió el expediente mediante resolución de 21 de enero de 1992, que denegó la autorización para el derribo de la finca. </w:t>
      </w:r>
    </w:p>
    <w:p w:rsidR="008107C7" w:rsidRDefault="008107C7" w:rsidP="008107C7">
      <w:pPr>
        <w:pStyle w:val="TextoNormal"/>
      </w:pPr>
      <w:r>
        <w:t xml:space="preserve">c) Padipro, S.A., interpuso frente a dicha resolución recurso de reposición, que fue desestimado por otra de 4 de marzo de 1992, tras lo que interpuso recurso contencioso- administrativo tramitado con el núm 379/92, resuelto por Sentencia de 21 de diciembre de 1993. En este proceso no fue emplazado personalmente el demandante de amparo, que tuvo conocimiento de la Sentencia, según afirma, cuando la entidad propietaria promovió demanda de desahucio en su contra, en cuyo período de prueba se aportó copia simple de la indicada Sentencia y de la providencia que la declaraba firme. </w:t>
      </w:r>
    </w:p>
    <w:p w:rsidR="008107C7" w:rsidRDefault="008107C7" w:rsidP="008107C7">
      <w:pPr>
        <w:pStyle w:val="TextoNormal"/>
      </w:pPr>
      <w:r>
        <w:t xml:space="preserve">C) La demanda de amparo solicita que se dicte Sentencia por la que se anule la del Tribunal Superior de Justicia y se restablezca al demandante del mismo en su derecho a ser emplazado personalmente en el recurso contencioso-administrativo de referencia, con la consiguiente retroacción y nulidad de las actuaciones, hasta el trámite inmediatamente anterior a aquél en que dicho emplazamiento personal debió tener efecto. </w:t>
      </w:r>
    </w:p>
    <w:p w:rsidR="008107C7" w:rsidRDefault="008107C7" w:rsidP="008107C7">
      <w:pPr>
        <w:pStyle w:val="TextoNormal"/>
      </w:pPr>
      <w:r>
        <w:t xml:space="preserve">La demanda considera que se ha vulnerado el art. 24.1 C.E. por la omisión imputable al órgano jurisdiccional del emplazamiento personal del demandante de amparo, cuando este era perfectamente identificable y conocido su domicilio, dado que compareció y fue tenido como parte en la vía administrativa. Como titular de un derecho de arrendamiento sobre un local de negocio de la finca objeto del litigio, posee, en virtud del art. 23 b) de la Ley de Procedimiento Administrativo de 17 de julio de 1958, la condición de interesado legítimo, de lo que se deriva la necesidad de haber sido emplazado ante el Tribunal contencioso-administrativo. En apoyo de su pretensión cita las SSTC 242/1991, 275/1993, 308/1993, 314/1993 y 316/1993. Se extiende igualmente sobre la abundantísima jurisprudencia de este Tribunal acerca de la interpretación que debe darse al art. 64 de la Ley Reguladora de la Jurisdicción Contenciosa-Administrativa, en el sentido de que, si bien no es inconstitucional, el emplazamiento edictal no satisface las exigencias derivadas del art. 24.1 C.E., siendo exigible al Tribunal proceder al emplazamiento personal de los interesados que sean identificables por los datos que consten en el escrito de interposición del recurso o en el expediente. </w:t>
      </w:r>
    </w:p>
    <w:p w:rsidR="008107C7" w:rsidRDefault="008107C7" w:rsidP="008107C7">
      <w:pPr>
        <w:pStyle w:val="TextoNormal"/>
      </w:pPr>
      <w:r>
        <w:t>Justifica que el recurso se ha interpuesto en el plazo de los veinte días hábiles previsto en el art. 44.2 LOTC, sosteniendo que tuvo noticia de la existencia de la Sentencia ahora recurrida en amparo con fecha de 9 de febrero de 1994, al aportarse aquélla, por copia simple, como prueba documental en el juicio de cognición antes referido. Acompaña a su demanda testimonio expedido por la Secretaría del Juzgado de Primera Instancia núm. 6 de Barcelona en el que se hace constar que en el juicio 1.028/93 se presentó por la parte demandante escrito de 7 de febrero de 1994 al que se acompañaba la Sentencia recaída en el recurso contencioso-administrativo núm. 379/92, de fecha posterior a la presentación de la demanda de cognición. Acto seguido solicitó de la Sección Tercera de la Sala de lo Conten</w:t>
      </w:r>
      <w:r>
        <w:lastRenderedPageBreak/>
        <w:t xml:space="preserve">cioso-Administrativo del Tribunal Superior de Justicia de Cataluña, certificación de la Sentencia en cuestión, que le fue librada el 28 de febrero de 1994. Tanto si se toma como dies a quo el 9 de febrero, fecha en que tuvo el primer conocimiento de la existencia de la referida Sentencia, como si se toma el 28 de febrero el recurso se interpuso dentro de plazo. </w:t>
      </w:r>
    </w:p>
    <w:p w:rsidR="008107C7" w:rsidRDefault="008107C7" w:rsidP="008107C7">
      <w:pPr>
        <w:pStyle w:val="TextoNormal"/>
      </w:pPr>
      <w:r>
        <w:t xml:space="preserve">Igualmente, justifica su legitimación señalando que, si bien no ha sido parte en el proceso judicial, conforme a la STC 4/1982, debe equipararse a quienes lo hubieran sido aquellos que no lo fueron por causa no imputable a ellos mismos y fueron condenados sin ser oídos. </w:t>
      </w:r>
    </w:p>
    <w:p w:rsidR="008107C7" w:rsidRDefault="008107C7" w:rsidP="008107C7">
      <w:pPr>
        <w:pStyle w:val="TextoNormal"/>
      </w:pPr>
      <w:r>
        <w:t xml:space="preserve">D) Por providencia de 6 de mayo de 1994 se acordó, de conformidad con lo dispuesto en el art. 88 LOTC, con carácter previo a decidir sobre la admisión, requerir al órgano judicial que dictó la resolución impugnada, para que en el término de diez días remitiese certificación de cuantas diligencias hubiese practicado para el emplazamiento del demandante de amparo, en el recurso contencioso-administrativo 379/92. Al no haberse recibido contestación, el 11 de julio de 1994, se reiteró telegráficamente la urgente remisión de lo requerido. En cumplimiento de ello, se remitió a este Tribunal certificación de la Secretaria de la Sección que dictó la Sentencia en la que se hacía constar que en el referido recurso contencioso- administrativo no constaba practicada diligencia alguna para emplazar al Sr. Lisa Peleato, el cual compareció en el referido recurso en fecha 21 de febrero de 1994, solicitando certificación literal de la Sentencia recaída en autos. </w:t>
      </w:r>
    </w:p>
    <w:p w:rsidR="008107C7" w:rsidRDefault="008107C7" w:rsidP="008107C7">
      <w:pPr>
        <w:pStyle w:val="TextoNormal"/>
      </w:pPr>
      <w:r>
        <w:t xml:space="preserve">E) Por providencia de 5 de diciembre de 1994, la Sección Segunda de este Tribunal abrió el trámite del art. 50.3 de la LOTC concediendo un plazo común de diez días al Ministerio Fiscal y al solicitante de amparo en relación con la posible existencia del motivo de inadmisibilidad previsto en el art. 50.1 c) LOTC, carecer la demanda manifiestamente de contenido que justifique una decisión por parte de este Tribunal. El demandante de amparo presentó alegaciones en las que reiteraba la existencia de la infracción constitucional denunciada, toda vez que el proceso que dio lugar a la Sentencia recurrida fue totalmente ignorado para él, solicitando la admisión a trámite del recurso. Por su parte el Ministerio Fiscal consideró, igualmente, que no concurría la causa de inadmisión propuesta. </w:t>
      </w:r>
    </w:p>
    <w:p w:rsidR="008107C7" w:rsidRDefault="008107C7" w:rsidP="008107C7">
      <w:pPr>
        <w:pStyle w:val="TextoNormal"/>
      </w:pPr>
      <w:r>
        <w:t xml:space="preserve">F) Por providencia de 23 de febrero de 1995, la Sección admitió el recurso a trámite y, a tenor de lo dispuesto en el art. 51 LOTC, acordó requerir al Tribunal Superior de Justicia de Cataluña para que emplazase a cuantos fueron parte en el proceso judicial antecedente, excepto el recurrente en amparo, para que en el plazo de diez días compareciesen en el presente proceso constitucional. Igualmente, otorgó un plazo común de cinco días al Ministerio Fiscal y demás partes, para que alegasen lo que estimasen procedente sobre la acumulación al presente recurso de los que se siguen con los núms. 1.178, 1.179, 1.180, 1.181 y 1.182/94. El demandante de amparo presentó escrito en el que se solicitaba que se acordase la referida acumulación, a lo que, efectivamente se procedió en virtud de Auto de 15 de marzo de 1995. </w:t>
      </w:r>
    </w:p>
    <w:p w:rsidR="008107C7" w:rsidRDefault="008107C7" w:rsidP="008107C7">
      <w:pPr>
        <w:pStyle w:val="TextoNormal"/>
      </w:pPr>
      <w:r>
        <w:t>G) Por escrito presentado el 30 de marzo de 1994, el demandante de amparo promovió incidente de suspensión de la resolución recurrida. La correspondiente pieza separada se tuvo por formada en virtud de providencia de 23 de febrero de 1995, siendo estimada la suspensión en virtud de Auto de la Sala Primera de este Tribunal de 15 de marzo de 1995.</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A) Mediante escrito registrado en este Tribunal el día 11 de abril de 1994, don Juan Antonio García San Miguel y Orueta, Procurador de los Tribunales, en nombre y representación de don Juan Parent Vendranas, interpuso demanda de amparo constitucional, que se ha tramitado con el núm. 1.178/94, contra la Sentencia de la Sección Tercera de la Sala de lo Contencioso-administrativo del Tribunal Superior de Justicia de Cataluña de fecha de 21 de diciembre de 1993, recaída en autos 379/92 sobre autorización para el derribo de la finca de la calle Provenza núm. 490 de Barcelona. </w:t>
      </w:r>
    </w:p>
    <w:p w:rsidR="008107C7" w:rsidRDefault="008107C7" w:rsidP="008107C7">
      <w:pPr>
        <w:pStyle w:val="TextoNormal"/>
      </w:pPr>
      <w:r>
        <w:lastRenderedPageBreak/>
        <w:t xml:space="preserve">B) Los hechos relevantes para la resolución del recurso consisten en que el demandante de amparo es arrendatario de un local de negocio sito en la finca de la calle Provenza núm. 490, como consecuencia de la subrogación operada en el primitivo contrato celebrado por su madre. Como se ha expuesto en el anterior Antecedente, la propietaria promovió expediente para la autorización de derribo de la citada finca, en el que fue parte el demandante de amparo que se opuso a las pretensiones de la propietaria. Tras la denegación en vía administrativa se interpuso recurso contencioso-administrativo, en el no fue emplazado personalmente el demandante de amparo, por lo que no tuvo conocimiento de su existencia, según afirma, hasta que el Gobierno Civil de Barcelona le notificó Resolución de 2 de marzo de 1994 por la que, en ejecución de la Sentencia estimatoria recaída, autorizaba el derribo de la finca en cuestión. A pesar de que dicha comunicación iba dirigida a su madre, en cuya situación arrendaticia se había subrogado, por lo que devolvió al Gobierno Civil la comunicación, acudió al Tribunal Superior de Justicia de Cataluña el 17 de marzo solicitando testimonio de la Sentencia, que le fue entregado el día 25 de marzo. </w:t>
      </w:r>
    </w:p>
    <w:p w:rsidR="008107C7" w:rsidRDefault="008107C7" w:rsidP="008107C7">
      <w:pPr>
        <w:pStyle w:val="TextoNormal"/>
      </w:pPr>
      <w:r>
        <w:t xml:space="preserve">C) La demanda de amparo solicita que se dicte Sentencia por la que se anule la del Tribunal Superior de Justicia y se restablezca al demandante de amparo en su derecho a ser emplazado personalmente en el recurso contencioso-administrativo de referencia, con la consiguiente retroacción y nulidad de las actuaciones, hasta el trámite inmediatamente anterior a aquél en que dicho emplazamiento personal debió tener efecto. </w:t>
      </w:r>
    </w:p>
    <w:p w:rsidR="008107C7" w:rsidRDefault="008107C7" w:rsidP="008107C7">
      <w:pPr>
        <w:pStyle w:val="TextoNormal"/>
      </w:pPr>
      <w:r>
        <w:t xml:space="preserve">En la demanda se sostiene que ha existido una omisión, imputable al órgano jurisdiccional, consistente en la ausencia de emplazamiento personal del demandante de amparo, cuando este era perfectamente identificable, y conocido su domicilio, dado que compareció y fue tenido como parte en la vía administrativa en la que se le tuvo como interesado, en virtud del art. 23.b de la Ley de Procedimiento Administrativo de 17 de julio de 1958, por lo que tal omisión vulnera el derecho reconocido en el art. 24.1. C.E. Se extiende igualmente sobre la abundantísima jurisprudencia de este Tribunal acerca de la interpretación que debe darse al art. 64 de la Ley Reguladora de la Jurisdicción Contenciosa-Administrativa, en el sentido de que no excluye el deber del Tribunal de proceder al emplazamiento personal de los interesados que sean identificables por los datos que consten en el escrito de interposición del recurso o en el expediente. </w:t>
      </w:r>
    </w:p>
    <w:p w:rsidR="008107C7" w:rsidRDefault="008107C7" w:rsidP="008107C7">
      <w:pPr>
        <w:pStyle w:val="TextoNormal"/>
      </w:pPr>
      <w:r>
        <w:t xml:space="preserve">Justifica que el recurso se ha interpuesto en el plazo de los veinte días hábiles previsto en el art. 44.2 LOTC, afirmando que éste debe contarse a partir de la notificación de la Sentencia recurrida, así como su legitimación, pues, si bien no ha sido parte en el proceso judicial, conforme a la STC de 8 de febrero de 1982, deben ser equiparados a quienes hallan sido parte aquéllos que no lo fueron por causa no imputable a ellos mismos y fueron condenados sin ser oídos. </w:t>
      </w:r>
    </w:p>
    <w:p w:rsidR="008107C7" w:rsidRDefault="008107C7" w:rsidP="008107C7">
      <w:pPr>
        <w:pStyle w:val="TextoNormal"/>
      </w:pPr>
      <w:r>
        <w:t xml:space="preserve">D) Por providencia de 5 de mayo de 1994 se acordó, con carácter previo a decidir sobre la admisión, requerir al Gobierno Civil de Barcelona para que remitiese certificación en la que se hiciese constar la fecha de notificación al recurrente de amparo de la Resolución que ordenaba la ejecución de la Sentencia de 21 de diciembre de 1993, contestando este órgano que la notificación dirigida a doña Teresa Vendranas Carreras, madre del recurrente de amparo, fue devuelta el 4 de marzo de 1994, por fallecimiento de la destinataria. Por otra providencia de 6 de junio de ese año, se requirió a nuevamente a ese Gobierno Civil para que remitiese testimonio de las actuaciones relativas al expediente de derribo de la casa de la Calle Provenza núm. 490. </w:t>
      </w:r>
    </w:p>
    <w:p w:rsidR="008107C7" w:rsidRDefault="008107C7" w:rsidP="008107C7">
      <w:pPr>
        <w:pStyle w:val="TextoNormal"/>
      </w:pPr>
      <w:r>
        <w:t xml:space="preserve">E) Por providencia de 21 de noviembre de 1994, la Sección Tercera de este Tribunal abrió el trámite del art. 50.3 de la LOTC, concediendo un plazo común de diez días al Ministerio Fiscal y al solicitante de amparo en relación con la posible existencia del motivo de </w:t>
      </w:r>
      <w:r>
        <w:lastRenderedPageBreak/>
        <w:t xml:space="preserve">inadmisibilidad previsto en el art. 50.1 c) LOTC, carecer la demanda manifiestamente de contenido que justifique una decisión por parte de este Tribunal. El demandante de amparo presentó alegaciones en las que reiteraba la existencia de la infracción constitucional denunciada, solicitando la admisión a trámite del recurso. Por su parte, el Ministerio Fiscal consideró, igualmente, que no concurría la causa de inadmisión planteada. </w:t>
      </w:r>
    </w:p>
    <w:p w:rsidR="008107C7" w:rsidRDefault="008107C7" w:rsidP="008107C7">
      <w:pPr>
        <w:pStyle w:val="TextoNormal"/>
      </w:pPr>
      <w:r>
        <w:t xml:space="preserve">F) Por providencia de 24 de enero de 1995, la Sección admitió el recurso a trámite y, a tenor de lo dispuesto en el art. 51 LOTC, acordó requerir al Tribunal Superior de Justicia de Cataluña para que emplazase a cuantos fueron parte en el proceso judicial antecedente, excepto el recurrente en amparo, para que en el plazo de diez días compareciesen en el presente proceso constitucional. Por escrito presentado el día 17 de marzo de 1995, se personó la entidad Padipro, S.A., representada por el Procurador don Angel Jimeno García y defendida por el Letrado don Pablo Sanz Guitián. </w:t>
      </w:r>
    </w:p>
    <w:p w:rsidR="008107C7" w:rsidRDefault="008107C7" w:rsidP="008107C7">
      <w:pPr>
        <w:pStyle w:val="TextoNormal"/>
      </w:pPr>
      <w:r>
        <w:t xml:space="preserve">G) Por otrosí solicitaba la suspensión de la Sentencia impugnada, que, tras la tramitación de la correspondiente pieza, fue acordada por Auto de la Sala Segunda de 13 de febrero de 1995. </w:t>
      </w:r>
    </w:p>
    <w:p w:rsidR="008107C7" w:rsidRDefault="008107C7" w:rsidP="008107C7">
      <w:pPr>
        <w:pStyle w:val="TextoNormal"/>
      </w:pPr>
      <w:r>
        <w:t>H) Por providencia de 23 de febrero de 1995 se otorgó un plazo común de cinco días al Ministerio Fiscal y demás partes para que alegasen lo que estimasen procedente sobre la acumulación del presente recurso con el que se sigue con el núm. 707/94. El demandante de amparo, el Abogado del Estado y el Fiscal presentaron sendos escritos en los que solicitaban que se acordase la referida acumulación, a lo que, efectivamente se procedió en virtud de Auto de 15 de marzo de 1995.</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A) Mediante escrito registrado en este Tribunal el día 11 de abril de 1994, don Juan Antonio García San Miguel y Orueta, Procurador de los Tribunales, en nombre y representación de doña María del Claustro Bacardit Giribets, interpuso demanda de amparo constitucional, que se ha tramitado con el núm. 1.179/94, contra la Sentencia de la Sección Tercera de la Sala de lo Contencioso-administrativo del Tribunal Superior de Justicia de Cataluña de fecha de 21 de diciembre de 1993, recaída en autos 379/92 sobre autorización para el derribo de la finca de la calle Provenza núm. 490 de Barcelona. </w:t>
      </w:r>
    </w:p>
    <w:p w:rsidR="008107C7" w:rsidRDefault="008107C7" w:rsidP="008107C7">
      <w:pPr>
        <w:pStyle w:val="TextoNormal"/>
      </w:pPr>
      <w:r>
        <w:t xml:space="preserve">B) Los hechos relevantes para la resolución del recurso consisten en que la demandante de amparo es arrendataria de un local de negocio sito en la finca de la calle Provenza núm. 490. Como se ha expuesto en el Antecedente primero, la propietaria promovió expediente para la autorización de derribo de la citada finca, en el que fue parte la demandante de amparo, que se opuso a tales pretensiones. Tras la denegación en vía administrativa, se interpuso recurso contencioso-administrativo, en el no fue emplazada personalmente la demandante de amparo, por lo que no tuvo conocimiento de su existencia, según afirma, hasta que el Gobierno Civil de Barcelona le notificó Resolución de 2 de marzo de 1994 por la que, en ejecución de la Sentencia estimatoria recaída, autorizaba el derribo de la finca en cuestión, ante lo cual acudió al Tribunal Superior de Justicia de Cataluña el 17 de marzo solicitando testimonio de la Sentencia, que le fue entregado el día 25 de marzo. </w:t>
      </w:r>
    </w:p>
    <w:p w:rsidR="008107C7" w:rsidRDefault="008107C7" w:rsidP="008107C7">
      <w:pPr>
        <w:pStyle w:val="TextoNormal"/>
      </w:pPr>
      <w:r>
        <w:t xml:space="preserve">C) En la demanda se solicita que se dicte Sentencia por la que se anule la Sentencia del Tribunal Superior de Justicia y se restablezca a la demandante de amparo en su derecho a ser emplazada personalmente en el recurso contencioso-administrativo de referencia, con la consiguiente retroacción y nulidad de las actuaciones hasta el trámite inmediatamente anterior a aquél en que dicho emplazamiento personal debió tener efecto, lo que justifica con unos argumentos iguales a los vertidos en el recurso 1.178/94. </w:t>
      </w:r>
    </w:p>
    <w:p w:rsidR="008107C7" w:rsidRDefault="008107C7" w:rsidP="008107C7">
      <w:pPr>
        <w:pStyle w:val="TextoNormal"/>
      </w:pPr>
      <w:r>
        <w:t xml:space="preserve">D) Por providencia de 5 de mayo de 1994 se acordó, con carácter previo a decidir sobre la admisión, requerir al Gobierno Civil de Barcelona para que remitiese certificación en la </w:t>
      </w:r>
      <w:r>
        <w:lastRenderedPageBreak/>
        <w:t xml:space="preserve">que se hiciese constar la fecha de notificación a la recurrente de amparo de la Resolución que ordenaba la ejecución de la Sentencia de 21 de diciembre de 1993, remitiendo este órgano documentación de la que se desprende que la Resolución le fue notificada el día 11 de marzo de 1994. Por otra providencia de 6 de junio de ese año, se requirió a ese Gobierno Civil y a la Sala de lo Contencioso-administrativo que dictó la Sentencia impugnada para que remitiesen, respectivamente, testimonio del expediente administrativo de derribo de la casa de la Calle Provenza núm. 490 y de las actuaciones procesales. </w:t>
      </w:r>
    </w:p>
    <w:p w:rsidR="008107C7" w:rsidRDefault="008107C7" w:rsidP="008107C7">
      <w:pPr>
        <w:pStyle w:val="TextoNormal"/>
      </w:pPr>
      <w:r>
        <w:t xml:space="preserve">E) Por providencia de 21 de noviembre de 1994, la Sección Tercera de este Tribunal abrió el trámite del art. 50.3 de la LOTC, concediendo un plazo común de diez días al Ministerio Fiscal y al solicitante de amparo en relación con la posible existencia del motivo de inadmisibilidad previsto en el art. 50.1 c) LOTC, cual es el carecer la demanda manifiestamente de contenido que justifique una decisión por parte de este Tribunal. El demandante de amparo presentó alegaciones en las que reiteraba la existencia de la infracción constitucional denunciada, solicitando la admisión a trámite del recurso. Por su parte, el Ministerio Fiscal consideró, igualmente, que no concurría la causa de inadmisión planteada. </w:t>
      </w:r>
    </w:p>
    <w:p w:rsidR="008107C7" w:rsidRDefault="008107C7" w:rsidP="008107C7">
      <w:pPr>
        <w:pStyle w:val="TextoNormal"/>
      </w:pPr>
      <w:r>
        <w:t xml:space="preserve">F) Por providencia de 24 de enero de 1995, la Sección admitió el recurso a trámite y, a tenor de lo dispuesto en el art. 51 LOTC, acordó requerir al Tribunal Superior de Justicia de Cataluña para que emplazase a cuantos fueron parte en el proceso judicial antecedente, excepto el recurrente en amparo, para que, en el plazo de diez días compareciesen en el presente proceso constitucional. Por escrito presentado el día 17 de marzo de 1995, se personó la entidad Padipro, S.A., representada por el Procurador don Angel Jimeno García y defendida por el Letrado don Pablo Sanz Guitián. </w:t>
      </w:r>
    </w:p>
    <w:p w:rsidR="008107C7" w:rsidRDefault="008107C7" w:rsidP="008107C7">
      <w:pPr>
        <w:pStyle w:val="TextoNormal"/>
      </w:pPr>
      <w:r>
        <w:t xml:space="preserve">G) Por otrosí solicitaba la suspensión de la Sentencia impugnada, que, tras la tramitación de la correspondiente pieza, fue acordada por Auto de la Sala Segunda de 13 de febrero de 1995. </w:t>
      </w:r>
    </w:p>
    <w:p w:rsidR="008107C7" w:rsidRDefault="008107C7" w:rsidP="008107C7">
      <w:pPr>
        <w:pStyle w:val="TextoNormal"/>
      </w:pPr>
      <w:r>
        <w:t>H) Por providencia de 23 de febrero de 1995 se otorgó un plazo común de cinco días al Ministerio Fiscal y demás partes para que alegasen lo que estimen procedente sobre la acumulación del presente recurso al que se sigue con el núm. 707/94. El demandante de amparo, el Abogado del Estado y el Fiscal presentaron sendos escritos en los que se solicitaba que se acordase la referida acumulación, a lo que, efectivamente se procedió en virtud de Auto de 15 de marzo de 1995.</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A) Mediante escrito registrado en este Tribunal el día 11 de abril de 1994, don Juan Antonio García San Miguel y Orueta, Procurador de los Tribunales, en nombre y representación de don José Ribes Creus, interpuso demanda de amparo constitucional, que se ha tramitado con el núm. 1.180/94, contra la Sentencia de la Sección Tercera de la Sala de lo Contencioso-administrativo del Tribunal Superior de Justicia de Cataluña de fecha de 21 de diciembre de 1993, recaída en autos 379/92 sobre autorización para el derribo de la finca de la calle Provenza núm. 490 de Barcelona. </w:t>
      </w:r>
    </w:p>
    <w:p w:rsidR="008107C7" w:rsidRDefault="008107C7" w:rsidP="008107C7">
      <w:pPr>
        <w:pStyle w:val="TextoNormal"/>
      </w:pPr>
      <w:r>
        <w:t xml:space="preserve">B) Al igual que en las demandas anteriores, los hechos relevantes para la resolución del recurso consisten en que el demandante de amparo es arrendatario de un local de negocio sito en la finca de la calle Provenza núm. 490. Como se ha expuesto en el Antecedente primero, la propietaria promovió expediente para la autorización de derribo de la citada finca, en el que fue parte el demandante de amparo, que se opuso a tales pretensiones. Tras la denegación en vía administrativa, se interpuso recurso contencioso-administrativo, en el no fue emplazado personalmente el demandante de amparo, por lo que no tuvo conocimiento de su existencia, según afirma, hasta que el Gobierno Civil de Barcelona le notificó Resolución de 2 de marzo de 1994 por la que, en ejecución de la Sentencia estimatoria </w:t>
      </w:r>
      <w:r>
        <w:lastRenderedPageBreak/>
        <w:t xml:space="preserve">dictada, autorizaba el derribo de la finca en cuestión, ante lo cual acudió al Tribunal Superior de Justicia de Cataluña el 17 de marzo solicitando testimonio de la Sentencia, que le fue entregado el día 25 de marzo. </w:t>
      </w:r>
    </w:p>
    <w:p w:rsidR="008107C7" w:rsidRDefault="008107C7" w:rsidP="008107C7">
      <w:pPr>
        <w:pStyle w:val="TextoNormal"/>
      </w:pPr>
      <w:r>
        <w:t xml:space="preserve">C) Se solicita se dicte Sentencia por la que se anule la Sentencia del Tribunal Superior de Justicia y se restablezca al demandante de amparo en su derecho a ser emplazado personalmente en el recurso contencioso-administrativo de referencia, con la consiguiente retroacción y nulidad de las actuaciones, hasta el trámite inmediatamente anterior a aquél en que dicho emplazamiento personal debió tener efecto, lo que justifica con unos argumentos iguales a los vertidos en el recurso 1.178/94. </w:t>
      </w:r>
    </w:p>
    <w:p w:rsidR="008107C7" w:rsidRDefault="008107C7" w:rsidP="008107C7">
      <w:pPr>
        <w:pStyle w:val="TextoNormal"/>
      </w:pPr>
      <w:r>
        <w:t xml:space="preserve">D) Por providencia de 5 de mayo de 1994 se acordó, con carácter previo a decidir sobre la admisión, requerir al Gobierno Civil de Barcelona para que remitiese certificación en la que se hiciese constar la fecha de notificación al recurrente de amparo de la Resolución que ordenaba la ejecución de la Sentencia de 21 de diciembre de 1993, remitiendo este órgano documentación de la que se desprende que la Resolución le fue notificada el día 4 de marzo de 1994. Por otra providencia de 6 de junio de ese año se requirió a ese Gobierno Civil para que remitiese testimonio del expediente administrativo de derribo de la casa de la Calle Provenza núm. 490. </w:t>
      </w:r>
    </w:p>
    <w:p w:rsidR="008107C7" w:rsidRDefault="008107C7" w:rsidP="008107C7">
      <w:pPr>
        <w:pStyle w:val="TextoNormal"/>
      </w:pPr>
      <w:r>
        <w:t xml:space="preserve">E) Por providencia de 21 de noviembre de 1994, la Sección Tercera de este Tribunal abrió el trámite del art. 50.3 de la LOTC, concediendo un plazo común de diez días al Ministerio Fiscal y al solicitante de amparo en relación con la posible existencia del motivo de inadmisibilidad previsto en el art. 50.1 c) LOTC, es decir carecer la demanda manifiestamente de contenido que justifique una decisión por parte de este Tribunal. El demandante de amparo presentó alegaciones en las que reiteraba la existencia de la infracción constitucional denunciada, solicitando la admisión a trámite del recurso. Por su parte el Ministerio Fiscal consideró, igualmente, que no concurría la causa de inadmisión planteada. </w:t>
      </w:r>
    </w:p>
    <w:p w:rsidR="008107C7" w:rsidRDefault="008107C7" w:rsidP="008107C7">
      <w:pPr>
        <w:pStyle w:val="TextoNormal"/>
      </w:pPr>
      <w:r>
        <w:t xml:space="preserve">F) Por providencia de 24 de enero de 1995, la Sección admitió el recurso a trámite y, a tenor de lo dispuesto en el art. 51 LOTC, acordó requerir al Tribunal Superior de Justicia de Cataluña para que emplazase a cuantos hubiesen sido parte en el proceso judicial antecedente, excepto el recurrente en amparo, para que en el plazo de diez días compareciesen en el presente proceso constitucional. Por escrito presentado el día 17 de marzo de 1995, se personó la entidad Padipro, S.A., representada por el Procurador don Angel Jimeno García y defendida por el Letrado don Pablo Sanz Guitián. </w:t>
      </w:r>
    </w:p>
    <w:p w:rsidR="008107C7" w:rsidRDefault="008107C7" w:rsidP="008107C7">
      <w:pPr>
        <w:pStyle w:val="TextoNormal"/>
      </w:pPr>
      <w:r>
        <w:t xml:space="preserve">G) Por otrosí solicitaba la suspensión de la Sentencia impugnada, que, tras la tramitación de la correspondiente pieza, fue acordada por Auto de la Sala Segunda de 13 de febrero de 1995. </w:t>
      </w:r>
    </w:p>
    <w:p w:rsidR="008107C7" w:rsidRDefault="008107C7" w:rsidP="008107C7">
      <w:pPr>
        <w:pStyle w:val="TextoNormal"/>
      </w:pPr>
      <w:r>
        <w:t>H) Por providencia de 23 de febrero de 1995 se otorgó un plazo común de cinco días al Ministerio Fiscal y demás partes para que alegasen lo que estimasen procedente sobre la acumulación al presente recurso de los que se siguen con el núm. 707/94. El demandante de amparo, el Abogado del Estado y el Fiscal presentaron sendos escritos en el que se solicitaban que se acordase la referida acumulación, a lo que, efectivamente se procedió en virtud de Auto de 15 de marzo de 1995.</w:t>
      </w:r>
    </w:p>
    <w:p w:rsidR="008107C7" w:rsidRDefault="008107C7" w:rsidP="008107C7">
      <w:pPr>
        <w:pStyle w:val="TextoNormal"/>
      </w:pPr>
    </w:p>
    <w:p w:rsidR="008107C7" w:rsidRDefault="008107C7" w:rsidP="008107C7">
      <w:pPr>
        <w:pStyle w:val="TextoNormal"/>
      </w:pPr>
      <w:r w:rsidRPr="008107C7">
        <w:rPr>
          <w:rStyle w:val="NumeroAFNegritaCaracter"/>
        </w:rPr>
        <w:t>5</w:t>
      </w:r>
      <w:r>
        <w:t xml:space="preserve">. A) Mediante escrito registrado en este Tribunal el día 11 de abril de 1994, don Juan Antonio García San Miguel y Orueta, Procurador de los Tribunales, en nombre y representación de don Martí Martí Llobet, interpuso demanda de amparo constitucional, que se ha tramitado con el núm. 1.181/94, contra la Sentencia de la Sección Tercera de la Sala de lo Contencioso-administrativo del Tribunal Superior de Justicia de Cataluña de fecha de 21 de </w:t>
      </w:r>
      <w:r>
        <w:lastRenderedPageBreak/>
        <w:t xml:space="preserve">diciembre de 1993, recaída en autos 379/92 sobre autorización para el derribo de la finca de la calle Provenza núm. 490 de Barcelona. </w:t>
      </w:r>
    </w:p>
    <w:p w:rsidR="008107C7" w:rsidRDefault="008107C7" w:rsidP="008107C7">
      <w:pPr>
        <w:pStyle w:val="TextoNormal"/>
      </w:pPr>
      <w:r>
        <w:t xml:space="preserve">B) Los hechos relevantes para la resolución de este recurso consisten igualmente en que el demandante de amparo es arrendatario de un local de negocio sito en la finca de la calle Provenza núm. 490. Como se ha expuesto en el Antecedente primero, la propietaria promovió expediente para la autorización de derribo de la citada finca, en el que fue parte el demandante de amparo, que se opuso a tales pretensiones. Tras la denegación en vía administrativa, se interpuso recurso contencioso-administrativo, en el no fue emplazado personalmente el demandante de amparo, por lo que no tuvo conocimiento de su existencia, según afirma, hasta que el Gobierno Civil de Barcelona le notificó Resolución de 2 de marzo de 1994 por la que, en ejecución de la Sentencia estimatoria dictada, autorizaba el derribo de la finca en cuestión, ante lo cual acudió al Tribunal Superior de Justicia de Cataluña el 17 de marzo solicitando testimonio de la Sentencia, el cual le fue entregado el día 25 de marzo. </w:t>
      </w:r>
    </w:p>
    <w:p w:rsidR="008107C7" w:rsidRDefault="008107C7" w:rsidP="008107C7">
      <w:pPr>
        <w:pStyle w:val="TextoNormal"/>
      </w:pPr>
      <w:r>
        <w:t xml:space="preserve">C) La demanda solicita se dicte Sentencia por la que se anule la Sentencia del Tribunal Superior de Justicia y se restablezca al demandante de amparo en su derecho a ser emplazado personalmente en el recurso contencioso-administrativo de referencia, con la consiguiente retroacción y nulidad de las actuaciones, hasta el trámite inmediatamente anterior a aquél en que dicho emplazamiento personal debió tener efecto, lo que justifica con unos argumentos iguales a los vertidos en el recurso 1.178/94. </w:t>
      </w:r>
    </w:p>
    <w:p w:rsidR="008107C7" w:rsidRDefault="008107C7" w:rsidP="008107C7">
      <w:pPr>
        <w:pStyle w:val="TextoNormal"/>
      </w:pPr>
      <w:r>
        <w:t xml:space="preserve">D) Por providencia de 5 de mayo de 1994 se acordó, con carácter previo a decidir sobre la admisión, requerir al Gobierno Civil de Barcelona para que remitiese certificación en la que se hiciese constar la fecha de notificación al recurrente de amparo de la Resolución que ordenaba la ejecución de la Sentencia de 21 de diciembre de 1993, remitiendo este órgano documentación de la que se desprende que la Resolución fue notificada al demandante de amparo el día 4 de marzo de 1994. Por otra providencia de 6 de junio de ese año se requirió a ese Gobierno Civil para que remitiese testimonio del expediente administrativo de derribo de la casa de la calle Provenza núm. 490 y a la Sala de lo Contencioso-administrativo que dictó la Sentencia recurrida para que remitiese testimonio de las actuaciones procesales. </w:t>
      </w:r>
    </w:p>
    <w:p w:rsidR="008107C7" w:rsidRDefault="008107C7" w:rsidP="008107C7">
      <w:pPr>
        <w:pStyle w:val="TextoNormal"/>
      </w:pPr>
      <w:r>
        <w:t xml:space="preserve">E) Por providencia de 21 de noviembre de 1994, la Sección Tercera de este Tribunal abrió el trámite del art. 50.3 de la LOTC, concediendo un plazo común de diez días al Ministerio Fiscal y al solicitante de amparo en relación, de nuevo, con la posible existencia del motivo de inadmisibilidad previsto en el art. 50.1 c) LOTC, carecer la demanda manifiestamente de contenido que justifique una decisión por parte de este Tribunal. El demandante de amparo presentó alegaciones en las que reiteraba la existencia de la infracción constitucional denunciada, solicitando la admisión a trámite del recurso. Por su parte el Ministerio Fiscal consideró, igualmente, que no concurría la causa de inadmisión propuesta. </w:t>
      </w:r>
    </w:p>
    <w:p w:rsidR="008107C7" w:rsidRDefault="008107C7" w:rsidP="008107C7">
      <w:pPr>
        <w:pStyle w:val="TextoNormal"/>
      </w:pPr>
      <w:r>
        <w:t xml:space="preserve">F) Por providencia de 24 de enero de 1995, la Sección admitió el recurso a trámite y, a tenor de lo dispuesto en el art. 51 LOTC, acordó requerir al Tribunal Superior de Justicia de Cataluña para que emplazase a cuantos fueron parte en el proceso judicial antecedente, excepto el recurrente en amparo, para que, en el plazo de diez días, comparecieran en el presente proceso constitucional. Por escrito presentado el día 17 de marzo de 1995, se personó la entidad Padipro S.A., representada por el Procurador don Angel Jimeno García y defendida por el Letrado don Pablo Sanz Guitián. </w:t>
      </w:r>
    </w:p>
    <w:p w:rsidR="008107C7" w:rsidRDefault="008107C7" w:rsidP="008107C7">
      <w:pPr>
        <w:pStyle w:val="TextoNormal"/>
      </w:pPr>
      <w:r>
        <w:t xml:space="preserve">G) Por otrosí se solicitaba la suspensión de la Sentencia impugnada, que, tras la tramitación de la correspondiente pieza, fue acordada por Auto de la Sala Segunda de 13 de febrero de 1995. </w:t>
      </w:r>
    </w:p>
    <w:p w:rsidR="008107C7" w:rsidRDefault="008107C7" w:rsidP="008107C7">
      <w:pPr>
        <w:pStyle w:val="TextoNormal"/>
      </w:pPr>
      <w:r>
        <w:t xml:space="preserve">H) Por providencia de 23 de febrero de 1995 se otorgó un plazo común de cinco días al Ministerio Fiscal y demás partes para que alegasen lo que estimasen procedente sobre la </w:t>
      </w:r>
      <w:r>
        <w:lastRenderedPageBreak/>
        <w:t>acumulación del presente recurso al que se sigue con el núm. 707/94. El demandante de amparo, el Abogado del Estado y el Fiscal presentaron sendos escritos en los que solicitaban que se acordase la referida acumulación, a lo que, efectivamente, se procedió en virtud de Auto de 15 de marzo de 1995.</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A) Mediante escrito registrado en este Tribunal el día 11 de abril de 1994, don Juan Antonio García San Miguel y Orueta, Procurador de los Tribunales, en nombre y representación de doña Rosario Zabala Quintanilla, interpuso demanda de amparo constitucional, que se ha tramitado con el núm. 1.182/94, contra la Sentencia de la Sección Tercera de la Sala de lo Contencioso-administrativo del Tribunal Superior de Justicia de Cataluña de fecha de 21 de diciembre de 1993, recaída en autos 379/92 sobre autorización para el derribo de la finca de la calle Provenza núm. 490 de Barcelona. </w:t>
      </w:r>
    </w:p>
    <w:p w:rsidR="008107C7" w:rsidRDefault="008107C7" w:rsidP="008107C7">
      <w:pPr>
        <w:pStyle w:val="TextoNormal"/>
      </w:pPr>
      <w:r>
        <w:t xml:space="preserve">B) Los hechos relevantes para la resolución del recurso consisten en que la demandante de amparo es arrendataria de un local de negocio sito en la finca de la calle Provenza núm. 490. Como se ha expuesto en el Antecedente primero, la propietaria promovió expediente para la autorización de derribo de la citada finca, en el que fue parte la demandante de amparo, que se opuso a tales pretensiones. Tras la denegación en vía administrativa, se interpuso recurso contencioso-administrativo, en el no fue emplazada personalmente la demandante de amparo, por lo que no tuvo conocimiento de su existencia, según afirma, hasta que el Gobierno Civil de Barcelona le notificó Resolución de 2 de marzo de 1994 por la que, en ejecución de la Sentencia estimatoria dictada, autorizaba el derribo de la finca en cuestión, ante lo cual acudió al Tribunal Superior de Justicia de Cataluña el 17 de marzo solicitando testimonio de la Sentencia, que le fue entregado el siguiente día 25. </w:t>
      </w:r>
    </w:p>
    <w:p w:rsidR="008107C7" w:rsidRDefault="008107C7" w:rsidP="008107C7">
      <w:pPr>
        <w:pStyle w:val="TextoNormal"/>
      </w:pPr>
      <w:r>
        <w:t xml:space="preserve">C) En la demanda se solicita se dicte Sentencia por la que se anule la Sentencia del Tribunal Superior de Justicia y se restablezca a la demandante de amparo en su derecho a ser emplazada personalmente en el recurso contencioso-administrativo de referencia, con la consiguiente retroacción y nulidad de las actuaciones, hasta el trámite inmediatamente anterior a aquél en que dicho emplazamiento personal debió tener efecto, lo que justifica con unos argumentos iguales a los vertidos en el recurso 1.178/94. </w:t>
      </w:r>
    </w:p>
    <w:p w:rsidR="008107C7" w:rsidRDefault="008107C7" w:rsidP="008107C7">
      <w:pPr>
        <w:pStyle w:val="TextoNormal"/>
      </w:pPr>
      <w:r>
        <w:t xml:space="preserve">D) Por providencia de 5 de mayo de 1994 se acordó, con carácter previo a decidir sobre la admisión, requerir al Gobierno Civil de Barcelona para que remitiese certificación en la que se hiciese constar la fecha de notificación a la recurrente de amparo de la Resolución que ordenaba la ejecución de la Sentencia de 21 de diciembre de 1993, remitiendo este órgano documentación de la que se desprende que la Resolución fue notificada a la demandante de amparo el día 4 de marzo de 1994. Por otra providencia de 6 de junio de ese año se requirió a ese Gobierno Civil para que remitiese testimonio del expediente administrativo de derribo de la casa de la Calle Provenza núm. 490. </w:t>
      </w:r>
    </w:p>
    <w:p w:rsidR="008107C7" w:rsidRDefault="008107C7" w:rsidP="008107C7">
      <w:pPr>
        <w:pStyle w:val="TextoNormal"/>
      </w:pPr>
      <w:r>
        <w:t xml:space="preserve">E) Por providencia de 21 de noviembre de 1994, la Sección Tercera de este Tribunal abrió el trámite del art. 50.3 de la LOTC, concediendo un plazo común de diez días al Ministerio Fiscal y a la solicitante de amparo en relación con la posible existencia del motivo de inadmisibilidad previsto en el art. 50.1 c) LOTC, carecer la demanda manifiestamente de contenido que justifique una decisión por parte de este Tribunal. La demandante de amparo presentó alegaciones en las que reiteraba la existencia de la infracción constitucional denunciada, solicitando la admisión a trámite del recurso. Por su parte el Ministerio Fiscal consideró, igualmente, que no concurría la causa de inadmisión propuesta. </w:t>
      </w:r>
    </w:p>
    <w:p w:rsidR="008107C7" w:rsidRDefault="008107C7" w:rsidP="008107C7">
      <w:pPr>
        <w:pStyle w:val="TextoNormal"/>
      </w:pPr>
      <w:r>
        <w:t xml:space="preserve">F) Por providencia de 24 de enero de 1995, la Sección admitió el recurso a trámite y, a tenor de lo dispuesto en el art. 51 LOTC, acordó requerir al Tribunal Superior de Justicia de Cataluña para que emplazase a cuantos han sido parte en el proceso judicial antecedente, </w:t>
      </w:r>
      <w:r>
        <w:lastRenderedPageBreak/>
        <w:t xml:space="preserve">excepto la recurrente en amparo, para que en el plazo de diez días comparecieran en el presente proceso constitucional. Por escrito presentado el día 17 de marzo de 1995, se personó la entidad Padipro S.A., representada por el Procurador don Angel Jimeno García y defendida por el Letrado don Pablo Sanz Guitián. </w:t>
      </w:r>
    </w:p>
    <w:p w:rsidR="008107C7" w:rsidRDefault="008107C7" w:rsidP="008107C7">
      <w:pPr>
        <w:pStyle w:val="TextoNormal"/>
      </w:pPr>
      <w:r>
        <w:t xml:space="preserve">G) Por otrosí se solicitaba la suspensión de la Sentencia impugnada, que, tras la tramitación de la correspondiente pieza, fue acordada por Auto de la Sala Segunda de 13 de febrero de 1995. </w:t>
      </w:r>
    </w:p>
    <w:p w:rsidR="008107C7" w:rsidRDefault="008107C7" w:rsidP="008107C7">
      <w:pPr>
        <w:pStyle w:val="TextoNormal"/>
      </w:pPr>
      <w:r>
        <w:t>H) Por providencia de 23 de febrero de 1995 se otorgó un plazo común de cinco días al Ministerio Fiscal y demás partes para que alegasen lo que estimaran procedente sobre la acumulación del presente recurso con el que se sigue con el núm. 707/94. La demandante de amparo, el Abogado del Estado y el Fiscal presentaron sendos escritos en los que solicitaban que se acordase la referida acumulación, a lo que, efectivamente, se procedió en virtud de Auto de 15 de marzo de 1995.</w:t>
      </w:r>
    </w:p>
    <w:p w:rsidR="008107C7" w:rsidRDefault="008107C7" w:rsidP="008107C7">
      <w:pPr>
        <w:pStyle w:val="TextoNormal"/>
      </w:pPr>
    </w:p>
    <w:p w:rsidR="008107C7" w:rsidRDefault="008107C7" w:rsidP="008107C7">
      <w:pPr>
        <w:pStyle w:val="TextoNormal"/>
      </w:pPr>
      <w:r w:rsidRPr="008107C7">
        <w:rPr>
          <w:rStyle w:val="NumeroAFNegritaCaracter"/>
        </w:rPr>
        <w:t>7</w:t>
      </w:r>
      <w:r>
        <w:t>. En los recursos 707 y acumulados, mediante providencia de 16 de mayo de 1995, la Sección Primera acordó tener por recibidos los escritos de la representación procesal de Padipro S.A. y, a tenor de lo establecido en el art. 52 LOTC, dar vista de todas las actuaciones, por un plazo común de veinte días al Ministerio Fiscal, al Abogado del Estado, a los solicitantes de amparo y a Padipro, S.A.</w:t>
      </w:r>
    </w:p>
    <w:p w:rsidR="008107C7" w:rsidRDefault="008107C7" w:rsidP="008107C7">
      <w:pPr>
        <w:pStyle w:val="TextoNormal"/>
      </w:pPr>
    </w:p>
    <w:p w:rsidR="008107C7" w:rsidRDefault="008107C7" w:rsidP="008107C7">
      <w:pPr>
        <w:pStyle w:val="TextoNormal"/>
      </w:pPr>
      <w:r w:rsidRPr="008107C7">
        <w:rPr>
          <w:rStyle w:val="NumeroAFNegritaCaracter"/>
        </w:rPr>
        <w:t>8</w:t>
      </w:r>
      <w:r>
        <w:t>. Por escrito presentado el día 29 de mayo de 1995, el Abogado del Estado interesó la concesión del amparo solicitado, que se declarase nula la Sentencia y se repusiese el proceso al momento de contestación a la demanda. Se planteaba la temporaneidad de los recursos, indiscutida respecto del registrado con el núm. 707/94, pero dudosa respecto de los restantes. En efecto, en relacion con éstos resulta que los recurrentes tuvieron conocimiento de la Sentencia recurrida cuando se les notificó la Resolución del Gobernador Civil dictada en ejecución de la misma, lo que acaeció los días 4 y 11 de marzo de 1994, con la salvedad de que el señor Parent devolvió la carta dirigida a su difunta madre. Todos ellos solicitaron el día 17 de marzo certificación de la Sentencia, que les fue entregada el 25 siguiente. Admite la tesis de los recurrentes acerca del comienzo del cómputo del plazo del art. 44.2 LOTC a partir de esta última fecha, toda vez que sólo la entrega del testimonio de la Sentencia les dio cabal conocimiento de la omisión lesiva para su derecho fundamental, sobre todo a la vista de la diligencia desplegada por los recurrentes para solicitar la expedición del testimonio referido. En cuanto al fondo, entiende que no es dudoso que existiese la vulneración denunciada, debiéndose tener en cuenta que no existen datos que permitan presumir que tuvieron conocimiento del recurso contencioso-administrativo, ni deber o carga de diligencia que hubieran desatendido.</w:t>
      </w:r>
    </w:p>
    <w:p w:rsidR="008107C7" w:rsidRDefault="008107C7" w:rsidP="008107C7">
      <w:pPr>
        <w:pStyle w:val="TextoNormal"/>
      </w:pPr>
    </w:p>
    <w:p w:rsidR="008107C7" w:rsidRDefault="008107C7" w:rsidP="008107C7">
      <w:pPr>
        <w:pStyle w:val="TextoNormal"/>
      </w:pPr>
      <w:r w:rsidRPr="008107C7">
        <w:rPr>
          <w:rStyle w:val="NumeroAFNegritaCaracter"/>
        </w:rPr>
        <w:t>9</w:t>
      </w:r>
      <w:r>
        <w:t xml:space="preserve">. La representación procesal de Padipro S.A. presentó alegaciones el día 1 de junio de 1995 solicitando que se denegase el amparo impetrado. Entiende que no ha existido indefensión toda vez que los demandantes conocieron la posibilidad de interponer recurso contencioso-administrativo a través de la propia notificación de la Resolución que resolvió el recurso de reposición, en la que se indicaba esta posibilidad, con lo que bien pudieron personarse, siendo achacable su ausencia del procedimiento tan sólo a que no lo consideraron oportuno. También alega que no cabe el recurso de amparo porque la Sentencia recurrida no tiene carácter resolutorio del fondo de la cuestión, pues constituye una mera y previa </w:t>
      </w:r>
      <w:r>
        <w:lastRenderedPageBreak/>
        <w:t>autorización administrativa, que no prejuzga el resultado del procedimiento judicial de denegación de la prórroga arrendaticia, de conformidad con el art. 78 de la Ley de Arrendamientos Urbanos.</w:t>
      </w:r>
    </w:p>
    <w:p w:rsidR="008107C7" w:rsidRDefault="008107C7" w:rsidP="008107C7">
      <w:pPr>
        <w:pStyle w:val="TextoNormal"/>
      </w:pPr>
    </w:p>
    <w:p w:rsidR="008107C7" w:rsidRDefault="008107C7" w:rsidP="008107C7">
      <w:pPr>
        <w:pStyle w:val="TextoNormal"/>
      </w:pPr>
      <w:r w:rsidRPr="008107C7">
        <w:rPr>
          <w:rStyle w:val="NumeroAFNegritaCaracter"/>
        </w:rPr>
        <w:t>10</w:t>
      </w:r>
      <w:r>
        <w:t>. Por escritos presentados los días 3 y 9 de junio de 1995, respectivamente, las representaciones procesales de don José Luis Lisa Peleato, de una parte, y de los restantes recurrentes, de otra, se remitieron a los argumentos de sus demandas, no desvirtuados, y solicitaron el otorgamiento del amparo.</w:t>
      </w:r>
    </w:p>
    <w:p w:rsidR="008107C7" w:rsidRDefault="008107C7" w:rsidP="008107C7">
      <w:pPr>
        <w:pStyle w:val="TextoNormal"/>
      </w:pPr>
    </w:p>
    <w:p w:rsidR="008107C7" w:rsidRDefault="008107C7" w:rsidP="008107C7">
      <w:pPr>
        <w:pStyle w:val="TextoNormal"/>
      </w:pPr>
      <w:r w:rsidRPr="008107C7">
        <w:rPr>
          <w:rStyle w:val="NumeroAFNegritaCaracter"/>
        </w:rPr>
        <w:t>11</w:t>
      </w:r>
      <w:r>
        <w:t>. El Ministerio Fiscal, que presentó escrito el día 13 de junio de 1995, solicitó que se otorgase el amparo, anulando la Sentencia impugnada y retrotrayendo las actuaciones al momento en que los recurrentes debieron ser personalmente emplazados. Sostiene la presencia en los demandantes de un interés no solo legítimo, sino también directo, así como que eran perfectamente identificables, lo que debió llevar a su emplazamiento personal en el recurso, lo que justifica con cita de la STC 264/1994, sin que, por otra parte, se les pudiese exigir una diligencia mayor, de constante indagación de la conducta de la otra parte, aplicando al caso la doctrina de la STC 70/1994.</w:t>
      </w:r>
    </w:p>
    <w:p w:rsidR="008107C7" w:rsidRDefault="008107C7" w:rsidP="008107C7">
      <w:pPr>
        <w:pStyle w:val="TextoNormal"/>
      </w:pPr>
    </w:p>
    <w:p w:rsidR="008107C7" w:rsidRDefault="008107C7" w:rsidP="008107C7">
      <w:pPr>
        <w:pStyle w:val="TextoNormal"/>
      </w:pPr>
      <w:r w:rsidRPr="008107C7">
        <w:rPr>
          <w:rStyle w:val="NumeroAFNegritaCaracter"/>
        </w:rPr>
        <w:t>12</w:t>
      </w:r>
      <w:r>
        <w:t>. Mediante providencia de fecha 13 de enero de 1997, se señaló el día 14 del mismo mes y año para la deliberación y votación de la presente Sentencia.</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Alegan los demandantes de amparo haber sufrido indefensión al haberse seguido un recurso contencioso-administrativo frente a la denegación de la autorización de derribo solicitada por el propietario de un edificio, con base en el art. 79 de la Ley de Arrendamientos Urbanos, del que eran arrendatarios, sin que en tal recurso hubieran sido personalmente emplazados, a pesar de que el acto recurrido les afectaba y habían intervenido como interesados en el procedimiento de elaboración del mismo.</w:t>
      </w:r>
    </w:p>
    <w:p w:rsidR="008107C7" w:rsidRDefault="008107C7" w:rsidP="008107C7">
      <w:pPr>
        <w:pStyle w:val="TextoNormal"/>
      </w:pPr>
      <w:r>
        <w:t>Tanto para el Ministerio Fiscal como para el Abogado del Estado resulta evidente que se ha producido la indefensión denunciada, dada su condición de interesados a los que, por ser fácilmente identificables, se les debió emplazar personalmente, sin que tampoco se les pudiese exigir a los demandantes de amparo una actitud de constante indagación de la conducta de la otra parte para saber si había sido impugnada la resolución administrativa que denegó autorización para el derribo del inmueble en el que tenían diversos locales arrendados. Por contra, para la entidad propietaria de dicho inmueble, que promovió el procedimiento administrativo y luego recurrió en vía contencioso- administrativa, no ha existido la indefensión denunciada, por cuanto los demandantes de amparo tuvieron posibilidad de personarse, teniendo en cuenta que en la notificación de la resolución administrativa que se les hizo se indicaba que frente a la misma podía interponerse dicho recurso; igualmente sostiene que la Sentencia recurrida en amparo no prejuzga el fin de la relación arrendaticia por denegación del derecho a la prórroga al limitarse a revocar la denegación de una autorización administrativa, por lo que ha de acudirse, ulteriormente, a la vía civil, de todo lo cual concluye que no procede el amparo.</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2</w:t>
      </w:r>
      <w:r>
        <w:t>. Antes de entrar en el fondo, y por lo que hace a la interposición en plazo de las demandas de amparo, procede coincidir en la apreciación del Abogado del Estado relativa al cumplimiento de dicho requisito. En efecto, el recurso núm.  707/94 ha sido interpuesto en el plazo de los veinte días establecido por el art. 44.2 LOTC, contados a partir de que el demandante tuvo conocimiento de la existencia y del contenido de la Sentencia impugnada.  A diferencia de éste, en los restantes recursos, los demandantes tuvieron conocimiento de la existencia de la Sentencia los días 4 y 11 de marzo de 1994, según los casos, a través de la notificación de la Resolución del Gobierno Civil que procedía a su ejecución, pero sin que se transcribiera el texto de aquella; el día 17 siguiente, solicitaron al Tribunal Superior de Justicia testimonio de la misma, que les fue entregado el día 25 de dicho mes, interponiendose el día 11 de abril, estos recursos de amparo.</w:t>
      </w:r>
    </w:p>
    <w:p w:rsidR="008107C7" w:rsidRDefault="008107C7" w:rsidP="008107C7">
      <w:pPr>
        <w:pStyle w:val="TextoNormal"/>
      </w:pPr>
      <w:r>
        <w:t>Partiendo de tales datos, hemos de aceptar la postura defendida en las demandas acerca de que el plazo de interposición del recurso se ha de contar a partir de la entrega del testimonio.  En efecto, no habiendo existido una notificación en legal forma de la Sentencia, debe aplicarse la regla general según la cual el plazo debe computarse a partir del momento en que el interesado pudo darse por enterado (SSTC 72/1990 y 50/1995), lo que es congruente con las circunstancias del caso, toda vez que hasta el momento de la entrega del testimonio no se dispuso de los elementos esenciales para formular la demanda de amparo, habiendo sido diligente la actitud de los recurrentes, pues acudieron al Tribunal que dictó dicha Sentencia para conocer su texto en breve plazo, lo que excluye que pueda entenderse que hicieran dejación de su derecho. Ello no supone, desde luego, que el plazo quede al arbitrio de la parte, sino que cuando, como aquí ocurre, existe un escalonamiento en el conocimiento de la Sentencia, de modo que primero se sabe que existe y cuál es su sentido, pero aún se desconoce su contenido, surge una carga en el afectado de promover con la mayor diligencia su acceso al texto integro de la misma, momento en el que, por tener "conocimiento suficiente y fehaciente de la Sentencia" (ATC 642/1984), está en condiciones de interponer la demanda de amparo, con lo que en este momento es cuando comienza a contar el plazo de los veinte días establecido en el art. 44.2 LOTC.</w:t>
      </w:r>
    </w:p>
    <w:p w:rsidR="008107C7" w:rsidRDefault="008107C7" w:rsidP="008107C7">
      <w:pPr>
        <w:pStyle w:val="TextoNormal"/>
      </w:pPr>
    </w:p>
    <w:p w:rsidR="008107C7" w:rsidRDefault="008107C7" w:rsidP="008107C7">
      <w:pPr>
        <w:pStyle w:val="TextoNormal"/>
      </w:pPr>
      <w:r w:rsidRPr="008107C7">
        <w:rPr>
          <w:rStyle w:val="NumeroAFNegritaCaracter"/>
        </w:rPr>
        <w:t>3</w:t>
      </w:r>
      <w:r>
        <w:t>. También de forma previa, la entidad Padipro S.A. ha alegado que no cabe otorgar el recurso de amparo porque la Sentencia no tiene carácter resolutorio del fondo de la cuestión, al no prejuzgar el resultado de los pleitos civiles que habrán de seguirse para lograr la finalización de la relación arrendaticia por denegación del derecho de prórroga, planteandosenos así la cuestión acerca del posible carácter prematuro del recurso. Esta alegación no puede ser acogida.</w:t>
      </w:r>
    </w:p>
    <w:p w:rsidR="008107C7" w:rsidRDefault="008107C7" w:rsidP="008107C7">
      <w:pPr>
        <w:pStyle w:val="TextoNormal"/>
      </w:pPr>
      <w:r>
        <w:t>En efecto, la Sentencia recurrida ha sido declarada firme, produciendo unos efectos jurídicos inmediatos en cuanto autoriza el derribo, con independencia de que su ejecución exija la previa terminación de la relación arrendaticia, en virtud de la excepción a la prórroga que de la misma se deriva. Bien es cierto que la declaración de la terminación del arrendamiento exigirá, caso de discrepancia entre las partes, el correspondiente pronunciamiento por parte de los Tribunales civiles, pero no lo es menos que tal declaración administrativa puede legítimamente actuar como "un presupuesto procesal, cuya ausencia impide al juzgador entrar a conocer del examen de la pretensión de denegación de la prórroga del contrato de arrendamiento" (STC 321/1993).  No puede dudarse, pues, de la relevancia para los recurrentes de tal pronunciamiento jurídico- administrativo, por cuanto declara la existencia de un interés social superior a los particulares de los arrendatarios en orden al derribo y reedificación del edificio y que, en cuanto a ese ámbito propio, no puede ser revisado por el orden jurisdiccional civil, para el que actúa como un presupuesto procesal.</w:t>
      </w:r>
    </w:p>
    <w:p w:rsidR="008107C7" w:rsidRDefault="008107C7" w:rsidP="008107C7">
      <w:pPr>
        <w:pStyle w:val="TextoNormal"/>
      </w:pPr>
      <w:r>
        <w:lastRenderedPageBreak/>
        <w:t>De ahí que, por otra parte, las posibles vulneraciones de derechos fundamentales que se hayan podido producir en el proceso contencioso-administrativo que dio lugar a la Sentencia recurrida no sean susceptibles de reparación en el pleito civil que a los efectos de denegación de la prórroga se haya de interponer, con lo que no se ve afectada la subsidiariedad de este recurso de amparo, que precisamente presupone, como declara la STC 147/1994, que el demandante de amparo tenga "la ocasión de plantear, en la sede jurisdiccional ordinaria, la vulneración del derecho fundamental que aquí invoca" y, consecuentemente, conserve "la posibilidad de que esa reputada vulneración de derecho fundamental sea en efecto apreciada, con las consecuencias que de ello se sigan".</w:t>
      </w:r>
    </w:p>
    <w:p w:rsidR="008107C7" w:rsidRDefault="008107C7" w:rsidP="008107C7">
      <w:pPr>
        <w:pStyle w:val="TextoNormal"/>
      </w:pPr>
    </w:p>
    <w:p w:rsidR="008107C7" w:rsidRDefault="008107C7" w:rsidP="008107C7">
      <w:pPr>
        <w:pStyle w:val="TextoNormal"/>
      </w:pPr>
      <w:r w:rsidRPr="008107C7">
        <w:rPr>
          <w:rStyle w:val="NumeroAFNegritaCaracter"/>
        </w:rPr>
        <w:t>4</w:t>
      </w:r>
      <w:r>
        <w:t>. Comprobada la concurrencia de los presupuestos procesales exigibles, procede entrar en el fondo de la queja planteada en las presentes demandas de amparo acumuladas, las cuales deben ser estimadas. En efecto, con arreglo a una reiteradísima jurisprudencia de este Tribunal, contenida, entre otras muchas, y por citar únicamente las más recientes, en las SSTC 314/1993, 325/1993, 65/1994, 70/1994, 100/1994, 15/1995, 105/1995, 155/1995 y 90/1996, el emplazamiento edictal no garantiza suficientemente la defensa de quienes estuviesen legitimados para comparecer como demandados e incluso como coadyuvantes, siendo exigible su emplazamiento personal, siempre que fueren conocidos o identificables con los datos obrantes en el escrito de interposición o en el expediente administrativo; en estos supuestos la falta de emplazamiento personal supone una vulneración del art. 24.1 CE, salvo que se aprecie que tuvieron conocimiento de la existencia del proceso en tiempo hábil para comparecer y ejercer su derecho de defensa, pues en ningún caso puede invocar indefensión quien con su actitud pasiva, negligente o maliciosa coadyuvó a su producción.</w:t>
      </w:r>
    </w:p>
    <w:p w:rsidR="008107C7" w:rsidRDefault="008107C7" w:rsidP="008107C7">
      <w:pPr>
        <w:pStyle w:val="TextoNormal"/>
      </w:pPr>
      <w:r>
        <w:t>En los presentes casos, es claro que nos encontramos ante un supuesto de indefensión, constitucionalmente proscrita, por la ausencia de emplazamiento personal en el recurso contencioso-administrativo, que debió haberse realizado al tratarse de interesados en el procedimiento administrativo como titulares de un derecho subjetivo que se vería afectado por la resolución que se dictase y que eran perfectamente identificables, toda vez que habían comparecido en dicho procedimiento. No consta en modo alguno que hubiesen tenido conocimiento extraprocesal del proceso. En particular, del dato de que se les notificase la Resolución del Gobierno Civil con indicación de que era impugnable no se deriva la exigencia de una especial diligencia en orden a averiguar si la misma había llegado a ser recurrida, pues, como alega el Ministerio Fiscal, no puede exigirse a los particulares "una actitud de constante indagación de la conducta de la otra parte" (STC 70/1994) y, como ya se declaró en la STC 146/85, ante un supuesto muy similar (recurso contencioso-administrativo en el que se logra la declaración de ruina de un inmueble previamente denegada por la Administración), el hecho de que los arrendatarios hubiesen intervenido en el expediente administrativo no permite, sin más, presumir que tuviesen conocimiento de la existencia del recurso contencioso administrativo.</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lastRenderedPageBreak/>
        <w:t>Ha decidido</w:t>
      </w:r>
    </w:p>
    <w:p w:rsidR="008107C7" w:rsidRDefault="008107C7" w:rsidP="008107C7">
      <w:pPr>
        <w:pStyle w:val="TextoNormalCentrado"/>
        <w:keepNext/>
      </w:pPr>
    </w:p>
    <w:p w:rsidR="008107C7" w:rsidRDefault="008107C7" w:rsidP="008107C7">
      <w:pPr>
        <w:pStyle w:val="TextoNormal"/>
      </w:pPr>
      <w:r>
        <w:t>Estimar los presentes recursos de amparo acumulados y, en consecuencia:</w:t>
      </w:r>
    </w:p>
    <w:p w:rsidR="008107C7" w:rsidRDefault="008107C7" w:rsidP="008107C7">
      <w:pPr>
        <w:pStyle w:val="TextoNormal"/>
      </w:pPr>
      <w:r>
        <w:t>1º.  Reconocer el derecho fundamental de don José Luis Lisa Peleato, Juan Parent Vendranas, doña María del Claustro Bacardit Giribets, don José Ribes Creus, don Martí Martí Llobet y doña Rosario Zabala Quintanilla a una tutela judicial efectiva sin indefensión.</w:t>
      </w:r>
    </w:p>
    <w:p w:rsidR="008107C7" w:rsidRDefault="008107C7" w:rsidP="008107C7">
      <w:pPr>
        <w:pStyle w:val="TextoNormal"/>
      </w:pPr>
      <w:r>
        <w:t>2º.  Anular la Sentencia de la Sección Tercera de la Sala de lo Contencioso-administrativo del Tribunal Superior de Justicia de Cataluña de fecha de 21 de diciembre de 1993, recaída en autos 379/92, ordenándose el emplazamiento personal de los demandantes de amparo y la retroacción de las actuaciones al momento procesal que permita que los recurrentes en amparo ejerzan con plenitud su derecho a la defensa.</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catorce de enero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12" w:name="SENTENCIA_1997_9"/>
      <w:r>
        <w:lastRenderedPageBreak/>
        <w:t>SENTENCIA 9/1997, de 14 de enero de 1997</w:t>
      </w:r>
    </w:p>
    <w:bookmarkEnd w:id="12"/>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39, de 14 de febrero de 1997)</w:t>
      </w:r>
    </w:p>
    <w:p w:rsidR="008107C7" w:rsidRDefault="008107C7" w:rsidP="008107C7">
      <w:pPr>
        <w:pStyle w:val="TtuloBOE"/>
      </w:pPr>
    </w:p>
    <w:p w:rsidR="008107C7" w:rsidRDefault="008107C7" w:rsidP="008107C7">
      <w:pPr>
        <w:pStyle w:val="SntesisDescriptiva"/>
      </w:pPr>
      <w:r>
        <w:t>ECLI:ES:TC:1997:9</w:t>
      </w:r>
    </w:p>
    <w:p w:rsidR="008107C7" w:rsidRDefault="008107C7" w:rsidP="008107C7">
      <w:pPr>
        <w:pStyle w:val="SntesisDescriptiva"/>
      </w:pPr>
    </w:p>
    <w:p w:rsidR="008107C7" w:rsidRDefault="008107C7" w:rsidP="008107C7">
      <w:pPr>
        <w:pStyle w:val="SntesisDescriptiva"/>
      </w:pPr>
      <w:r>
        <w:t>Recurso de amparo 386/1995. Contra Auto de la Audiencia Provincial de Madrid en apelación contra resoluciones del Juzgado de Vigilancia Penitenciaria núm. 1 de Madrid.</w:t>
      </w:r>
    </w:p>
    <w:p w:rsidR="008107C7" w:rsidRDefault="008107C7" w:rsidP="008107C7">
      <w:pPr>
        <w:pStyle w:val="SntesisDescriptiva"/>
      </w:pPr>
    </w:p>
    <w:p w:rsidR="008107C7" w:rsidRDefault="008107C7" w:rsidP="008107C7">
      <w:pPr>
        <w:pStyle w:val="SntesisAnaltica"/>
      </w:pPr>
      <w:r>
        <w:t>Vulneración del derecho a la defensa: omisión de designación de Letrado de oficio.</w:t>
      </w:r>
    </w:p>
    <w:p w:rsidR="008107C7" w:rsidRDefault="008107C7" w:rsidP="008107C7">
      <w:pPr>
        <w:pStyle w:val="SntesisAnaltica"/>
      </w:pPr>
    </w:p>
    <w:p w:rsidR="008107C7" w:rsidRDefault="008107C7" w:rsidP="008107C7">
      <w:pPr>
        <w:pStyle w:val="Extracto"/>
      </w:pPr>
      <w:r>
        <w:t>1.</w:t>
      </w:r>
      <w:r>
        <w:tab/>
        <w:t>En las SSTC 37/1995, 58/1995 y 138/1995 se ha señalado que el sistema de recursos se incorpora a la tutela judicial en la configuración que le dé cada una de las leyes de enjuiciamiento reguladoras de los diferentes órdenes jurisdiccionales, sin que ni siquiera exista un derecho constitucional a disponer de tales medios de impugnación, salvo en el proceso penal (SSTC 140/1985, 37/1988 y 106/1988). Como consecuencia de ello, el principio hermenéutico «pro actione» no opera con igual intensidad en la fase inicial del proceso, para acceder al sistema judicial, que en las sucesivas instancias, conseguida que fue una primera respuesta judicial a la pretensión. Conviene recordar que no corresponde a este Tribunal indicar la interpretación que ha de darse a la legislación ordinaria, pues esta función se atribuye en exclusiva a los Tribunales del orden judicial correspondiente (SSTC 164/1991, 192/1992, 101/1993 y 274/1993), salvo que, en cuanto manifiestamente arbitraria o claramente errónea, determine una consecuencia contraria al derecho fundamental ( STC 58/1995). [F.J. 2]</w:t>
      </w:r>
    </w:p>
    <w:p w:rsidR="008107C7" w:rsidRDefault="008107C7" w:rsidP="008107C7">
      <w:pPr>
        <w:pStyle w:val="Extracto"/>
      </w:pPr>
    </w:p>
    <w:p w:rsidR="008107C7" w:rsidRDefault="008107C7" w:rsidP="008107C7">
      <w:pPr>
        <w:pStyle w:val="Extracto"/>
      </w:pPr>
      <w:r>
        <w:t>2.</w:t>
      </w:r>
      <w:r>
        <w:tab/>
        <w:t xml:space="preserve">En el presente caso claramente se desprende de las actuaciones que, tras advertir el Juzgado de Vigilancia Penitenciaria al recurrente que para la sustanciación de su recurso de apelación (que previamente le había sido admitido a trámite) era necesaria la asistencia de sendos profesionales (Abogado y Procurador), no le fueron nombrados los mismos, pese a afirmar el Juzgado que así se haría en caso de no designarlos el propio interesado. Y no debe olvidarse que los errores de los órganos judiciales no pueden producir efectos negativos en la esfera jurídica del ciudadano (SSTC 43/1983, 172/1985, 107/1987, 130/1987, 190/1990, 101/1992, 22/1993). Es irrelevante a cuál de los dos órganos judiciales intervinientes, Audiencia Provincial o Juzgado de Vigilancia Penitenciaria, correspondía efectuar el nombramiento de los profesionales del turno de oficio, porque es la omisión judicial en el nombramiento lo que determina la queja de amparo. Tampoco cabe olvidar que el actor manifestó expresamente su intención de recurrir, y que tras la forma en que se llevó a cabo el emplazamiento del Juzgado de Vigilancia Penitencia, esto es, con la advertencia de que el citado órgano judicial procedería al citado nombramiento, no parece que pueda imputarse al propio recurrente pasividad, desinterés o falta de diligencia causante de la indefensión padecida (SSTC 107/1987, 180/1987, 101/1989, 334/1994, 80/1995), o, dicho de otro modo, que cupiera del mismo una actuación distinta que excluya el contenido de la queja, máxime si se repara en que la confianza depositada en el órgano judicial en el nombramiento de un Abogado de oficio pudo hacerle desistir en su derecho a designar </w:t>
      </w:r>
      <w:r>
        <w:lastRenderedPageBreak/>
        <w:t>uno de su confianza. Por todo ello, la pretensión del recurrente no carece de contenido constitucional, pues lo cierto es que, como consecuencia de la irregularidad (en forma de omisión) denunciada, que correspondía en el presente caso al órgano judicial la designación de Abogado y Procurador,  porque así lo había afirmado previamente, el demandante de amparo se vio desasistido en su recurso y con la segunda consecuencia de verse también privado de su tramitación y resolución . [F.J. 4]</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386/95, promovido por don Agustín Moreno Carmona, representado por la Procuradora de los Tribunales doña Lourdes Bravo Toledo, y asistido del Letrado don Alberto Holgado Lanillos, contra el Auto de la Sección Tercera de la Audiencia Provincial de Madrid, de 7 de abril de 1994, en el rollo de apelación núm. 89/94, instado contra resoluciones del Juzgado de Vigilancia Penitenciaria núm. 1 de Madrid. Ha intervenido el Ministerio Fiscal y ha sido Ponente el Magistrado don Vicente Gimeno Sendra,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Por medio de escrito remitido desde el Centro Penitenciario Madrid IV, en el que se encontraba internado, don Agustín Moreno Carmona comunicaba a este Tribunal su intención de interponer recurso de amparo y solicitaba el nombramiento de sendos profesionales del Turno de Oficio.</w:t>
      </w:r>
    </w:p>
    <w:p w:rsidR="008107C7" w:rsidRDefault="008107C7" w:rsidP="008107C7">
      <w:pPr>
        <w:pStyle w:val="TextoNormal"/>
      </w:pPr>
    </w:p>
    <w:p w:rsidR="008107C7" w:rsidRDefault="008107C7" w:rsidP="008107C7">
      <w:pPr>
        <w:pStyle w:val="TextoNormal"/>
      </w:pPr>
      <w:r w:rsidRPr="008107C7">
        <w:rPr>
          <w:rStyle w:val="NumeroAFNegritaCaracter"/>
        </w:rPr>
        <w:t>2</w:t>
      </w:r>
      <w:r>
        <w:t>. Por providencia de fecha 8 de mayo de 1995, la Sección Primera (Sala Primera) de este Tribunal acordó librar los despachos necesarios para la designación de Letrado y Procurador del Turno de Oficio (designación que recae en la Procuradora doña Ana María Alvarez Alvarez y en el Letrado don Alberto Holgado Lanillos) y, por providencia de 12 de junio de 1995, se otorgó un plazo de veinte días a los citados profesionales para la formalización de la demanda de amparo.</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Formalizada la demanda de amparo, finalmente con fecha 7 de diciembre de 1995, dado que hubo de darse un nuevo plazo, una vez que los órganos judiciales remitieron las actuaciones, ésta se basa, en síntesis, en los siguientes hechos: </w:t>
      </w:r>
    </w:p>
    <w:p w:rsidR="008107C7" w:rsidRDefault="008107C7" w:rsidP="008107C7">
      <w:pPr>
        <w:pStyle w:val="TextoNormal"/>
      </w:pPr>
      <w:r>
        <w:lastRenderedPageBreak/>
        <w:t xml:space="preserve">a) Contra diversas Resoluciones del Centro Penitenciario en el que se encontraba cumpliendo condena, el recurrente en amparo formuló varias quejas que fueron desestimadas por el Juzgado de Vigilancia Penitenciaria núm. 1 de los de Madrid. Interpuesto recurso de reforma contra este Auto del Juzgado, también fue desestimado por medio de otro Auto de fecha 29 de diciembre de 1993. Contra este último Auto formuló recurso de apelación. </w:t>
      </w:r>
    </w:p>
    <w:p w:rsidR="008107C7" w:rsidRDefault="008107C7" w:rsidP="008107C7">
      <w:pPr>
        <w:pStyle w:val="TextoNormal"/>
      </w:pPr>
      <w:r>
        <w:t xml:space="preserve">b) Mediante providencia del Juzgado de fecha 18 de enero de 1994 se admitió en un sólo efecto el recurso de apelación interpuesto y se ordenó emplazar a las partes para que en el plazo legal compareciesen ante la Audiencia a la que "se remitirá el testimonio de las actuaciones a que se refiere el art. 225 L.E.Crim. y de los particulares siguientes ..., así como de los que soliciten las partes en el plazo legalmente previsto y que no sean reproducción de los ya acordados". Notificada la anterior providencia al interno el día 26 de enero de 1994, en esa misma fecha y, por tanto sin que tuviese plazo para designar los correspondientes particulares, se le emplaza ante la Audiencia Provincial de Madrid. </w:t>
      </w:r>
    </w:p>
    <w:p w:rsidR="008107C7" w:rsidRDefault="008107C7" w:rsidP="008107C7">
      <w:pPr>
        <w:pStyle w:val="TextoNormal"/>
      </w:pPr>
      <w:r>
        <w:t xml:space="preserve">c) El emplazamiento realizado por el Juzgado de Vigilancia Penitenciaria se produce en los siguientes términos: "... emplazándole en legal forma para que en el término legal comparezca ante la Audiencia Provincial de Madrid a usar de sus derechos asistido de Abogado y Procurador que lo defienda y represente, bajo apercibimiento que de no verificarlo se le nombrarán por el turno de oficio." </w:t>
      </w:r>
    </w:p>
    <w:p w:rsidR="008107C7" w:rsidRDefault="008107C7" w:rsidP="008107C7">
      <w:pPr>
        <w:pStyle w:val="TextoNormal"/>
      </w:pPr>
      <w:r>
        <w:t xml:space="preserve">d) En fecha 17 de febrero de 1994, la Audiencia Provincial de Madrid resuelve devolver las actuaciones al Juzgado de Vigilancia Penitenciaria núm. 1 de Madrid, por no constar el emplazamiento en forma del apelante, ordenando que designe Procurador y Letrado que le represente y defienda en la causa o bien designársele de oficio. </w:t>
      </w:r>
    </w:p>
    <w:p w:rsidR="008107C7" w:rsidRDefault="008107C7" w:rsidP="008107C7">
      <w:pPr>
        <w:pStyle w:val="TextoNormal"/>
      </w:pPr>
      <w:r>
        <w:t xml:space="preserve">e) Devuelto por la Audiencia al Juzgado el expediente como incompleto, el 24 de febrero siguiente, el Juzgado de Vigilancia, entendiendo que el interno ha sido emplazado correctamente, ordena remitir nuevo testimonio a la Audiencia para la resolución del recurso de apelación, haciendo saber que la designación de Letrado y Procurador deberá realizarla ante ese órgano judicial. </w:t>
      </w:r>
    </w:p>
    <w:p w:rsidR="008107C7" w:rsidRDefault="008107C7" w:rsidP="008107C7">
      <w:pPr>
        <w:pStyle w:val="TextoNormal"/>
      </w:pPr>
      <w:r>
        <w:t>A continuación, el interno recibe la notificación del Auto de fecha 7 de abril de 1994, objeto del presente recurso de amparo, por el que se declaraba desierto el recurso de apelación interpuesto y admitido, por falta de comparecencia en plazo, esto es, por falta de personación ante el Tribunal ad quem.</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La demanda invoca la vulneración del derecho a obtener tutela judicial efectiva sin indefensión, que consagra el art. 24.1 C.E., en su vertiente específica de acceso a los recursos. Entiende el actor que se le dio determinada expectativa de derechos cuando se admitió su recurso de apelación, se le emplazó ante la Audiencia y se le comunicó el apercibimiento de que debía comparecer asistido de profesionales en dicho recurso de apelación, advirtiéndole de que si no los nombrara él mismos se le designarían de oficio; pero después, en lugar de efectuar esto último ni la Audiencia ni el Juzgado, se le deja en una situación de indefensión, no se le nombran los profesionales correspondientes cuya postulación se le exigía, y sin embargo se le declara desierto el recurso interpuesto por falta de comparecencia de ellos mismos ante el Tribunal Superior. Esa instrucción con expectativa de derechos que se le efectuó, continúa el recurrente, debería tener por finalidad la de auxiliar, y no entorpecer, el acceso a los medios de impugnación previstos legalmente, y, por tanto, no pueden recaer sobre él las consecuencias perjudiciales de lo que no es sino un error judicial. En virtud de esa mención equivocada se hace adoptar al actor una postura procesal errónea, cual es el aquietamiento a la espera de la designación de oficio de la representación y la asistencia </w:t>
      </w:r>
      <w:r>
        <w:lastRenderedPageBreak/>
        <w:t xml:space="preserve">letrada ofrecida, colocándole, en fin, en una situación de evidente indefensión al serle luego impedida la vía del recurso de apelación que el ordenamiento jurídico le brindaba. </w:t>
      </w:r>
    </w:p>
    <w:p w:rsidR="008107C7" w:rsidRDefault="008107C7" w:rsidP="008107C7">
      <w:pPr>
        <w:pStyle w:val="TextoNormal"/>
      </w:pPr>
      <w:r>
        <w:t>Por todo ello, solicita de este Tribunal que dicte Sentencia por la que, estimando el amparo solicitado, se declare la nulidad del Auto de 7 de abril de 1994 dictado por la Sección Tercera de la Audiencia Provincial de Madrid, en el recurso de apelación núm. 89/94, debiendo ser el demandante emplazado en debida forma con designación de Abogado y Procurador del Turno de oficio por parte del Juzgado de Vigilancia Penitenciaria núm. 1 de Madrid, para que pueda comparecer ante la Audiencia Provincial a sostener su recurso.</w:t>
      </w:r>
    </w:p>
    <w:p w:rsidR="008107C7" w:rsidRDefault="008107C7" w:rsidP="008107C7">
      <w:pPr>
        <w:pStyle w:val="TextoNormal"/>
      </w:pPr>
    </w:p>
    <w:p w:rsidR="008107C7" w:rsidRDefault="008107C7" w:rsidP="008107C7">
      <w:pPr>
        <w:pStyle w:val="TextoNormal"/>
      </w:pPr>
      <w:r w:rsidRPr="008107C7">
        <w:rPr>
          <w:rStyle w:val="NumeroAFNegritaCaracter"/>
        </w:rPr>
        <w:t>5</w:t>
      </w:r>
      <w:r>
        <w:t>. Por providencia de 27 de mayo de 1996, la Sección acordó, de acuerdo con lo dispuesto en el art. 50.3 de la LOTC, conceder un plazo común de diez días al Ministerio Fiscal y al solicitante, con vista de las actuaciones recibidas en su día, para que dentro de dicho término alegaran lo que estimaran pertinente en relación con la posible existencia del motivo de inadmisión previsto en el art. 50.1 c) de la LOTC, consistente en "carecer la demanda manifiestamente de contenido que justifique una decisión por parte de este Tribunal".</w:t>
      </w:r>
    </w:p>
    <w:p w:rsidR="008107C7" w:rsidRDefault="008107C7" w:rsidP="008107C7">
      <w:pPr>
        <w:pStyle w:val="TextoNormal"/>
      </w:pPr>
    </w:p>
    <w:p w:rsidR="008107C7" w:rsidRDefault="008107C7" w:rsidP="008107C7">
      <w:pPr>
        <w:pStyle w:val="TextoNormal"/>
      </w:pPr>
      <w:r w:rsidRPr="008107C7">
        <w:rPr>
          <w:rStyle w:val="NumeroAFNegritaCaracter"/>
        </w:rPr>
        <w:t>6</w:t>
      </w:r>
      <w:r>
        <w:t>. Mediante escrito, registrado el 30 de mayo de 1996, el actor manifiesta un nuevo domicilio en Madrid a efectos de notificaciones. Días después, con fecha 3 de junio de 1996, el Director del Centro Penitenciario Madrid-IV notifica a este Tribunal la imposibilidad de entregar al actor la copia de la anterior providencia de 27 de mayo de 1996, dado que el 25 de mayo de 1996 "fue puesto en libertad definitiva y excarcelado".</w:t>
      </w:r>
    </w:p>
    <w:p w:rsidR="008107C7" w:rsidRDefault="008107C7" w:rsidP="008107C7">
      <w:pPr>
        <w:pStyle w:val="TextoNormal"/>
      </w:pPr>
    </w:p>
    <w:p w:rsidR="008107C7" w:rsidRDefault="008107C7" w:rsidP="008107C7">
      <w:pPr>
        <w:pStyle w:val="TextoNormal"/>
      </w:pPr>
      <w:r w:rsidRPr="008107C7">
        <w:rPr>
          <w:rStyle w:val="NumeroAFNegritaCaracter"/>
        </w:rPr>
        <w:t>7</w:t>
      </w:r>
      <w:r>
        <w:t>. Habiendo causado baja en el ejercicio de la profesión la Procuradora Sra. Alvarez Alvarez , se libra despacho al Colegio de Procuradores para nuevo nombramiento de Procurador del turno de oficio. La designación recae en la Procuradora de los Tribunales doña Lourdes Bravo Toledo, y así se resuelve por providencia de 10 de junio de 1996, dejándose sin efecto la designación de la Procuradora Sra. Alvarez.</w:t>
      </w:r>
    </w:p>
    <w:p w:rsidR="008107C7" w:rsidRDefault="008107C7" w:rsidP="008107C7">
      <w:pPr>
        <w:pStyle w:val="TextoNormal"/>
      </w:pPr>
    </w:p>
    <w:p w:rsidR="008107C7" w:rsidRDefault="008107C7" w:rsidP="008107C7">
      <w:pPr>
        <w:pStyle w:val="TextoNormal"/>
      </w:pPr>
      <w:r w:rsidRPr="008107C7">
        <w:rPr>
          <w:rStyle w:val="NumeroAFNegritaCaracter"/>
        </w:rPr>
        <w:t>8</w:t>
      </w:r>
      <w:r>
        <w:t>. Mediante escrito, registrado el 13 de junio de 1996, el Fiscal ante el Tribunal Constitucional evacúa el trámite conferido solicitando la admisión a trámite de la demanda de amparo.</w:t>
      </w:r>
    </w:p>
    <w:p w:rsidR="008107C7" w:rsidRDefault="008107C7" w:rsidP="008107C7">
      <w:pPr>
        <w:pStyle w:val="TextoNormal"/>
      </w:pPr>
    </w:p>
    <w:p w:rsidR="008107C7" w:rsidRDefault="008107C7" w:rsidP="008107C7">
      <w:pPr>
        <w:pStyle w:val="TextoNormal"/>
      </w:pPr>
      <w:r w:rsidRPr="008107C7">
        <w:rPr>
          <w:rStyle w:val="NumeroAFNegritaCaracter"/>
        </w:rPr>
        <w:t>9</w:t>
      </w:r>
      <w:r>
        <w:t>. La representación procesal del actor, por escrito registrado en el Juzgado de Guardia el 21 de junio de 1996 y con entrada el día 24 siguiente en este Tribunal, solicita la admisión a trámite del recurso reiterando las alegaciones formuladas en la demanda de amparo.</w:t>
      </w:r>
    </w:p>
    <w:p w:rsidR="008107C7" w:rsidRDefault="008107C7" w:rsidP="008107C7">
      <w:pPr>
        <w:pStyle w:val="TextoNormal"/>
      </w:pPr>
    </w:p>
    <w:p w:rsidR="008107C7" w:rsidRDefault="008107C7" w:rsidP="008107C7">
      <w:pPr>
        <w:pStyle w:val="TextoNormal"/>
      </w:pPr>
      <w:r w:rsidRPr="008107C7">
        <w:rPr>
          <w:rStyle w:val="NumeroAFNegritaCaracter"/>
        </w:rPr>
        <w:t>10</w:t>
      </w:r>
      <w:r>
        <w:t>. Por providencia de 8 de julio de 1996, la Sección acordó admitir a trámite la demanda de amparo formulada por el actor y, a tenor de lo dispuesto en el art. 52 de la LOTC, dar vista de todas las actuaciones por un plazo común de veinte días al Ministerio Fiscal y al solicitante del amparo, para que presentaran las alegaciones que a su derecho convinieran.</w:t>
      </w:r>
    </w:p>
    <w:p w:rsidR="008107C7" w:rsidRDefault="008107C7" w:rsidP="008107C7">
      <w:pPr>
        <w:pStyle w:val="TextoNormal"/>
      </w:pPr>
    </w:p>
    <w:p w:rsidR="008107C7" w:rsidRDefault="008107C7" w:rsidP="008107C7">
      <w:pPr>
        <w:pStyle w:val="TextoNormal"/>
      </w:pPr>
      <w:r w:rsidRPr="008107C7">
        <w:rPr>
          <w:rStyle w:val="NumeroAFNegritaCaracter"/>
        </w:rPr>
        <w:t>11</w:t>
      </w:r>
      <w:r>
        <w:t>. Por escrito, registrado el 31 de julio de 1996 y con entrada en este Tribunal el día siguiente, el actor insiste en la vulneración de los derechos fundamentales denunciados e itera la concesión del amparo pedido.</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12</w:t>
      </w:r>
      <w:r>
        <w:t xml:space="preserve">. El Fiscal ante el Tribunal Constitucional, en su escrito registrado el 9 de agosto de 1996, interesa que se dicte Sentencia desestimando el amparo solicitado por entender que las resoluciones judiciales recurridas no han vulnerado el art. 24.1 C.E. Señala al respecto que, examinadas las actuaciones, no se descubre situación alguna de indefensión material en el actor. El contenido del emplazamiento, realizado el 18 de enero de 1994 por el Juzgado de Vigilancia Penitenciaria, es claro: debe comparecer ante la Audiencia en plazo que indica y designar Abogado y Procurador o interesar su designación de oficio. Pero lo cierto es que el actor nada hizo, ni pidió en el Juzgado de Vigilancia Penitenciaria la designación de oficio para su representación ni defensa, ni los designó como propios. Tampoco elevó a la Audiencia escrito alguno demostrando su voluntad de comparecer. </w:t>
      </w:r>
    </w:p>
    <w:p w:rsidR="008107C7" w:rsidRDefault="008107C7" w:rsidP="008107C7">
      <w:pPr>
        <w:pStyle w:val="TextoNormal"/>
      </w:pPr>
      <w:r>
        <w:t>Tal actitud de pasividad y negligencia, en quien, como se deduce de su permanente actividad en el expediente judicial penitenciario, sí ha actuado en otras fases, es la razón por la que hace que el amparo no pueda prosperar frente a la indefensión (art. 24.1 C.E.) alegada. De igual manera, su negligencia absoluta justifica que el Auto recurrido, basado en una resolución de instancia formalmente correcta con la L.E.Crim., no vulnera el derecho de acceso al recurso (art. 24.1 C.E.) al no basarse en criterios formalistas, enervantes ni desproporcionados. En consecuencia, concluye el Ministerio Fiscal interesando del Tribunal Constitucional que dicte Sentencia en virtud de la cual acuerde desestimar el amparo solicitado por entender que las resoluciones judiciales recurridas no han vulnerado el art. 24.1 C.E.</w:t>
      </w:r>
    </w:p>
    <w:p w:rsidR="008107C7" w:rsidRDefault="008107C7" w:rsidP="008107C7">
      <w:pPr>
        <w:pStyle w:val="TextoNormal"/>
      </w:pPr>
    </w:p>
    <w:p w:rsidR="008107C7" w:rsidRDefault="008107C7" w:rsidP="008107C7">
      <w:pPr>
        <w:pStyle w:val="TextoNormal"/>
      </w:pPr>
      <w:r w:rsidRPr="008107C7">
        <w:rPr>
          <w:rStyle w:val="NumeroAFNegritaCaracter"/>
        </w:rPr>
        <w:t>13</w:t>
      </w:r>
      <w:r>
        <w:t>. Por providencia de 13 de enero de 1997 se señaló para su deliberación y votación de la presente Sentencia el día 14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El objeto de la presente demanda de amparo consiste en determinar si el Auto dictado en el rollo de apelación núm. 89/94 por la Sección Tercera de la Audiencia Provincial de Madrid el 7 de abril de 1994, ha vulnerado el derecho a obtener tutela judicial efectiva sin indefensión (art. 24.1 C.E.), en su vertiente especifica de acceso a los recursos preestablecidos.</w:t>
      </w:r>
    </w:p>
    <w:p w:rsidR="008107C7" w:rsidRDefault="008107C7" w:rsidP="008107C7">
      <w:pPr>
        <w:pStyle w:val="TextoNormal"/>
      </w:pPr>
    </w:p>
    <w:p w:rsidR="008107C7" w:rsidRDefault="008107C7" w:rsidP="008107C7">
      <w:pPr>
        <w:pStyle w:val="TextoNormal"/>
      </w:pPr>
      <w:r w:rsidRPr="008107C7">
        <w:rPr>
          <w:rStyle w:val="NumeroAFNegritaCaracter"/>
        </w:rPr>
        <w:t>2</w:t>
      </w:r>
      <w:r>
        <w:t>. Para delimitar la cuestión de fondo que plantea la demanda debe subrayarse que, en el presente caso, no se trata de una decisión judicial que impida el acceso al proceso, sino de la decisión de declarar desierto un recurso de apelación, al no haberse personado el recurrente con representación procesal en el mismo. En consecuencia, lo que se alega como infringido por el actor es su derecho a la tutela judicial efectiva (art. 24.1 C.E.)  desde la vertiente del acceso a los recursos legalmente establecidos. Esta precisión es importante, dado el contenido constitucionalmente diferente entre el acceso a la jurisdicción y el acceso a los recursos, cuya diferencia se proyecta necesariamente en la función de control que corresponde a este Tribunal respecto de las resoluciones judiciales que impidan de una u otra forma el derecho fundamental a la tutela judicial efectiva.</w:t>
      </w:r>
    </w:p>
    <w:p w:rsidR="008107C7" w:rsidRDefault="008107C7" w:rsidP="008107C7">
      <w:pPr>
        <w:pStyle w:val="TextoNormal"/>
      </w:pPr>
      <w:r>
        <w:t xml:space="preserve">En efecto, es diferente el relieve constitucional del derecho de acceso a la jurisdicción y el de acceso a los recursos legalmente establecidos, resultando éste mero colorario de aquél en cuanto el derecho de acceder a la justicia no viene otorgado por la ley sino por la Constitución misma. De ahí, la diferente trascendencia que desde la perspectiva constitucional </w:t>
      </w:r>
      <w:r>
        <w:lastRenderedPageBreak/>
        <w:t>cabe otorgar a uno o a otro, pues es distinto el enjuiciamiento que puedan recibir las normas según actúan como impeditivas u obstaculizadoras del acceso a la Jurisdicción o simplemente como limitadoras de un recurso contra una Sentencia anterior dictada en un proceso con todas las garantías (SSTC 3/1983 y 294/1994).  La aplicación de aquéllas puede eliminar el derecho a someter el caso a un Juez y la de las segundas solamente privaría de la revisión de la respuesta judicial ya pronunciada en la Sentencia de instancia, con lo cual se habría satisfecho el núcleo fundamental del derecho reconocido en el art. 24.1 C.E. en cuanto a derecho a obtener la tutela judicial efectiva del Juez (STC 255/1993).</w:t>
      </w:r>
    </w:p>
    <w:p w:rsidR="008107C7" w:rsidRDefault="008107C7" w:rsidP="008107C7">
      <w:pPr>
        <w:pStyle w:val="TextoNormal"/>
      </w:pPr>
      <w:r>
        <w:t>Más recientemente, en las SSTC 37/1995, 58/1995 y 138/1995, se ha señalado que el sistema de recursos se incorpora a la tutela judicial en la configuración que le dé cada una de las leyes de enjuiciamiento reguladoras de los diferentes órdenes jurisdiccionales, sin que ni siquiera exista un derecho constitucional a disponer de tales medios de impugnación, salvo en el proceso penal (SSTC 140/1985, 37/1988 y 106/1988).  Como consecuencia de ello, el principio hermenéutico pro actione no opera con igual intensidad en la fase inicial del proceso, para acceder al sistema judicial, que en las sucesivas instancias, conseguida que fue una primera respuesta judicial a la pretensión.</w:t>
      </w:r>
    </w:p>
    <w:p w:rsidR="008107C7" w:rsidRDefault="008107C7" w:rsidP="008107C7">
      <w:pPr>
        <w:pStyle w:val="TextoNormal"/>
      </w:pPr>
      <w:r>
        <w:t>En todo caso, conviene recordar que no corresponde a este Tribunal indicar la interpretación que ha de darse a la legislación ordinaria, pues esta función se atribuye en exclusiva a los Tribunales del orden judicial correspondiente (SSTC 164/1991, 192/1992, 101/1993 y 274/1993), salvo que, en cuanto manifiestamente arbitraria o claramente errónea, determine una consecuencia contraria al derecho fundamental" (STC 58/1995).</w:t>
      </w:r>
    </w:p>
    <w:p w:rsidR="008107C7" w:rsidRDefault="008107C7" w:rsidP="008107C7">
      <w:pPr>
        <w:pStyle w:val="TextoNormal"/>
      </w:pPr>
      <w:r>
        <w:t>Esto último es, precisamente, lo que debe resolverse en el presente caso, dada la redacción contenida en la diligencia de emplazamiento notificada al actor el 26 de enero de 1994, en cuyo final se indicaba ... "bajo apercibimiento que de no verificarlo se le nombrarán por el turno de oficio" ..., si bien, en ese mismo acto se le hizo entrega de la providencia de 18 de enero de 1994 en la que se indicaba que la comparecencia habría de hacerse ante la Audiencia Provincial.</w:t>
      </w:r>
    </w:p>
    <w:p w:rsidR="008107C7" w:rsidRDefault="008107C7" w:rsidP="008107C7">
      <w:pPr>
        <w:pStyle w:val="TextoNormal"/>
      </w:pPr>
    </w:p>
    <w:p w:rsidR="008107C7" w:rsidRDefault="008107C7" w:rsidP="008107C7">
      <w:pPr>
        <w:pStyle w:val="TextoNormal"/>
      </w:pPr>
      <w:r w:rsidRPr="008107C7">
        <w:rPr>
          <w:rStyle w:val="NumeroAFNegritaCaracter"/>
        </w:rPr>
        <w:t>3</w:t>
      </w:r>
      <w:r>
        <w:t>. Al respecto, conviene recordar que este Tribunal Constitucional ha declarado que el derecho a la asistencia letrada, que proclama el art. 24.2 C.E., es aplicable al procedimiento de la Administración Penitenciaria, siquiera con ciertas limitaciones que se concretan en que, realmente no es el pleno derecho a la asistencia letrada, propio del proceso penal el que asiste al recluso en estos casos; que no procede el nombramiento de letrado de oficio con carácter general y sí, sin embargo, el asesoramiento de abogado designado por el interno y a su costa (STC 2/1987 y 192/1996, y ATC 496/1989).  Asimismo, se ha destacado la íntima relación que existe entre el derecho a la asistencia letrada y el derecho de defensa (STC 47/1987, por todas).</w:t>
      </w:r>
    </w:p>
    <w:p w:rsidR="008107C7" w:rsidRDefault="008107C7" w:rsidP="008107C7">
      <w:pPr>
        <w:pStyle w:val="TextoNormal"/>
      </w:pPr>
      <w:r>
        <w:t>Es, pues, en definitiva, la posible indefensión producida al actor con el comportamiento omisivo de los órganos judiciales lo que ha de determinarse en este proceso constitucional.</w:t>
      </w:r>
    </w:p>
    <w:p w:rsidR="008107C7" w:rsidRDefault="008107C7" w:rsidP="008107C7">
      <w:pPr>
        <w:pStyle w:val="TextoNormal"/>
      </w:pPr>
      <w:r>
        <w:t xml:space="preserve">Sobre la indefensión que el art. 24.1 de la C.E. proscribe se ha dicho reiteradamente por este Tribunal que solo cabe otorgar relevancia constitucional a la indefensión que tiene un carácter material, a diferencia del carácter marcadamente formal que dicho concepto reviste en el ámbito del Derecho Procesal, de tal forma que no toda infracción o irregularidad procesal cometida por los órganos judiciales provoca, en todos los casos, la eliminación o disminución en sustancia de los derechos que corresponden a las partes en el proceso (SSTC 35/1989 y 52/1989).  De tal manera que la indefensión prohibida por el art. 24.1 de la C.E. no nace de la simple infracción por los órganos judiciales de las reglas procesales, sino que </w:t>
      </w:r>
      <w:r>
        <w:lastRenderedPageBreak/>
        <w:t>es necesario que tenga una significación material y que produzca un efectivo y real menoscabo o limitación del derecho de defensa como consecuencia directa de la acción u omisión de los órganos judiciales (SSTC 194/1987, 155/1988, 43/1989, 123/1989, 145/1990, 196/1990, 154/1991, 366/1993 y 18/1995, entre otras), toda vez que el recurso de amparo no es una vía orientada a corregir cualquier infracción procedimental, sino exclusivamente aquellas que produzcan, efectivamente, la lesión de un derecho fundamental (SSTC 34/1991, 117/1993, 106/1993 y 188/1993, por todas).</w:t>
      </w:r>
    </w:p>
    <w:p w:rsidR="008107C7" w:rsidRDefault="008107C7" w:rsidP="008107C7">
      <w:pPr>
        <w:pStyle w:val="TextoNormal"/>
      </w:pPr>
    </w:p>
    <w:p w:rsidR="008107C7" w:rsidRDefault="008107C7" w:rsidP="008107C7">
      <w:pPr>
        <w:pStyle w:val="TextoNormal"/>
      </w:pPr>
      <w:r w:rsidRPr="008107C7">
        <w:rPr>
          <w:rStyle w:val="NumeroAFNegritaCaracter"/>
        </w:rPr>
        <w:t>4</w:t>
      </w:r>
      <w:r>
        <w:t>. En el presente caso, claramente se desprende de las actuaciones, que, tras advertir el Juzgado de Vigilancia Penitenciaria al recurrente que para la sustanciación de su recurso de apelación (que previamente le había sido admitido a trámite) era necesaria la asistencia de sendos profesionales (Abogado y Procurador), no le fueron nombrados los mismos pese a afirmar el Juzgado que así se haría en caso de no designarlos el propio interesado. Y no debe olvidarse que los errores de los órganos judiciales no pueden producir efectos negativos en la esfera jurídica del ciudadano (SSTC 43/1983, 172/1985, 107/1987, 130/1987, 190/1990, 101/1992, 22/1993).</w:t>
      </w:r>
    </w:p>
    <w:p w:rsidR="008107C7" w:rsidRDefault="008107C7" w:rsidP="008107C7">
      <w:pPr>
        <w:pStyle w:val="TextoNormal"/>
      </w:pPr>
      <w:r>
        <w:t>Es irrelevante a cuál de los dos órganos judiciales intervinientes, Audiencia Provincial o Juzgado de Vigilancia Penitenciaria, correspondía efectuar el nombramiento de los profesionales del turno de oficio, porque es la omisión judicial en el nombramiento lo que determina la queja de amparo. Tampoco cabe olvidar que el actor manifestó expresamente su intención de recurrir y que tras la forma en que se llevó a cabo el emplazamiento del Juzgado de Vigilancia Penitenciaria, esto es, con la advertencia de que el citado órgano judicial procedería al citado nombramiento, no parece que pueda imputarse al propio recurrente pasividad, desinterés o falta de diligencia causante de la indefensión padecida, (SSTC 107/1987, 180/1987, 101/1989, 334/1994, 80/1995) o, dicho de otro modo, que cupiera del mismo una actuación distinta que excluya el contenido de la queja, máxime si se repara en que la confianza depositada en el órgano judicial en el nombramiento de un Abogado de oficio pudo hacerle desistir en su derecho a designar uno de su confianza. Por todo ello, la pretensión del recurrente no carece de contenido constitucional, pues lo cierto es que, como consecuencia de la irregularidad (en forma de omisión) denunciada, que correspondía, en el presente caso, al órgano judicial la designación de Abogado y Procurador porque así lo había afirmado previamente, el demandante de amparo se vió desasistido en su recurso y con la segunda consecuencia de verse también privado de su tramitación y resolución.</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Otorgar el amparo solicitado y, en su virtud:</w:t>
      </w:r>
    </w:p>
    <w:p w:rsidR="008107C7" w:rsidRDefault="008107C7" w:rsidP="008107C7">
      <w:pPr>
        <w:pStyle w:val="TextoNormal"/>
      </w:pPr>
      <w:r>
        <w:t>1º Declarar que se ha vulnerado el derecho de defensa del art. 24 de la Constitución.</w:t>
      </w:r>
    </w:p>
    <w:p w:rsidR="008107C7" w:rsidRDefault="008107C7" w:rsidP="008107C7">
      <w:pPr>
        <w:pStyle w:val="TextoNormal"/>
      </w:pPr>
      <w:r>
        <w:t xml:space="preserve">2º Restablecer al recurrente en su derecho, para lo cual procede declarar declarar la nulidad del Auto de 7 de abril de 1994 dictado por la Sección Tercera de la Audiencia Provincial de Madrid, en el recurso de apelación núm.  89/94, debiendo ser el demandante emplazado </w:t>
      </w:r>
      <w:r>
        <w:lastRenderedPageBreak/>
        <w:t>en debida forma a fin de que pueda hacer uso de su derecho a designar Abogado y Procurador de su elección para que pueda comparecer ante la Audiencia Provincial a sostener su recurso.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catorce de enero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13" w:name="SENTENCIA_1997_10"/>
      <w:r>
        <w:lastRenderedPageBreak/>
        <w:t>SENTENCIA 10/1997, de 14 de enero de 1997</w:t>
      </w:r>
    </w:p>
    <w:bookmarkEnd w:id="13"/>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39, de 14 de febrero de 1997)</w:t>
      </w:r>
    </w:p>
    <w:p w:rsidR="008107C7" w:rsidRDefault="008107C7" w:rsidP="008107C7">
      <w:pPr>
        <w:pStyle w:val="TtuloBOE"/>
      </w:pPr>
    </w:p>
    <w:p w:rsidR="008107C7" w:rsidRDefault="008107C7" w:rsidP="008107C7">
      <w:pPr>
        <w:pStyle w:val="SntesisDescriptiva"/>
      </w:pPr>
      <w:r>
        <w:t>ECLI:ES:TC:1997:10</w:t>
      </w:r>
    </w:p>
    <w:p w:rsidR="008107C7" w:rsidRDefault="008107C7" w:rsidP="008107C7">
      <w:pPr>
        <w:pStyle w:val="SntesisDescriptiva"/>
      </w:pPr>
    </w:p>
    <w:p w:rsidR="008107C7" w:rsidRDefault="008107C7" w:rsidP="008107C7">
      <w:pPr>
        <w:pStyle w:val="SntesisDescriptiva"/>
      </w:pPr>
      <w:r>
        <w:t>Recurso de amparo 2.571/1995. En relación con las dilaciones indebidas sufridas en el procedimiento de juicio de menor cuantía seguido ante el Juzgado de Primera Instancia núm. 2 de Arganda del Rey (Madrid).</w:t>
      </w:r>
    </w:p>
    <w:p w:rsidR="008107C7" w:rsidRDefault="008107C7" w:rsidP="008107C7">
      <w:pPr>
        <w:pStyle w:val="SntesisDescriptiva"/>
      </w:pPr>
    </w:p>
    <w:p w:rsidR="008107C7" w:rsidRDefault="008107C7" w:rsidP="008107C7">
      <w:pPr>
        <w:pStyle w:val="SntesisAnaltica"/>
      </w:pPr>
      <w:r>
        <w:t>Vulneración del derecho a un proceso con todas las garantías: dilaciones indebidas en el procedimiento.</w:t>
      </w:r>
    </w:p>
    <w:p w:rsidR="008107C7" w:rsidRDefault="008107C7" w:rsidP="008107C7">
      <w:pPr>
        <w:pStyle w:val="SntesisAnaltica"/>
      </w:pPr>
    </w:p>
    <w:p w:rsidR="008107C7" w:rsidRDefault="008107C7" w:rsidP="008107C7">
      <w:pPr>
        <w:pStyle w:val="Extracto"/>
      </w:pPr>
      <w:r>
        <w:t>1.</w:t>
      </w:r>
      <w:r>
        <w:tab/>
        <w:t>Siguiendo la doctrina sentada por diversos pronunciamientos anteriores, en especial la STC 223/1988, su aplicación al presente caso debe conducir a la estimación del recurso de amparo. En primer lugar, y por lo que hace a la complejidad del litigio, debe tenerse particularmente en cuenta el momento procesal en el que el procedimiento judicial se encontraba detenido. De los hechos descritos en la demanda de amparo se infiere que la paralización producida no puede imputarse a la complejidad del mismo, pues en el procedimiento sólo existe un demandado, sin que quede acreditada la concurrencia de circunstancias especiales que hayan dificultado, en alguna manera, la realización de la diligencia de emplazamiento, y el proveído que debe seguir al mismo, en función del natural transcurso de los correspondientes plazos procesales. Es en relación con estos sencillos trámites donde se produce la paralización del procedimiento. En segundo lugar, debe considerarse la propia conducta de la demandante de amparo, la cual cumplió diligentemente con sus cometidos procesales, incluso requiriendo con reiteración al órgano judicial mediante la presentación de sucesivos escritos a los efectos que cesara el estado de paralización que estaba sufriendo dicho procedimiento, siendo única y exclusivamente atribuible la dilación producida, como queda evidenciado, al órgano judicial, pues a él y solamente a él competía llevar a cabo la práctica de la diligencia de emplazamiento, y dictar el correspondiente proveído, en función de la respuesta procesal efectuada, en su caso, por la parte demandada en la causa. La dilación sufrida no puede, consiguientemente, y en modo alguno imputarse a la conducta manifestada por la recurrente, que como ha quedado dicho, le es de todo punto ajena. En tercer lugar, y por lo que hace a la conducta del órgano judicial, resulta evidente su incidencia sobre la producción de la dilación, según queda ya explicitado, como se manifiesta en el retraso producido tanto en la práctica de la diligencia de emplazamiento, como en el proveído de su resultado . [FF.JJ. 4, 6, 7 y 8]</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lastRenderedPageBreak/>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2.571/95, promovido por Texpor 2.001, S.A., representada por la Procuradora de los Tribunales doña María del Carmen Moreno Ramos, y asistida por la Letrada doña María Teresa García Colado en relación con las dilaciones indebidas sufridas en el procedimiento de juicio de menor cuantía 504/93, seguido ante el Juzgado de Primera Instancia núm.2 de Arganda del Rey (Madrid). Ha intervenido el Ministerio Fiscal. Ha sido Ponente el Magistrado don Enrique Ruiz Vadillo,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Por escrito registrado en este Tribunal el 10 de julio de 1995, doña María del Carmen Moreno Ramos, Procuradora de los Tribunales en nombre y representación de Texpor 2.001,S.A., interpone recurso de amparo en relación con las dilaciones indebidas sufridas en el procedimiento de juicio de menor cuantía 504/93, seguido ante el Juzgado de Primera Instancia núm. 2 de Arganda del Rey (Madrid).</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hechos en los que se fundamenta la demanda son, sucintamente expuestos, los siguientes : </w:t>
      </w:r>
    </w:p>
    <w:p w:rsidR="008107C7" w:rsidRDefault="008107C7" w:rsidP="008107C7">
      <w:pPr>
        <w:pStyle w:val="TextoNormal"/>
      </w:pPr>
      <w:r>
        <w:t xml:space="preserve">a) El día 23 de septiembre de 1993 por la recurrente en amparo se formuló demanda de juicio de menor cuantía contra Laundry Express Service,S.A., en reclamación de la cantidad de 1.156.000 pesetas. </w:t>
      </w:r>
    </w:p>
    <w:p w:rsidR="008107C7" w:rsidRDefault="008107C7" w:rsidP="008107C7">
      <w:pPr>
        <w:pStyle w:val="TextoNormal"/>
      </w:pPr>
      <w:r>
        <w:t xml:space="preserve">b) La tramitación de dicha demanda correspondió al Juzgado de Primera Instancia núm. 2 de Arganda del Rey (Madrid), siéndole asignado el número de procedimiento 504/93. </w:t>
      </w:r>
    </w:p>
    <w:p w:rsidR="008107C7" w:rsidRDefault="008107C7" w:rsidP="008107C7">
      <w:pPr>
        <w:pStyle w:val="TextoNormal"/>
      </w:pPr>
      <w:r>
        <w:t xml:space="preserve">c) En fecha 6 de junio de 1994 se procedió a emplazar a la demandada, sin que a la fecha de la presentación del presente recurso de amparo se haya proveído, bien la rebeldía de la parte demandada, o bien la contestación, o en su caso, cualquier otro comportamiento procesal a que haya dado lugar dicha parte procesal. </w:t>
      </w:r>
    </w:p>
    <w:p w:rsidR="008107C7" w:rsidRDefault="008107C7" w:rsidP="008107C7">
      <w:pPr>
        <w:pStyle w:val="TextoNormal"/>
      </w:pPr>
      <w:r>
        <w:t>d) En fechas de 16 de noviembre de 1994, 24 de febrero, 4 de abril y 9 de junio de 1995, por la solicitante de amparo se presentaron escritos al órgano judicial, denunciando las dilaciones indebidas que se estaban produciendo en la causa, sin que los mismos hayan sido proveídos a la interposición de la presente demanda.</w:t>
      </w:r>
    </w:p>
    <w:p w:rsidR="008107C7" w:rsidRDefault="008107C7" w:rsidP="008107C7">
      <w:pPr>
        <w:pStyle w:val="TextoNormal"/>
      </w:pPr>
    </w:p>
    <w:p w:rsidR="008107C7" w:rsidRDefault="008107C7" w:rsidP="008107C7">
      <w:pPr>
        <w:pStyle w:val="TextoNormal"/>
      </w:pPr>
      <w:r w:rsidRPr="008107C7">
        <w:rPr>
          <w:rStyle w:val="NumeroAFNegritaCaracter"/>
        </w:rPr>
        <w:t>3</w:t>
      </w:r>
      <w:r>
        <w:t>. Ante el estado que presenta este procedimiento judicial, se interpone por la recurrente recurso de amparo, interesando se declare la vulneración de su derecho constitucional a un procedimiento sin dilaciones indebidas, y que se restablezca por el Tribunal Constitucional dicho derecho fundamental, ordenando o requiriendo el inmediato cese de dicha situación, continuando la tramitación de dicho procedimiento judicial. En la demanda se aduce vulneración del art.24.2 C.E., como consecuencia de la evidente paralización en la tramitación del procedimiento a que se ha hecho referencia.</w:t>
      </w:r>
    </w:p>
    <w:p w:rsidR="008107C7" w:rsidRDefault="008107C7" w:rsidP="008107C7">
      <w:pPr>
        <w:pStyle w:val="TextoNormal"/>
      </w:pPr>
    </w:p>
    <w:p w:rsidR="008107C7" w:rsidRDefault="008107C7" w:rsidP="008107C7">
      <w:pPr>
        <w:pStyle w:val="TextoNormal"/>
      </w:pPr>
      <w:r w:rsidRPr="008107C7">
        <w:rPr>
          <w:rStyle w:val="NumeroAFNegritaCaracter"/>
        </w:rPr>
        <w:t>4</w:t>
      </w:r>
      <w:r>
        <w:t>. Por providencia de 9 de mayo de 1996, la Sección acordó admitir a trámite la demanda, y a tenor de lo dispuesto en el art. 51 LOTC, se ordenó requerir al Juzgado de Primera Instancia núm. 2 de Arganda del Rey (Madrid) para que en el término de diez días remitiera testimonio de todas las actuaciones, y procediera al emplazamiento ante este Tribunal de cuantos hubieran sido parte en el procedimiento judicial antecedente.</w:t>
      </w:r>
    </w:p>
    <w:p w:rsidR="008107C7" w:rsidRDefault="008107C7" w:rsidP="008107C7">
      <w:pPr>
        <w:pStyle w:val="TextoNormal"/>
      </w:pPr>
    </w:p>
    <w:p w:rsidR="008107C7" w:rsidRDefault="008107C7" w:rsidP="008107C7">
      <w:pPr>
        <w:pStyle w:val="TextoNormal"/>
      </w:pPr>
      <w:r w:rsidRPr="008107C7">
        <w:rPr>
          <w:rStyle w:val="NumeroAFNegritaCaracter"/>
        </w:rPr>
        <w:t>5</w:t>
      </w:r>
      <w:r>
        <w:t>. Por providencia de 8 de julio de 1996, se decidió dar vista de los testimonios recibidos, por plazo común de veinte días, al Ministerio Fiscal y a la Procuradora de los Tribunales de la ahora recurrente en amparo, para que dentro del expresado término, formularan las alegaciones que a su derecho convinieran.</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El Ministerio Fiscal presentó su escrito ante este Tribunal el día 2 de septiembre de 1996, conteniendo en síntesis las siguientes alegaciones : </w:t>
      </w:r>
    </w:p>
    <w:p w:rsidR="008107C7" w:rsidRDefault="008107C7" w:rsidP="008107C7">
      <w:pPr>
        <w:pStyle w:val="TextoNormal"/>
      </w:pPr>
      <w:r>
        <w:t xml:space="preserve">a) Aun cuando en la demanda de amparo se invoca en algún momento el derecho a la tutela judicial efectiva, es obvio que la razón de ser y el núcleo de la reclamación constitucional gira en torno a la invocación del derecho a un proceso sin dilaciones indebidas basando su vulneración en la inactividad procesal del Juzgado de Primera Instancia núm. 2 de Arganda del Rey ante el que se denunciaron repetidamente los retrasos padecidos, sin que las peticiones en este sentido fueran fructuosas. </w:t>
      </w:r>
    </w:p>
    <w:p w:rsidR="008107C7" w:rsidRDefault="008107C7" w:rsidP="008107C7">
      <w:pPr>
        <w:pStyle w:val="TextoNormal"/>
      </w:pPr>
      <w:r>
        <w:t xml:space="preserve">b) A este respecto y desde la STC 24/1981, el Tribunal Constitucional estableció una serie de criterios acordes con los elaborados por el T.E.D.H., en torno al art. 6.1º del Convenio para la Protección de los Derechos Humanos y de las Libertades Fundamentales que, de modo equivalente, reconoce a toda persona el derecho a que su causa sea oída en un plazo razonable. </w:t>
      </w:r>
    </w:p>
    <w:p w:rsidR="008107C7" w:rsidRDefault="008107C7" w:rsidP="008107C7">
      <w:pPr>
        <w:pStyle w:val="TextoNormal"/>
      </w:pPr>
      <w:r>
        <w:t xml:space="preserve">La jurisprudencia posterior, contemplando una amplia variedad de supuestos, ha configurado y perfilado cada uno de esos criterios, lo que no ha sido óbice para que hayan permanecido inalterables en los sucesivos fallos (SSTC 36/1984, 83/1989, 85/1990, 10/1991, 215/1992, 179/1993, 313/1993, 64/1994, 7/1995 y 144/1995, entre otras). Estos viene referidos a las siguientes variables: 1. Complejidad del litigio en trámite; 2. Duración de procesos similares; 3. Actuación del órgano judicial y de la parte; 4. Invocación en el proceso de las dilaciones para dar al Juzgado o Tribunal la oportunidad de subsanarlas. </w:t>
      </w:r>
    </w:p>
    <w:p w:rsidR="008107C7" w:rsidRDefault="008107C7" w:rsidP="008107C7">
      <w:pPr>
        <w:pStyle w:val="TextoNormal"/>
      </w:pPr>
      <w:r>
        <w:t xml:space="preserve">c) Las actuaciones recabadas del Juzgado por la Sala del Tribunal Constitucional revelan la secuencia temporal del proceso, que, incoándose en septiembre de 1993, no ha concluido aún en junio de 1996, en que se dicta una providencia el día 18, uniendo a los autos las pruebas practicadas, y convocando a las partes a la comparecencia prevista en el art.701 de la L.E.C. </w:t>
      </w:r>
    </w:p>
    <w:p w:rsidR="008107C7" w:rsidRDefault="008107C7" w:rsidP="008107C7">
      <w:pPr>
        <w:pStyle w:val="TextoNormal"/>
      </w:pPr>
      <w:r>
        <w:t xml:space="preserve">El estudio pormenorizado de los tiempos procesales, algo más de tres años de duración, revela, sin embargo, la existencia de numerosos tiempos muertos de no tramitación. Así, nótese que, para emplazar al demandado, es preciso que, después de acordarla el Juzgado en un primer momento, se tenga que recordar al mismo su falta de práctica cinco meses después (escrito de 8 de febrero de 1994). Una vez que el emplazamiento resulta vano, lo que no hubiera ocurrido si se hubiera hecho cuando se acordó, ya que la demandada se ausentó en el intermedio, se interesa por la demandante el emplazamiento en el representante legal, lo que la misma parte se encarga de efectuar en los Juzgados de Madrid a través de su Procurador de los Tribunales. </w:t>
      </w:r>
    </w:p>
    <w:p w:rsidR="008107C7" w:rsidRDefault="008107C7" w:rsidP="008107C7">
      <w:pPr>
        <w:pStyle w:val="TextoNormal"/>
      </w:pPr>
      <w:r>
        <w:lastRenderedPageBreak/>
        <w:t xml:space="preserve">d) Sin embargo, lo más relevante de cara al derecho fundamental implicado acaece después, ya que desde junio de 1994 hasta el mismo mes de 1995, el Juzgado permanece completamente pasivo, pese a que la parte presenta hasta cinco escritos denunciando el retraso y solicitando la continuación del juicio por sus trámites legales y es, únicamente, cuando se presenta la demanda de amparo en 3 de julio de 1995 cuando se consigue que el Juzgado dicte providencia en 5 de julio de 1995 declarando la rebeldía de la demandada y abriendo el período de prueba. </w:t>
      </w:r>
    </w:p>
    <w:p w:rsidR="008107C7" w:rsidRDefault="008107C7" w:rsidP="008107C7">
      <w:pPr>
        <w:pStyle w:val="TextoNormal"/>
      </w:pPr>
      <w:r>
        <w:t xml:space="preserve">e) Asimismo resulta infructuosa la medida cautelar de embargo y retención de bienes que el Juzgado intenta en el mismo lugar en que se hizo el emplazamiento inicial (Calle del Pino núm. 15 de Arganda del Rey) lo que abocaba al fracaso de la medida. </w:t>
      </w:r>
    </w:p>
    <w:p w:rsidR="008107C7" w:rsidRDefault="008107C7" w:rsidP="008107C7">
      <w:pPr>
        <w:pStyle w:val="TextoNormal"/>
      </w:pPr>
      <w:r>
        <w:t xml:space="preserve">f) Por último, sorprende que, incluso después de acudirse al Tribunal Constitucional, el Juzgado no provea la petición de prueba hasta el 14 de mayo de 1996 cuando fue solicitada un año antes. </w:t>
      </w:r>
    </w:p>
    <w:p w:rsidR="008107C7" w:rsidRDefault="008107C7" w:rsidP="008107C7">
      <w:pPr>
        <w:pStyle w:val="TextoNormal"/>
      </w:pPr>
      <w:r>
        <w:t xml:space="preserve">g) Haciendo, pues, resumen de tales elementos de juicio y comparándolos con los antedichos baremos de dilación del Tribunal Constitucional y Tribunal Europeo de Derechos Humanos, se infiere que se ha producido un retraso injustificado del proceso que no resulta eliminado por ninguna de las circunstancias siguientes: </w:t>
      </w:r>
    </w:p>
    <w:p w:rsidR="008107C7" w:rsidRDefault="008107C7" w:rsidP="008107C7">
      <w:pPr>
        <w:pStyle w:val="TextoNormal"/>
      </w:pPr>
      <w:r>
        <w:t xml:space="preserve">1) Complejidad del litigio: se trataba de una reclamación de cantidad al amparo del art. 1.124 del Código Civil acompañada de una petición de prueba que comprendía únicamente la confesión judicial y la documental sin período de práctica ya que se acompañaba a la demanda. La pericial solicitada tenía solo carácter subsidiario. </w:t>
      </w:r>
    </w:p>
    <w:p w:rsidR="008107C7" w:rsidRDefault="008107C7" w:rsidP="008107C7">
      <w:pPr>
        <w:pStyle w:val="TextoNormal"/>
      </w:pPr>
      <w:r>
        <w:t xml:space="preserve">2) Duración de procesos similares: la tramitación de un juicio de tal género y simpleza no debe exceder de pocos meses, máxime en un Juzgado de pequeña ciudad y dado el número de registro, de no excesivo trabajo. Obsérvese el núm. de autos 504/93 en el mes de septiembre. </w:t>
      </w:r>
    </w:p>
    <w:p w:rsidR="008107C7" w:rsidRDefault="008107C7" w:rsidP="008107C7">
      <w:pPr>
        <w:pStyle w:val="TextoNormal"/>
      </w:pPr>
      <w:r>
        <w:t xml:space="preserve">3) Actuación de la parte que impetra el amparo: se solicitó reiteradamente la celeridad del proceso, atendió siempre los requerimientos del Juzgado y llevó a cabo de modo personal la única actividad útil como lo fue el emplazamiento del demandado a través de su Procurador de los Tribunales. </w:t>
      </w:r>
    </w:p>
    <w:p w:rsidR="008107C7" w:rsidRDefault="008107C7" w:rsidP="008107C7">
      <w:pPr>
        <w:pStyle w:val="TextoNormal"/>
      </w:pPr>
      <w:r>
        <w:t>4) Actitud del Juzgado: hizo caso omiso tanto a los dictados de la Ley procesal civil, como a las pretensiones de la parte dejando numerosos escritos sin proveer.</w:t>
      </w:r>
    </w:p>
    <w:p w:rsidR="008107C7" w:rsidRDefault="008107C7" w:rsidP="008107C7">
      <w:pPr>
        <w:pStyle w:val="TextoNormal"/>
      </w:pPr>
    </w:p>
    <w:p w:rsidR="008107C7" w:rsidRDefault="008107C7" w:rsidP="008107C7">
      <w:pPr>
        <w:pStyle w:val="TextoNormal"/>
      </w:pPr>
      <w:r w:rsidRPr="008107C7">
        <w:rPr>
          <w:rStyle w:val="NumeroAFNegritaCaracter"/>
        </w:rPr>
        <w:t>7</w:t>
      </w:r>
      <w:r>
        <w:t>. Por escrito registrado el día 31 de julio de 1996, la representación de la solicitante de amparo se ratificó en las manifestaciones contenidas en el escrito de demanda.</w:t>
      </w:r>
    </w:p>
    <w:p w:rsidR="008107C7" w:rsidRDefault="008107C7" w:rsidP="008107C7">
      <w:pPr>
        <w:pStyle w:val="TextoNormal"/>
      </w:pPr>
    </w:p>
    <w:p w:rsidR="008107C7" w:rsidRDefault="008107C7" w:rsidP="008107C7">
      <w:pPr>
        <w:pStyle w:val="TextoNormal"/>
      </w:pPr>
      <w:r w:rsidRPr="008107C7">
        <w:rPr>
          <w:rStyle w:val="NumeroAFNegritaCaracter"/>
        </w:rPr>
        <w:t>8</w:t>
      </w:r>
      <w:r>
        <w:t>. Por providencia de 13 de enero de 1997, se señaló para la deliberación y votación de la presente Sentencia el día 14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Alega la representación de la demandante de amparo haber sufrido una vulneración de su derecho fundamental a un proceso sin dilaciones indebidas (art. 24 C.E.)  como consecuencia del retraso imputable al Juzgado de Primera Instancia núm. 2 de Arganda del Rey (Madrid), en la tramitación de juicio de menor cuantía núm. 504/93, interpuesto por la hoy recurrente en amparo contra la mercantil Laundry Express Service S.A., en reclamación de la cantidad de 1.156.000 pesetas.  La vulneración de tal derecho fundamental se hace derivar del hecho consistente en que, si bien en fecha 23 de septiembre de 1993 se presentó dicha </w:t>
      </w:r>
      <w:r>
        <w:lastRenderedPageBreak/>
        <w:t>demanda, hasta el día 6 de junio de 1994 no se emplazó a a la parte demandada, sin que hasta la fecha de interposición de la presente demanda de amparo, esto es, el día 10 de julio de 1995, se haya procedido por dicho órgano judicial a proveer, bien la contestación a la demanda, bien la situación de rebeldía procesal de la demandada, continuando en cualquier caso con la tramitación de la causa, sin que la parte actora y hoy recurrente en amparo haya tenido noticia alguna, por tanto, de la situación del procedimiento judicial y de las causas que motivaban dicha paralización procesal, pese a los escritos presentados a tal efecto, para que las dilaciones y tal situación de paralización procesal existente cesaran inmediatamente.</w:t>
      </w:r>
    </w:p>
    <w:p w:rsidR="008107C7" w:rsidRDefault="008107C7" w:rsidP="008107C7">
      <w:pPr>
        <w:pStyle w:val="TextoNormal"/>
      </w:pPr>
    </w:p>
    <w:p w:rsidR="008107C7" w:rsidRDefault="008107C7" w:rsidP="008107C7">
      <w:pPr>
        <w:pStyle w:val="TextoNormal"/>
      </w:pPr>
      <w:r w:rsidRPr="008107C7">
        <w:rPr>
          <w:rStyle w:val="NumeroAFNegritaCaracter"/>
        </w:rPr>
        <w:t>2</w:t>
      </w:r>
      <w:r>
        <w:t>. Como ya dijimos en nuestra STC 223/1988, dictada por el Pleno de este Tribunal, el art.  24.2 C.E. reconoce el derecho fundamental a "un proceso sin dilaciones indebidas", en sentido similar a como también lo hacen el art.  14.3c) del Pacto Internacional de Derechos Civiles y Políticos, de 16 de diciembre de 1966, que proclama "el derecho de toda persona acusada de un delito a ser juzgada sin dilaciones indebidas", y el art.  6.1º del C.E.D.H., de 4 de noviembre de 1950, que reconoce que "toda persona tiene derecho a que su causa sea oída... dentro de un plazo razonable" (fundamento jurídico 2º).  Este derecho fundamental, aunque, en una primera aproximación, pudiera entenderse como referido al proceso penal, es invocable en todo tipo de procesos, y ante cualquier clase de Tribunales conforme a una pacífica jurisprudencia (SSTC 18/1983, 47/1987, 149/1987 y 81/1989), si bien en el derecho procesal penal, al estar comprometido el derecho a la libertad, el celo del juzgador ha de ser siempre mayor a la hora de erradicar las dilaciones indebidas.</w:t>
      </w:r>
    </w:p>
    <w:p w:rsidR="008107C7" w:rsidRDefault="008107C7" w:rsidP="008107C7">
      <w:pPr>
        <w:pStyle w:val="TextoNormal"/>
      </w:pPr>
    </w:p>
    <w:p w:rsidR="008107C7" w:rsidRDefault="008107C7" w:rsidP="008107C7">
      <w:pPr>
        <w:pStyle w:val="TextoNormal"/>
      </w:pPr>
      <w:r w:rsidRPr="008107C7">
        <w:rPr>
          <w:rStyle w:val="NumeroAFNegritaCaracter"/>
        </w:rPr>
        <w:t>3</w:t>
      </w:r>
      <w:r>
        <w:t>. La determinación de cuándo una dilación procesal es indebida en el sentido del art.  24.2 C.E., es una tarea que reviste una cierta complejidad, toda vez que, como se ha entendido, no toda infracción de los plazos procesales constituye un supuesto de vulneración de este derecho fundamental, lo que ni siquiera se ha de dar siempre que el proceso tenga una duración anormal (STC 205/1994). Ello es así por cuanto que, como ya se dijo en la STC 21/1981, fundamento jurídico 1º, "los derechos fundamentales responden a un sistema de valores, que asumidos como decisión constitucional básica, han de informar todo el ordenamiento jurídico".  De aquí que no toda infracción de los plazos procesales implique una vulneración del derecho fundamental a un proceso sin dilaciones indebidas, sino que éstas existirán sólo en la medida en que tal infracción procesal afecte a los referidos valores constitucionales.</w:t>
      </w:r>
    </w:p>
    <w:p w:rsidR="008107C7" w:rsidRDefault="008107C7" w:rsidP="008107C7">
      <w:pPr>
        <w:pStyle w:val="TextoNormal"/>
      </w:pPr>
    </w:p>
    <w:p w:rsidR="008107C7" w:rsidRDefault="008107C7" w:rsidP="008107C7">
      <w:pPr>
        <w:pStyle w:val="TextoNormal"/>
      </w:pPr>
      <w:r w:rsidRPr="008107C7">
        <w:rPr>
          <w:rStyle w:val="NumeroAFNegritaCaracter"/>
        </w:rPr>
        <w:t>4</w:t>
      </w:r>
      <w:r>
        <w:t>. Siguiendo la doctrina sentada por diversos pronunciamientos anteriores, entre los que merecen destacarse las SSTC 36/1984 y 5/1985, la referida STC 223/1988 declara que la expresión "sin dilaciones indebidas" empleada por el art. 24.2º C.E. hace referencia a un concepto indeterminado o abierto "cuyo contenido concreto debe ser obtenido mediante la aplicación a las circunstancias específicas de cada caso, de los criterios objetivos que sean congruentes con su enunciado genérico e identificar, como tales, la complejidad del litigio, los márgenes ordinarios de duración de los litigios del mismo tipo en función de sus propias y específicas dificultades, el interés que en aquél arriesga el demandante de amparo, su conducta procesal y la conducta de las autoridades" (fundamento jurídico 3º).  Esta doctrina ha sido constantemente seguida por numerosos pronunciamientos posteriores (SSTC 28/1989, 81/1989, 215/1992, 69/1993, 179/1993, 197/1993, 313/1993, 144/1995 y 324/1994).</w:t>
      </w:r>
    </w:p>
    <w:p w:rsidR="008107C7" w:rsidRDefault="008107C7" w:rsidP="008107C7">
      <w:pPr>
        <w:pStyle w:val="TextoNormal"/>
      </w:pPr>
      <w:r>
        <w:lastRenderedPageBreak/>
        <w:t>Por otra parte, este derecho se vulnera tanto cuando el tiempo invertido en resolver definitivamente un litigio supera lo razonable, como cuando exista una paralización del procedimiento que por su excesiva duración esté igualmente injustificada y suponga ya, por sí, una alteración del curso del proceso que afecte a los bienes jurídicos que este derecho protege, como se ha estimado en reiteradas ocasiones por este Tribunal (SSTC 133/1988, 7/1995 y 144/1995).</w:t>
      </w:r>
    </w:p>
    <w:p w:rsidR="008107C7" w:rsidRDefault="008107C7" w:rsidP="008107C7">
      <w:pPr>
        <w:pStyle w:val="TextoNormal"/>
      </w:pPr>
    </w:p>
    <w:p w:rsidR="008107C7" w:rsidRDefault="008107C7" w:rsidP="008107C7">
      <w:pPr>
        <w:pStyle w:val="TextoNormal"/>
      </w:pPr>
      <w:r w:rsidRPr="008107C7">
        <w:rPr>
          <w:rStyle w:val="NumeroAFNegritaCaracter"/>
        </w:rPr>
        <w:t>5</w:t>
      </w:r>
      <w:r>
        <w:t>. También debe recordarse que, de la aplicación de los anteriores criterios, "los Jueces y Tribunales deban cumplir su función jurisdiccional de garantizar la libertad, la justicia y la seguridad, con la rapidez que permita la duración normal de los procesos, evitando dilaciones indebidas que quebranten la efectividad de su tutela" (STC 223/1988, fundamento jurídico 7º). Ello debe predicarse aun cuando la dilación se deba a carencias estructurales de la organización judicial, pues no es posible restringir el alcance y contenido de este derecho, dado el lugar que la recta y eficaz administración de justicia ocupa en una sociedad democrática, con base en distinciones sobre el origen de la dilación que el propio precepto constitucional no establece, sino que, por el contrario, hace exigible a los Jueces y Tribunales en cuanto al cumplimiento de su función jurisdiccional, garantizando la libertad, la justicia y la seguridad, con la rapidez que permita la duración normal de los procesos, lo que resulta implícita, pero esto es ya otro problema ajeno a la denuncia suscitada referente a la existencia de dilación indebida, en relación a la cuestión relativa a la dotación a los órganos judiciales de los necesarios medios personales y materiales (vid. SSTC 36/1984, 223/1988, 50/1989, 81/1989 y 35/1994).</w:t>
      </w:r>
    </w:p>
    <w:p w:rsidR="008107C7" w:rsidRDefault="008107C7" w:rsidP="008107C7">
      <w:pPr>
        <w:pStyle w:val="TextoNormal"/>
      </w:pPr>
    </w:p>
    <w:p w:rsidR="008107C7" w:rsidRDefault="008107C7" w:rsidP="008107C7">
      <w:pPr>
        <w:pStyle w:val="TextoNormal"/>
      </w:pPr>
      <w:r w:rsidRPr="008107C7">
        <w:rPr>
          <w:rStyle w:val="NumeroAFNegritaCaracter"/>
        </w:rPr>
        <w:t>6</w:t>
      </w:r>
      <w:r>
        <w:t>. La aplicación de la doctrina antes expuesta debe conducir a la estimación del presente recurso de amparo. En primer lugar, y por lo que hace a la complejidad del litigio, debe tenerse particularmente en cuenta el momento procesal en el que el procedimiento judicial se encontraba detenido. En efecto, de los hechos descritos en la demanda de amparo se infiere que la paralización producida no puede imputarse a la complejidad del mismo, pues en el procedimiento sólo existe un demandado, sin que quede acreditada la concurrencia de circunstancias especiales que hayan dificultado, en alguna manera, la realización de la diligencia de emplazamiento, y el proveído que debe seguir al mismo, en función del natural transcurso de los correspondientes plazos procesales. Es en relación con estos sencillos trámites donde se produce la paralización del procedimiento.</w:t>
      </w:r>
    </w:p>
    <w:p w:rsidR="008107C7" w:rsidRDefault="008107C7" w:rsidP="008107C7">
      <w:pPr>
        <w:pStyle w:val="TextoNormal"/>
      </w:pPr>
      <w:r>
        <w:t>Por ello, conviene tomar en consideración, pues tiene incidencia en la respuesta que debamos dar a la cuestión planteada por la presente demanda de amparo, que, en definitiva, la paralización del proceso generadora de la vulneración denunciada se produce en un momento procesal en el que las actuaciones que han de realizarse no revisten la menor complejidad, al ser de mero trámite procesal.</w:t>
      </w:r>
    </w:p>
    <w:p w:rsidR="008107C7" w:rsidRDefault="008107C7" w:rsidP="008107C7">
      <w:pPr>
        <w:pStyle w:val="TextoNormal"/>
      </w:pPr>
    </w:p>
    <w:p w:rsidR="008107C7" w:rsidRDefault="008107C7" w:rsidP="008107C7">
      <w:pPr>
        <w:pStyle w:val="TextoNormal"/>
      </w:pPr>
      <w:r w:rsidRPr="008107C7">
        <w:rPr>
          <w:rStyle w:val="NumeroAFNegritaCaracter"/>
        </w:rPr>
        <w:t>7</w:t>
      </w:r>
      <w:r>
        <w:t xml:space="preserve">. En segundo lugar, debe considerarse la propia conducta de la demandante de amparo, la cual cumplió diligentemente con sus cometidos procesales, incluso requiriendo con reiteración al órgano judicial mediante la presentación de sucesivos escritos de fechas 16 de noviembre de 1994, 24 de febrero, 4 de abril y 9 de junio de 1995, a los efectos que cesara el estado de paralización que estaba sufriendo dicho procedimiento, siendo única y exclusivamente atribuible la dilación producida, como queda evidenciado, al órgano judicial, pues a él y solamente a él competía llevar a cabo la práctica de la diligencia de emplazamiento, y dictar el correspondiente proveído, en función de la respuesta procesal efectuada, en su </w:t>
      </w:r>
      <w:r>
        <w:lastRenderedPageBreak/>
        <w:t>caso, por la parte demandada en la causa.  La dilación sufrida no puede, consiguientemente, y en modo alguno imputarse a la conducta manifestada por la recurrente, que como ha quedado dicho, le es de todo punto ajena.</w:t>
      </w:r>
    </w:p>
    <w:p w:rsidR="008107C7" w:rsidRDefault="008107C7" w:rsidP="008107C7">
      <w:pPr>
        <w:pStyle w:val="TextoNormal"/>
      </w:pPr>
    </w:p>
    <w:p w:rsidR="008107C7" w:rsidRDefault="008107C7" w:rsidP="008107C7">
      <w:pPr>
        <w:pStyle w:val="TextoNormal"/>
      </w:pPr>
      <w:r w:rsidRPr="008107C7">
        <w:rPr>
          <w:rStyle w:val="NumeroAFNegritaCaracter"/>
        </w:rPr>
        <w:t>8</w:t>
      </w:r>
      <w:r>
        <w:t>. En tercer lugar, y por lo que hace a la conducta del órgano judicial, resulta evidente su incidencia sobre la producción de la dilación, según queda ya explicitado, como se manifiesta en el retraso producido tanto en la práctica de la diligencia de emplazamiento, como en el proveído de su resultado.</w:t>
      </w:r>
    </w:p>
    <w:p w:rsidR="008107C7" w:rsidRDefault="008107C7" w:rsidP="008107C7">
      <w:pPr>
        <w:pStyle w:val="TextoNormal"/>
      </w:pPr>
      <w:r>
        <w:t>Hay que tener presente en relación con el primero de estos aspectos, que si bien la demanda se presenta ante el órgano judicial el día 23 de septiembre de 1993, la diligencia de emplazamiento no se practica hasta la fecha del 6 de junio de 1994, es decir, hasta ocho meses después de presentado dicho escrito de demanda.</w:t>
      </w:r>
    </w:p>
    <w:p w:rsidR="008107C7" w:rsidRDefault="008107C7" w:rsidP="008107C7">
      <w:pPr>
        <w:pStyle w:val="TextoNormal"/>
      </w:pPr>
      <w:r>
        <w:t>Con relación al segundo, el art. 681 L.E.C., establece que el plazo de duración del emplazamiento efectuado al demandado es de veinte días improrrogables; por ello, si dicha diligencia tuvo lugar el citado día 6 de junio de 1994, desde esa fecha hasta el momento de presentación del presente recurso de amparo, esto es, el día 10 de julio de 1995, habían transcurrido doce meses, a partir del proveído procesalmente exigible que debería haberse dictado en su momento.</w:t>
      </w:r>
    </w:p>
    <w:p w:rsidR="008107C7" w:rsidRDefault="008107C7" w:rsidP="008107C7">
      <w:pPr>
        <w:pStyle w:val="TextoNormal"/>
      </w:pPr>
      <w:r>
        <w:t>Este dilatado período de tiempo de paralización no se corresponde con los parámetros normales por los que discurre la tramitación de un procedimiento de juicio de menor cuantía, de conocimiento notorio, en lo que se refiere a estas fases del proceso, en la que corresponde la realización de actuaciones de tan escasa complejidad como las que se vieron demoradas, con lo que puede afirmarse que se han rebasado "los márgenes ordinarios de duración de los litigios del mismo tipo (STC 223/1988, fundamento jurídico 3º). Por ello, ha de protegerse la expectativa de toda parte en el proceso relativa a que su litigio se resuelva, conforme a la secuencia de trámites procesales establecida, dentro del margen temporal que, para ese tipo de asuntos, venga siendo el adecuado en función de su naturaleza y complejidad (SSTC 180/1996 y 181/1996).</w:t>
      </w:r>
    </w:p>
    <w:p w:rsidR="008107C7" w:rsidRDefault="008107C7" w:rsidP="008107C7">
      <w:pPr>
        <w:pStyle w:val="TextoNormal"/>
      </w:pPr>
    </w:p>
    <w:p w:rsidR="008107C7" w:rsidRDefault="008107C7" w:rsidP="008107C7">
      <w:pPr>
        <w:pStyle w:val="TextoNormal"/>
      </w:pPr>
      <w:r w:rsidRPr="008107C7">
        <w:rPr>
          <w:rStyle w:val="NumeroAFNegritaCaracter"/>
        </w:rPr>
        <w:t>9</w:t>
      </w:r>
      <w:r>
        <w:t>. Todo ello nos mueve a estimar que "el plazo de inactividad procesal transcurrido no está justificado, siendo, en consecuencia, no razonable" (STC 144/1995), por lo que debe apreciarse y declararse que en la tramitación del juicio de menor cuantía, objeto de las presentes actuaciones se produjo un supuesto de vulneración del derecho fundamental a un proceso sin dilaciones indebidas (art. 24.2 C.E.), con independencia de que, con posterioridad, hayan podido tener lugar otras actuaciones procesales, lo que ha de conducir al consiguiente otorgamiento del amparo solicitado.</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CONCEDE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Otorgar el amparo solicitado por Texpor 2.001 S.A. y, en su virtud:</w:t>
      </w:r>
    </w:p>
    <w:p w:rsidR="008107C7" w:rsidRDefault="008107C7" w:rsidP="008107C7">
      <w:pPr>
        <w:pStyle w:val="TextoNormal"/>
      </w:pPr>
      <w:r>
        <w:t>1º. Reconocer el derecho de la solicitante de amparo a un proceso sin dilaciones indebidas.</w:t>
      </w:r>
    </w:p>
    <w:p w:rsidR="008107C7" w:rsidRDefault="008107C7" w:rsidP="008107C7">
      <w:pPr>
        <w:pStyle w:val="TextoNormal"/>
      </w:pPr>
      <w:r>
        <w:lastRenderedPageBreak/>
        <w:t>2º.  Requerir al Juzgado de Primera Instancia núm. 2 de Arganda del Rey (Madrid) para que proceda a la inmediata tramitación de los autos 504/93 hasta su pronta terminación.</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catorce de enero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14" w:name="SENTENCIA_1997_11"/>
      <w:r>
        <w:lastRenderedPageBreak/>
        <w:t>SENTENCIA 11/1997, de 27 de enero de 1997</w:t>
      </w:r>
    </w:p>
    <w:bookmarkEnd w:id="14"/>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49, de 26 de febrero de 1997)</w:t>
      </w:r>
    </w:p>
    <w:p w:rsidR="008107C7" w:rsidRDefault="008107C7" w:rsidP="008107C7">
      <w:pPr>
        <w:pStyle w:val="TtuloBOE"/>
      </w:pPr>
    </w:p>
    <w:p w:rsidR="008107C7" w:rsidRDefault="008107C7" w:rsidP="008107C7">
      <w:pPr>
        <w:pStyle w:val="SntesisDescriptiva"/>
      </w:pPr>
      <w:r>
        <w:t>ECLI:ES:TC:1997:11</w:t>
      </w:r>
    </w:p>
    <w:p w:rsidR="008107C7" w:rsidRDefault="008107C7" w:rsidP="008107C7">
      <w:pPr>
        <w:pStyle w:val="SntesisDescriptiva"/>
      </w:pPr>
    </w:p>
    <w:p w:rsidR="008107C7" w:rsidRDefault="008107C7" w:rsidP="008107C7">
      <w:pPr>
        <w:pStyle w:val="SntesisDescriptiva"/>
      </w:pPr>
      <w:r>
        <w:t>Recurso de amparo 2.935/1993. Contra Auto de la Audiencia Provincial de Castellón desestimando recurso de queja interpuesto contra Autos del Juzgado de Instrucción núm. 1 de la misma ciudad que denegaba al hoy recurrente a defenderse por si mismo en el procedimiento abreviado seguido por delito relativo a objeción de conciencia.</w:t>
      </w:r>
    </w:p>
    <w:p w:rsidR="008107C7" w:rsidRDefault="008107C7" w:rsidP="008107C7">
      <w:pPr>
        <w:pStyle w:val="SntesisDescriptiva"/>
      </w:pPr>
    </w:p>
    <w:p w:rsidR="008107C7" w:rsidRDefault="008107C7" w:rsidP="008107C7">
      <w:pPr>
        <w:pStyle w:val="SntesisAnaltica"/>
      </w:pPr>
      <w:r>
        <w:t>Supuesta vulneración del derecho a la defensa: contenido del derecho a defenderse por sí mismo.</w:t>
      </w:r>
    </w:p>
    <w:p w:rsidR="008107C7" w:rsidRDefault="008107C7" w:rsidP="008107C7">
      <w:pPr>
        <w:pStyle w:val="SntesisAnaltica"/>
      </w:pPr>
    </w:p>
    <w:p w:rsidR="008107C7" w:rsidRDefault="008107C7" w:rsidP="008107C7">
      <w:pPr>
        <w:pStyle w:val="Extracto"/>
      </w:pPr>
      <w:r>
        <w:t>1.</w:t>
      </w:r>
      <w:r>
        <w:tab/>
        <w:t>El presente proceso de amparo resulta en todo similar -por su objeto, por las alegaciones de las partes y por el derecho fundamental invocado- a la STC 29/1995, cuya doctrina es de entera aplicación al caso que ahora nos ocupa, sin que concurra ninguna circunstancia que obligue a modificar la fundamentación en ella contenida y la decisión allí alcanzada a la que nos remitimos . [F.J. único]</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2.935/93, interpuesto por don Javier Sebastián Redo Banzo contra el Auto de la Sección Primera de la Audiencia Provincial de Castellón, dictado el 21 de julio de 1993, que desestimaba el recurso de queja interpuesto contra Autos del Juzgado de Instrucción núm. 1 de Castellón en que se denegaba al hoy recurrente defenderse por sí mismo en el procedimiento abreviado núm. 36/92, seguido por delito relativo a la objeción de conciencia. Ha intervenido el Ministerio Fiscal. Ha sido Ponente el Magistrado don Carles Viver Pi-Sunyer, quien expresa el parecer de la Sala.</w:t>
      </w:r>
    </w:p>
    <w:p w:rsidR="008107C7" w:rsidRDefault="008107C7" w:rsidP="008107C7">
      <w:pPr>
        <w:pStyle w:val="TextoNormal"/>
      </w:pPr>
    </w:p>
    <w:p w:rsidR="008107C7" w:rsidRDefault="008107C7" w:rsidP="008107C7">
      <w:pPr>
        <w:pStyle w:val="TextoNormalNegritaCentrado"/>
        <w:keepNext/>
      </w:pPr>
      <w:r>
        <w:lastRenderedPageBreak/>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Por medio de escrito registrado en este Tribunal el 6 de octubre de 1993, doña Teresa Castro Rodríguez, Procuradora de los Tribunales y de don Javier Sebastián Redo Banzo, interpone recurso de amparo contra los Autos citados en el encabezamiento.</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La demanda se basa, en síntesis, en los hechos siguientes: </w:t>
      </w:r>
    </w:p>
    <w:p w:rsidR="008107C7" w:rsidRDefault="008107C7" w:rsidP="008107C7">
      <w:pPr>
        <w:pStyle w:val="TextoNormal"/>
      </w:pPr>
      <w:r>
        <w:t xml:space="preserve">a) Con fecha 2 de julio de 1991 se incoaron por el Juzgado Togado Militar Territorial núm. 16 de Valencia diligencias previas contra el hoy recurrente en amparo por un delito de no incorporación a la unidad militar a que estaba destinado, el Regimiento de Infantería Tetuán núm. 14, de guarnición en Castellón. </w:t>
      </w:r>
    </w:p>
    <w:p w:rsidR="008107C7" w:rsidRDefault="008107C7" w:rsidP="008107C7">
      <w:pPr>
        <w:pStyle w:val="TextoNormal"/>
      </w:pPr>
      <w:r>
        <w:t xml:space="preserve">b) Por Auto de 5 de febrero de 1992, el Juzgado Togado Territorial se inhibió del conocimiento de la causa en favor del Juzgado de Instrucción núm. 1 de Castellón, lo que es admitido por dicho Juzgado mediante Auto de 5 de marzo de 1992, en el que, además, se dispuso la continuación de la causa por las normas del procedimiento abreviado y la remisión de las diligencias al Ministerio Fiscal a fin de proceder a formular escrito de acusación o solicitar lo que estimara pertinente. El Fiscal interesó la apertura de juicio oral, entendiendo que los hechos podrían ser constitutivos de un delito del art. 127 del Código Penal Militar (negativa a cumplir el servicio militar). </w:t>
      </w:r>
    </w:p>
    <w:p w:rsidR="008107C7" w:rsidRDefault="008107C7" w:rsidP="008107C7">
      <w:pPr>
        <w:pStyle w:val="TextoNormal"/>
      </w:pPr>
      <w:r>
        <w:t xml:space="preserve">c) Con fecha 8 de abril de 1992, el Juzgado de Instrucción dictó Auto de apertura de juicio oral, emplazando al actor para que designara Abogado y Procurador. El 4 de mayo de 1992 comparece el Sr. Redo y designa como Letrado a don Virgilio Latorre Latorre y solicita que se le designe Procurador de oficio, lo que se hizo en la persona de don Luis Serrano Bigue. </w:t>
      </w:r>
    </w:p>
    <w:p w:rsidR="008107C7" w:rsidRDefault="008107C7" w:rsidP="008107C7">
      <w:pPr>
        <w:pStyle w:val="TextoNormal"/>
      </w:pPr>
      <w:r>
        <w:t xml:space="preserve">d) Con fecha 11 de junio de 1992, se dictó providencia por el Juzgado de Instrucción núm. 1 de Castellón, por la que se daba traslado a la defensa del inculpado, hoy recurrente en amparo, al efecto de presentar en el plazo de cinco días escrito de calificación, mostrando su conformidad o disconformidad con la acusación. </w:t>
      </w:r>
    </w:p>
    <w:p w:rsidR="008107C7" w:rsidRDefault="008107C7" w:rsidP="008107C7">
      <w:pPr>
        <w:pStyle w:val="TextoNormal"/>
      </w:pPr>
      <w:r>
        <w:t xml:space="preserve">Por escrito deducido por el actor el 29 de junio de 1992 se procedió -sin entrar a cumplimentar el trámite conferido para presentar escrito de defensa- a solicitar que se reconociera al acusado el derecho a defenderse por sí mismo, y que, le fuera dado traslado, acto seguido, de las actuaciones, al efecto de que pudiera proponer las pruebas que considerara pertinentes para su defensa; recabando así mismo del Instructor que removiera los obstáculos que impiden el pleno ejercicio de tal derecho. </w:t>
      </w:r>
    </w:p>
    <w:p w:rsidR="008107C7" w:rsidRDefault="008107C7" w:rsidP="008107C7">
      <w:pPr>
        <w:pStyle w:val="TextoNormal"/>
      </w:pPr>
      <w:r>
        <w:t xml:space="preserve">e) En respuesta a dicho escrito el Instructor dictó Auto de fecha 3 de julio de 1992, por el cual se acordaba no haber lugar a autorizar que el acusado ejercitara por sí mismo su defensa y se ordenaba hacer entrega de las actuaciones a la representación del mismo para que formulase escrito de conformidad o disconformidad con la acusación. </w:t>
      </w:r>
    </w:p>
    <w:p w:rsidR="008107C7" w:rsidRDefault="008107C7" w:rsidP="008107C7">
      <w:pPr>
        <w:pStyle w:val="TextoNormal"/>
      </w:pPr>
      <w:r>
        <w:t xml:space="preserve">Contra dicho Auto se interpuso por la representación del inculpado recurso de reforma, alegando vulneración del derecho reconocido en el art. 6.3 c) del Convenido Europeo para la Protección de los Derechos Humanos y las Libertades Fundamentales, que reconoce el derecho de todo inculpado a defenderse por sí mismo y a interrogar a los testigos. El citado recurso fue resuelto por Auto de fecha 21 de septiembre de 1992, en el sentido de declarar no haber lugar a lo solicitado por la defensa del inculpado en escrito de 29 de junio de 1992, con los fundamentos que constan en el mismo. </w:t>
      </w:r>
    </w:p>
    <w:p w:rsidR="008107C7" w:rsidRDefault="008107C7" w:rsidP="008107C7">
      <w:pPr>
        <w:pStyle w:val="TextoNormal"/>
      </w:pPr>
      <w:r>
        <w:t xml:space="preserve">f) Contra dicha resolución se interpuso recurso de queja ante la Audiencia Provincial de Castellón, reiterando la primitiva fundamentación. La queja fue resuelta por Auto dictado </w:t>
      </w:r>
      <w:r>
        <w:lastRenderedPageBreak/>
        <w:t>por la Sección Primera de la Audiencia Provincial de Castellón, de fecha 21 de julio de 1993, en el que se rechazaban las tesis del actor y se confirmaban los Autos recurridos.</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La representación del recurrente estima que las resoluciones mencionadas vulneran el derecho a la defensa en su modalidad de "derecho a defenderse por sí mismo", reconocido, dice, en el art. 24.2 C.E. Alega al respecto, que en las sucesivas peticiones que han precedido a esta demanda ha razonado su derecho a defenderse por sí mismo de la acusación de haber cometido un delito relativo a la objeción de conciencia, y que dicho derecho es una posibilidad u opción en favor del sometido a un proceso penal, incluida en el derecho a la defensa que protege el art. 24.2 C.E- y el art. 6.3 c) del Convenio Europeo para la Protección de los Derechos Humanos y las Libertades Fundamentales, de 4 de noviembre de 1950, y ratificado por España en 1979. </w:t>
      </w:r>
    </w:p>
    <w:p w:rsidR="008107C7" w:rsidRDefault="008107C7" w:rsidP="008107C7">
      <w:pPr>
        <w:pStyle w:val="TextoNormal"/>
      </w:pPr>
      <w:r>
        <w:t xml:space="preserve">Por otra parte, y rebatiendo los argumentos vertidos en los fundamentos de Derecho y razonamientos jurídicos de los Autos impugnados (significativamente los del Auto de la Audiencia Provincial), señala que, efectivamente, la autodefensa no es un derecho absoluto y sin límites, sino que por el contrario la posibilidad de su ejercicio deberá ser valorada de forma casuística, argumento que no pugna con la pretensión de esta parte, sino que más bien encaja con la cuestión de fondo que en este proceso se ha venido planteando; es decir, la propia naturaleza del delito que se ha de enjuiciar (abandono de la prestación social sustitutoria), que lo hace especialmente idóneo para ejercitar la autodefensa, y es más, convierte en innecesarias las alegaciones defensivas de orden técnico-jurídico. En efecto, es prescindible la defensa técnica en los casos en que, como en el presente, la discusión se reduce a la expresión por el inculpado - y por nadie más que él- de las motivaciones éticas y de conciencia que le han conducido a tomar la decisión de desobediencia en que consiste el delito que se le imputa. No necesita en estos casos el inculpado intermediario entre él mismo y el órgano judicial, no existiendo complejidad alguna en la discusión procesal, que se reduce a la constatación formal de la no presentación para el cumplimiento del servicio civil. No puede hablarse, pues, en este tipo de procesos, ni de falta de capacidad del inculpado que le reste posibilidades de defensa (la expresión de los motivos de conciencia es la única defensa), ni complejidades procesales ni sustantivas que hagan imposible el ejercicio por el acusado de su derecho de autodefenderse. </w:t>
      </w:r>
    </w:p>
    <w:p w:rsidR="008107C7" w:rsidRDefault="008107C7" w:rsidP="008107C7">
      <w:pPr>
        <w:pStyle w:val="TextoNormal"/>
      </w:pPr>
      <w:r>
        <w:t>Por todo ello, solicita de este Tribunal que otorgue el amparo y anule los Autos impugnados. Por otrosí solicita la suspensión del curso del proceso.</w:t>
      </w:r>
    </w:p>
    <w:p w:rsidR="008107C7" w:rsidRDefault="008107C7" w:rsidP="008107C7">
      <w:pPr>
        <w:pStyle w:val="TextoNormal"/>
      </w:pPr>
    </w:p>
    <w:p w:rsidR="008107C7" w:rsidRDefault="008107C7" w:rsidP="008107C7">
      <w:pPr>
        <w:pStyle w:val="TextoNormal"/>
      </w:pPr>
      <w:r w:rsidRPr="008107C7">
        <w:rPr>
          <w:rStyle w:val="NumeroAFNegritaCaracter"/>
        </w:rPr>
        <w:t>4</w:t>
      </w:r>
      <w:r>
        <w:t>. Por providencia de 17 de diciembre de 1993, la Sección Cuarta (Sala Segunda) acordó admitir a trámite la demanda de amparo promovida por don Javier Sebastián Redo Banzo, y a tenor de lo dispuesto en el art. 51 LOTC, requerir al Juzgado de Instrucción núm. 1 de Castellón y a la Sección Primera de la Audiencia Provincial de dicha ciudad, para que en el término de diez días remitieran, respectivamente, testimonio del procedimiento abreviado núm. 36/92 y del rollo de apelación núm. 408/92; interesándose al propio tiempo el emplazamiento de cuantos han sido parte en el proceso judicial antecedente, excepto el recurrente de amparo, para que en el plazo de diez días comparecieran en el presente proceso constitucional. Asimismo, se acordó formar la oportuna pieza separada de suspensión.</w:t>
      </w:r>
    </w:p>
    <w:p w:rsidR="008107C7" w:rsidRDefault="008107C7" w:rsidP="008107C7">
      <w:pPr>
        <w:pStyle w:val="TextoNormal"/>
      </w:pPr>
    </w:p>
    <w:p w:rsidR="008107C7" w:rsidRDefault="008107C7" w:rsidP="008107C7">
      <w:pPr>
        <w:pStyle w:val="TextoNormal"/>
      </w:pPr>
      <w:r w:rsidRPr="008107C7">
        <w:rPr>
          <w:rStyle w:val="NumeroAFNegritaCaracter"/>
        </w:rPr>
        <w:t>5</w:t>
      </w:r>
      <w:r>
        <w:t>. Por Auto de 17 de enero de 1994 la Sala acordó suspender el curso del proceso, "debiendo quedar paralizado en el estado en que se encuentre el procedimiento, hasta que por esta Sala se resuelva el presente recurso de amparo".</w:t>
      </w:r>
    </w:p>
    <w:p w:rsidR="008107C7" w:rsidRDefault="008107C7" w:rsidP="008107C7">
      <w:pPr>
        <w:pStyle w:val="TextoNormal"/>
      </w:pPr>
    </w:p>
    <w:p w:rsidR="008107C7" w:rsidRDefault="008107C7" w:rsidP="008107C7">
      <w:pPr>
        <w:pStyle w:val="TextoNormal"/>
      </w:pPr>
      <w:r w:rsidRPr="008107C7">
        <w:rPr>
          <w:rStyle w:val="NumeroAFNegritaCaracter"/>
        </w:rPr>
        <w:t>6</w:t>
      </w:r>
      <w:r>
        <w:t>. Por providencia de 17 de febrero de 1994, la Sección acordó tener por recibidas las actuaciones remitidas por la Sección Primera de la Audiencia Provincial de Castellón y Juzgado de Instrucción núm. 1 de la misma ciudad, y, a tenor de lo dispuesto en el art. 52.1 LOTC, dar vista de las actuaciones recibidas y todas las demás actuaciones del presente recurso de amparo por un plazo común de veinte días a la parte recurrente y al Ministerio Fiscal, para que dentro de dicho término pudieran presentar las alegaciones que estimaran pertinentes.</w:t>
      </w:r>
    </w:p>
    <w:p w:rsidR="008107C7" w:rsidRDefault="008107C7" w:rsidP="008107C7">
      <w:pPr>
        <w:pStyle w:val="TextoNormal"/>
      </w:pPr>
    </w:p>
    <w:p w:rsidR="008107C7" w:rsidRDefault="008107C7" w:rsidP="008107C7">
      <w:pPr>
        <w:pStyle w:val="TextoNormal"/>
      </w:pPr>
      <w:r w:rsidRPr="008107C7">
        <w:rPr>
          <w:rStyle w:val="NumeroAFNegritaCaracter"/>
        </w:rPr>
        <w:t>7</w:t>
      </w:r>
      <w:r>
        <w:t>. Mediante escrito registrado en este Tribunal el 17 de marzo de 1994, la representación del actor reitera los argumentos vertidos en la demanda de amparo, insistiendo en que se conceda el amparo solicitado y se le reconozca, en consecuencia, el derecho de autodefensa invocado.</w:t>
      </w:r>
    </w:p>
    <w:p w:rsidR="008107C7" w:rsidRDefault="008107C7" w:rsidP="008107C7">
      <w:pPr>
        <w:pStyle w:val="TextoNormal"/>
      </w:pPr>
    </w:p>
    <w:p w:rsidR="008107C7" w:rsidRDefault="008107C7" w:rsidP="008107C7">
      <w:pPr>
        <w:pStyle w:val="TextoNormal"/>
      </w:pPr>
      <w:r w:rsidRPr="008107C7">
        <w:rPr>
          <w:rStyle w:val="NumeroAFNegritaCaracter"/>
        </w:rPr>
        <w:t>8</w:t>
      </w:r>
      <w:r>
        <w:t xml:space="preserve">. El Fiscal ante el Tribunal Constitucional formula sus alegaciones en escrito registrado el 22 de marzo de 1994; en él interesa que se dicte Sentencia estimando el amparo solicitado por entender que las resoluciones judiciales recurridas han vulnerado el art. 24.2 C.E. Comienza poniendo de relieve los derechos a la autodefensa y a interrogar a los testigos que se contemplan en los arts. 6.3 c) y d) del Convenio Europeo de Derecho Humanos y Libertades Fundamentales, y 14.3 d) y e) del Pacto Internacional de Derechos Civiles y Políticos, haciendo a continuación un repaso de diversas Sentencias del T.E.D.H. que, si bien no contemplan específicamente la cuestión de la "autodefensa" aquí suscitada, permiten concluir que en algunos supuestos la autodefensa no cubre el concepto de defensión subyacente, haciendo surgir por las dificultades del procedimiento la necesidad de la asistencia letrada; continúa con un rastreo por la legislación procesal española, en la que no existe un reconocimiento expreso de derecho de autodefensa, aunque esa posibilidad esté presente en algunos supuestos (juicio de faltas o derecho a la última palabra en la vista oral); y finaliza exponiendo una serie de Sentencias de este Tribunal de las que cabe deducir, a su juicio, que la autodefensa no excluye la asistencia letrada. </w:t>
      </w:r>
    </w:p>
    <w:p w:rsidR="008107C7" w:rsidRDefault="008107C7" w:rsidP="008107C7">
      <w:pPr>
        <w:pStyle w:val="TextoNormal"/>
      </w:pPr>
      <w:r>
        <w:t xml:space="preserve">A la luz de la jurisprudencia del T.E.D.H. y del Tribunal Constitucional, señala el Ministerio Fiscal que no es posible afirmar que el derecho a defenderse a sí mismo y a interrogar a los testigos sea un derecho fundamental que quede en su regulación interna a la disposición de los Estados. Muy al contrario, las Sentencias del T.E.D.H., casos Pakelli y Artico, son expresivas, y más bien parece que esas legislaciones internas, deberían respetar su plena recepción, y en todo caso en ese sentido favorable al derecho fundamental debe reinterpretarse su acogida legislativa interna. </w:t>
      </w:r>
    </w:p>
    <w:p w:rsidR="008107C7" w:rsidRDefault="008107C7" w:rsidP="008107C7">
      <w:pPr>
        <w:pStyle w:val="TextoNormal"/>
      </w:pPr>
      <w:r>
        <w:t xml:space="preserve">En segundo término, dice, no puede compartirse el planteamiento maximalista de la demanda de amparo, al pretender que la autodefensa excluya la asistencia letrada. A ello se oponen muy expresivamente diversas Sentencias de este Tribunal y muy especialmente la 37/1988. La exclusión de la autodefensa en un proceso penal de compleja tramitación técnica, aparecería justificada en orden a la preservación de la última ratio del propio derecho de defensa (art. 24.2 C.E.), tal como estudian las SSTC 196/1987 y 37/1988. En el supuesto de autos y en el trámite procesal de escrito de defensa, con la respuesta a un escrito de calificación acusadora, amén de la articulación de las pruebas a practicar antes y/o durante la vista oral cuya complejidad, que aumenta al enfrentarse a una representación tan cualificada técnicamente como la del Ministerio Fiscal, se deriva de la mera lectura del art. 794 L.E.Crim. que rige tal acto procesal. Pretender que la mera autodefensa puede cubrir ese </w:t>
      </w:r>
      <w:r>
        <w:lastRenderedPageBreak/>
        <w:t xml:space="preserve">panorama procesal complejo es algo que debe negarse radicalmente, pues quedaría gravemente comprometido el derecho subjetivo de la defensa (art. 24.2 C.E.) en su última ratio. A juicio del Ministerio Fiscal, y aún reconociendo las dificultades intrínsecas a su estructuración, la cobertura de ese derecho fundamental quedaría plenamente garantizada si no se excluyera la posibilidad de compatibilizar el derecho a autodefenderse junto con la debida asistencia y representación técnica con Letrado y Procurador. </w:t>
      </w:r>
    </w:p>
    <w:p w:rsidR="008107C7" w:rsidRDefault="008107C7" w:rsidP="008107C7">
      <w:pPr>
        <w:pStyle w:val="TextoNormal"/>
      </w:pPr>
      <w:r>
        <w:t>Esta afirmación de conveniencia de compatibilidad entre la autodefensa y la asistencia letrada, procede en el caso de autos en atención además a las circunstancias del tema subyacente del delito debatido, la objeción de conciencia, que como afirma la demanda de amparo es por su naturaleza tan subjetiva y personal amén de sus implicaciones políticas que no pueden negarse. En definitiva, concluye el Fiscal ante el Tribunal Constitucional interesando se estime el recurso de amparo y se reconozca el derecho del recurrente a defenderse a sí mismo y a interrogar por sí a los testigos, siendo asistido en todo momento por Letrado y Procurador, de su elección o de oficio.</w:t>
      </w:r>
    </w:p>
    <w:p w:rsidR="008107C7" w:rsidRDefault="008107C7" w:rsidP="008107C7">
      <w:pPr>
        <w:pStyle w:val="TextoNormal"/>
      </w:pPr>
    </w:p>
    <w:p w:rsidR="008107C7" w:rsidRDefault="008107C7" w:rsidP="008107C7">
      <w:pPr>
        <w:pStyle w:val="TextoNormal"/>
      </w:pPr>
      <w:r w:rsidRPr="008107C7">
        <w:rPr>
          <w:rStyle w:val="NumeroAFNegritaCaracter"/>
        </w:rPr>
        <w:t>9</w:t>
      </w:r>
      <w:r>
        <w:t>. Por providencia de 23 de enero de 1997, se señaló para deliberación y votación de la presente Sentencia, el día 27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t>Unico. La cuestión planteada en el presente recurso de amparo consiste en determinar si el Auto dictado por la Sección Primera de la Audiencia Provincial de Castellón el 21 de julio de 1993, resolviendo el recurso de queja interpuesto contra Auto del Juzgado de Instrucción núm. 1 de Castellón de 21 de septiembre de 1992, por el que se desestimó el recurso de reforma interpuesto contra el anterior Auto de fecha 3 de julio de 1992, que acordó no autorizar al actor a ejercitar por sí mismo su defensa en el procedimiento abreviado 36/92 seguido por un presunto delito relativo a la objeción de conciencia a realizar el servicio militar, ha vulnerado el art. 24.2 C.E.</w:t>
      </w:r>
    </w:p>
    <w:p w:rsidR="008107C7" w:rsidRDefault="008107C7" w:rsidP="008107C7">
      <w:pPr>
        <w:pStyle w:val="TextoNormal"/>
      </w:pPr>
      <w:r>
        <w:t>Concretado en tales términos, el presente proceso de amparo resulta en todo similar -por su objeto, por las alegaciones de las partes y por el derecho fundamental invocado- a la STC 29/1995, cuya doctrina es de entera aplicación al caso que ahora nos ocupa, sin que concurra ninguna circunstancia que obligue a modificar la fundamentación en ella contenida y la decisión allí alcanzada a la que nos remitimos.</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Denegar el amparo solicitado por don Javier Sebastián Redo Banzo.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veintisiete de enero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15" w:name="SENTENCIA_1997_12"/>
      <w:r>
        <w:lastRenderedPageBreak/>
        <w:t>SENTENCIA 12/1997, de 27 de enero de 1997</w:t>
      </w:r>
    </w:p>
    <w:bookmarkEnd w:id="15"/>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49, de 26 de febrero de 1997)</w:t>
      </w:r>
    </w:p>
    <w:p w:rsidR="008107C7" w:rsidRDefault="008107C7" w:rsidP="008107C7">
      <w:pPr>
        <w:pStyle w:val="TtuloBOE"/>
      </w:pPr>
    </w:p>
    <w:p w:rsidR="008107C7" w:rsidRDefault="008107C7" w:rsidP="008107C7">
      <w:pPr>
        <w:pStyle w:val="SntesisDescriptiva"/>
      </w:pPr>
      <w:r>
        <w:t>ECLI:ES:TC:1997:12</w:t>
      </w:r>
    </w:p>
    <w:p w:rsidR="008107C7" w:rsidRDefault="008107C7" w:rsidP="008107C7">
      <w:pPr>
        <w:pStyle w:val="SntesisDescriptiva"/>
      </w:pPr>
    </w:p>
    <w:p w:rsidR="008107C7" w:rsidRDefault="008107C7" w:rsidP="008107C7">
      <w:pPr>
        <w:pStyle w:val="SntesisDescriptiva"/>
      </w:pPr>
      <w:r>
        <w:t>Recurso de amparo 2.870/1994. Contra Auto de la Audiencia Provincial de Alicante, en procedimiento especial de jura de cuentas.</w:t>
      </w:r>
    </w:p>
    <w:p w:rsidR="008107C7" w:rsidRDefault="008107C7" w:rsidP="008107C7">
      <w:pPr>
        <w:pStyle w:val="SntesisDescriptiva"/>
      </w:pPr>
    </w:p>
    <w:p w:rsidR="008107C7" w:rsidRDefault="008107C7" w:rsidP="008107C7">
      <w:pPr>
        <w:pStyle w:val="SntesisAnaltica"/>
      </w:pPr>
      <w:r>
        <w:t>Supuesta vulneración del derecho a la tutela judicial efectiva: interpretación de los arts. 8 y 12 L.E.C. no lesiva del derecho.</w:t>
      </w:r>
    </w:p>
    <w:p w:rsidR="008107C7" w:rsidRDefault="008107C7" w:rsidP="008107C7">
      <w:pPr>
        <w:pStyle w:val="SntesisAnaltica"/>
      </w:pPr>
    </w:p>
    <w:p w:rsidR="008107C7" w:rsidRDefault="008107C7" w:rsidP="008107C7">
      <w:pPr>
        <w:pStyle w:val="Extracto"/>
      </w:pPr>
      <w:r>
        <w:t>1.</w:t>
      </w:r>
      <w:r>
        <w:tab/>
        <w:t>La interpretación que del art. 8 (y también del 12 L.E.C., que es el aplicable en este caso) hace la STC 116/1993 no impide absolutamente las alegaciones sobre las exigencias previstas en estos preceptos y, por tanto, en relación con los presupuestos del procedimiento de jura de cuentas, o sea, el relativo a las partes, la competencia del Juez, el objeto y el título necesario para despachar la ejecución, que es, en el caso del Procurador, la «cuenta detallada y justificada» de las cantidades reclamadas y, en el caso del Letrado, la «minuta detallada» de los «honorarios que hubieren devengado en el pleito». En consecuencia, puede también el deudor formular alegaciones acerca de si los honorarios han sido devengados en el pleito así como oponer su pago o prescripción e incluso su impugnación por excesivos como expresamente señala el art. 12. [F.J. 3]</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Julio Diego González Campos,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Centrado"/>
        <w:keepNext/>
      </w:pPr>
      <w:r>
        <w:t xml:space="preserve">En el recurso de amparo núm. 2.870/94, promovido por </w:t>
      </w:r>
    </w:p>
    <w:p w:rsidR="008107C7" w:rsidRDefault="008107C7" w:rsidP="008107C7">
      <w:pPr>
        <w:pStyle w:val="TextoNormal"/>
      </w:pPr>
      <w:r>
        <w:t>don Manuel Calvo Sebastia, representado por el Procurador don Carlos Ibañez de la Cadiniere y asistido por el Letrado Sr. Muñoz Zafrilla contra el Auto dictado por la Sección Quinta de lo Civil de la Audiencia Provincial de Alicante, en procedimiento especial de jura de cuentas, el 9 de julio de 1994. Han intervenido la Procuradora doña Blanca Barriatua Horta, en nombre y representación de don Isidro Serna Muñoz, y el Ministerio Fiscal, siendo Ponente el Magistrado don José Gabaldón López, quien expresa el parecer de la Sala.</w:t>
      </w:r>
    </w:p>
    <w:p w:rsidR="008107C7" w:rsidRDefault="008107C7" w:rsidP="008107C7">
      <w:pPr>
        <w:pStyle w:val="TextoNormal"/>
      </w:pPr>
    </w:p>
    <w:p w:rsidR="008107C7" w:rsidRDefault="008107C7" w:rsidP="008107C7">
      <w:pPr>
        <w:pStyle w:val="TextoNormalNegritaCentrado"/>
        <w:keepNext/>
      </w:pPr>
      <w:r>
        <w:lastRenderedPageBreak/>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presentado en el Registro General de este Tribunal el 4 de agosto de 1994, se interpuso el recurso de amparo de referencia contra el Auto de 9 de julio de 1994, dictado en procedimiento de jura de cuentas.</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hechos que dan lugar a la presente demanda de amparo son, en síntesis, los siguientes: </w:t>
      </w:r>
    </w:p>
    <w:p w:rsidR="008107C7" w:rsidRDefault="008107C7" w:rsidP="008107C7">
      <w:pPr>
        <w:pStyle w:val="TextoNormal"/>
      </w:pPr>
      <w:r>
        <w:t xml:space="preserve">a) Don Isidro Serna Muñoz, en su condición de Abogado, concertó en el año 1981, con el Banco Central, un contrato de colaboración profesional o de arrendamiento de servicios profesionales, por virtud del cual se hacía cargo de los asuntos jurídicos de ese Banco en la zona de Alicante, en lo sucesivo, y por plazo indefinido, y a cambio el Banco retribuiría su prestación profesional con una cantidad fija anual, dividida en doce mensualidades. Respecto de los supuestos en que hubiera condena en costas, el Letrado percibiría sus honorarios de la parte condenada a su pago conforme a las normas colegiales oportunas. </w:t>
      </w:r>
    </w:p>
    <w:p w:rsidR="008107C7" w:rsidRDefault="008107C7" w:rsidP="008107C7">
      <w:pPr>
        <w:pStyle w:val="TextoNormal"/>
      </w:pPr>
      <w:r>
        <w:t xml:space="preserve">b) El Letrado Sr. Serna Muñoz en virtud de la mencionada relación contractual asumió la defensa del Banco Central en el juicio declarativo de menor cuantía 653/89 promovido por aquél y en el que la representación la ostentaba el Procurador don Manuel Calvo Sebastia. En dicho proceso el Letrado promovió procedimiento de jura de cuentas contra el Procurador por las cantidades que entendía le eran debidas en el citado juicio declarativo de menor cuantía. </w:t>
      </w:r>
    </w:p>
    <w:p w:rsidR="008107C7" w:rsidRDefault="008107C7" w:rsidP="008107C7">
      <w:pPr>
        <w:pStyle w:val="TextoNormal"/>
      </w:pPr>
      <w:r>
        <w:t xml:space="preserve">c) Por providencia de 20 de mayo de 1992 el Juzgado acordó requerir al Procurador demandado para el pago de los honorarios recurridos. Contra esta providencia interpuso aquél recurso de reposición que fue resuelto por Auto de 27 de julio de 1992 que declaró no haber lugar a la reposición de la providencia recurrida. </w:t>
      </w:r>
    </w:p>
    <w:p w:rsidR="008107C7" w:rsidRDefault="008107C7" w:rsidP="008107C7">
      <w:pPr>
        <w:pStyle w:val="TextoNormal"/>
      </w:pPr>
      <w:r>
        <w:t>d) Contra este Auto se interpuso recurso de apelación (rollo 1.321 c/92) que fue desestimado por el Auto de 9 de julio de 1994 de la Sección Quinta de la Audiencia Provincial de Alicante que ahora se recurre.</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La demanda denuncia la vulneración por el Auto recurrido del art. 24 C.E., por haber infringido los derechos a utilizar los medios de prueba pertinentes para la defensa, a un proceso con todas las garantías, a la defensa y a obtener la tutela judicial efectiva. </w:t>
      </w:r>
    </w:p>
    <w:p w:rsidR="008107C7" w:rsidRDefault="008107C7" w:rsidP="008107C7">
      <w:pPr>
        <w:pStyle w:val="TextoNormal"/>
      </w:pPr>
      <w:r>
        <w:t xml:space="preserve">El recurrente en amparo entiende, con apoyo en la doctrina de la STC 110/1993, que los órganos judiciales han vulnerado las garantías procesales que protege el art. 24 C.E., pues en el procedimiento civil de jura de cuentas el Procurador ahora demandante de amparo opuso, frente al requerimiento de pago acordado por el Juzgado en atención a la reclamación del Letrado actor con apoyo en el art. 12 L.E.C., que los honorarios reclamados eran indebidos (por estar ya pagados mediante la retribución mensual pactada en su día con el Banco Central), a lo que la Audiencia responde para desestimar esta causa de oposición que en el art. 12 L.E.C. sólo es posible formular oposición impugnando los honorarios por excesivos, quedando fuera de este concepto el de honorarios indebidos. </w:t>
      </w:r>
    </w:p>
    <w:p w:rsidR="008107C7" w:rsidRDefault="008107C7" w:rsidP="008107C7">
      <w:pPr>
        <w:pStyle w:val="TextoNormal"/>
      </w:pPr>
      <w:r>
        <w:t>Asimismo, también entiende la parte recurrente en amparo que hubo violación del art. 24 C.E. por la Audiencia por no abrir un trámite contradictorio (a sustanciar por los incidentes, con apoyo en el art. 429 L.E.C.), en el que las partes hubieran podido acreditar y discutir la excepción de pago alegada, por ser indebidos los honorarios reclamados.</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4</w:t>
      </w:r>
      <w:r>
        <w:t xml:space="preserve">. La Sección Tercera, por providencia de 4 de abril de 1995, acordó admitir a trámite la demanda de amparo, así como en aplicación de lo dispuesto en el art. 51 de la LOTC, dirigir comunicación a la Sección Quinta de la Audiencia Provincial de Alicante, a fin de que, en plazo que no excediera de diez días, remitiera certificación o fotocopia adverada de las actuaciones correspondientes al rollo de apelación núm. 1.321/92, en el que recayó Auto el 9 de julio de 1994. </w:t>
      </w:r>
    </w:p>
    <w:p w:rsidR="008107C7" w:rsidRDefault="008107C7" w:rsidP="008107C7">
      <w:pPr>
        <w:pStyle w:val="TextoNormal"/>
      </w:pPr>
      <w:r>
        <w:t>También acordó dirigir comunicación al Juzgado de Primera Instancia núm. 3 de Alicante a fin de que, en plazo que no excediera de diez días, remitiera certificación o fotocopia adverada de las actuaciones correspondientes al incidente de jura de cuenta tramitado en los autos de menor cuantía núm. 653/89, en el que recayó providencia de 20 de mayo de 1992 y Auto de 27 de julio de ese mismo año. Así como emplazar previamente, para que en el plazo de diez días pudieran comparecer, si lo deseaban, en el recurso de amparo y defender sus derechos, a quienes hubieran sido parte en el procedimiento, excepto el recurrente en amparo, haciendo constar en dicho emplazamiento la exclusión de quienes quisieran coadyuvar con el recurrente o formular cualquier impugnación y les hubiera ya transcurrido el plazo que la Ley Orgánica de este Tribunal establece para recurrir.</w:t>
      </w:r>
    </w:p>
    <w:p w:rsidR="008107C7" w:rsidRDefault="008107C7" w:rsidP="008107C7">
      <w:pPr>
        <w:pStyle w:val="TextoNormal"/>
      </w:pPr>
    </w:p>
    <w:p w:rsidR="008107C7" w:rsidRDefault="008107C7" w:rsidP="008107C7">
      <w:pPr>
        <w:pStyle w:val="TextoNormal"/>
      </w:pPr>
      <w:r w:rsidRPr="008107C7">
        <w:rPr>
          <w:rStyle w:val="NumeroAFNegritaCaracter"/>
        </w:rPr>
        <w:t>5</w:t>
      </w:r>
      <w:r>
        <w:t>. La Sección Tercera, por providencia de 4 de abril de 1995, acordó formar pieza para la tramitación del incidente sobre suspensión y conforme determina el art. 57 de la Ley Orgánica de este Tribunal, conceder un plazo común de tres días a la parte recurrente y al Ministerio Fiscal para que alegasen lo que estimaren pertinente sobre dicha suspensión. Por Auto de 22 de mayo de 1995 se acordó no haber lugar a la suspensión solicitada.</w:t>
      </w:r>
    </w:p>
    <w:p w:rsidR="008107C7" w:rsidRDefault="008107C7" w:rsidP="008107C7">
      <w:pPr>
        <w:pStyle w:val="TextoNormal"/>
      </w:pPr>
    </w:p>
    <w:p w:rsidR="008107C7" w:rsidRDefault="008107C7" w:rsidP="008107C7">
      <w:pPr>
        <w:pStyle w:val="TextoNormal"/>
      </w:pPr>
      <w:r w:rsidRPr="008107C7">
        <w:rPr>
          <w:rStyle w:val="NumeroAFNegritaCaracter"/>
        </w:rPr>
        <w:t>6</w:t>
      </w:r>
      <w:r>
        <w:t>. La misma Sección, por providencia de 12 de junio de 1995, acordó tener por personada y parte en el procedimiento a la Procuradora doña Blanca Berriatua Horta, en nombre y representación de don Isidro Serna Muñoz, acordándose entender con ella las sucesivas actuaciones, y dar vista de las actuaciones recibidas a las partes personadas y al Ministerio Fiscal por plazo común de veinte días, dentro de los cuales podrían presentar las alegaciones que estimaran pertinentes, conforme determina el art. 52.1 de la Ley Orgánica del Tribunal Constitucional.</w:t>
      </w:r>
    </w:p>
    <w:p w:rsidR="008107C7" w:rsidRDefault="008107C7" w:rsidP="008107C7">
      <w:pPr>
        <w:pStyle w:val="TextoNormal"/>
      </w:pPr>
    </w:p>
    <w:p w:rsidR="008107C7" w:rsidRDefault="008107C7" w:rsidP="008107C7">
      <w:pPr>
        <w:pStyle w:val="TextoNormal"/>
      </w:pPr>
      <w:r w:rsidRPr="008107C7">
        <w:rPr>
          <w:rStyle w:val="NumeroAFNegritaCaracter"/>
        </w:rPr>
        <w:t>7</w:t>
      </w:r>
      <w:r>
        <w:t xml:space="preserve">. Por escrito presentado en este Tribunal el 27 de junio de 1995 doña Blanca Berriatua Horta, Procuradora de los Tribunales, en nombre y representación de don Isidro Serna Muñoz interesa que se deniegue el amparo. </w:t>
      </w:r>
    </w:p>
    <w:p w:rsidR="008107C7" w:rsidRDefault="008107C7" w:rsidP="008107C7">
      <w:pPr>
        <w:pStyle w:val="TextoNormal"/>
      </w:pPr>
      <w:r>
        <w:t xml:space="preserve">Alega que el apartado primero de los antecedentes del escrito de recurso es completamente falso pues el Letrado a que representa nunca aceptó las condiciones de trabajo contenidas en la copia de carta que se aporta por la parte recurrente en amparo como documento núm. 1. Manifiesta que la carta del Banco de 25 de marzo de 1981, que el Letrado aceptó, contenía la retribución fija de 15.000 pesetas al mes por la asesoría consultiva, cantidad pequeña en relación con la considerable actividad profesional diaria, pero que se encontraba compensada por la retribución del servicio contencioso. </w:t>
      </w:r>
    </w:p>
    <w:p w:rsidR="008107C7" w:rsidRDefault="008107C7" w:rsidP="008107C7">
      <w:pPr>
        <w:pStyle w:val="TextoNormal"/>
      </w:pPr>
      <w:r>
        <w:t xml:space="preserve">Manifiesta también que el Banco nunca ha discutido al Letrado en juicio declarativo su derecho a percibir honorarios en los procedimientos en que intervino, haciéndolo por el contrario en todos los procedimientos de jura de cuentas. Cuando presentó a trámite el juicio ordinario declarativo que menciona en su escrito, no sometió a debate la aludida cuestión. </w:t>
      </w:r>
    </w:p>
    <w:p w:rsidR="008107C7" w:rsidRDefault="008107C7" w:rsidP="008107C7">
      <w:pPr>
        <w:pStyle w:val="TextoNormal"/>
      </w:pPr>
      <w:r>
        <w:t xml:space="preserve">Entiende que el presente recurso de amparo se ha formulado prematuramente habida cuenta que es trámite esencial del procedimiento de jura de cuentas de Letrado o Procurador, </w:t>
      </w:r>
      <w:r>
        <w:lastRenderedPageBreak/>
        <w:t xml:space="preserve">el establecido por el art. 8 párrafo 3º, de la LEC, que posibilita la continuación del debate en aquellos casos en que el litigante que hubiera verificado el pago considerase oportuno oponer argumentos de fondo en cuanto a su obligación de soportar total o parcialmente la aludida carga procesal. </w:t>
      </w:r>
    </w:p>
    <w:p w:rsidR="008107C7" w:rsidRDefault="008107C7" w:rsidP="008107C7">
      <w:pPr>
        <w:pStyle w:val="TextoNormal"/>
      </w:pPr>
      <w:r>
        <w:t>Por último, manifiesta que si se aceptara la tesis que mantiene la parte recurrente desaparecería el procedimiento de la jura de cuentas, puesto que no existiría ningún requerido de pago que no improvisara cualquier tipo de prueba indiciaria para paralizar el requerimiento de pago proviniente de la jura, con lo cual reconduciría el procedimiento al incidental de los arts. 741 y ss. de la L.E.C. y se llegaría al absurdo procesal de la derogación práctica de los arts. 7, 8 y 12 de esa misma Ley rituaria y la declaración indirecta de su inconstitucionalidad. Sin embargo, se declaró su constitucionalidad y el procedimiento carece de período probatorio por expreso diseño del legislador. Esta característica determina la imposibilidad de debate, prueba y resolución de cuestiones de fondo.</w:t>
      </w:r>
    </w:p>
    <w:p w:rsidR="008107C7" w:rsidRDefault="008107C7" w:rsidP="008107C7">
      <w:pPr>
        <w:pStyle w:val="TextoNormal"/>
      </w:pPr>
    </w:p>
    <w:p w:rsidR="008107C7" w:rsidRDefault="008107C7" w:rsidP="008107C7">
      <w:pPr>
        <w:pStyle w:val="TextoNormal"/>
      </w:pPr>
      <w:r w:rsidRPr="008107C7">
        <w:rPr>
          <w:rStyle w:val="NumeroAFNegritaCaracter"/>
        </w:rPr>
        <w:t>8</w:t>
      </w:r>
      <w:r>
        <w:t>. Por escrito registrado en este Tribunal el 22 de junio de 1995, la parte recurrente en amparo reitera, en síntesis, lo manifestado en su demanda.</w:t>
      </w:r>
    </w:p>
    <w:p w:rsidR="008107C7" w:rsidRDefault="008107C7" w:rsidP="008107C7">
      <w:pPr>
        <w:pStyle w:val="TextoNormal"/>
      </w:pPr>
    </w:p>
    <w:p w:rsidR="008107C7" w:rsidRDefault="008107C7" w:rsidP="008107C7">
      <w:pPr>
        <w:pStyle w:val="TextoNormal"/>
      </w:pPr>
      <w:r w:rsidRPr="008107C7">
        <w:rPr>
          <w:rStyle w:val="NumeroAFNegritaCaracter"/>
        </w:rPr>
        <w:t>9</w:t>
      </w:r>
      <w:r>
        <w:t xml:space="preserve">. El Ministerio Fiscal, por escrito que tuvo entrada en este Tribunal el 28 de junio de 1995, interesa se desestime el recurso de amparo por la concurrencia de la causa de inadmisión, ahora de desestimación, del art. 44.1 a) de la LOTC y en caso de no admitirse dicha causa, desestimarlo por no vulnerar la resolución recurrida el derecho fundamental a la tutela judicial efectiva consagrado en el art. 24 C.E. </w:t>
      </w:r>
    </w:p>
    <w:p w:rsidR="008107C7" w:rsidRDefault="008107C7" w:rsidP="008107C7">
      <w:pPr>
        <w:pStyle w:val="TextoNormal"/>
      </w:pPr>
      <w:r>
        <w:t xml:space="preserve">La aplicación de la doctrina contenida en la STC 110/93 lleva a afirmar al Ministerio Fiscal que la resolución impugnada no vulnera el derecho a la tutela judicial efectiva porque el recurrente en este miniproceso de cognición ha podido alegar y aportar las pruebas que ha estimado pertinentes sin limitación alguna para justificar el pago de lo debido que era su única alegación respecto a la procedencia de la jura de cuentas. La Audiencia da respuesta a su pretensión negando la realidad de dicho pago y afirmando la realidad del débito por entender que las pruebas aportadas no lo acreditaban. Esta respuesta motivada y fundada no puede considerarse irracional o arbitraria por lo que satisface el derecho fundamental a la tutela judicial efectiva, derecho fundamental que no garantiza según doctrina constitucional constante, el acierto de la resolución. </w:t>
      </w:r>
    </w:p>
    <w:p w:rsidR="008107C7" w:rsidRDefault="008107C7" w:rsidP="008107C7">
      <w:pPr>
        <w:pStyle w:val="TextoNormal"/>
      </w:pPr>
      <w:r>
        <w:t xml:space="preserve">La actividad del órgano judicial no ha impedido las alegaciones del actor ni la presentación, sin limitación alguna, de pruebas respecto al pago de la minuta y si bien la respuesta del Juzgado de instancia a la pretensión de la parte ha sido negativa pero no expresa, en cambio la respuesta de la Audiencia, resolviendo el recurso de apelación ha sido expresa y concreta respecto de dicha alegación por lo que no se puede afirmar la vulneración constitucional que se denuncia en el recurso de amparo. </w:t>
      </w:r>
    </w:p>
    <w:p w:rsidR="008107C7" w:rsidRDefault="008107C7" w:rsidP="008107C7">
      <w:pPr>
        <w:pStyle w:val="TextoNormal"/>
      </w:pPr>
      <w:r>
        <w:t>Por último, alega el Ministerio Fiscal que la Sentencia del Tribunal Constitucional, en su fundamento jurídico quinto, declara que lo resuelto por el órgano judicial en este procedimiento no tiene la consideración de cosa juzgada material atendida su sumariedad por lo que el actor puede acudir al procedimiento declarativo ordinario pertinente a los efectos de discutir con toda amplitud la totalidad de las cuestiones que se propongan sin cortapisa alguna lo que significa, como para otros procesos de cognición limitada ya se acepta, la necesidad de agotar la vía judicial antes de acudir al proceso constitucional concurriendo por lo tanto en este caso la causa de inadmisión, en este momento procesal de desestimación, del art. 44.1 a) de la LOTC.</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10</w:t>
      </w:r>
      <w:r>
        <w:t>. Por providencia de 23 de enero de 1997, se acordó fijar para la deliberación y votación de la presente sentencia, el día 27 del mismo mes.</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La demanda de amparo fundamenta su pretensión, con apoyo en la doctrina de la STC 110/1993, en que la Audiencia ha vulnerado las garantías procesales que protege el art. 24 C.E.  pues en el procedimiento civil de jura de cuenta el Procurador ahora demandante opuso, frente al requerimiento de pago acordado por el Juzgado en atención a la reclamación del Letrado actor fundada en el art. 12 L.E.C., que los honorarios reclamados eran indebidos (por estar ya pagados mediante la retribución mensual pactada en su día con el Banco Central). La Audiencia desestimó esta causa de oposición con fundamento en que, "si bien el Letrado reclamante percibió la retribución mensual pactada, no puede afirmarse lo mismo de la que le corresponde por el concepto de costas procesales que puedan devengarse en el juicio tramitado" (fundaento jurídico tercero, in fine).</w:t>
      </w:r>
    </w:p>
    <w:p w:rsidR="008107C7" w:rsidRDefault="008107C7" w:rsidP="008107C7">
      <w:pPr>
        <w:pStyle w:val="TextoNormal"/>
      </w:pPr>
    </w:p>
    <w:p w:rsidR="008107C7" w:rsidRDefault="008107C7" w:rsidP="008107C7">
      <w:pPr>
        <w:pStyle w:val="TextoNormal"/>
      </w:pPr>
      <w:r w:rsidRPr="008107C7">
        <w:rPr>
          <w:rStyle w:val="NumeroAFNegritaCaracter"/>
        </w:rPr>
        <w:t>2</w:t>
      </w:r>
      <w:r>
        <w:t>. Este Tribunal ha afirmado, desde su Sentencia 110/1993 reiterada posteriormente, entre otras, por las 167/1994 y 79/1996, que el requerimiento de pago al deudor (en este caso al Procurador) bajo apercibimiento de apremio que establece el art.  12 en relacion con el 8 de la L.E.C., ha de llevarse a cabo, por exigencias de garantía del art. 24 C.E., de modo que no se impida de una manera absoluta formular las alegaciones que estime pertinentes en relación con las referidas exigencias, pues si bien en el citado precepto no se desarrolla una regulación del procedimiento, sí se establecen unos presupuestos que, por ser necesarios para su apertura, han de ser verificados de oficio y, en su caso, de no ser advertidos, pueden alegarse por el requerido que tiene derecho constitucional consagrado en el art. 24.1 a que "en ningún caso" se le pueda producir indefensión.</w:t>
      </w:r>
    </w:p>
    <w:p w:rsidR="008107C7" w:rsidRDefault="008107C7" w:rsidP="008107C7">
      <w:pPr>
        <w:pStyle w:val="TextoNormal"/>
      </w:pPr>
      <w:r>
        <w:t>Dichos presupuestos se refieren, según se desprende del contenido del art. 12 en relación con el 8 de la L.E.C., al Juez competente, a las partes, al objeto y al título necesario para despachar la ejecución: Al Juez, porque el precepto exige que la pretensión se formule "ante el Juzgado o Tribunal en que radicare el negocio"; a las partes, porque son en este caso el Abogado y su Procurador moroso los legitimados activa y pasivamente para promover el procedimiento según se establece en el mismo precepto; al objeto, porque éste delimita la pretensión del Abogado, que no puede extenderse en ningún caso a honorarios por actuaciones no devengados en el pleito para llevar a cabo los deberes que su tramitación le impone; y, en fin, al título, porque el art. 8 determina los requisitos que en él deben concurrir.</w:t>
      </w:r>
    </w:p>
    <w:p w:rsidR="008107C7" w:rsidRDefault="008107C7" w:rsidP="008107C7">
      <w:pPr>
        <w:pStyle w:val="TextoNormal"/>
      </w:pPr>
      <w:r>
        <w:t>De ahí la conclusión de dicha Sentencia acerca de que el procedimiento previsto por el art. 8 de la L.E.C. no vulnera las garantías establecidas en el art. 24 C.E., siempre que se aplique permitiendo que el órgano judicial verifique los requisitos de la pretensión que se formula y al deudor hacer alegaciones al respecto, pero teniendo sobre todo presente que lo resuelto no cierra la vía del procedimiento declarativo ordinario "en el que se pueden examinar con plenitud todas las cuestiones que se propongan sin cortapisa alguna".</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La interpretacion, pues, del art. 8 (y también del 12, que es el aplicable en este caso) no impide absolutamente las alegaciones sobre las exigencias previstas en estos preceptos y por tanto en relación con los presupuestos de dicho concreto proceso, o sea el relativo a </w:t>
      </w:r>
      <w:r>
        <w:lastRenderedPageBreak/>
        <w:t>las partes, la competencia del Juez, el objeto y el título necesario para despachar la ejecución, que es, en el caso del Procurador la "cuenta detallada y justificada" de las cantidades reclamadas y en el caso del Letrado, la "minuta detallada" de los "honorarios que hubieren devengado en el pleito". En consecuencia, puede también el deudor formular alegaciones acerca de si los honorarios han sido devengados en el pleito así como oponer su pago o prescripción e incluso su impugnacion por excesivos como expresamente señala el art. 12.</w:t>
      </w:r>
    </w:p>
    <w:p w:rsidR="008107C7" w:rsidRDefault="008107C7" w:rsidP="008107C7">
      <w:pPr>
        <w:pStyle w:val="TextoNormal"/>
      </w:pPr>
      <w:r>
        <w:t>Sin embargo, la posibilidad de oponer el pago, la prescripción o el hecho de que que no se hayan devengado en el pleito los honorarios o parte de ellos, no puede interpretarse en un sentido tan amplio como para admitir que estas alegaciones se extiendan a la genérica impugnación de honorarios indebidos puesto que el debate y la determinación de los mismos con la amplitud que esa calificacion supone, excedería del limitado ambito de los medios de defensa que, según la citada STC 110/1993, sin alterar el singular carácter del proceso establecido en los arts. 8 y 12 L.E.C. permite calificar su constitucionalidad porque en ellos se respetan "los niveles de garantía que en su dos apartados exige el art. 24 de la Constitución que consagra el derecho fundamental a la tutela judicial efectiva".</w:t>
      </w:r>
    </w:p>
    <w:p w:rsidR="008107C7" w:rsidRDefault="008107C7" w:rsidP="008107C7">
      <w:pPr>
        <w:pStyle w:val="TextoNormal"/>
      </w:pPr>
    </w:p>
    <w:p w:rsidR="008107C7" w:rsidRDefault="008107C7" w:rsidP="008107C7">
      <w:pPr>
        <w:pStyle w:val="TextoNormal"/>
      </w:pPr>
      <w:r w:rsidRPr="008107C7">
        <w:rPr>
          <w:rStyle w:val="NumeroAFNegritaCaracter"/>
        </w:rPr>
        <w:t>4</w:t>
      </w:r>
      <w:r>
        <w:t>. En ese caso, precisamente el Auto impugnado desestima la pretensión del Procurador de que los honorarios reclamados por el Letrado fueron indebidos por resultar pagados mediante la retribución mensual que había pactado éste con el Banco a quien el Procurador representaba, comprensiva de una genérica y continuada prestacion de servicios profesionales. Y basaba esta decisión en que las pruebas aportadas no acreditaron el pago de los honorarios reclamados en la jura de cuentas por no poderse incluir en la retribución mensual estipulada y por tanto entenderse con ellos pagados, que era lo que constituía el fundamento de la alegación de honorarios indebidos.</w:t>
      </w:r>
    </w:p>
    <w:p w:rsidR="008107C7" w:rsidRDefault="008107C7" w:rsidP="008107C7">
      <w:pPr>
        <w:pStyle w:val="TextoNormal"/>
      </w:pPr>
      <w:r>
        <w:t>Decisión fundada en las pruebas aportadas, que este Tribunal no puede revisar y que, no resultando arbitraria ni manifiestamente irrazonable puesto que interpreta y aplica las normas procesales citadas, no infringe el art. 24, ya que el recurrente pudo aportar las pruebas que estimó pertinentes y que el Tribunal valoró en los términos de la discusión posible según la Sentencia citada 110/1993.</w:t>
      </w:r>
    </w:p>
    <w:p w:rsidR="008107C7" w:rsidRDefault="008107C7" w:rsidP="008107C7">
      <w:pPr>
        <w:pStyle w:val="TextoNormal"/>
      </w:pPr>
      <w:r>
        <w:t>Procede, en consecuencia, desestimar el recurso de amparo.</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Denegar el amparo solicitado.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veintisiete de enero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16" w:name="SENTENCIA_1997_13"/>
      <w:r>
        <w:lastRenderedPageBreak/>
        <w:t>SENTENCIA 13/1997, de 27 de enero de 1997</w:t>
      </w:r>
    </w:p>
    <w:bookmarkEnd w:id="16"/>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49, de 26 de febrero de 1997)</w:t>
      </w:r>
    </w:p>
    <w:p w:rsidR="008107C7" w:rsidRDefault="008107C7" w:rsidP="008107C7">
      <w:pPr>
        <w:pStyle w:val="TtuloBOE"/>
      </w:pPr>
    </w:p>
    <w:p w:rsidR="008107C7" w:rsidRDefault="008107C7" w:rsidP="008107C7">
      <w:pPr>
        <w:pStyle w:val="SntesisDescriptiva"/>
      </w:pPr>
      <w:r>
        <w:t>ECLI:ES:TC:1997:13</w:t>
      </w:r>
    </w:p>
    <w:p w:rsidR="008107C7" w:rsidRDefault="008107C7" w:rsidP="008107C7">
      <w:pPr>
        <w:pStyle w:val="SntesisDescriptiva"/>
      </w:pPr>
    </w:p>
    <w:p w:rsidR="008107C7" w:rsidRDefault="008107C7" w:rsidP="008107C7">
      <w:pPr>
        <w:pStyle w:val="SntesisDescriptiva"/>
      </w:pPr>
      <w:r>
        <w:t>Recurso de amparo 1.487/1995. Promovido por el Sindicato Federal de Ferroviarios de la Confederación General del Trabajo contra Sentencia del Juzgado de lo Social núm. 1 de Lugo dictada en autos sobre elecciones sindicales.</w:t>
      </w:r>
    </w:p>
    <w:p w:rsidR="008107C7" w:rsidRDefault="008107C7" w:rsidP="008107C7">
      <w:pPr>
        <w:pStyle w:val="SntesisDescriptiva"/>
      </w:pPr>
    </w:p>
    <w:p w:rsidR="008107C7" w:rsidRDefault="008107C7" w:rsidP="008107C7">
      <w:pPr>
        <w:pStyle w:val="SntesisAnaltica"/>
      </w:pPr>
      <w:r>
        <w:t>Vulneración del derecho de libertad sindical: interpretación judicial restrictiva del art. 71.2 a) E.T., lesiva del derecho (subsanabilidad de defectos de candidaturas electorales).</w:t>
      </w:r>
    </w:p>
    <w:p w:rsidR="008107C7" w:rsidRDefault="008107C7" w:rsidP="008107C7">
      <w:pPr>
        <w:pStyle w:val="SntesisAnaltica"/>
      </w:pPr>
    </w:p>
    <w:p w:rsidR="008107C7" w:rsidRDefault="008107C7" w:rsidP="008107C7">
      <w:pPr>
        <w:pStyle w:val="Extracto"/>
      </w:pPr>
      <w:r>
        <w:t>1.</w:t>
      </w:r>
      <w:r>
        <w:tab/>
        <w:t>Trasladar las garantías previstas en el art. 24 C.E. con el mismo rango de derecho fundamental al procedimiento arbitral para basar en determinadas irregularidades o vicisitudes ocurridas durante su tramitación la nulidad de un laudo es algo que, en principio, resulta extraño a esta jurisdicción, ya que como recuerda la reciente STC 176/1996 con cita de una reiterada jurisprudencia, «... este Tribunal carece de jurisdicción para enjuiciar el laudo arbitral en sí mismo considerado, por cuanto, como acto no referible a ningún tipo de poder público (art. 41.2 LOTC), resulta extraño al ámbito y función del proceso constitucional de amparo». [F.J. 2]</w:t>
      </w:r>
    </w:p>
    <w:p w:rsidR="008107C7" w:rsidRDefault="008107C7" w:rsidP="008107C7">
      <w:pPr>
        <w:pStyle w:val="Extracto"/>
      </w:pPr>
    </w:p>
    <w:p w:rsidR="008107C7" w:rsidRDefault="008107C7" w:rsidP="008107C7">
      <w:pPr>
        <w:pStyle w:val="Extracto"/>
      </w:pPr>
      <w:r>
        <w:t>2.</w:t>
      </w:r>
      <w:r>
        <w:tab/>
        <w:t>Los sindicatos, junto a los medios de acción que configuran el núcleo mínimo e indisponible de la libertad sindical por contribuir de forma primordial al desenvolvimiento de las funciones que constitucionalmente les corresponden (art. 7 de la C.E.), pueden ostentar otras facultades o derechos adicionales atribuidos por normas legales o reglamentarias que pasan a engrosar el contenido del derecho, siendo, por tanto, los actos contrarios a tales facultades susceptibles de impugnación a través del recurso de amparo por incidir en el contenido de ese derecho (SSTC 39/1986 y 184/1987, entre otras). [F.J. 3]</w:t>
      </w:r>
    </w:p>
    <w:p w:rsidR="008107C7" w:rsidRDefault="008107C7" w:rsidP="008107C7">
      <w:pPr>
        <w:pStyle w:val="Extracto"/>
      </w:pPr>
    </w:p>
    <w:p w:rsidR="008107C7" w:rsidRDefault="008107C7" w:rsidP="008107C7">
      <w:pPr>
        <w:pStyle w:val="Extracto"/>
      </w:pPr>
      <w:r>
        <w:t>3.</w:t>
      </w:r>
      <w:r>
        <w:tab/>
        <w:t>La libertad sindical, como derecho de configuración legal, ha de ejercerse en los términos legalmente previstos [art. 2.2 d) de la L.O.L.S.], y no corresponde a este Tribunal determinar cuál es la interpretación más correcta de tal cuerpo normativo (STC 61/1989), ni resultaría constitucionalmente obligado que estando en juego una garantía legal del derecho fundamental se incline «a priori» por la interpretación aparentemente más beneficiosa para el titular de aquél, sino que basta con constatar si la interpretación llevada a cabo salvaguarda o no suficientemente el contenido del derecho fundamental. [F.J. 3]</w:t>
      </w:r>
    </w:p>
    <w:p w:rsidR="008107C7" w:rsidRDefault="008107C7" w:rsidP="008107C7">
      <w:pPr>
        <w:pStyle w:val="Extracto"/>
      </w:pPr>
    </w:p>
    <w:p w:rsidR="008107C7" w:rsidRDefault="008107C7" w:rsidP="008107C7">
      <w:pPr>
        <w:pStyle w:val="Extracto"/>
      </w:pPr>
      <w:r>
        <w:t>4.</w:t>
      </w:r>
      <w:r>
        <w:tab/>
        <w:t xml:space="preserve">Según la normativa vigente, las candidaturas a las elecciones sindicales deberán contener, como mínimo, tantos nombres como puestos a cubrir. No obstante, la renuncia de cualquier candidato presentado en alguna de las listas para las elecciones antes de la fecha de la votación no implicará la suspensión del proceso electoral ni la anulación de dicha candidatura, aun cuando sea incompleta, siempre y cuando la lista afectada permanezca con un número de candidatos, al menos, del </w:t>
      </w:r>
      <w:r>
        <w:lastRenderedPageBreak/>
        <w:t>60 por 100 de los puestos a cubrir [arts. 71.2 a) del E.T. y 8.3 del Real Decreto 1.844/1994]. Las renuncias de candidatos antes de la votación no alteran, pues, el desarrollo del proceso electoral ni invalidan la respectiva candidatura, si ésta conserva el porcentaje mínimo de puestos a cubrir legalmente previsto . [F.J. 4]</w:t>
      </w:r>
    </w:p>
    <w:p w:rsidR="008107C7" w:rsidRDefault="008107C7" w:rsidP="008107C7">
      <w:pPr>
        <w:pStyle w:val="Extracto"/>
      </w:pPr>
    </w:p>
    <w:p w:rsidR="008107C7" w:rsidRDefault="008107C7" w:rsidP="008107C7">
      <w:pPr>
        <w:pStyle w:val="Extracto"/>
      </w:pPr>
      <w:r>
        <w:t>5.</w:t>
      </w:r>
      <w:r>
        <w:tab/>
        <w:t>Ante la renuncia formalizada precisamente el día que concluyó el plazo de presentación de la candidatura -dato ignorado por el Sindicato recurrente-, la Mesa pudo requerir que se completase sin daño alguno para la regularidad del proceso electoral en el perentorio término establecido al efecto. Y si bien en este caso la Mesa no invalidó la candidatura, tanto los árbitros que anularon el Acuerdo de la Mesa como el órgano judicial que confirmó el Acuerdo anulatorio, antes de hacerlo y aun admitiendo la interpretación que del art. 71.2 a) del E.T. hace la Sentencia impugnada y teniendo en cuenta que como en él se dice la candidatura anulada contenía el porcentaje mínimo previsto en dicho precepto, debieron apreciar que no se había dado al Sindicato recurrente la oportunidad que tenía en todo caso de subsanar el defecto . [F.J. 4]</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1.487/95 promovido por el Sindicato Federal de Ferroviarios de la Confederación General del Trabajo, representado por la Procuradora de los Tribunales doña Valentina López Valero y asistido del Letrado don José Gabriel Antón Fernández, contra la Sentencia del Juzgado de lo Social núm. 1 de Lugo, de 24 de marzo de 1995, dictada en autos sobre elecciones sindicales. Han comparecido, además del Ministerio Fiscal, la Red Nacional de los Ferrocarriles Españoles (RENFE), representada por la Procuradora doña María Teresa de las Alas Pumariño Larrañaga y asistida del Letrado don Fernando Rodríguez Holgado y la Federación Sindical Estatal del Transporte, las Comunicaciones y el Mar de CC.OO. (FETCOMAR-CC.OO.), representada por el Procurador don Ángel Martín Gutiérrez y asistida del Letrado don Juan Durán Fuentes. Ha sido Ponente el Magistrado don Fernando García-Mon y González-Regueral, quien expresa el parecer de la Sala.</w:t>
      </w:r>
    </w:p>
    <w:p w:rsidR="008107C7" w:rsidRDefault="008107C7" w:rsidP="008107C7">
      <w:pPr>
        <w:pStyle w:val="TextoNormal"/>
      </w:pPr>
    </w:p>
    <w:p w:rsidR="008107C7" w:rsidRDefault="008107C7" w:rsidP="008107C7">
      <w:pPr>
        <w:pStyle w:val="TextoNormalNegritaCentrado"/>
        <w:keepNext/>
      </w:pPr>
      <w:r>
        <w:lastRenderedPageBreak/>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presentado en el Juzgado de Guardia el día 22 de abril de 1995 -registrado en este Tribunal el 25 siguiente-la Procuradora de los Tribunales doña Valentina López Valero, en nombre y representación del Sindicato Federal de Ferroviarios de la Confederación General del Trabajo, interpuso recurso de amparo contra la Sentencia del Juzgado de lo Social núm. 1 de Lugo de 24 de marzo de 1995.</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La demanda presentada se basa en los siguientes hechos: </w:t>
      </w:r>
    </w:p>
    <w:p w:rsidR="008107C7" w:rsidRDefault="008107C7" w:rsidP="008107C7">
      <w:pPr>
        <w:pStyle w:val="TextoNormal"/>
      </w:pPr>
      <w:r>
        <w:t xml:space="preserve">a) Para las elecciones a órganos de representación unitaria entre los trabajadores de RENFE de la provincia de Lugo, la Mesa Electoral elaboró un calendario electoral del que importa destacar los siguientes datos temporales: del 28 de enero de 1995 a las 24 horas del día 6 de febrero, plazo de presentación de candidaturas; 7 y 8 de febrero, proclamación provisional y publicación de candidaturas; 9 de febrero, reclamaciones contra las mismas; 10 de febrero, resolución de las reclamaciones y proclamación definitiva de candidaturas. </w:t>
      </w:r>
    </w:p>
    <w:p w:rsidR="008107C7" w:rsidRDefault="008107C7" w:rsidP="008107C7">
      <w:pPr>
        <w:pStyle w:val="TextoNormal"/>
      </w:pPr>
      <w:r>
        <w:t xml:space="preserve">El día 2 de febrero de 1995 el Sindicato ahora recurrente presentó completa su candidatura integrada por trece miembros. El día 6 de febrero, fecha en que finalizaba el plazo de presentación de candidaturas, dos de los candidatos comparecieron ante la Mesa Electoral para formalizar su renuncia a formar parte de la misma. </w:t>
      </w:r>
    </w:p>
    <w:p w:rsidR="008107C7" w:rsidRDefault="008107C7" w:rsidP="008107C7">
      <w:pPr>
        <w:pStyle w:val="TextoNormal"/>
      </w:pPr>
      <w:r>
        <w:t xml:space="preserve">b) Al día siguiente CC.OO. presentó reclamación ante la Mesa solicitando se declarase nula la candidatura por hallarse incompleta. La reclamación fue desestimada por el Presidente de la Mesa Electoral en resolución de 8 de febrero de 1995, notificada al reclamante a partir del día 9. </w:t>
      </w:r>
    </w:p>
    <w:p w:rsidR="008107C7" w:rsidRDefault="008107C7" w:rsidP="008107C7">
      <w:pPr>
        <w:pStyle w:val="TextoNormal"/>
      </w:pPr>
      <w:r>
        <w:t xml:space="preserve">El día 13 inició el procedimiento arbitral impugnando el Acuerdo de la Mesa y por Laudo de 20 de febrero, suscrito por dos árbitros, se declaró la nulidad de la candidatura presentada por la CGT e indebidamente proclamada por la Mesa Electoral. En la comparecencia previa presidida por sólo uno de los árbitros, CC.OO. ratificó su impugnación, la Mesa Electoral y la CGT presentaron por escrito sus alegaciones y se incorporó la documental aportada. </w:t>
      </w:r>
    </w:p>
    <w:p w:rsidR="008107C7" w:rsidRDefault="008107C7" w:rsidP="008107C7">
      <w:pPr>
        <w:pStyle w:val="TextoNormal"/>
      </w:pPr>
      <w:r>
        <w:t xml:space="preserve">c) Contra la decisión arbitral el ahora recurrente formuló demanda ante la jurisdicción laboral, que fue desestimada por Sentencia del Juzgado de lo Social núm. 1 de Lugo de 24 de marzo de 1995. La Sentencia, no obstante destacar que la excepción de caducidad por haberse impugnado extemporáneamente el Acuerdo de la Mesa, y la impugnación de la designación de uno de los árbitros, constituían hechos nuevos introducidos por vez primera en el acto del juicio y, por tanto, pretensiones rechazables de plano, razonó que el escrito impugnatorio se presentó dentro del plazo previsto en los arts. 76.5 del E.T. y 38.1 del Real Decreto 1.844/94, pues "el más elemental principio de seguridad jurídica obliga a interpretar estos preceptos en el sentido de que el "dies a quo" que debe jugar para el comienzo del plazo de los tres días ha de ser el de la notificación al impugnante de la resolución adoptada" (fundamento de Derecho primero). </w:t>
      </w:r>
    </w:p>
    <w:p w:rsidR="008107C7" w:rsidRDefault="008107C7" w:rsidP="008107C7">
      <w:pPr>
        <w:pStyle w:val="TextoNormal"/>
      </w:pPr>
      <w:r>
        <w:t xml:space="preserve">"En cuanto a la cuestión de fondo objeto del litigio, ésta consiste sustancial y básicamente en la interpretación que ha de darse al art. 71.2 a) del E.T. y art. 8.3 del Real Decreto 1.844/94 ... . A juicio del Sindicato demandante el número de candidatos presentados era superior al 60por 100 (se presentaron once para cubrir trece puestos) y consiguientemente no cabría la anulación de la candidatura; es cierto que el número de candidatos era superior al 60por 100 pero de una correcta interpretación del precepto transcripto resulta indiscutible que las candidaturas deben contener como mínimo tantos nombres como puestos a cubrir en el momento de finalización del plazo de presentación de candidaturas ... . La Ley autoriza </w:t>
      </w:r>
      <w:r>
        <w:lastRenderedPageBreak/>
        <w:t>la concurrencia de los sindicatos a los procesos electorales aun cuando el número de candidatos sólo alcance el 60por 100 de los puestos a cubrir, pero esta posibilidad se prevé para supuestos de renuncia "antes de la votación", no antes de la finalización del plazo de presentación de candidatos ...; pues resulta lógico y razonable que cualquier renuncia anterior a dicho plazo puede solucionarse sustituyendo por otra persona al candidato renunciante ..." (fundamento de Derecho segundo).</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La demanda de amparo imputa a la expresada Sentencia haber infringido los arts. 24.1 y 28.1 de la C.E. En cuanto al primero se suscita una doble queja. De un lado, la inadmisión de la excepción de caducidad coloca al recurrente en situación de inseguridad jurídica y de indefensión. El juzgador padeció un error en el cómputo del plazo de caducidad, como consecuencia de la improcedente interpretación del art. 76.2 y 5 y la manifiesta inaplicación de los arts. 30 y 38 del Real Decreto 1844/1994, pues sin duda cuando se presentó el escrito de impugnación la acción estaba caducada. Y por tal error el recurrente ha sido excluido de participar en el proceso electoral. </w:t>
      </w:r>
    </w:p>
    <w:p w:rsidR="008107C7" w:rsidRDefault="008107C7" w:rsidP="008107C7">
      <w:pPr>
        <w:pStyle w:val="TextoNormal"/>
      </w:pPr>
      <w:r>
        <w:t xml:space="preserve">De otro, se emitió un laudo arbitral por un árbitro que no participó en la preceptiva comparecencia (arts. 76.6 del E.T. y 41 y 42 del referido Real Decreto). </w:t>
      </w:r>
    </w:p>
    <w:p w:rsidR="008107C7" w:rsidRDefault="008107C7" w:rsidP="008107C7">
      <w:pPr>
        <w:pStyle w:val="TextoNormal"/>
      </w:pPr>
      <w:r>
        <w:t xml:space="preserve">Respecto del art. 28.1 C.E., se aduce que la renuncia de candidatos no determina la nulidad de la candidatura si se mantiene un mínimo del 60 por 100 [arts. 71.2 a) del E.T. y 8.3 del Real Decreto 1.844/1994]. </w:t>
      </w:r>
    </w:p>
    <w:p w:rsidR="008107C7" w:rsidRDefault="008107C7" w:rsidP="008107C7">
      <w:pPr>
        <w:pStyle w:val="TextoNormal"/>
      </w:pPr>
      <w:r>
        <w:t>Interesa, por ello, se declare la nulidad de la Sentencia recurrida y del laudo arbitral, ordenando repetir el proceso electoral desde la exclusión de la CGT.</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La Sección Tercera en providencia de 22 de mayo de 1995 acordó, conforme determina el art. 50.5 LOTC, conceder al recurrente un plazo de diez días para acreditar fehacientemente la fecha de notificación de la resolución impugnada y haber invocado ante la jurisdicción ordinaria el derecho constitucional que estima vulnerado. </w:t>
      </w:r>
    </w:p>
    <w:p w:rsidR="008107C7" w:rsidRDefault="008107C7" w:rsidP="008107C7">
      <w:pPr>
        <w:pStyle w:val="TextoNormal"/>
      </w:pPr>
      <w:r>
        <w:t xml:space="preserve">Cumplimentado el requerimiento, la Sección por providencia de 2 de octubre de 1995 acordó admitir a trámite la demanda de amparo y, en aplicación de lo dispuesto en el art. 51 de la LOTC, interesar del Juzgado de lo Social núm. 1 de Lugo la remisión de certificación o fotocopia adverada de las actuaciones, así como la práctica de los correspondientes emplazamientos. </w:t>
      </w:r>
    </w:p>
    <w:p w:rsidR="008107C7" w:rsidRDefault="008107C7" w:rsidP="008107C7">
      <w:pPr>
        <w:pStyle w:val="TextoNormal"/>
      </w:pPr>
      <w:r>
        <w:t xml:space="preserve">La Sección por providencia de 23 de noviembre de 1995 acordó conceder un plazo de diez días a los Procuradores doña María Teresa de las Alas Pumariño y don Ángel Martín Gutiérrez para acreditar la representación que dicen ostentar, y a la Confederación Sindical Galega para que compareciera con Procurador de Madrid, según dispone el art. 81 LOTC. </w:t>
      </w:r>
    </w:p>
    <w:p w:rsidR="008107C7" w:rsidRDefault="008107C7" w:rsidP="008107C7">
      <w:pPr>
        <w:pStyle w:val="TextoNormal"/>
      </w:pPr>
      <w:r>
        <w:t xml:space="preserve">La Sección por providencia de 11 de enero de 1996 acordó tener por decaída en su derecho a personarse a la Confederación Intersindical Galega, al no haber dado cumplimiento al requerimiento efectuado en el anterior proveído; tener por personados y parte en el procedimiento al Procurador don Ángel Martín Gutiérrez, en nombre y representación de la </w:t>
      </w:r>
    </w:p>
    <w:p w:rsidR="008107C7" w:rsidRDefault="008107C7" w:rsidP="008107C7">
      <w:pPr>
        <w:pStyle w:val="TextoNormal"/>
      </w:pPr>
      <w:r>
        <w:t>Federación Sindical Estatal del Transporte, las Comunicaciones y el Mar de CC.OO. (FETCOMAR-CC.OO.) y a la Procuradora doña Teresa de las Alas Pumariño, en nombre y representación de la Red Nacional de los Ferrocarriles Españoles (RENFE), y dar vista de las actuaciones remitidas a las partes personadas y al Ministerio Fiscal, por plazo común de veinte días, para presentar las alegaciones que estimen pertinentes, conforme determina el art. 52.1 de la LOTC.</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5</w:t>
      </w:r>
      <w:r>
        <w:t xml:space="preserve">. La representación de RENFE solicitó la desestimación del amparo. Precisó, ante todo, que las decisiones impugnadas tienen su origen en un proceso electoral pactado entre todos los intervinientes, pacto plasmado en la llamada Circular núm. 1 de elecciones sindicales, que incluye el calendario electoral. </w:t>
      </w:r>
    </w:p>
    <w:p w:rsidR="008107C7" w:rsidRDefault="008107C7" w:rsidP="008107C7">
      <w:pPr>
        <w:pStyle w:val="TextoNormal"/>
      </w:pPr>
      <w:r>
        <w:t xml:space="preserve">El alegato sobre la supuesta caducidad del escrito de promoción del arbitraje, ni siquiera invocada previamente de forma clara y terminante, es errónea. Tal como razona el juzgador, difícilmente podía el reclamante ante la Mesa promover el arbitraje antes de habérsele notificado la resolución desestimatoria de su reclamación. De otra parte, el proceso general de elecciones y, en concreto, el propio calendario fue consensuado y en su virtud es obvio que no puede perjudicar al impugnante el hecho de que anticipara su reclamación o que la Mesa la resolviera el día 8 y se la notificara el 9. Por el contrario, la estimación de la caducidad hubiera vulnerado el derecho a la tutela judicial efectiva del sindicato entonces reclamante. </w:t>
      </w:r>
    </w:p>
    <w:p w:rsidR="008107C7" w:rsidRDefault="008107C7" w:rsidP="008107C7">
      <w:pPr>
        <w:pStyle w:val="TextoNormal"/>
      </w:pPr>
      <w:r>
        <w:t xml:space="preserve">La emisión del laudo por dos árbitros, aunque sólo uno de ellos asistiera a la comparecencia previa, es una cuestión de interpretación de la legalidad ordinaria que no afecta a derecho fundamental alguno, ni siquiera al de la tutela judicial, el cual únicamente puede violarlo la actuación del Juez. Es incierto además que en los procesos judiciales no pueda fallar Juez distinto del interviniente en las actuaciones. </w:t>
      </w:r>
    </w:p>
    <w:p w:rsidR="008107C7" w:rsidRDefault="008107C7" w:rsidP="008107C7">
      <w:pPr>
        <w:pStyle w:val="TextoNormal"/>
      </w:pPr>
      <w:r>
        <w:t>La pretendida vulneración del derecho de libertad sindical depende de si la actuación del recurrente, o la de los miembros que incluyó en su lista, se acomodó a la ley. La respuesta ha de ser negativa porque no puede aplicarse el inciso tercero del art. 71.2 a) del E.T. ignorando lo prescrito en su anterior inciso. La intención del legislador es que la lista es válida cuando la renuncia de cualquier candidato o la disminución del número de sus integrantes sin exceder del 60 por 100 de los puestos a cubrir, se produzca antes de la votación, pero naturalmente en el período que media entre la proclamación correcta de la lista (y sólo es correcta si contiene tantos nombres como puestos) y la votación. No así en el caso de autos en que la lista en el momento de su proclamación era ilegal, pues no cumplía el requisito fundamental de igualdad al menos entre aspirantes o candidatos y puestos.</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El Fiscal ante el Tribunal Constitucional interesó el otorgamiento del amparo y que se anulara el laudo arbitral, la Sentencia impugnada y el proceso electoral hasta el momento anterior a la declaración de nulidad de la candidatura del Sindicato recurrente. Tras exponer los antecedentes y fundamentación jurídica de la demanda, señala, en cuanto a la caducidad invocada por el actor, que no es posible sostener ninguna clase de arbitrariedad o error en la decisión adoptada tanto en vía arbitral como judicial, ya que dado lo prescrito en los arts. 76.5 del E.T. y 38.1 del Real Decreto 1.844/1994, es obvio que si se tuvo por notificada la resolución de la Mesa el día 9 de febrero de 1995 y el día 12 es domingo, la presentación de la impugnación el día 13 lo fue en el último día de plazo. El razonamiento del Juez sobre el dies a quo tampoco ofrece falta de fundamento o rigidez alguna: si la resolución de la Mesa se dictó el día 8 de febrero de 1995 y su Presidente declaró en juicio que ese día no encontraron al representante de CC.OO., deducir de esas manifestaciones que CC.OO. no tuvo conocimiento de la resolución hasta el día 9 o sucesivos, pero no antes, es no sólo razonable sino necesario para evitar cualquier clase de indefensión al Sindicato impugnante. </w:t>
      </w:r>
    </w:p>
    <w:p w:rsidR="008107C7" w:rsidRDefault="008107C7" w:rsidP="008107C7">
      <w:pPr>
        <w:pStyle w:val="TextoNormal"/>
      </w:pPr>
      <w:r>
        <w:t xml:space="preserve">En la comparecencia ante el árbitro no se practicó prueba alguna que de visu hubiera sido relevante para el enjuiciamiento de la cuestión, sino que las partes se limitaron a aportar documentos. En consecuencia, el defecto formal de la incomparecencia de uno de los árbitros realmente no ha causado indefensión y, por tanto, no es posible apreciar la doble lesión del art. 24.1 C.E. que se denuncia. </w:t>
      </w:r>
    </w:p>
    <w:p w:rsidR="008107C7" w:rsidRDefault="008107C7" w:rsidP="008107C7">
      <w:pPr>
        <w:pStyle w:val="TextoNormal"/>
      </w:pPr>
      <w:r>
        <w:lastRenderedPageBreak/>
        <w:t>El fondo del recurso gira en torno a la violación del derecho de libertad sindical. Después de invocar los arts. 71.2 a) del E.T. y 8.3 del Real Decreto 1.844/1994 y las SSTC 185/1992 y 272/1993, destaca que la interpretación de los árbitros y del Juzgado añade un obstáculo innecesario a la normativa legal y hasta rompe con la finalidad que la propia norma parece perseguir. El precepto quiere que si antes de la fecha de la votación se produce alguna renuncia, ésta no dé lugar a la nulidad de la candidatura siempre y cuando cuente con un número suficiente de participantes -el 60 por 100- para poder defender los derechos del Sindicato. Limitar la norma exigiendo que sólo sea aplicable cuando la renuncia se produzca después del plazo de presentación de las candidaturas y antes de la fecha de la votación, es añadir algo que la ley no exige y produce el efecto, además, de invalidar las candidaturas, aunque reúnan el porcentaje de integrantes legalmente establecido, si sobreviene alguna renuncia en el último momento del plazo de presentación. Donde la ley no distingue no se debió distinguir, máxime cuando esa interpretación ha sido la menos favorable a la efectividad del derecho a la libertad sindical.</w:t>
      </w:r>
    </w:p>
    <w:p w:rsidR="008107C7" w:rsidRDefault="008107C7" w:rsidP="008107C7">
      <w:pPr>
        <w:pStyle w:val="TextoNormal"/>
      </w:pPr>
    </w:p>
    <w:p w:rsidR="008107C7" w:rsidRDefault="008107C7" w:rsidP="008107C7">
      <w:pPr>
        <w:pStyle w:val="TextoNormal"/>
      </w:pPr>
      <w:r w:rsidRPr="008107C7">
        <w:rPr>
          <w:rStyle w:val="NumeroAFNegritaCaracter"/>
        </w:rPr>
        <w:t>7</w:t>
      </w:r>
      <w:r>
        <w:t>. Ni la representación del recurrente ni la de FETCOMAR-CC.OO. formularon alegaciones.</w:t>
      </w:r>
    </w:p>
    <w:p w:rsidR="008107C7" w:rsidRDefault="008107C7" w:rsidP="008107C7">
      <w:pPr>
        <w:pStyle w:val="TextoNormal"/>
      </w:pPr>
    </w:p>
    <w:p w:rsidR="008107C7" w:rsidRDefault="008107C7" w:rsidP="008107C7">
      <w:pPr>
        <w:pStyle w:val="TextoNormal"/>
      </w:pPr>
      <w:r w:rsidRPr="008107C7">
        <w:rPr>
          <w:rStyle w:val="NumeroAFNegritaCaracter"/>
        </w:rPr>
        <w:t>8</w:t>
      </w:r>
      <w:r>
        <w:t>. Por providencia de 23 de enero de 1997 se señaló para deliberación y fallo el día 27 siguiente.</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La demanda de amparo se dirige contra la Sentencia del Juzgado de lo Social núm. 1 de Lugo, de 24 de marzo de 1995, que confirmó íntegramente el laudo arbitral impugnado y, por tanto, la nulidad de la candidatura presentada por el Sindicato ahora recurrente en las elecciones a órganos de representación unitaria de los trabajadores.</w:t>
      </w:r>
    </w:p>
    <w:p w:rsidR="008107C7" w:rsidRDefault="008107C7" w:rsidP="008107C7">
      <w:pPr>
        <w:pStyle w:val="TextoNormal"/>
      </w:pPr>
      <w:r>
        <w:t>Se alega la vulneración de los arts. 24.1 y 28.1 de la Constitución. En cuanto al primero denuncia un doble agravio: no apreció la extemporaneidad de la solicitud de CC.OO. promoviendo la iniciación del procedimiento arbitral y el laudo arbitral se dictó por dos árbitros, uno de los cuales no participó en la preceptiva comparecencia previa. Respecto de la libertad sindical argumenta que el órgano judicial ha ignorado que la renuncia de candidatos no determina la nulidad de la candidatura si se mantiene un mínimo del 60 por 100 de los puestos a cubrir.</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La infracción de los derechos constitucionales susceptibles del recurso de amparo requiere, por exigencia del art. 53.2 de la propia Constitución que tiene su adecuado reflejo en los arts. 43.1 y 44.1 b) de nuestra Ley Orgánica, que su protección se dispense en primer lugar por los órganos judiciales y que, por tanto, en el proceso previo a este recurso hayan podido ser reparados y, en su defecto, puedan serlo por este Tribunal. De los derechos invocados por el Sindicato recurrente tiene ciertamente rango de derecho fundamental la libertad sindical que consagra el art. 28 C.E. y que, como hemos visto, es uno de los preceptos constitucionales cuya infracción se denuncia. El otro, el relativo a la tutela judicial efectiva sin indefensión que, por vulneración del art. 24.1 C.E. también se alega, sólo podría ser revisado por este Tribunal si la infracción de dicho precepto fuera imputable de modo inmediato y directo a un acto u omisión producido en el proceso judicial en el cual han de </w:t>
      </w:r>
      <w:r>
        <w:lastRenderedPageBreak/>
        <w:t>observarse y son exigibles las garantías previstas en el art. 24 C.E.  Trasladar estas garantías con el mismo rango de derecho fundamental al procedimiento arbitral para basar en determinadas irregularidades o vicisitudes ocurridas durante su tramitación la nulidad del Laudo de 20 de febrero de 1995, es algo que, en principio, resulta extraño a esta jurisdicción ya que como recuerda la reciente STC 176/1996 con cita de una reiterada jurisprudencia, "... este Tribunal carece de jurisdicción para enjuiciar el Laudo arbitral en si mismo considerado, por cuanto, como acto no referible a ningún tipo de poder público (art. 41.2 LOTC), resulta extraño al ámbito y función del proceso constitucional de amparo".</w:t>
      </w:r>
    </w:p>
    <w:p w:rsidR="008107C7" w:rsidRDefault="008107C7" w:rsidP="008107C7">
      <w:pPr>
        <w:pStyle w:val="TextoNormal"/>
      </w:pPr>
      <w:r>
        <w:t>De acuerdo con dicha doctrina no puede en este caso revisar este Tribunal si fue o no extemporánea la reclamación arbitral que contra la decisión de la Mesa electoral planteó CC.OO., ni las consecuencias para la validez del Laudo de la ausencia de uno de los árbitros en la comparecencia previa a su pronunciamiento. Son cuestiones que, como ha quedado expuesto en los antecedentes de esta Sentencia, han sido resueltas por el Juzgado de lo Social núm. 1 de Lugo de forma razonable y motivada y que, por tanto, satisface la tutela judicial efectiva que, como tantas veces ha declarado este Tribunal, no garantiza el acierto de las decisiones judiciales por no ser el recurso de amparo una nueva instancia jurisdiccional.</w:t>
      </w:r>
    </w:p>
    <w:p w:rsidR="008107C7" w:rsidRDefault="008107C7" w:rsidP="008107C7">
      <w:pPr>
        <w:pStyle w:val="TextoNormal"/>
      </w:pPr>
    </w:p>
    <w:p w:rsidR="008107C7" w:rsidRDefault="008107C7" w:rsidP="008107C7">
      <w:pPr>
        <w:pStyle w:val="TextoNormal"/>
      </w:pPr>
      <w:r w:rsidRPr="008107C7">
        <w:rPr>
          <w:rStyle w:val="NumeroAFNegritaCaracter"/>
        </w:rPr>
        <w:t>3</w:t>
      </w:r>
      <w:r>
        <w:t>. Queda, pues, reducido el problema de fondo denunciado en este recurso de amparo, como señala el Ministerio Fiscal en sus alegaciones -favorables a su otorgamiento-, a la violación del derecho a la libertad sindical consagrado en el art. 28 C.E.</w:t>
      </w:r>
    </w:p>
    <w:p w:rsidR="008107C7" w:rsidRDefault="008107C7" w:rsidP="008107C7">
      <w:pPr>
        <w:pStyle w:val="TextoNormal"/>
      </w:pPr>
      <w:r>
        <w:t>Se plantea de nuevo el engarce de las elecciones a delegados de personal y miembros del Comité de Empresa con el derecho de libertad sindical, sobre el que ya existe una doctrina consolidada de este Tribunal. Los sindicatos, junto a los medios de acción que configuran el núcleo mínimo e indisponible de la libertad sindical por contribuir de forma primordial al desenvolvimiento de las funciones que constitucionalmente les corresponden (art. 7 de la C.E.), pueden ostentar otras facultades o derechos adicionales atribuidos por normas legales o reglamentarias que pasan a engrosar el contenido del derecho, siendo, por tanto, los actos contrarios a tales facultades susceptibles de impugnación a través del recurso de amparo por incidir en el contenido de ese derecho (SSTC 39/1986 y 184/1987, entre otras).</w:t>
      </w:r>
    </w:p>
    <w:p w:rsidR="008107C7" w:rsidRDefault="008107C7" w:rsidP="008107C7">
      <w:pPr>
        <w:pStyle w:val="TextoNormal"/>
      </w:pPr>
      <w:r>
        <w:t>Una de estas facultades o derechos es la presentación de candidaturas por los sindicatos para la elección de Comités de Empresa y delegados de personal.  Ello no significa, sin embargo, la inclusión en el ámbito del derecho de libertad sindical de las normas electorales en su conjunto o de todos los actos relacionados con el proceso electoral; por el contrario, la violación del derecho fundamental se dará cuando se impida u obstaculice al Sindicato o a sus miembros participar en el proceso electoral por causas que no obedezcan a razones atendibles de protección de derechos o intereses constitucionales que la norma legal o reglamentaria hayan tomado en consideración al establecer la regulación del proceso electoral. Este derecho de configuración legal, ha de ejercerse en los términos legalmente previstos (art.  2.2 d] de la L.O.L.S.), y no corresponde a este Tribunal determinar cuál es la interpretación más correcta de tal cuerpo normativo (STC 61/1989), ni resultaría constitucionalmente obligado que estando en juego una garantía legal del derecho fundamental se incline a priori por la interpretación aparentemente más beneficiosa para el titular de aquél, sino que basta con constatar si la interpretación llevada a cabo salvaguarda o no suficientemente el contenido del derecho fundamental.</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Una de las cuestiones más controvertidas en la regulación anterior fue la relativa a las candidaturas que devenían incompletas, debido a la falta de adecuación entre las previsiones </w:t>
      </w:r>
      <w:r>
        <w:lastRenderedPageBreak/>
        <w:t>del Estatuto de los Trabajadores (E.T.)  y la normativa reglamentaria.  El art. 71.2 a) del E.T. exigía que las candidaturas contuviesen como mínimo tantos nombres como puestos a cubrir; en cambio, el art. 7.3 del Real Decreto 1.311/1986 consideraba que la renuncia de cualquier candidato antes de la votación no implicaba la anulación de la candidatura, aunque quedase incompleta. Este Tribunal, como es sabido, en las SSTC 51/1988 y 185/1992, además de decantarse por razones de jerarquía normativa en favor de la aplicación del precepto con rango de Ley, entendió que la necesidad de listas completas "responde a la finalidad válida de exigir una presencia activa mínima en el ámbito de la elección, donde habrá de contarse con un número mínimo de afiliados o simpatizantes dispuestos a la actividad representativa para la que el sindicato o sus miembros pueden ser llamados y a la que deben atender si son elegidos, supuesto en que el carácter incompleto de las listas podría llevar a que el órgano representativo empezara a funcionar sin el número mínimo, legal y presumiblemente adecuado a la finalidad de defensa colectiva que el órgano debe servir, con merma de su eficacia y en perjuicio, pues, de la colectividad a que debe representar (piénsese en el supuesto de ser la única candidatura votada o única con el mínimo de votos para participar en la atribución de puestos)".</w:t>
      </w:r>
    </w:p>
    <w:p w:rsidR="008107C7" w:rsidRDefault="008107C7" w:rsidP="008107C7">
      <w:pPr>
        <w:pStyle w:val="TextoNormal"/>
      </w:pPr>
      <w:r>
        <w:t>Pues bien, según la normativa vigente, las listas deberán contener, como mínimo, tantos nombres como puestos a cubrir. No obstante, la renuncia de cualquier candidato presentado en alguna de las listas para las elecciones antes de la fecha de la votación no implicará la suspensión del proceso electoral, ni la anulación de dicha candidatura aun cuando sea incompleta, siempre y cuando la lista afectada permanezca con un número de candidatos, al menos, del 60 por 100 de los puestos a cubrir [arts. 71.2 a) del E.T. y 8.3 del Real Decreto 1.844/1994]. Las renuncias de candidatos antes de la votación no alteran, pues, el desarrollo del proceso electoral ni invalidan la respectiva candidatura, si ésta conserva el porcentaje mínimo de puestos a cubrir legalmente previsto. Desaparece así el problema del exceso ultra vires de la anterior norma reglamentaria.</w:t>
      </w:r>
    </w:p>
    <w:p w:rsidR="008107C7" w:rsidRDefault="008107C7" w:rsidP="008107C7">
      <w:pPr>
        <w:pStyle w:val="TextoNormal"/>
      </w:pPr>
      <w:r>
        <w:t xml:space="preserve">En la medida en que subsiste la obligación de presentar listas completas, no es irrazonable la distinción que introduce el órgano judicial al interpretar que la norma se refiere a la renuncia producida en el lapso comprendido entre la proclamación de la candidatura y la votación. Desde esta perspectiva al decretar la nulidad se olvida, sin embargo, que la proclamación de las candidaturas se hará en los dos días laborales después de concluido el plazo de presentación (art. 74.3, párrafo tercero, del E.T.)  y que la Mesa, hasta la proclamación definitiva de los candidatos, podrá requerir la subsanación de los defectos observados (art. 8.1 del referido Real Decreto). Por tanto, ante la renuncia formalizada precisamente el día que concluyó el plazo de presentación de la candidatura -dato ignorado por el Sindicato recurrente-, la Mesa pudo requerir que se completase sin daño alguno para la regularidad del proceso electoral en el perentorio término establecido al efecto (nótese que según el calendario electoral hasta el 10 de febrero no tuvo lugar la proclamación definitiva de las candidaturas). Y si bien en este caso la Mesa no invalidó la candidatura, tanto los árbitros que anularon el Acuerdo de la Mesa como el órgano judicial que confirmó el Acuerdo anulatorio, antes de hacerlo y aun admitiendo la interpretacuión que del art. 71.2 a) del E.T. hace la Sentencia impugnada - reproducido en el antecedente 2.c)- y teniendo en cuenta que como en él se dice la candidatura anulada contenía el porcentaje mínimo previsto en dicho precepto, debieron apreciar que no se había dado al Sindicato recurrente la oportunidad, que tenía en todo caso de subsanar el defecto. Esta es la solución que resulta adecuada a la justificación finalista del precepto (STC 272/1993) y que responde a lo que declaramos en la STC 185/1992, en cuyo fundamento jurídico segundo se dice: "...la lista puede devenir </w:t>
      </w:r>
      <w:r>
        <w:lastRenderedPageBreak/>
        <w:t>incompleta, por incompatibilidad o renuncia de alguno de los incluidos, después de formulada pero tal defecto ha de ser subsanado antes de ser proclamada". Y en recursos de amparo electoral sobre proclamación de candidatos (art. 49 de la L.O.R.E.G.), este Tribunal también ha declarado en general el carácter subsanable de las irregularidades y errores en la presentación de candidaturas y, en concreto, en el supuesto de presentación de listas incompletas (STC 113/1991).</w:t>
      </w:r>
    </w:p>
    <w:p w:rsidR="008107C7" w:rsidRDefault="008107C7" w:rsidP="008107C7">
      <w:pPr>
        <w:pStyle w:val="TextoNormal"/>
      </w:pPr>
      <w:r>
        <w:t>En definitiva, a la vista de las circunstancias concurrentes es claro que el derecho fundamental ha sido lesionado merced a una interpretación restrictiva y rígidamente formalista del art. 71.2 a) E.T. que no se justifica por la necesidad de salvaguardar otros derechos o intereses dignos de protección.</w:t>
      </w:r>
    </w:p>
    <w:p w:rsidR="008107C7" w:rsidRDefault="008107C7" w:rsidP="008107C7">
      <w:pPr>
        <w:pStyle w:val="TextoNormal"/>
      </w:pPr>
    </w:p>
    <w:p w:rsidR="008107C7" w:rsidRDefault="008107C7" w:rsidP="008107C7">
      <w:pPr>
        <w:pStyle w:val="TextoNormal"/>
      </w:pPr>
      <w:r w:rsidRPr="008107C7">
        <w:rPr>
          <w:rStyle w:val="NumeroAFNegritaCaracter"/>
        </w:rPr>
        <w:t>5</w:t>
      </w:r>
      <w:r>
        <w:t>. Las consideraciones que anteceden necesariamente conducen a la estimación del amparo y únicamente resta precisar que, para restablecer al recurrente en la integridad de su derecho de libertad sindical [art. 55.1 c) de la LOTC], debe anularse la Sentencia impugnada, el laudo arbitral y el proceso electoral a fin de permitir que el Sindicato demandante pueda subsanar el defecto sobrevenido en su candidatura.</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Estimar el recurso de amparo interpuesto por el Sindicato Federal de Ferroviarios de la Confederación General del Trabajo y, en consecuencia,</w:t>
      </w:r>
    </w:p>
    <w:p w:rsidR="008107C7" w:rsidRDefault="008107C7" w:rsidP="008107C7">
      <w:pPr>
        <w:pStyle w:val="TextoNormal"/>
      </w:pPr>
      <w:r>
        <w:t>1º. Declarar que se ha vulnerado al sindicato recurrente el derecho de libertad sindical.</w:t>
      </w:r>
    </w:p>
    <w:p w:rsidR="008107C7" w:rsidRDefault="008107C7" w:rsidP="008107C7">
      <w:pPr>
        <w:pStyle w:val="TextoNormal"/>
      </w:pPr>
      <w:r>
        <w:t>2º. Restablecerle en su derecho, para lo cual se declara la nulidad de la Sentencia del Juzgado de lo Social núm. 1 de Lugo de 24 de marzo de 1995, recaída en autos núm. 138/95, del previo laudo arbitral dictado el 20 de febrero de 1995 en expediente núm.  7/95 y del correspondiente proceso electoral a fin de que el recurrente pueda, subsanando el defecto sobrevenido en su candidatura, participar en el mismo.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veintisiete de enero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17" w:name="SENTENCIA_1997_14"/>
      <w:r>
        <w:lastRenderedPageBreak/>
        <w:t>SENTENCIA 14/1997, de 28 de enero de 1997</w:t>
      </w:r>
    </w:p>
    <w:bookmarkEnd w:id="17"/>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49, de 26 de febrero de 1997)</w:t>
      </w:r>
    </w:p>
    <w:p w:rsidR="008107C7" w:rsidRDefault="008107C7" w:rsidP="008107C7">
      <w:pPr>
        <w:pStyle w:val="TtuloBOE"/>
      </w:pPr>
    </w:p>
    <w:p w:rsidR="008107C7" w:rsidRDefault="008107C7" w:rsidP="008107C7">
      <w:pPr>
        <w:pStyle w:val="SntesisDescriptiva"/>
      </w:pPr>
      <w:r>
        <w:t>ECLI:ES:TC:1997:14</w:t>
      </w:r>
    </w:p>
    <w:p w:rsidR="008107C7" w:rsidRDefault="008107C7" w:rsidP="008107C7">
      <w:pPr>
        <w:pStyle w:val="SntesisDescriptiva"/>
      </w:pPr>
    </w:p>
    <w:p w:rsidR="008107C7" w:rsidRDefault="008107C7" w:rsidP="008107C7">
      <w:pPr>
        <w:pStyle w:val="SntesisDescriptiva"/>
      </w:pPr>
      <w:r>
        <w:t>Recurso de amparo 174/1995. Contra Sentencia de la Sala de lo Contencioso-Administrativo del T.S.J. de Galicia.</w:t>
      </w:r>
    </w:p>
    <w:p w:rsidR="008107C7" w:rsidRDefault="008107C7" w:rsidP="008107C7">
      <w:pPr>
        <w:pStyle w:val="SntesisDescriptiva"/>
      </w:pPr>
    </w:p>
    <w:p w:rsidR="008107C7" w:rsidRDefault="008107C7" w:rsidP="008107C7">
      <w:pPr>
        <w:pStyle w:val="SntesisAnaltica"/>
      </w:pPr>
      <w:r>
        <w:t>Vulneración del derecho a utilizar los medios de prueba pertinentes: valor probatorio de las actas de infracción.</w:t>
      </w:r>
    </w:p>
    <w:p w:rsidR="008107C7" w:rsidRDefault="008107C7" w:rsidP="008107C7">
      <w:pPr>
        <w:pStyle w:val="SntesisAnaltica"/>
      </w:pPr>
    </w:p>
    <w:p w:rsidR="008107C7" w:rsidRDefault="008107C7" w:rsidP="008107C7">
      <w:pPr>
        <w:pStyle w:val="Extracto"/>
      </w:pPr>
      <w:r>
        <w:t>1.</w:t>
      </w:r>
      <w:r>
        <w:tab/>
        <w:t>Los principios generales que informan el derecho a la presunción de inocencia en el orden sancionador no impiden que las actas de infracción, donde los funcionarios competentes consignan los hechos que observan en el curso de sus comprobaciones e investigaciones, sean consideradas como medios de prueba, capaces de destruir, en su caso, la presunción de inocencia que protege a todo ciudadano. Así lo manifestó la STC 76/1990, añadiendo que lo que exige el respeto a los derechos que declara el art. 24 C.E. no es negar todo valor probatorio a las actas, sino modular y matizar su eficacia probatoria. Sería incompatible con la Constitución «una presunción ``iuris et de iure'' de veracidad o certeza de los documentos de la Inspección», o que se dispensara «a la Administración, en contra del derecho fundamental a la presunción de inocencia, de toda prueba respecto de los hechos sancionados» (STC 76/1990) . [F.J. 6]</w:t>
      </w:r>
    </w:p>
    <w:p w:rsidR="008107C7" w:rsidRDefault="008107C7" w:rsidP="008107C7">
      <w:pPr>
        <w:pStyle w:val="Extracto"/>
      </w:pPr>
    </w:p>
    <w:p w:rsidR="008107C7" w:rsidRDefault="008107C7" w:rsidP="008107C7">
      <w:pPr>
        <w:pStyle w:val="Extracto"/>
      </w:pPr>
      <w:r>
        <w:t>2.</w:t>
      </w:r>
      <w:r>
        <w:tab/>
        <w:t>Resulta evidente que el derecho a la presunción de inocencia del actor no ha sido vulnerado. La Administración aportó ante el Tribunal una prueba de cargo: el acta en la que los agentes de vigilancia pesquera habían consignado los hechos percibidos directamente por ellos relativos a las infracciones denunciadas, sobre la que la Sala de lo Contencioso-Administrativo pudo fundar válidamente su convicción acerca de la realidad de los hechos controvertidos en el proceso, y la culpabilidad del denunciado. Y ello «sin necesidad de reiterar en dicha vía [judicial] la actividad probatoria de cargo practicada en el expediente administrativo», pues en el proceso judicial la Administración puede apoyar su contestación a la demanda en los medios de prueba incorporados al expediente administrativo, y que obran en los autos judiciales, lo mismo que la parte recurrente, sin necesidad de una petición formal de recibimiento a prueba ( SSTC 76/1990 y 212/1990) . [F.J. 7]</w:t>
      </w:r>
    </w:p>
    <w:p w:rsidR="008107C7" w:rsidRDefault="008107C7" w:rsidP="008107C7">
      <w:pPr>
        <w:pStyle w:val="Extracto"/>
      </w:pPr>
    </w:p>
    <w:p w:rsidR="008107C7" w:rsidRDefault="008107C7" w:rsidP="008107C7">
      <w:pPr>
        <w:pStyle w:val="Extracto"/>
      </w:pPr>
      <w:r>
        <w:t>3.</w:t>
      </w:r>
      <w:r>
        <w:tab/>
        <w:t xml:space="preserve">El recibimiento a prueba en el proceso administrativo procede cuando existe disparidad sobre los hechos objeto de controversia y éstos son de transcedencia para la resolución del litigio, conforme determina el art. 74.3 L.J.C.A., requisitos que concurren plenamente en el caso. Siendo ello así, solamente a través de la apertura del período probatorio podía «el Juez del contencioso formar su convicción sobre la base de una valoración o apreciación razonada de las pruebas practicadas» (STC 76/1990), tal y como exige el art. 24.2 C.E. La verosimilitud, detalle y aun contundencia del acta de infracción serán o podrán ser aspectos relevantes en el </w:t>
      </w:r>
      <w:r>
        <w:lastRenderedPageBreak/>
        <w:t>momento posterior de valorar las pruebas pertinentes en el proceso, pero no en el anterior, de decidir acerca de la apertura de período probatorio. El riesgo de que alguna de las partes incurra en pruebas abusivas o excesivas no puede conjurarse denegando el recibimiento a prueba del proceso, sino rechazando de manera motivada y razonada los concretos medios de prueba propuestos que puedan resultar impertinentes o intrascendentes . [FF.JJ. 8 y 9]</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174/95, promovido por don Raul Ricardo Lameiro Antón, representado por la Procuradora de los Tribunales doña María Luisa Noya Otero, y asistido por el Letrado don Antonio Cascante Burgos, contra la Sentencia de la Sala de lo Contencioso-Administrativo del Tribunal Superior de Justicia de Galicia de 1 de diciembre de 1994. Ha intervenido el Ministerio Fiscal, y la Xunta de Galicia, representada por el Procurador de los Tribunales don Argimiro Vázquez Guillén, asistida de la Letrada doña María del Carmen Bouso Montero. Ha sido Ponente el Magistrado don Enrique Ruiz Vadillo,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Por escrito registrado en este Tribunal el 18 de enero de 1995, representado y asistido en legal forma de Procurador y Abogado respectivamente, don Raul Ricardo Lameiro Antón, interpone recurso de amparo contra la Sentencia dictada por la Sala de lo Contencioso-Administrativo del Tribunal Superior de Justicia de Galicia, el día 1 de diciembre de 1994, en el recurso contencioso-administrativo núm. 5.101/92.</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hechos en los que se fundamenta la demanda son, sucintamente expuestos, los siguientes : </w:t>
      </w:r>
    </w:p>
    <w:p w:rsidR="008107C7" w:rsidRDefault="008107C7" w:rsidP="008107C7">
      <w:pPr>
        <w:pStyle w:val="TextoNormal"/>
      </w:pPr>
      <w:r>
        <w:t xml:space="preserve">A) En fecha 23 de mayo de 1991, por la Consellería de Pesca, Acuicultura y Marisqueo de la Xunta de Galicia, Delegación de Vigo, se acordó incoar expediente sancionador contra el ahora recurrente, con base en una denuncia cursada por agentes del Servicio de Vigilancia de dicha Consellería - expediente núm. PO- 317/91. Se le imputaba la comisión de dos infracciones administrativas, consistentes en entorpecer la labor de vigilancia y realizar faenas de arrastre en zona no autorizada a bordo de la embarcación Volador II, matrícula 3º VI-2-2269, al sureste de Punta Galera, el día 8 de mayo de 1991 a las 20,35 horas. </w:t>
      </w:r>
    </w:p>
    <w:p w:rsidR="008107C7" w:rsidRDefault="008107C7" w:rsidP="008107C7">
      <w:pPr>
        <w:pStyle w:val="TextoNormal"/>
      </w:pPr>
      <w:r>
        <w:lastRenderedPageBreak/>
        <w:t xml:space="preserve">B) Desde su primera intervención en el expediente administrativo sancionador, en el acto de la vista que se celebró el 7 de junio de 1991, en la sede de la Consellería de Pesca en Vigo, don Raul Lameiro negó los hechos que se le imputaban. Alegó en su descargo que en esa fecha la embarcación "Volador II" estaba varada para su reparación y pintado en la rampa del Puerto de Combarro (Pontevedra); y que ni él ni su tripulación salieron a faenar en el período que va desde el día 2 hasta el 17, ambos inclusive del mes de mayo de 1991, así como que la embarcación es absolutamente inadecuada para faenar al arrastre. En apoyo de sus aseveraciones aportó documentos que obran unidos al expediente, tales como: facturas de las empresas que realizaron trabajos en el buque y recibo del Grupo de Puertos de Pontevedra, Puerto de Combarro, donde estuvo varada la embarcación. Frente a ello la Administración esgrimió la denuncia de los agentes del Servicio de Vigilancia. </w:t>
      </w:r>
    </w:p>
    <w:p w:rsidR="008107C7" w:rsidRDefault="008107C7" w:rsidP="008107C7">
      <w:pPr>
        <w:pStyle w:val="TextoNormal"/>
      </w:pPr>
      <w:r>
        <w:t xml:space="preserve">C) A presencia de su superior jerárquico, los agentes se ratificaron en el contenido de la denuncia, no practicándose las diligencias de prueba que aconsejaba el descargo articulado por el presunto infractor. </w:t>
      </w:r>
    </w:p>
    <w:p w:rsidR="008107C7" w:rsidRDefault="008107C7" w:rsidP="008107C7">
      <w:pPr>
        <w:pStyle w:val="TextoNormal"/>
      </w:pPr>
      <w:r>
        <w:t xml:space="preserve">D) En fecha 13 de marzo de 1992 recayó Resolución del Conselleiro de Pesca, Acuicultura y Marisqueo, por la que se imponían a don Raul Lameiro sendas sanciones de multa de 1.100.002 pesetas, como autor de dos infracciones contempladas respectivamente en los art.7, párrafo 4º, y art. 6, párrafo 1º, de la Ley 6/1991, de 28 de mayo, de infracciones en materia de protección de recursos marítimo-pesqueros, calificadas respectivamente como de muy grave y grave. Contra dicha Resolución interpuso don Raul Lameiro recurso de reposición previo al contencioso-administrativo. </w:t>
      </w:r>
    </w:p>
    <w:p w:rsidR="008107C7" w:rsidRDefault="008107C7" w:rsidP="008107C7">
      <w:pPr>
        <w:pStyle w:val="TextoNormal"/>
      </w:pPr>
      <w:r>
        <w:t xml:space="preserve">E) En el escrito del recurso, de nuevo reiteraba el recurrente que el día de autos, a las 20,35 horas, la embarcación "Volador II" se hallaba varada para su reparación y pintado en la rampa (dique seco) del Puerto de Combarro (Pontevedra), hecho que podía ser corroborado por las entidades emisoras de los documentos aportados en el acto de la vista. Advertía, asimismo, de lo irregular de la actuación de los agentes y de lo inverosímil de su relato. </w:t>
      </w:r>
    </w:p>
    <w:p w:rsidR="008107C7" w:rsidRDefault="008107C7" w:rsidP="008107C7">
      <w:pPr>
        <w:pStyle w:val="TextoNormal"/>
      </w:pPr>
      <w:r>
        <w:t xml:space="preserve">F) El recurso de reposición fue desestimado por Resolución del Conselleiro de Pesca de fecha 14 de octubre de 1992, que confirmó la resolución recurrida. </w:t>
      </w:r>
    </w:p>
    <w:p w:rsidR="008107C7" w:rsidRDefault="008107C7" w:rsidP="008107C7">
      <w:pPr>
        <w:pStyle w:val="TextoNormal"/>
      </w:pPr>
      <w:r>
        <w:t xml:space="preserve">G) Contra ambas resoluciones administrativas formuló el solicitante recurso contencioso- administrativo ante el Tribunal Superior de Justicia de Galicia, interesando se declarase la nulidad de los actos administrativos impugnados. En la demanda rectora, como en el precedente expediente administrativo, se negaban rotundamente los hechos imputados. </w:t>
      </w:r>
    </w:p>
    <w:p w:rsidR="008107C7" w:rsidRDefault="008107C7" w:rsidP="008107C7">
      <w:pPr>
        <w:pStyle w:val="TextoNormal"/>
      </w:pPr>
      <w:r>
        <w:t xml:space="preserve">H) Formulada la demanda iniciadora del procedimiento contencioso-administrativo, y tras la contestación del Letrado de la Xunta de Galicia, sin que éste solicitase el recibimiento del pleito a prueba, la Sala, por Auto de fecha 18 de junio de 1993, acordó no haber lugar al recibimiento a prueba por no considerarse trascendental por ahora para la decisión del presente litigio. </w:t>
      </w:r>
    </w:p>
    <w:p w:rsidR="008107C7" w:rsidRDefault="008107C7" w:rsidP="008107C7">
      <w:pPr>
        <w:pStyle w:val="TextoNormal"/>
      </w:pPr>
      <w:r>
        <w:t xml:space="preserve">I) Contra dicho Auto se formuló recurso de súplica. Por Auto de fecha 7 de septiembre de 1993 la Sala desestimó dicho recurso, confirmando la denegación del recibimiento a prueba. </w:t>
      </w:r>
    </w:p>
    <w:p w:rsidR="008107C7" w:rsidRDefault="008107C7" w:rsidP="008107C7">
      <w:pPr>
        <w:pStyle w:val="TextoNormal"/>
      </w:pPr>
      <w:r>
        <w:t>J) El día 1 de diciembre de 1994 recayó Sentencia desestimatoria del recurso contencioso- administrativo, notificada el 20 de diciembre de 1994, interponiéndose el presente recurso de amparo.</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Ante el estado que presenta este procedimiento judicial se interpone por el recurrente recurso de amparo, interesando se declare la nulidad por violación de los arts. 24.1 y 2 C.E. - derecho a la tutela judicial efectiva sin indefensión y derecho a la presunción de inocencia- </w:t>
      </w:r>
      <w:r>
        <w:lastRenderedPageBreak/>
        <w:t>de las Resoluciones del Conselleiro de Pesca, Acuicultura y Marisqueo de la Xunta de Galicia de fecha 13 de marzo de 1992 y 14 de octubre de 1992 en el expediente sancionador PO-317/91 y de las subsiguientes actuaciones judiciales confirmatorias de las mismas y/o la nulidad de los Autos de la Sala de lo Contencioso- administrativo del Tribunal Superior de Justicia de Galicia de fechas 18 de junio y 7 de septiembre de 1993, por los que se deniega el recibimiento a prueba en el recurso contencioso-administrativo nº 5101/1992, con vulneración del art. 24.2 C.E. - derecho a utilizar los medios de prueba pertinentes para la defensa- que determinaron la posterior Sentencia de la Sala, de fecha 1 de diciembre de 1994 producida con indefensión y vulneración del derecho a la presunción de inocencia, cuya nulidad asimismo se interesa.</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Por providencia de 17 de julio de 1995, se requirió al recurrente en amparo para que en el plazo de diez días acreditara: </w:t>
      </w:r>
    </w:p>
    <w:p w:rsidR="008107C7" w:rsidRDefault="008107C7" w:rsidP="008107C7">
      <w:pPr>
        <w:pStyle w:val="TextoNormal"/>
      </w:pPr>
      <w:r>
        <w:t xml:space="preserve">A) Haber alegado en el procedimiento judicial el derecho fundamental vulnerado, tan pronto como, una vez conocida la violación, hubiere lugar a ello. </w:t>
      </w:r>
    </w:p>
    <w:p w:rsidR="008107C7" w:rsidRDefault="008107C7" w:rsidP="008107C7">
      <w:pPr>
        <w:pStyle w:val="TextoNormal"/>
      </w:pPr>
      <w:r>
        <w:t>B) Mediante certificación expedida por el Secretario del Tribunal, la fecha de notificación a la representación del recurrente de la Sentencia dictada por la Sección 2ª de la Sala de lo Contencioso-Administrativo del Tribunal Superior de Justicia de Galicia.</w:t>
      </w:r>
    </w:p>
    <w:p w:rsidR="008107C7" w:rsidRDefault="008107C7" w:rsidP="008107C7">
      <w:pPr>
        <w:pStyle w:val="TextoNormal"/>
      </w:pPr>
    </w:p>
    <w:p w:rsidR="008107C7" w:rsidRDefault="008107C7" w:rsidP="008107C7">
      <w:pPr>
        <w:pStyle w:val="TextoNormal"/>
      </w:pPr>
      <w:r w:rsidRPr="008107C7">
        <w:rPr>
          <w:rStyle w:val="NumeroAFNegritaCaracter"/>
        </w:rPr>
        <w:t>5</w:t>
      </w:r>
      <w:r>
        <w:t>. Por providencia de 13 de noviembre de 1995, se acordó conceder un plazo común de diez días al Ministerio Fiscal, y al recurrente en amparo para que alegaren lo que estimaren pertinente, en relación con la posible existencia del motivo de inadmisión consistente en carecer la demanda manifiestamente de contenido que justifique una decisión por parte de este Tribunal, conforme a lo prevenido en el art. 50.1 c) LOTC.</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El Ministerio Fiscal, por escrito registrado el día 17 de noviembre de 1995, manifestó la falta de contenido constitucional de la demanda, conforme al citado art. 50.1 c) LOTC, con base en las consideraciones que se exponen seguidamente: </w:t>
      </w:r>
    </w:p>
    <w:p w:rsidR="008107C7" w:rsidRDefault="008107C7" w:rsidP="008107C7">
      <w:pPr>
        <w:pStyle w:val="TextoNormal"/>
      </w:pPr>
      <w:r>
        <w:t xml:space="preserve">A) En este momento se puede adelantar que, en realidad, toda la argumentación del demandante que sigue un proceso lógico, como se indicará, parte de un presupuesto erróneo, cuyo fallo determina el derrumbe de los demás alegatos: la negativa del demandante a considerar que el expediente administrativo tenga valor probatorio alguno. La simple afirmación de su carácter probatorio excusaría de más precisiones, aunque se deben analizar cada una de las cuestiones indicadas. </w:t>
      </w:r>
    </w:p>
    <w:p w:rsidR="008107C7" w:rsidRDefault="008107C7" w:rsidP="008107C7">
      <w:pPr>
        <w:pStyle w:val="TextoNormal"/>
      </w:pPr>
      <w:r>
        <w:t xml:space="preserve">B) Por lo que se refiere al primer problema, ha de recordarse que las garantías del proceso penal no son, sin más, trasladables con todas sus consecuencias al procedimiento administrativo sancionador, y ello no tanto por una supuesta menor gravedad de aquéllas y de sus sanciones como porque los actos administrativos sancionadores se someten a un ulterior control por parte de los órganos de la jurisdicción contencioso- administrativa (vid. ATC 592/1986); ello se traduce, de una parte, en la irrelevancia constitucional del hecho denunciado en la demanda, de que "los agentes no pudieron ser sometidos al interrogatorio contradictorio del presunto infractor". Si, además, se tiene en cuenta que, según se desprende de la propia documentación aportada por el demandante, se le dio traslado de la denuncia, se le convocó a una " vista oral", a la que acudió asistido de Letrado, realizó las manifestaciones de descargo que estimó pertinentes, aportando los documentos que consideró procedentes en apoyo de su versión de los hechos, que se produjo una ratificación de los hechos denunciados por parte de los denunciantes, que pudo interponer recurso de reposición, que </w:t>
      </w:r>
      <w:r>
        <w:lastRenderedPageBreak/>
        <w:t xml:space="preserve">fue desestimado, y, finalmente, que formuló el recurso contencioso-administrativo, se debe entender que se han cumplido sobradamente las garantías que, en un expediente administrativo sancionador, pueden exigirse. </w:t>
      </w:r>
    </w:p>
    <w:p w:rsidR="008107C7" w:rsidRDefault="008107C7" w:rsidP="008107C7">
      <w:pPr>
        <w:pStyle w:val="TextoNormal"/>
      </w:pPr>
      <w:r>
        <w:t xml:space="preserve">C) En segundo término, se debe recordar que es reiteradísima la doctrina de este Tribunal, en el sentido de que en el procedimiento administrativo sancionador, a diferencia de lo que ocurre en el proceso penal, el llamado expediente no es una simple denuncia, sino que constituye por sí mismo actividad probatoria, que puede ser de cargo, y, por tanto, suficiente para desvirtuar la presunción de inocencia (AATC 766/1988, 5/1989, STC 76/1990, entre otras resoluciones); por ello, no son atendibles las manifestaciones del demandante en el sentido de que no se ha practicado prueba ni las referencias al hecho de que la Administración no solicitara el recibimiento del pleito a prueba. </w:t>
      </w:r>
    </w:p>
    <w:p w:rsidR="008107C7" w:rsidRDefault="008107C7" w:rsidP="008107C7">
      <w:pPr>
        <w:pStyle w:val="TextoNormal"/>
      </w:pPr>
      <w:r>
        <w:t xml:space="preserve">En el presente caso, como se ha dicho, ha existido una abundante prueba, tanto de cargo (denuncia y ulterior ratificación de los agentes intervinientes: ATC 271/1990) como de descargo (declaración del denunciado y documentos por él aportados), por tanto, que la Administración haya optado por dar mayor credibilidad a los denunciantes que al denunciado es una cuestión de valoración de pruebas carente de contenido constitucional, pues la efectuada por el órgano administrativo competente sólo es susceptible de revisión ante la jurisdicción ordinaria (STC 138/1990). </w:t>
      </w:r>
    </w:p>
    <w:p w:rsidR="008107C7" w:rsidRDefault="008107C7" w:rsidP="008107C7">
      <w:pPr>
        <w:pStyle w:val="TextoNormal"/>
      </w:pPr>
      <w:r>
        <w:t xml:space="preserve">D) Entrando ya en el proceso judicial, el demandante alega la violación del derecho a utilizar los medios de prueba pertinentes para su defensa. Lógicamente esta manifestación enlaza con su negación de carácter probatorio a lo actuado en el expediente sancionador, pero ello significa desconocer la también reiterada doctrina de este Tribunal que, partiendo de la base de que lo realizado en el expediente administrativo tiene valor probatorio (ATC 766/1988; STC 138/1990), ha establecido que es competencia de la jurisdicción ordinaria el control de la legalidad de dicha actividad probatoria y de valoración de dicha prueba, de modo que dicho carácter probatorio permite que no sea preciso reproducir en el proceso contencioso-administrativo la prueba de cargo ni la de descargo, efectuada en el expediente administrativo (ATC 766/1988). </w:t>
      </w:r>
    </w:p>
    <w:p w:rsidR="008107C7" w:rsidRDefault="008107C7" w:rsidP="008107C7">
      <w:pPr>
        <w:pStyle w:val="TextoNormal"/>
      </w:pPr>
      <w:r>
        <w:t>E) Igual carencia de contenido constitucional tiene, a juicio del Ministerio Fiscal, la alegada infracción del derecho a la presunción de inocencia: tanto la Administración como el órgano jurisdiccional tuvieron en cuenta y valoraron la prueba practicada, tanto de cargo como de descargo: incluso la Sala de lo Contencioso-Administrativo dedica un largo "considerando" a ir explicando por qué considera creíble la denuncia (y su ratificación) de los agentes de pesca, y por qué considera que la prueba aportada por el demandante no desvirtúa aquélla. En definitiva, no nos encontramos ante una alegación real de presunción de inocencia, sino frente a una personal discrepancia del demandante con la valoración de la prueba efectuada por la Administración y posteriormente por el órgano judicial, pretendiendo del Tribunal Constitucional una actividad que no le corresponde, de acuerdo con los arts.117.3 y 161 b) de la Constitución: revisar la valoración de las pruebas efectuadas por la Sala de lo Contencioso-Administrativo, olvidando que este Tribunal no es un órgano de apelación, sino, en el presente caso, de comprobación de si se ha producido la violación de algún derecho fundamental y, en su caso, de restauración del mismo.</w:t>
      </w:r>
    </w:p>
    <w:p w:rsidR="008107C7" w:rsidRDefault="008107C7" w:rsidP="008107C7">
      <w:pPr>
        <w:pStyle w:val="TextoNormal"/>
      </w:pPr>
    </w:p>
    <w:p w:rsidR="008107C7" w:rsidRDefault="008107C7" w:rsidP="008107C7">
      <w:pPr>
        <w:pStyle w:val="TextoNormal"/>
      </w:pPr>
      <w:r w:rsidRPr="008107C7">
        <w:rPr>
          <w:rStyle w:val="NumeroAFNegritaCaracter"/>
        </w:rPr>
        <w:t>7</w:t>
      </w:r>
      <w:r>
        <w:t>. La parte recurrente en amparo presentó escrito registrado el día 24 de noviembre de 1995, donde se reproducen fundamentalmente las consideraciones llevadas a cabo en el escrito de demanda.</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8</w:t>
      </w:r>
      <w:r>
        <w:t>. Por providencia de 18 de diciembre de 1995, la Sección acordó admitir a trámite la demanda y, a tenor de lo dispuesto en el artículo 51 LOTC, se acordó requerir a la Sección Segunda de la Sala de lo Contencioso-Administrativo del Tribunal Superior de Justicia de Galicia, para que en el término de diez días remitiera testimonio de todas las actuaciones, y procediera al emplazamiento ante este Tribunal de cuantos hubieran sido parte en el procedimiento judicial antecedente.</w:t>
      </w:r>
    </w:p>
    <w:p w:rsidR="008107C7" w:rsidRDefault="008107C7" w:rsidP="008107C7">
      <w:pPr>
        <w:pStyle w:val="TextoNormal"/>
      </w:pPr>
    </w:p>
    <w:p w:rsidR="008107C7" w:rsidRDefault="008107C7" w:rsidP="008107C7">
      <w:pPr>
        <w:pStyle w:val="TextoNormal"/>
      </w:pPr>
      <w:r w:rsidRPr="008107C7">
        <w:rPr>
          <w:rStyle w:val="NumeroAFNegritaCaracter"/>
        </w:rPr>
        <w:t>9</w:t>
      </w:r>
      <w:r>
        <w:t>. Por providencia de 20 de mayo de 1996, se tuvo por personada en representación del recurrente a doña María Luisa Noya Otero, Procuradora de los Tribunales, teniendo a su vez, por personado a don Argimiro Vázquez Guillén en nombre y representación de la Xunta de Galicia, acordándose dar vista de los testimonios recibidos, por plazo común de veinte días, al Ministerio Fiscal y a las partes personadas, para que dentro del expresado término, formularan las alegaciones que a su derecho convinieran.</w:t>
      </w:r>
    </w:p>
    <w:p w:rsidR="008107C7" w:rsidRDefault="008107C7" w:rsidP="008107C7">
      <w:pPr>
        <w:pStyle w:val="TextoNormal"/>
      </w:pPr>
    </w:p>
    <w:p w:rsidR="008107C7" w:rsidRDefault="008107C7" w:rsidP="008107C7">
      <w:pPr>
        <w:pStyle w:val="TextoNormal"/>
      </w:pPr>
      <w:r w:rsidRPr="008107C7">
        <w:rPr>
          <w:rStyle w:val="NumeroAFNegritaCaracter"/>
        </w:rPr>
        <w:t>10</w:t>
      </w:r>
      <w:r>
        <w:t>. El Ministerio Fiscal presentó su escrito ante este Tribunal el día 7 de junio de 1996, conteniendo en síntesis las mismas manifestaciones que las vertidas anteriormente en su escrito de 17 de noviembre de 1996.</w:t>
      </w:r>
    </w:p>
    <w:p w:rsidR="008107C7" w:rsidRDefault="008107C7" w:rsidP="008107C7">
      <w:pPr>
        <w:pStyle w:val="TextoNormal"/>
      </w:pPr>
    </w:p>
    <w:p w:rsidR="008107C7" w:rsidRDefault="008107C7" w:rsidP="008107C7">
      <w:pPr>
        <w:pStyle w:val="TextoNormal"/>
      </w:pPr>
      <w:r w:rsidRPr="008107C7">
        <w:rPr>
          <w:rStyle w:val="NumeroAFNegritaCaracter"/>
        </w:rPr>
        <w:t>11</w:t>
      </w:r>
      <w:r>
        <w:t xml:space="preserve">. Por escrito registrado el día 13 de junio de 1996, por el Letrado de la Xunta de Galicia, se llevaron a cabo las siguientes manifestaciones: </w:t>
      </w:r>
    </w:p>
    <w:p w:rsidR="008107C7" w:rsidRDefault="008107C7" w:rsidP="008107C7">
      <w:pPr>
        <w:pStyle w:val="TextoNormal"/>
      </w:pPr>
      <w:r>
        <w:t xml:space="preserve">A) No existe la quiebra del principio de presunción de inocencia de don Raúl Lameiro Antón que afirma que las Resoluciones administrativas confirmadas por la Sentencia del Tribunal Superior de Justicia de Galicia que desestima el recurso contencioso-administrativo contra aquella interpuesta, vulneran el derecho fundamental a la presunción de inocencia afirmación que carece de toda fundamentación. </w:t>
      </w:r>
    </w:p>
    <w:p w:rsidR="008107C7" w:rsidRDefault="008107C7" w:rsidP="008107C7">
      <w:pPr>
        <w:pStyle w:val="TextoNormal"/>
      </w:pPr>
      <w:r>
        <w:t xml:space="preserve">En el presente caso, la Sentencia judicial, con base en las pruebas obrantes en el expediente administrativo, aportados al recurso contencioso considera acreditados que la embarcación "Volador II", cometió dos infracciones consistentes en : entorpecer la labor de vigilancia, y realizar faenas de arrastre en zona no autorizada. </w:t>
      </w:r>
    </w:p>
    <w:p w:rsidR="008107C7" w:rsidRDefault="008107C7" w:rsidP="008107C7">
      <w:pPr>
        <w:pStyle w:val="TextoNormal"/>
      </w:pPr>
      <w:r>
        <w:t xml:space="preserve">Por lo tanto, ha existido prueba suficiente que permite a la Administración primero, y después, a la jurisdicción contenciosa apreciar que el demandante ha cometido la falta por la que se le sancionó. </w:t>
      </w:r>
    </w:p>
    <w:p w:rsidR="008107C7" w:rsidRDefault="008107C7" w:rsidP="008107C7">
      <w:pPr>
        <w:pStyle w:val="TextoNormal"/>
      </w:pPr>
      <w:r>
        <w:t xml:space="preserve">De conformidad con lo expuesto, el presente recurso de amparo carece de fundamento. Éste invoca la presunción de inocencia, no para negar la realidad de una actividad probatoria, ni el resultado de la misma, sino para discrepar -con alegaciones exculpatorias en las que este Tribunal, no debe ni puede entrar- de la conclusión probatoria obtenida, tanto por el órgano administrativo, como por la jurisdicción revisora del acto sancionador, quedando así reducida la pretensión de amparo a un simple intento de que la estimación del demandante prevalezca sobre la del órgano judicial, y ello no es aceptable en cuanto que dicho órgano judicial ha tenido por desvirtuada dicha presunción en el ejercicio de su potestad de valoración de la prueba (STC 138/1990). </w:t>
      </w:r>
    </w:p>
    <w:p w:rsidR="008107C7" w:rsidRDefault="008107C7" w:rsidP="008107C7">
      <w:pPr>
        <w:pStyle w:val="TextoNormal"/>
      </w:pPr>
      <w:r>
        <w:t xml:space="preserve">B) En el caso que nos ocupa no ha habido indefensión, puesto que aunque se admitieran las pruebas propuestas como ha indicado la Sala, los hechos que se trataban de probar son intranscendentes y no desvirtuarían de ninguna manera las actas levantadas por los agentes inspectores, actas que prueban la comisión de unos hechos susceptibles de sanción.La queja constitucional sustentada en el derecho a la prueba es, por tanto, infundada. </w:t>
      </w:r>
    </w:p>
    <w:p w:rsidR="008107C7" w:rsidRDefault="008107C7" w:rsidP="008107C7">
      <w:pPr>
        <w:pStyle w:val="TextoNormal"/>
      </w:pPr>
      <w:r>
        <w:lastRenderedPageBreak/>
        <w:t xml:space="preserve">C) La admisión de los medios de prueba corresponde a los Tribunales.La prueba solicitada fue calificada por la Sala como intranscendente. Contra el Auto que así lo declaró se recurrió en súplica, confirmándose la resolución impugnada. </w:t>
      </w:r>
    </w:p>
    <w:p w:rsidR="008107C7" w:rsidRDefault="008107C7" w:rsidP="008107C7">
      <w:pPr>
        <w:pStyle w:val="TextoNormal"/>
      </w:pPr>
      <w:r>
        <w:t>Esos dos requisitos que exige la STC 36/1989 para que exista motivación se cumplen, pues de un lado y a tenor de lo dispuesto en el art. 336.2 L.O.P.J., el Ponente califica los medios de prueba de impertinentes e intranscendentales, exteriorizando así el fundamento de la decisión adoptada, y de otro, se deja vía libre para utilizar el recurso pertinente.</w:t>
      </w:r>
    </w:p>
    <w:p w:rsidR="008107C7" w:rsidRDefault="008107C7" w:rsidP="008107C7">
      <w:pPr>
        <w:pStyle w:val="TextoNormal"/>
      </w:pPr>
    </w:p>
    <w:p w:rsidR="008107C7" w:rsidRDefault="008107C7" w:rsidP="008107C7">
      <w:pPr>
        <w:pStyle w:val="TextoNormal"/>
      </w:pPr>
      <w:r w:rsidRPr="008107C7">
        <w:rPr>
          <w:rStyle w:val="NumeroAFNegritaCaracter"/>
        </w:rPr>
        <w:t>12</w:t>
      </w:r>
      <w:r>
        <w:t>. El recurrente en amparo por escrito registrado el día 17 de junio de 1996, se reiteró en las posiciones mantenidas tanto en el escrito de demanda, como en el de fecha 25 de noviembre de 1995.</w:t>
      </w:r>
    </w:p>
    <w:p w:rsidR="008107C7" w:rsidRDefault="008107C7" w:rsidP="008107C7">
      <w:pPr>
        <w:pStyle w:val="TextoNormal"/>
      </w:pPr>
    </w:p>
    <w:p w:rsidR="008107C7" w:rsidRDefault="008107C7" w:rsidP="008107C7">
      <w:pPr>
        <w:pStyle w:val="TextoNormal"/>
      </w:pPr>
      <w:r w:rsidRPr="008107C7">
        <w:rPr>
          <w:rStyle w:val="NumeroAFNegritaCaracter"/>
        </w:rPr>
        <w:t>13</w:t>
      </w:r>
      <w:r>
        <w:t>. Por providencia de 27 de enero de 1997, se señaló para la deliberación y votación de la presente Sentencia el día 28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En consideración al suplico de la demanda de amparo, que es consecuente con la correspondiente fundamentación de la misma, el presente recurso ha de calificarse de mixto, al ser reconducibles las lesiones constitucionales referidas, tanto a la actuación de la Administración, como al proceso judicial.</w:t>
      </w:r>
    </w:p>
    <w:p w:rsidR="008107C7" w:rsidRDefault="008107C7" w:rsidP="008107C7">
      <w:pPr>
        <w:pStyle w:val="TextoNormal"/>
      </w:pPr>
      <w:r>
        <w:t>En este sentido, es procedente examinar conjunta, aunque de manera individualizada y sucesiva, en función de la indicada naturaleza mixta del recurso, la impugnación que se dirige contra las Resoluciones del Consejero de Pesca, Acuicultura y Marisqueo de la Xunta de Galicia, de fechas 13 de mayo y 14 de octubre de 1992, y por último, las resoluciones judiciales confirmatorias de aquellas, es decir, los Autos de la Sala de lo Contencioso-Administrativo del Tribunal Superior de Justicia de Galicia de 18 de junio y 7 de septiembre de 1993 y la Sentencia de 1 de diciembre de 1994.</w:t>
      </w:r>
    </w:p>
    <w:p w:rsidR="008107C7" w:rsidRDefault="008107C7" w:rsidP="008107C7">
      <w:pPr>
        <w:pStyle w:val="TextoNormal"/>
      </w:pPr>
    </w:p>
    <w:p w:rsidR="008107C7" w:rsidRDefault="008107C7" w:rsidP="008107C7">
      <w:pPr>
        <w:pStyle w:val="TextoNormal"/>
      </w:pPr>
      <w:r w:rsidRPr="008107C7">
        <w:rPr>
          <w:rStyle w:val="NumeroAFNegritaCaracter"/>
        </w:rPr>
        <w:t>2</w:t>
      </w:r>
      <w:r>
        <w:t>. De la documentación obrante en autos, se evidencia que en la vista celebrada ante el instructor del procedimiento administrativo sancionador, el expedientado, ahora recurrente en amparo, aportó facturas relativas a los diversos trabajos realizados en la embarcación, así como el permiso para ocupar el varadero en el puerto, lo que implica que el mismo, no solo pudo defenderse, sino que efectivamente se defendió ante los cargos que se le imputaban. El hecho de que la Administración no asumiera las alegaciones llevadas a cabo por dicho expedientado, y se atuviera por el contrario, a los hechos consignados en el Acta de infracción levantada por los Agentes del Servicio de Vigilancia de la citada Conselleria de Pesca, en nada supone vulneración del derecho de defensa, como tampoco ello implica lesión alguna del derecho a la presunción de inocencia, teniendo en cuenta que existió prueba de cargo, practicada con todas las garantías y que se valoró como suficiente para rechazar las pretensiones del presunto infractor, en los términos que las resoluciones administrativas ponen de relieve.</w:t>
      </w:r>
    </w:p>
    <w:p w:rsidR="008107C7" w:rsidRDefault="008107C7" w:rsidP="008107C7">
      <w:pPr>
        <w:pStyle w:val="TextoNormal"/>
      </w:pPr>
      <w:r>
        <w:t xml:space="preserve">No habiéndose producido las vulneraciones denunciadas, procede desestimar el presente recurso en la vertiente que contempla el art.43 LOTC, es decir, con relación a las posibles violaciones de derechos y libertades suceptibles de amparo constitucional, originadas por disposiciones, actos jurídicos o simple vía de hecho del Gobierno, o de sus autoridades o </w:t>
      </w:r>
      <w:r>
        <w:lastRenderedPageBreak/>
        <w:t>funcionarios, o de los órganos ejecutivos colegiados de las Comunidades autónomas, de sus autoridades o funcionarios o agentes, teniendo en cuenta que en este concreto ámbito se han respetado las exigencias constitucionales (cfr. art. 137 de la Ley 30/1992, de 26 de noviembre, de Régimen Jurídico de las Administraciones Públicas y del Procedimiento Administrativo Común, en cuanto a las decisiones tomadas).</w:t>
      </w:r>
    </w:p>
    <w:p w:rsidR="008107C7" w:rsidRDefault="008107C7" w:rsidP="008107C7">
      <w:pPr>
        <w:pStyle w:val="TextoNormal"/>
      </w:pPr>
    </w:p>
    <w:p w:rsidR="008107C7" w:rsidRDefault="008107C7" w:rsidP="008107C7">
      <w:pPr>
        <w:pStyle w:val="TextoNormal"/>
      </w:pPr>
      <w:r w:rsidRPr="008107C7">
        <w:rPr>
          <w:rStyle w:val="NumeroAFNegritaCaracter"/>
        </w:rPr>
        <w:t>3</w:t>
      </w:r>
      <w:r>
        <w:t>. El Acta a la que antes se ha hecho referencia, fue igualmente determinante para la Sala de lo Contencioso-Administrativo del Tribunal Superior de Justicia de Galicia. El demandante de amparo sufrió dos multas superiores a un millón de pesetas cada una por realizar faenas de arrastre prohibidas en la ría de Pontevedra, y por obstaculizar la labor de vigilancia de los funcionarios de la Junta de Galicia.  En el procedimiento administrativo como ya se dijo, negó rotundamente los hechos imputados, afirmando que en la fecha indicada por la denuncia, el 23 de mayo de 1991, su embarcación "Volador II" se encontraba varada en dique seco en el puerto de Combarro, para su reparación y pintado, que la nave no es apta para faenar con aparejos de arrastre, y que ni él ni la tripulación del buque habían salido a la mar en esas fechas.</w:t>
      </w:r>
    </w:p>
    <w:p w:rsidR="008107C7" w:rsidRDefault="008107C7" w:rsidP="008107C7">
      <w:pPr>
        <w:pStyle w:val="TextoNormal"/>
      </w:pPr>
      <w:r>
        <w:t>En la vista celebrada ante el instructor del expediente administrativo sancionador aportó facturas relativas a diversos trabajos realizados en su embarcación, y el permiso para ocupar un varadero en el puerto.  La Administración, no obstante, se atuvo a los hechos consignados en el acta de infracción levantada por los Agentes del Servicio de Vigilancia de la Consellería de Pesca. La Sentencia del Tribunal Superior de Justicia de Galicia desestimó el recurso interpuesto por el patrón del buque viniendo a afirmar que un relato de hechos como el contenido en el acta, que es de lo más detallado, verosímil y contundente referente a algo ocurrido a la luz del día y a cuatro metros de quienes lo narran no puede, en principio, aceptarse como quiere el recurrente en el sentido de que se trate de un invento de los agentes de la Autoridad, pues ello constituiría un delito y no un tema de un proceso como el presente; por lo que, concluyó la resolución judicial impugnada en amparo, no llevado tal relato a la vía penal por quien niega los hechos contenidos en el mismo, estos han de ser aceptados.</w:t>
      </w:r>
    </w:p>
    <w:p w:rsidR="008107C7" w:rsidRDefault="008107C7" w:rsidP="008107C7">
      <w:pPr>
        <w:pStyle w:val="TextoNormal"/>
      </w:pPr>
      <w:r>
        <w:t>En el acta, tal y como resume la Sentencia, los Agentes del Servicio de Vigilancia Pesquera narran que "con luz solar estuvieron abarloados al costado de la embarcación de autos; que reconocieron a cuatro tripulantes, uno de ellos el patrón de la misma y ahora recurrente; que vieron cómo en la parte de popa tenía las duas portas de un aparello de arrastre y que estaba virando los dos `cabos´ o `malletas´ de éste; que le ordenaron a dicho patrón que no `arriase´, nada; que al disponerse los agentes de mención a saltar a bordo de tal embarcación, ésta dio `avante´ bruscamente arriando `as malletas, as portas e o resto do aparello, y que perseguida por la de los agentes a cuatro metros de distancia desobedeció en todo momento las órdenes de parada que aquéllos le dieron".</w:t>
      </w:r>
    </w:p>
    <w:p w:rsidR="008107C7" w:rsidRDefault="008107C7" w:rsidP="008107C7">
      <w:pPr>
        <w:pStyle w:val="TextoNormal"/>
      </w:pPr>
    </w:p>
    <w:p w:rsidR="008107C7" w:rsidRDefault="008107C7" w:rsidP="008107C7">
      <w:pPr>
        <w:pStyle w:val="TextoNormal"/>
      </w:pPr>
      <w:r w:rsidRPr="008107C7">
        <w:rPr>
          <w:rStyle w:val="NumeroAFNegritaCaracter"/>
        </w:rPr>
        <w:t>4</w:t>
      </w:r>
      <w:r>
        <w:t>. En su demanda de amparo, el recurrente alega tres distintas vulneraciones de derechos fundamentales, que son negadas por la representación de la Xunta de Galicia y por el informe del Fiscal ante este Tribunal.</w:t>
      </w:r>
    </w:p>
    <w:p w:rsidR="008107C7" w:rsidRDefault="008107C7" w:rsidP="008107C7">
      <w:pPr>
        <w:pStyle w:val="TextoNormal"/>
      </w:pPr>
      <w:r>
        <w:t xml:space="preserve">La primera, todo ello según la exposición que hace el demandante en amparo, tiene su origen en la negativa de la Sala de lo Contencioso-Administrativo a abrir período probatorio en el curso del proceso, a pesar de que existía una contradicción total en los hechos sostenidos por las partes intervinientes en él.  La denegación del recibimiento a prueba habría vulnerado su derecho a utilizar los medios de prueba pertinentes para la defensa, que enuncia el art.  24.2 C.E., porque careció de motivación, y porque se le impidió así acreditar la veracidad de sus alegaciones de descargo.  Esa denegación le causó, asimismo, indefensión, </w:t>
      </w:r>
      <w:r>
        <w:lastRenderedPageBreak/>
        <w:t>proscrita por el art. 24.1 C.E.: la única prueba que se pretende de cargo no es tal, pues el acta de denuncia de los agentes de pesca carece de presunción de veracidad, y la Administración no solicitó que el proceso fuera recibido a prueba. Finalmente, se habría infringido su derecho a la presunción de inocencia, porque no existió en el contencioso administrativo actividad probatoria alguna, y ello pese a que el actor había aportado prueba documental que arrojaba una sombra de duda sobre las manifestaciones de los funcionarios que levantaron el acta, que no fue desvirtuada por la Administración pesquera.</w:t>
      </w:r>
    </w:p>
    <w:p w:rsidR="008107C7" w:rsidRDefault="008107C7" w:rsidP="008107C7">
      <w:pPr>
        <w:pStyle w:val="TextoNormal"/>
      </w:pPr>
    </w:p>
    <w:p w:rsidR="008107C7" w:rsidRDefault="008107C7" w:rsidP="008107C7">
      <w:pPr>
        <w:pStyle w:val="TextoNormal"/>
      </w:pPr>
      <w:r w:rsidRPr="008107C7">
        <w:rPr>
          <w:rStyle w:val="NumeroAFNegritaCaracter"/>
        </w:rPr>
        <w:t>5</w:t>
      </w:r>
      <w:r>
        <w:t>. Con carácter general, en la STC 76/1990 declaramos que "no puede suscitar ninguna duda que la presunción de inocencia rige sin excepciones en el ordenamiento sancionador y ha de ser respetada en la imposición de cualesquiera sanciones, sean penales, sean administrativas..., pues el ejercicio del ius puniendi en sus diversas manifestaciones está condicionado por el art. 24.2 de la Constitución al juego de la prueba y a un procedimiento contradictorio en el que puedan defenderse las propias posiciones.  En tal sentido, el derecho a la presunción de inocencia comporta que la sanción esté basada en actos o medios probatorios de cargo o incriminadores de la conducta reprochada; que la carga de la prueba corresponda a quien acusa, sin que nadie esté obligado a probar su propia inocencia; y que cualquier insuficiencia en el resultado de las pruebas practicadas, libremente valorado por el órgano sancionador, debe traducirse en un pronunciamiento absolutorio" (fundamento jurídico 8º.B).</w:t>
      </w:r>
    </w:p>
    <w:p w:rsidR="008107C7" w:rsidRDefault="008107C7" w:rsidP="008107C7">
      <w:pPr>
        <w:pStyle w:val="TextoNormal"/>
      </w:pPr>
    </w:p>
    <w:p w:rsidR="008107C7" w:rsidRDefault="008107C7" w:rsidP="008107C7">
      <w:pPr>
        <w:pStyle w:val="TextoNormal"/>
      </w:pPr>
      <w:r w:rsidRPr="008107C7">
        <w:rPr>
          <w:rStyle w:val="NumeroAFNegritaCaracter"/>
        </w:rPr>
        <w:t>6</w:t>
      </w:r>
      <w:r>
        <w:t>. Estos principios generales no impiden que las actas de infracción, donde los funcionarios competentes consignan los hechos que observan en el curso de sus comprobaciones e investigaciones, sean consideradas como medios de prueba, capaces de destruir, en su caso, la presunción de inocencia que protege a todo ciudadano. Así lo manifestó la citada STC 76/1990, añadiendo que lo que exige el respeto a los derechos que declara el art.  24 C.E. no es negar todo valor probatorio a las actas, sino modular y matizar su eficacia probatoria. Sería incompatible con la Constitución "una presunción iuris et de iure de veracidad o certeza de los documentos de la Inspección", o que se dispensara "a la Administración, en contra del derecho fundamental a la presunción de inocencia, de toda prueba respecto de los hechos sancionados" (STC 76/1990, fundamento jurídico 8ºB).</w:t>
      </w:r>
    </w:p>
    <w:p w:rsidR="008107C7" w:rsidRDefault="008107C7" w:rsidP="008107C7">
      <w:pPr>
        <w:pStyle w:val="TextoNormal"/>
      </w:pPr>
      <w:r>
        <w:t xml:space="preserve">A partir de este mínimo, prohibido por la Constitución en todo caso, las exigencias constitucionales son crecientes en los distintos procedimientos: en la vía administrativa, en sede contencioso-administrativa, y en el proceso penal, en los términos que detalló la referida Sentencia.  Los relativos al orden jurisdiccional contencioso-administrativo, cuando se pide la anulación de un acto sancionador, son ahora de especial relevancia, en el sentido siguiente: "La presunción de legalidad que adorna [al acto administrativo sancionador impugnado] no implica en modo alguno el desplazamiento de la carga de la prueba que, tratándose de infracción y sanción administrativa, ha de corresponder a la Administración, sino que simplemente comporta la carga de recurrir en sede judicial aquella resolución sancionadora, pudiendo obviamente basarse la impugnación en la falta de prueba de los hechos imputados o de la culpabilidad necesaria que justifique la imposición de la sanción.  En tal sentido, la intervención de funcionario público no significa que las actas gocen, en cuanto a tales hechos, de una absoluta preferencia probatoria que haga innecesaria la formación de la convicción judicial acerca de la verdad de los hechos empleando las reglas de la lógica y de la experiencia.  En vía judicial, las actas... incorporadas al expediente sancionador no gozan de mayor relevancia que los demás medios de prueba admitidos en Derecho y, por ello, ni </w:t>
      </w:r>
      <w:r>
        <w:lastRenderedPageBreak/>
        <w:t>han de prevalecer necesariamente frente a otras pruebas que conduzcan a conclusiones distintas, ni pueden impedir que el Juez del contencioso forme su convicción sobre la base de una valoración o apreciación razonada de las pruebas practicadas.  Ello no quita, sin embargo, que, en orden a la veracidad o certeza de los hechos sancionados, el órgano judicial habrá de ponderar el contenido de las diligencias y actas de la Inspección..., teniendo en cuenta que tales actuaciones administrativas, formalizadas en el oportuno expediente, no tienen la consideración de simple denuncia, sino que, como ha quedado dicho, son susceptibles de valorarse como prueba en la vía judicial contencioso-administrativa, pudiendo servir para destruir la presunción de inocencia sin necesidad de reiterar en dicha vía la actividad probatoria de cargo practicada en el expediente administrativo" (STC 76/1990, fundamento jurídico 8º.B).</w:t>
      </w:r>
    </w:p>
    <w:p w:rsidR="008107C7" w:rsidRDefault="008107C7" w:rsidP="008107C7">
      <w:pPr>
        <w:pStyle w:val="TextoNormal"/>
      </w:pPr>
    </w:p>
    <w:p w:rsidR="008107C7" w:rsidRDefault="008107C7" w:rsidP="008107C7">
      <w:pPr>
        <w:pStyle w:val="TextoNormal"/>
      </w:pPr>
      <w:r w:rsidRPr="008107C7">
        <w:rPr>
          <w:rStyle w:val="NumeroAFNegritaCaracter"/>
        </w:rPr>
        <w:t>7</w:t>
      </w:r>
      <w:r>
        <w:t>. Esta doctrina constitucional permite enjuiciar con claridad los hechos sometidos a nuestra jurisdicción en este recurso de amparo.</w:t>
      </w:r>
    </w:p>
    <w:p w:rsidR="008107C7" w:rsidRDefault="008107C7" w:rsidP="008107C7">
      <w:pPr>
        <w:pStyle w:val="TextoNormal"/>
      </w:pPr>
      <w:r>
        <w:t>Ante todo, resulta evidente que el derecho a la presunción de inocencia del actor no ha sido vulnerado.  La Administración aportó ante el Tribunal una prueba de cargo, el acta en la que los agentes de vigilancia pesquera habían consignado los hechos percibidos directamente por ellos relativos a las infracciones denunciadas, sobre la que la Sala de lo Contencioso-Administrativo pudo fundar válidamente su convicción acerca de la realidad de los hechos controvertidos en el proceso, y la culpabilidad del denunciado. Y ello "sin necesidad de reiterar en dicha vía [judicial] la actividad probatoria de cargo practicada en el expediente administrativo", pues en el proceso judicial la Administración puede apoyar su contestación a la demanda en los medios de prueba incorporados al expediente administrativo, y que obran en los autos judiciales, lo mismo que la parte recurrente, sin necesidad de una petición formal de recibimiento a prueba (SSTC 76/1990, fundamento jurídico 8º.B, y 212/1990, fundamento jurídico 4º).</w:t>
      </w:r>
    </w:p>
    <w:p w:rsidR="008107C7" w:rsidRDefault="008107C7" w:rsidP="008107C7">
      <w:pPr>
        <w:pStyle w:val="TextoNormal"/>
      </w:pPr>
      <w:r>
        <w:t>Por idénticas razones, tampoco se le ha causado indefensión porque la Administración no haya desvirtuado sus afirmaciones de descargo.  El ente que impone la sanción tiene la carga de ofrecer al Juez las pruebas de cargo que justifican el acto sancionador; pero no le incumbe a la Administración, sino al sancionado, acreditar la veracidad de los hechos ofrecidos como descargo (STC 372/1993, fundamento jurídico 3º).</w:t>
      </w:r>
    </w:p>
    <w:p w:rsidR="008107C7" w:rsidRDefault="008107C7" w:rsidP="008107C7">
      <w:pPr>
        <w:pStyle w:val="TextoNormal"/>
      </w:pPr>
    </w:p>
    <w:p w:rsidR="008107C7" w:rsidRDefault="008107C7" w:rsidP="008107C7">
      <w:pPr>
        <w:pStyle w:val="TextoNormal"/>
      </w:pPr>
      <w:r w:rsidRPr="008107C7">
        <w:rPr>
          <w:rStyle w:val="NumeroAFNegritaCaracter"/>
        </w:rPr>
        <w:t>8</w:t>
      </w:r>
      <w:r>
        <w:t>. Distinto juicio merece, sin embargo, la alegada vulneración del derecho a usar las pruebas pertinentes para su defensa, reconocido por el art. 24.2 C.E.</w:t>
      </w:r>
    </w:p>
    <w:p w:rsidR="008107C7" w:rsidRDefault="008107C7" w:rsidP="008107C7">
      <w:pPr>
        <w:pStyle w:val="TextoNormal"/>
      </w:pPr>
      <w:r>
        <w:t>Es de resaltar nuevamente, que el actor negaba frontalmente los hechos sostenidos por la Administración y que habían dado lugar a la sanción administrativa.  Y que la Sala no es que denegara específicos medios de prueba por considerarlos impertinentes, sino que negó sin más la apertura de período probatorio en el proceso contencioso- administrativo.  Con ello impidió totalmente el ejercicio del derecho a la prueba por parte de la defensa, que se lleva a cabo en el seno del proceso judicial, y que resultaba esencial para poder acreditar los hechos ofrecidos por el actor en su descargo, y así desvirtuar la verosimilitud de las pruebas de cargo presentadas por la Administración (STC 94/1992).</w:t>
      </w:r>
    </w:p>
    <w:p w:rsidR="008107C7" w:rsidRDefault="008107C7" w:rsidP="008107C7">
      <w:pPr>
        <w:pStyle w:val="TextoNormal"/>
      </w:pPr>
      <w:r>
        <w:t xml:space="preserve">El recibimiento a prueba en el proceso administrativo procede cuando existe disparidad sobre los hechos objeto de controversia y éstos son de transcedencia para la resolución del litigio, conforme determina el art. 74.3 L.J.C.A., requisitos que concurren plenamente en el caso. Siendo ello así, solamente a través de la apertura del periódo probatorio podía "el Juez </w:t>
      </w:r>
      <w:r>
        <w:lastRenderedPageBreak/>
        <w:t>del contencioso formar su convicción sobre la base de una valoración o apreciación razonada de las pruebas practicadas" (STC 76/1990, fundamento jurídico 8ºB) , tal y como exige el art. 24.2 C.E.</w:t>
      </w:r>
    </w:p>
    <w:p w:rsidR="008107C7" w:rsidRDefault="008107C7" w:rsidP="008107C7">
      <w:pPr>
        <w:pStyle w:val="TextoNormal"/>
      </w:pPr>
    </w:p>
    <w:p w:rsidR="008107C7" w:rsidRDefault="008107C7" w:rsidP="008107C7">
      <w:pPr>
        <w:pStyle w:val="TextoNormal"/>
      </w:pPr>
      <w:r w:rsidRPr="008107C7">
        <w:rPr>
          <w:rStyle w:val="NumeroAFNegritaCaracter"/>
        </w:rPr>
        <w:t>9</w:t>
      </w:r>
      <w:r>
        <w:t>. Frente a esta conclusión no resultan convincentes las razones ofrecidas para justificar la denegación de la fase probatoria del proceso.</w:t>
      </w:r>
    </w:p>
    <w:p w:rsidR="008107C7" w:rsidRDefault="008107C7" w:rsidP="008107C7">
      <w:pPr>
        <w:pStyle w:val="TextoNormal"/>
      </w:pPr>
      <w:r>
        <w:t>La verosimilitud, detalle y aun contundencia del acta de infracción serán o podrán ser aspectos relevantes en el momento posterior de valorar las pruebas pertinentes en el proceso, pero no en el anterior, de decidir acerca de la apertura de período probatorio.  El riesgo de que alguna de las partes incurra en pruebas abusivas o excesivas no puede conjurarse denegando el recibimiento a prueba del proceso, sino rechazando de manera motivada y razonada los concretos medios de prueba propuestos que puedan resultar impertinentes o intrascendentes.</w:t>
      </w:r>
    </w:p>
    <w:p w:rsidR="008107C7" w:rsidRDefault="008107C7" w:rsidP="008107C7">
      <w:pPr>
        <w:pStyle w:val="TextoNormal"/>
      </w:pPr>
      <w:r>
        <w:t>Carecen, pues, de toda relevancia las alusiones a la "pertinencia" de las pruebas de que intentaba valerse el acto. Al no recibirse a prueba el proceso contencioso-administrativo, el recurrente no tuvo ocasión de proponer la práctica de aquellas que a su derecho conviniera, ni la Sala se pronunció acerca de la relevancia o utilidad de ninguna de ellas (STC 94/1992).  Las alusiones que en la Sentencia aquí impugnada se hacen a los documentos aportados por el denunciado en el expediente administrativo no son convincentes, pues como es sabido la jurisdicción contencioso-administrativa no es una segunda instancia, sino que "ante ella, por el contrario, se sigue un auténtico juicio o proceso entre partes" (Exposición de Motivos de la L.J.C.A.), por lo que las pruebas a practicar en el proceso son independientes de los actos de instrucción que hayan podido llevarse a cabo en el previo procedimiento administrativo (STC 138/1990).</w:t>
      </w:r>
    </w:p>
    <w:p w:rsidR="008107C7" w:rsidRDefault="008107C7" w:rsidP="008107C7">
      <w:pPr>
        <w:pStyle w:val="TextoNormal"/>
      </w:pPr>
    </w:p>
    <w:p w:rsidR="008107C7" w:rsidRDefault="008107C7" w:rsidP="008107C7">
      <w:pPr>
        <w:pStyle w:val="TextoNormal"/>
      </w:pPr>
      <w:r w:rsidRPr="008107C7">
        <w:rPr>
          <w:rStyle w:val="NumeroAFNegritaCaracter"/>
        </w:rPr>
        <w:t>10</w:t>
      </w:r>
      <w:r>
        <w:t>. La conclusión alcanzada debe llevar derechamente al otorgamiento del amparo y a la anulación de los Autos que denegaron el recibimiento a prueba en el proceso contencioso- administrativo, así como de la Sentencia dictada con posterioridad, exclusivamente porque fue pronunciada tras un proceso en el que se había vulnerado el derecho de la defensa a usar los medios de prueba pertinentes (STC 94/1992, fundamento jurídico 5º) . Este derecho fundamental ha de ser restablecido mediante la apertura del período probatorio, apertura que no limita en modo alguno la potestad judicial para apreciar la pertinencia de los medios de prueba que proponga el ahora recurrente en su defensa, ni menos aún la final valoración de los hechos, que corresponde de manera exclusiva al órgano judicial (STC 76/1990, fundamento jurídico 8ºB).</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Otorgar parcialmente el amparo solicitado y, en consecuencia:</w:t>
      </w:r>
    </w:p>
    <w:p w:rsidR="008107C7" w:rsidRDefault="008107C7" w:rsidP="008107C7">
      <w:pPr>
        <w:pStyle w:val="TextoNormal"/>
      </w:pPr>
      <w:r>
        <w:t>1º.Reconocer el derecho fundamental del recurrente a utilizar los medios de prueba para su defensa (art. 24.2 C.E.).</w:t>
      </w:r>
    </w:p>
    <w:p w:rsidR="008107C7" w:rsidRDefault="008107C7" w:rsidP="008107C7">
      <w:pPr>
        <w:pStyle w:val="TextoNormal"/>
      </w:pPr>
      <w:r>
        <w:lastRenderedPageBreak/>
        <w:t>2º Restablecerle en la integridad de su derecho mediante la anulación de los Autos dictados por el Tribunal Superior de Justicia de Galicia con fecha de 18 de junio y 7 de septiembre de 1993, así como la Sentencia de 1 de diciembre de 1994, pronunciada en autos del recurso contencioso-administrativo núm.  5.101/92.</w:t>
      </w:r>
    </w:p>
    <w:p w:rsidR="008107C7" w:rsidRDefault="008107C7" w:rsidP="008107C7">
      <w:pPr>
        <w:pStyle w:val="TextoNormal"/>
      </w:pPr>
      <w:r>
        <w:t>3º Retrotraer las actuaciones judiciales al momento procesal de la apertura del juicio a prueba.</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veintiocho de enero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18" w:name="SENTENCIA_1997_15"/>
      <w:r>
        <w:lastRenderedPageBreak/>
        <w:t>SENTENCIA 15/1997, de 30 de enero de 1997</w:t>
      </w:r>
    </w:p>
    <w:bookmarkEnd w:id="18"/>
    <w:p w:rsidR="008107C7" w:rsidRDefault="008107C7" w:rsidP="008107C7">
      <w:pPr>
        <w:pStyle w:val="TtuloResolucin"/>
      </w:pPr>
      <w:r>
        <w:t>Pleno</w:t>
      </w:r>
    </w:p>
    <w:p w:rsidR="008107C7" w:rsidRDefault="008107C7" w:rsidP="008107C7">
      <w:pPr>
        <w:pStyle w:val="TtuloResolucin"/>
      </w:pPr>
    </w:p>
    <w:p w:rsidR="008107C7" w:rsidRDefault="008107C7" w:rsidP="008107C7">
      <w:pPr>
        <w:pStyle w:val="TtuloBOE"/>
      </w:pPr>
      <w:r>
        <w:t>("BOE" núm. 49, de 26 de febrero de 1997)</w:t>
      </w:r>
    </w:p>
    <w:p w:rsidR="008107C7" w:rsidRDefault="008107C7" w:rsidP="008107C7">
      <w:pPr>
        <w:pStyle w:val="TtuloBOE"/>
      </w:pPr>
    </w:p>
    <w:p w:rsidR="008107C7" w:rsidRDefault="008107C7" w:rsidP="008107C7">
      <w:pPr>
        <w:pStyle w:val="SntesisDescriptiva"/>
      </w:pPr>
      <w:r>
        <w:t>ECLI:ES:TC:1997:15</w:t>
      </w:r>
    </w:p>
    <w:p w:rsidR="008107C7" w:rsidRDefault="008107C7" w:rsidP="008107C7">
      <w:pPr>
        <w:pStyle w:val="SntesisDescriptiva"/>
      </w:pPr>
    </w:p>
    <w:p w:rsidR="008107C7" w:rsidRDefault="008107C7" w:rsidP="008107C7">
      <w:pPr>
        <w:pStyle w:val="SntesisDescriptiva"/>
      </w:pPr>
      <w:r>
        <w:t>Conflicto positivo de competencia 1.015/1988. Promovido por el Gobierno de la Nación en relación con los arts. 11.5 y 14.1.1 del Decreto 411/1987, de 22 de diciembre, del Consejo Ejecutivo de la Generalidad de Cataluña sobre reestructuración del Departamento de Comercio, Turismo y Consumo, en la redacción dada, respectivamente, por los arts 5.5 y 8.1 del Decreto de la Generalidad de Cataluña 155/1988.</w:t>
      </w:r>
    </w:p>
    <w:p w:rsidR="008107C7" w:rsidRDefault="008107C7" w:rsidP="008107C7">
      <w:pPr>
        <w:pStyle w:val="SntesisDescriptiva"/>
      </w:pPr>
    </w:p>
    <w:p w:rsidR="008107C7" w:rsidRDefault="008107C7" w:rsidP="008107C7">
      <w:pPr>
        <w:pStyle w:val="SntesisAnaltica"/>
      </w:pPr>
    </w:p>
    <w:p w:rsidR="008107C7" w:rsidRDefault="008107C7" w:rsidP="008107C7">
      <w:pPr>
        <w:pStyle w:val="SntesisAnaltica"/>
      </w:pPr>
    </w:p>
    <w:p w:rsidR="008107C7" w:rsidRDefault="008107C7" w:rsidP="008107C7">
      <w:pPr>
        <w:pStyle w:val="Extracto"/>
      </w:pPr>
      <w:r>
        <w:t>1.</w:t>
      </w:r>
      <w:r>
        <w:tab/>
        <w:t>El presente conflicto se plantea frente a unos preceptos cuyo contenido el Consejo Ejecutivo resuelve modificar en el Acuerdo por el que se responde al requerimiento de incompetencia facultativo formulado previamente por el Gobierno. Las alegaciones del Gobierno versan ya efectivamente sobre el nuevo contenido que el Consejo Ejecutivo acuerda dar a esos preceptos, en la medida en que tampoco satisfacen al Gobierno, con independencia de que dichos nuevos preceptos, como tales, no llegan a publicarse. Del mismo modo, las alegaciones del Consejo Ejecutivo se hacen a partir de ese nuevo contenido, sin embargo no en vigor, de los preceptos objeto del conflicto; la falta de «edición del Decreto que modifique la anterior redacción» se justifica con base en la suspensión bajo la que se encuentran dichos preceptos con motivo de la admisión a trámite del conflicto. Sólo con el Decreto 155/1988, de 11 de julio, nacen, finalmente, a la vida jurídica los anunciados nuevos contenidos, con ocasión de la reorganización del Departamento de Industria y Energía de la Generalidad, al que pasa a incorporarse la Dirección General de Promoción Comercial, ahora como arts. 5.5 y 8.1.1 del citado Decreto. Son, por tanto, estos preceptos los únicos que interesan a los efectos del presente conflicto . [F.J. 1]</w:t>
      </w:r>
    </w:p>
    <w:p w:rsidR="008107C7" w:rsidRDefault="008107C7" w:rsidP="008107C7">
      <w:pPr>
        <w:pStyle w:val="Extracto"/>
      </w:pPr>
    </w:p>
    <w:p w:rsidR="008107C7" w:rsidRDefault="008107C7" w:rsidP="008107C7">
      <w:pPr>
        <w:pStyle w:val="Extracto"/>
      </w:pPr>
      <w:r>
        <w:t>2.</w:t>
      </w:r>
      <w:r>
        <w:tab/>
        <w:t>La denunciada invasión competencial sólo puede adquirir sentido teniendo en cuenta el contenido de los preceptos frente a los que inicialmente el Gobierno de la Nación requirió a la Generalidad de incompetencia. En los mismos se decía «los mercados internacionales» allí donde luego los preceptos rezan «los distintos mercados». El Gobierno de la Nación entiende que el sentido del precepto «sigue siendo el mismo»; una sincera aceptación del requerimiento habría llevado a hablar de «mercados interiores»; la dicción «distintos mercados» no puede interpretarse sino entendiendo comprendidos dentro de los mismos a los internacionales. [F.J. 2]</w:t>
      </w:r>
    </w:p>
    <w:p w:rsidR="008107C7" w:rsidRDefault="008107C7" w:rsidP="008107C7">
      <w:pPr>
        <w:pStyle w:val="Extracto"/>
      </w:pPr>
    </w:p>
    <w:p w:rsidR="008107C7" w:rsidRDefault="008107C7" w:rsidP="008107C7">
      <w:pPr>
        <w:pStyle w:val="Extracto"/>
      </w:pPr>
      <w:r>
        <w:t>3.</w:t>
      </w:r>
      <w:r>
        <w:tab/>
        <w:t xml:space="preserve">Es doctrina de este Tribunal que «el conflicto de competencias no tiene como función la de prevenir posibles interpretaciones contrarias a la Constitución por parte de quienes están llamados a aplicar las disposiciones delimitadoras de competencias» (STC 13/1988), sino la de eliminar transgresiones concretas y efectivas de los </w:t>
      </w:r>
      <w:r>
        <w:lastRenderedPageBreak/>
        <w:t>respectivos ámbitos competenciales; no es la suya, en consecuencia, una función preventiva, sino reparadora. [F.J. 3]</w:t>
      </w:r>
    </w:p>
    <w:p w:rsidR="008107C7" w:rsidRDefault="008107C7" w:rsidP="008107C7">
      <w:pPr>
        <w:pStyle w:val="Extracto"/>
      </w:pPr>
    </w:p>
    <w:p w:rsidR="008107C7" w:rsidRDefault="008107C7" w:rsidP="008107C7">
      <w:pPr>
        <w:pStyle w:val="Extracto"/>
      </w:pPr>
      <w:r>
        <w:t>4.</w:t>
      </w:r>
      <w:r>
        <w:tab/>
        <w:t>Los preceptos objeto del conflicto, en virtud de la sustitución, primero sólo acordada y finalmente hecha efectiva, como consecuencia del oportuno requerimiento, se refieren a «los distintos mercados». Dentro de tal expresión, como es obvio, no cabe excluir que puedan comprenderse también los mercados «internacionales», pero desde luego no de manera necesaria. La expresión es lo suficientemente genérica como para impedir, por nuestra parte, cualquier otra declaración que no viniera a resultar puramente cautelar o preventiva. [F.J. 3]</w:t>
      </w:r>
    </w:p>
    <w:p w:rsidR="008107C7" w:rsidRDefault="008107C7" w:rsidP="008107C7">
      <w:pPr>
        <w:pStyle w:val="Extracto"/>
      </w:pPr>
    </w:p>
    <w:p w:rsidR="008107C7" w:rsidRDefault="008107C7" w:rsidP="008107C7">
      <w:pPr>
        <w:pStyle w:val="Extracto"/>
      </w:pPr>
    </w:p>
    <w:p w:rsidR="008107C7" w:rsidRDefault="008107C7" w:rsidP="008107C7">
      <w:pPr>
        <w:pStyle w:val="Extracto"/>
      </w:pPr>
      <w:r>
        <w:t xml:space="preserve">TEXTO DEFINITIV0 </w:t>
      </w:r>
    </w:p>
    <w:p w:rsidR="008107C7" w:rsidRDefault="008107C7" w:rsidP="008107C7">
      <w:pPr>
        <w:pStyle w:val="TextoNormal"/>
      </w:pPr>
      <w: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 Sunyer, don Enrique Ruiz Vadillo, don Manuel Jiménez de Parga y Cabrera, don Tomás S. Vives Antón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conflicto positivo de competencia núm. 1.015/88, promovido por el Gobierno de la Nación, representado por el Abogado del Estado, en relación con los arts. 11.5 y 14.1.1 del Decreto 411/1987, de 22 de diciembre, del Consejo Ejecutivo de la Generalidad de Cataluña, sobre reestructuración del Departamento de Comercio, Turismo y Consumo, en la redacción dada, respectivamente, por los arts. 5.5 y 8.1 del Decreto de la Generalidad de Cataluña 155/1988. Ha comparecido el Consejo Ejecutivo de la Generalidad de Cataluña, representado por el Letrado don Ramón Riu i Fortuny. Ha sido Ponente el Magistrado don Pedro Cruz Villalón, quien expresa el parecer del Tribunal.</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Por escrito registrado en este Tribunal el 1 de junio de 1988, el Abogado del Estado, en la representación que legalmente ostenta, promovió conflicto positivo de competencia frente al Consejo Ejecutivo de la Generalidad de Cataluña por estimar que los arts. 11.5 y 14.1.1 del Decreto 411/1987, de 22 de diciembre, de su Consejo Ejecutivo, sobre reestructuración del Departamento de Comercio, Consumo y Turismo, vulneran las competencias exclusivas reservadas al Estado por el art. 149.1.3ª y 10ª, C.E. en materia de relaciones internacionales y comercio exterior, respectivamente.</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2</w:t>
      </w:r>
      <w:r>
        <w:t xml:space="preserve">. Dicho conflicto, según resulta de la demanda y documentación adjunta, se plantea en los siguientes términos: </w:t>
      </w:r>
    </w:p>
    <w:p w:rsidR="008107C7" w:rsidRDefault="008107C7" w:rsidP="008107C7">
      <w:pPr>
        <w:pStyle w:val="TextoNormal"/>
      </w:pPr>
      <w:r>
        <w:t xml:space="preserve">a) En el Diario Oficial de la Generalidad de Cataluña núm. 945, de 29 de enero de 1988, se publicó el Decreto 411/1987, de 22 de diciembre, sobre reestructuración del Departamento de Comercio, Consumo y Turismo de la misma. De las disposiciones de ese Decreto, el Abogado del Estado destaca en su demanda los dos preceptos siguientes: </w:t>
      </w:r>
    </w:p>
    <w:p w:rsidR="008107C7" w:rsidRDefault="008107C7" w:rsidP="008107C7">
      <w:pPr>
        <w:pStyle w:val="TextoNormal"/>
      </w:pPr>
      <w:r>
        <w:t xml:space="preserve">Art. 11: «Corresponde a la Dirección General de Promoción Comercial las siguientes funciones: </w:t>
      </w:r>
    </w:p>
    <w:p w:rsidR="008107C7" w:rsidRDefault="008107C7" w:rsidP="008107C7">
      <w:pPr>
        <w:pStyle w:val="TextoNormal"/>
      </w:pPr>
      <w:r>
        <w:t xml:space="preserve">5. Programar y realizar acciones de presencia de Cataluña en los mercados internacionales a fin de incrementar las posibilidades de introducción de las producciones catalanas». </w:t>
      </w:r>
    </w:p>
    <w:p w:rsidR="008107C7" w:rsidRDefault="008107C7" w:rsidP="008107C7">
      <w:pPr>
        <w:pStyle w:val="TextoNormal"/>
      </w:pPr>
      <w:r>
        <w:t xml:space="preserve">Art. 14.1: «El Servicio de Promoción Exterior, de conformidad con las competencias del Departamento, tiene las siguientes funciones: </w:t>
      </w:r>
    </w:p>
    <w:p w:rsidR="008107C7" w:rsidRDefault="008107C7" w:rsidP="008107C7">
      <w:pPr>
        <w:pStyle w:val="TextoNormal"/>
      </w:pPr>
      <w:r>
        <w:t xml:space="preserve">1. Organizar jornadas, seminarios, conferencias y todo tipo de actos encaminados a facilitar la introducción de las producciones catalanas en los mercados internacionales». </w:t>
      </w:r>
    </w:p>
    <w:p w:rsidR="008107C7" w:rsidRDefault="008107C7" w:rsidP="008107C7">
      <w:pPr>
        <w:pStyle w:val="TextoNormal"/>
      </w:pPr>
      <w:r>
        <w:t xml:space="preserve">b) El Consejo de Ministros, por Acuerdo de 25 de marzo de 1988, decidió dirigir requerimiento de incompetencia al Consejo Ejecutivo de la Generalidad de Cataluña al amparo de lo dispuesto en el art. 62, en relación con el art. 63, ambos de la LOTC, por entender que los preceptos citados atribuyen a un órgano autonómico la posibilidad de llevar a cabo directamente actuaciones en el ámbito comercial exterior, siendo así que dichas actuaciones, de acuerdo con la distribución constitucional de competencias, deben ser ejercidas a través del Estado, correspondiendo al Instituto Español de Comercio Exterior la ejecución de acciones de promoción comercial exterior (Real Decreto ley 6/1982, de 2 de abril, y Real Decreto 1.417/1987, de 13 de noviembre). </w:t>
      </w:r>
    </w:p>
    <w:p w:rsidR="008107C7" w:rsidRDefault="008107C7" w:rsidP="008107C7">
      <w:pPr>
        <w:pStyle w:val="TextoNormal"/>
      </w:pPr>
      <w:r>
        <w:t xml:space="preserve">c) El Consejo Ejecutivo de la Generalidad de Cataluña, por Acuerdo de 28 de abril de 1988, replicó que aquellos preceptos «se limitan a efectuar una atribución orgánica de funciones de promoción de intereses económicos peculiares de Cataluña, inherente al ejercicio de competencias de índole económica como son las relativas al turismo, pesca y ordenación del sector pesquero, artesanía, espectáculos, industria, agricultura, ganadería y comercio interior atribuidas por los arts. 9, 10 y 12 del Estatuto de Autonomía y consustancial a la planificación de la actividad económica catalana». Además, «tratándose de una norma de autoorganización (...), no existe vulneración actual de las normas del Estado, toda vez que ésta únicamente ha podido atribuir a sus órganos las funciones y competencias de las que es efectivamente titular». No obstante, entendió el Consejo Ejecutivo que, al objeto de evitar equívocos, parecía conveniente dar nueva redacción a los preceptos cuestionados: </w:t>
      </w:r>
    </w:p>
    <w:p w:rsidR="008107C7" w:rsidRDefault="008107C7" w:rsidP="008107C7">
      <w:pPr>
        <w:pStyle w:val="TextoNormal"/>
      </w:pPr>
      <w:r>
        <w:t xml:space="preserve">Art. 11: «Corresponde a la Dirección General de Promoción Comercial las siguientes funciones: </w:t>
      </w:r>
    </w:p>
    <w:p w:rsidR="008107C7" w:rsidRDefault="008107C7" w:rsidP="008107C7">
      <w:pPr>
        <w:pStyle w:val="TextoNormal"/>
      </w:pPr>
      <w:r>
        <w:t xml:space="preserve">5. Programar y realizar acciones a fin de incrementar las posibilidades de introducción de las producciones catalanas en los distintos mercados, sin perjuicio de las competencias que constitucionalmente corresponden al Estado». </w:t>
      </w:r>
    </w:p>
    <w:p w:rsidR="008107C7" w:rsidRDefault="008107C7" w:rsidP="008107C7">
      <w:pPr>
        <w:pStyle w:val="TextoNormal"/>
      </w:pPr>
      <w:r>
        <w:t xml:space="preserve">Art. 14.1: «El Servicio de Promoción Exterior, de conformidad con las competencias del Departamento, tiene las siguientes funciones: </w:t>
      </w:r>
    </w:p>
    <w:p w:rsidR="008107C7" w:rsidRDefault="008107C7" w:rsidP="008107C7">
      <w:pPr>
        <w:pStyle w:val="TextoNormal"/>
      </w:pPr>
      <w:r>
        <w:t xml:space="preserve">1. Organizar jornadas, seminarios y todo tipo de actos encaminados a facilitar la introducción de las producciones catalanas en los distintos mercados». </w:t>
      </w:r>
    </w:p>
    <w:p w:rsidR="008107C7" w:rsidRDefault="008107C7" w:rsidP="008107C7">
      <w:pPr>
        <w:pStyle w:val="TextoNormal"/>
      </w:pPr>
      <w:r>
        <w:t xml:space="preserve">d) Sostiene el Abogado del Estado que la contestación dada por el Consejo Ejecutivo es insuficiente por cuanto, si bien se suprimen las expresiones más directamente evocadoras de una acción de comercio exterior, su sentido sigue siendo el mismo. La justificación dada por la Generalidad a los preceptos impugnados gira en torno a dos ideas o títulos competenciales distintos. De un lado, se afirma que se limitan a efectuar funciones de promoción de </w:t>
      </w:r>
      <w:r>
        <w:lastRenderedPageBreak/>
        <w:t xml:space="preserve">intereses inherentes a las competencias de la Generalidad atribuidas por los arts. 9, 10 y 12 E.A.C.; para el Abogado del Estado, este planteamiento no puede hacer confundir las competencias materiales con su proyección territorial, como si fueran la misma cosa o como si la titularidad de las primeras permitiera franquear cualquier ámbito territorial, anulando el significado de las segundas. A su juicio, el comercio exterior no tiene como sustrato básico objetos distintos de los que constituyen la materia propia de las competencias interiores: el comercio exterior se proyecta sobre las materias a que se refiere la contestación al requerimiento, pero ello no permite decir que las competencias interiores transciendan también al exterior, pues en ese caso quedaría sin contenido la competencia constitucional sobre comercio exterior. De otro lado, la Generalidad sostiene que las normas impugnadas lo son de autoorganización y se limitan a realizar una atribución orgánica de funciones. Sin embargo, entiende el Abogado del Estado que la realidad es muy otra. No se trata de que la Generalidad haya concretado determinadas competencias de fomento en unos órganos o servicios propios, sin prejuzgar su proyección territorial, y sin que deba por tanto presumirse una lesión presente y actual de las competencias estatales. El Decreto 411/1987 menciona expresamente una acción de comercio exterior como competencia singular de órganos comunitarios, y en la modificación del texto acordada tras el requerimiento se han mantenido expresiones que parecen confirmar la redacción primitiva. </w:t>
      </w:r>
    </w:p>
    <w:p w:rsidR="008107C7" w:rsidRDefault="008107C7" w:rsidP="008107C7">
      <w:pPr>
        <w:pStyle w:val="TextoNormal"/>
      </w:pPr>
      <w:r>
        <w:t xml:space="preserve">La competencia estatal sobre comercio exterior -continúa el escrito de demanda- atañe a todo cuanto signifique relación comercial fuera de las fronteras. En ese campo no ha de reconocerse un interés autonómico propio y diferenciado del interés nacional, pues es este último el único que hace derivar competencias, precisamente, a favor del Estado. La pluralidad de acciones en el campo del comercio exterior conduciría a una distorsión de la imagen exterior de España, pues dificultaría la coordinación de los esfuerzos promocionales y fomentaría la dispersión del gasto público, la discriminación de las empresas exportadoras por razón del territorio y el desconcierto de los exportadores respecto del órgano titular de las competencias. </w:t>
      </w:r>
    </w:p>
    <w:p w:rsidR="008107C7" w:rsidRDefault="008107C7" w:rsidP="008107C7">
      <w:pPr>
        <w:pStyle w:val="TextoNormal"/>
      </w:pPr>
      <w:r>
        <w:t xml:space="preserve">Señala el Abogado del Estado que este Tribunal ha subrayado (STC 13/1988, fundamento jurídico 1º), a propósito de la competencia a que se refiere el art. 149.1.10ª C.E., la necesidad de evitar interferencias y dispersión de esfuerzos, relacionando aquella competencia con la de planificación general de la actividad económica (art. 149.1.13ª C.E.) en un aspecto tan concreto como la planificación ferial. Con mayor razón se verá lesionada esta competencia estatal -alega el Abogado del Estado- cuando la controvertida competencia autonómica se concibe de una manera tan amplia y general como es la de programar las acciones de introducción de las producciones catalanas en los distintos mercados. </w:t>
      </w:r>
    </w:p>
    <w:p w:rsidR="008107C7" w:rsidRDefault="008107C7" w:rsidP="008107C7">
      <w:pPr>
        <w:pStyle w:val="TextoNormal"/>
      </w:pPr>
      <w:r>
        <w:t xml:space="preserve">El escrito concluye con la afirmación de que el art. 14.1 del Decreto impugnado, con una significación no menos modesta, prevé una serie de medidas de estímulo tendentes a la misma finalidad. Para el Abogado del Estado, se hace innecesaria la cita de las numerosas Sentencias de este Tribunal que rechazan -a propósito de las acciones subvencionales- que la simple acción de fomento pueda escapar a los límites de la regla de competencia. </w:t>
      </w:r>
    </w:p>
    <w:p w:rsidR="008107C7" w:rsidRDefault="008107C7" w:rsidP="008107C7">
      <w:pPr>
        <w:pStyle w:val="TextoNormal"/>
      </w:pPr>
      <w:r>
        <w:t>Por todo lo expuesto, se solicita de este Tribunal que dicte Sentencia por la que se declare la nulidad de los arts. 11.5 y 14.1.1 del Decreto de la Generalidad de Cataluña 411/1987, así como la declaración de que corresponde al Estado la competencia controvertida.</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Por providencia de 6 de junio de 1988, la Sección Cuarta de este Tribunal acordó admitir a trámite el presente conflicto positivo de competencia y dar traslado de la demanda y documentos adjuntos al Consejo Ejecutivo de la Generalidad de Cataluña, por conducto de su Presidente, al objeto de que aportara, en el plazo de veinte días y por medio de su </w:t>
      </w:r>
      <w:r>
        <w:lastRenderedPageBreak/>
        <w:t>representación procesal, cuantas alegaciones y documentos estimara pertinentes. Asímismo, se acordó dirigir oficio al Presidente de la entonces Audiencia Territorial de Barcelona para conocimiento de la Sala de lo Contencioso-Administrativo correspondiente, por si ante ella estuviere impugnado o se impugnare el Decreto 411/1987; igualmente acordó tener por invocado el art. 161.2 C.E. y publicar la incoación del conflicto en el Boletín Oficial del Estado y en el Diario Oficial de la Generalidad de Cataluña, para general conocimiento.</w:t>
      </w:r>
    </w:p>
    <w:p w:rsidR="008107C7" w:rsidRDefault="008107C7" w:rsidP="008107C7">
      <w:pPr>
        <w:pStyle w:val="TextoNormal"/>
      </w:pPr>
    </w:p>
    <w:p w:rsidR="008107C7" w:rsidRDefault="008107C7" w:rsidP="008107C7">
      <w:pPr>
        <w:pStyle w:val="TextoNormal"/>
      </w:pPr>
      <w:r w:rsidRPr="008107C7">
        <w:rPr>
          <w:rStyle w:val="NumeroAFNegritaCaracter"/>
        </w:rPr>
        <w:t>4</w:t>
      </w:r>
      <w:r>
        <w:t>. Mediante providencia de 20 de junio de 1988 dicha Sección Cuarta acordó, accediendo a lo interesado por el Abogado don Ramón Riu i Fortuny en escrito del día 15 anterior, tenerle por personado y parte en representación del Consejo Ejecutivo de la Generalidad de Cataluña y prorrogar en diez días el plazo concedido para la formulación de alegaciones.</w:t>
      </w:r>
    </w:p>
    <w:p w:rsidR="008107C7" w:rsidRDefault="008107C7" w:rsidP="008107C7">
      <w:pPr>
        <w:pStyle w:val="TextoNormal"/>
      </w:pPr>
    </w:p>
    <w:p w:rsidR="008107C7" w:rsidRDefault="008107C7" w:rsidP="008107C7">
      <w:pPr>
        <w:pStyle w:val="TextoNormal"/>
      </w:pPr>
      <w:r w:rsidRPr="008107C7">
        <w:rPr>
          <w:rStyle w:val="NumeroAFNegritaCaracter"/>
        </w:rPr>
        <w:t>5</w:t>
      </w:r>
      <w:r>
        <w:t xml:space="preserve">. El escrito de alegaciones del representante procesal del Consejo Ejecutivo de la Generalidad de Cataluña se registró en este Tribunal el 6 de julio de 1988. El escrito se centra, en primer lugar, en la delimitación del objeto del conflicto, señalándose que el Consejo Ejecutivo, tras el requerimiento del Gobierno de la Nación, acordó dar nueva redacción a los arts. 11.5 y 14.1 del Decreto 411/1987, si bien no se publicó el Decreto por el que así se hacia, no pareciendo ello necesario en tanto se mantuviera la suspensión acordada ex art. 161.2 C.E. Con todo, a juicio del Consejo Ejecutivo, ello no obsta a que deba tenerse por redacción actual de aquellos preceptos la que les ha sido conferida por el Consejo Ejecutivo mediante Acuerdo de 28 de abril de 1988, siendo así que el propio Gobierno de la Nación se ha ceñido en su demanda a esa nueva redacción, quedando claro que el objeto del presente procedimiento viene dado por la nueva redacción, si bien es preciso contraer el conflicto al apartado 1ª del art. 14.1, único -de los tres en los que se descompone- que ha sido objeto de impugnación. </w:t>
      </w:r>
    </w:p>
    <w:p w:rsidR="008107C7" w:rsidRDefault="008107C7" w:rsidP="008107C7">
      <w:pPr>
        <w:pStyle w:val="TextoNormal"/>
      </w:pPr>
      <w:r>
        <w:t xml:space="preserve">A continuación, el escrito de alegaciones se extiende en el análisis de los preceptos impugnados, afirmándose que no contienen una vulneración actual de las competencias estatales. Con el Decreto 411/1987, el Consejo Ejecutivo se ha limitado a reestructurar el Departamento de Comercio, Consumo y Turismo, organizándolo en una Secretaría General y cuatro Direcciones Generales y asignando a cada una de éstas las funciones correspondientes. En concreto, los arts. 11 a 14 enumeran las funciones de la Dirección General de Promoción Comercial, establecen su estructura en dos Servicios y determinan las funciones y estructuras de cada uno de ellos, de conformidad con las competencias del Departamento. Tratándose de una norma de autoorganización (SSTC 67/1983 y 95/1984), es preciso considerar que no existe una vulneración actual de las competencias del Estado, toda vez que la Generalidad sólo ha podido atribuir a sus órganos las funciones y competencias de las que es titular. A mayor abundamiento, si se examina el tenor literal de los preceptos, se observa que en ningún momento puede inferirse de su sentido una invasión de las competencias estatales. El Gobierno, en definitiva, ha fundado la pretendida incompetencia de los arts. 11.5 y 14.1.21 en juicios de intenciones antes que en excesos positivos de competencia que pudieran resultar del tenor de los preceptos, debiendo recordarse que, de conformidad con reiterada doctrina (por todas, STC 13/1988), la mera posibilidad de que una norma pudiera llegar a ser interpretada de forma contraria a la Constitución no basta para suscitar un conflicto positivo de competencia. </w:t>
      </w:r>
    </w:p>
    <w:p w:rsidR="008107C7" w:rsidRDefault="008107C7" w:rsidP="008107C7">
      <w:pPr>
        <w:pStyle w:val="TextoNormal"/>
      </w:pPr>
      <w:r>
        <w:t xml:space="preserve">Lo anterior sería suficiente, a juicio del Consejo Ejecutivo, para dar por evacuado el trámite de alegaciones. Sin embargo, y como quiera que el Gobierno ha hecho un breve, pero - en su opinión- equivocado, discurso sobre el alcance de la competencia reservada al </w:t>
      </w:r>
      <w:r>
        <w:lastRenderedPageBreak/>
        <w:t xml:space="preserve">Estado en relación al comercio exterior, le parece oportuno oponer a aquellos criterios los que defiende la Generalidad. </w:t>
      </w:r>
    </w:p>
    <w:p w:rsidR="008107C7" w:rsidRDefault="008107C7" w:rsidP="008107C7">
      <w:pPr>
        <w:pStyle w:val="TextoNormal"/>
      </w:pPr>
      <w:r>
        <w:t xml:space="preserve">El escrito se adentra, así, en un tercer apartado que lleva por rúbrica: «delimitación de la competencia estatal relativa al comercio exterior». Comienza por señalarse que la delimitación positiva del concepto material y del título correspondiente al comercio exterior constituye una tarea difícil, que obligaría a una enumeración de distintos elementos, bloques normativos o ámbitos materiales que tradicionalmente han venido considerándose incluidos en ese concepto; y aun así sería difícil obtener una definición completa y acabada, pues la dificultad mayor radica, precisamente, en la propia dinámica del sector comercial. Tras referirse a ciertos pronunciamientos del Tribunal en la materia (SSTC 1/1982 y 125/1984) y a las conclusiones alcanzadas por la doctrina, sostiene el Consejo Ejecutivo que la definición de la competencia estatal sobre el comercio exterior defendida por el Gobierno en su demanda excede con mucho los límites que, desde otros ámbitos materiales y competenciales, ciñen la reserva del art. 149.1.10ª C.E. Esta sólo ha de abarcar aquellos elementos que guardan relación directa con los actos de comercio exterior y no puede extenderse de manera que vacíe de contenido toda competencia autonómica dotada de una cierta dimensión económica y que haya de comportar necesariamente una vertiente de proyección exterior. </w:t>
      </w:r>
    </w:p>
    <w:p w:rsidR="008107C7" w:rsidRDefault="008107C7" w:rsidP="008107C7">
      <w:pPr>
        <w:pStyle w:val="TextoNormal"/>
      </w:pPr>
      <w:r>
        <w:t xml:space="preserve">El Consejo Ejecutivo se extiende, a continuación, en una serie de consideraciones sobre la promoción exterior de sectores económicos. Alega, en esa línea, que el desarrollo industrial y económico y la mejora de los medios de comunicación y transporte han determinado un crecimiento progresivo de las relaciones comerciales internacionales. Circunstancia de la que no puede quedar al margen la Generalidad de Cataluña, que ha de llevar a cabo una promoción de los intereses económicos peculiares de Cataluña que permita potenciar su proyección exterior. Esa actividad de promoción es inherente al ejercicio de competencias de índole económica como son las relativas al turismo, pesca y ordenación del sector pesquero, artesanía, espectáculos, industria, ganadería, agricultura y comercio interior (arts. 9, 10 y 12 E.A.C.) y consustancial a la planificación de la actividad económica en Cataluña (art. 12.1.1 E.A.C.) y al ejercicio de las facultades atribuidas por el art. 55.1 E.A.C., en relación con el art. 130.1 C.E., respecto a la modernización y desarrollo de todos los sectores económicos. Además, esa actividad de promoción es sustancialmente distinta de la de fomento específico de cada uno de los sectores económicos a que se ha hecho referencia, y también de la de fomento al comercio exterior. Así, la promoción que lleva a cabo la Generalidad comprende la iniciativa o impulso público que puede propiciar actos, negocios o mediaciones futuras relacionadas con actividades de carácter industrial, comercial, agrario, turístico, etc. y que se suele instrumentar mediante la organización, asistencia y participación en certámenes, seminarios y jornadas, donde se puede producir el intercambio de información y la puesta en contacto de partes interesadas en el establecimiento de relaciones económicas o de mera colaboración. Es evidente, por tanto, que tales actividades no tienen la misma naturaleza que las de fomento al comercio exterior, consistentes en la instrumentación y concesión de ayudas, subvenciones, beneficios fiscales, liberalización de inversiones, etc., únicas que pueden quedar incluidas en la reserva del art. 149.1.10ª C.E. Las actividades de promoción no pueden padecer la "exclusividad" que es propia de las de fomento al comercio exterior, máxime cuando aquéllas resultan inseparables del ejercicio de muchos otros títulos competenciales autonómicos, de un contenido material y una entidad económica relevantes para el comercio exterior. </w:t>
      </w:r>
    </w:p>
    <w:p w:rsidR="008107C7" w:rsidRDefault="008107C7" w:rsidP="008107C7">
      <w:pPr>
        <w:pStyle w:val="TextoNormal"/>
      </w:pPr>
      <w:r>
        <w:t xml:space="preserve">Si de los actos, negocios o mediaciones propiciados o impulsados mediante aquella promoción -continúa el Consejo Ejecutivo- resultasen verdaderos compromisos y operaciones comerciales, a éstas les sería aplicable la legislación estatal relativa al comercio exterior, </w:t>
      </w:r>
      <w:r>
        <w:lastRenderedPageBreak/>
        <w:t xml:space="preserve">pero es evidente que esa determinación no puede atraer hacia sí todos los actos meramente preparatorios y sólo muy débilmente relacionados con ellas. Debe también tenerse en cuenta que las actividades de promoción no comportan el ejercicio de poder público frente al exterior. Por ello no puede imponerse a la actividad de promoción el mismo riguroso límite territorial al que se circunscribe la actividad de ordenación, como, a contrario, puede deducirse de la STC 154/1985. En la misma línea apuntan la doctrina científica, la Corte Constitucional italiana, la experiencia comparada y, aun sin salir de España, la práctica de muchas entidades locales. De otro lado, el Estado no ha permanecido del todo ajeno al reconocimiento de la capacidad de la Generalidad de Cataluña para desarrollar actividades de promoción exterior en determinados ámbitos materiales. Así, el R.D. 3.168/1982, de 15 de octubre, de traspasos de servicios a la Generalidad, incluyó en el apartado B) 9 de su Anexo un reconocimiento explícito de la posibilidad de realizar actividades de promoción exterior del turismo. Del mismo modo, en el art. 4.2 del R.D. 124/1988, de 12 de febrero, se reconoce implícitamente la posibilidad de que las Comunidades Autónomas realicen actividades de promoción turística al margen de las que lleven a cabo las instancias centrales. </w:t>
      </w:r>
    </w:p>
    <w:p w:rsidR="008107C7" w:rsidRDefault="008107C7" w:rsidP="008107C7">
      <w:pPr>
        <w:pStyle w:val="TextoNormal"/>
      </w:pPr>
      <w:r>
        <w:t xml:space="preserve">En definitiva, y por todo lo expuesto, se interesa del Tribunal lo siguiente: </w:t>
      </w:r>
    </w:p>
    <w:p w:rsidR="008107C7" w:rsidRDefault="008107C7" w:rsidP="008107C7">
      <w:pPr>
        <w:pStyle w:val="TextoNormal"/>
      </w:pPr>
      <w:r>
        <w:t xml:space="preserve">1) Que dicte resolución por la que se tenga por planteado el presente conflicto únicamente en relación con los arts. 11.5 y 14.1.1 del Decreto 411/1987, de 22 de diciembre, según la redacción acordada por el Consejo Ejecutivo de la Generalidad de Cataluña en fecha 28 de abril de 1988, y que se entiendan producidos sólo en relación con esos preceptos los efectos suspensivos determinados por la invocación del art. 161.2 C.E. </w:t>
      </w:r>
    </w:p>
    <w:p w:rsidR="008107C7" w:rsidRDefault="008107C7" w:rsidP="008107C7">
      <w:pPr>
        <w:pStyle w:val="TextoNormal"/>
      </w:pPr>
      <w:r>
        <w:t>2) Que dicte Sentencia por la que se declare que los preceptos impugnados se ajustan a lo previsto en la Constitución y en el Estatuto de Autonomía de Cataluña.</w:t>
      </w:r>
    </w:p>
    <w:p w:rsidR="008107C7" w:rsidRDefault="008107C7" w:rsidP="008107C7">
      <w:pPr>
        <w:pStyle w:val="TextoNormal"/>
      </w:pPr>
    </w:p>
    <w:p w:rsidR="008107C7" w:rsidRDefault="008107C7" w:rsidP="008107C7">
      <w:pPr>
        <w:pStyle w:val="TextoNormal"/>
      </w:pPr>
      <w:r w:rsidRPr="008107C7">
        <w:rPr>
          <w:rStyle w:val="NumeroAFNegritaCaracter"/>
        </w:rPr>
        <w:t>6</w:t>
      </w:r>
      <w:r>
        <w:t>. Por providencia de 21 de julio de 1988, la Sección acordó incorporar a las actuaciones el escrito de alegaciones del Consejo Ejecutivo de la Generalidad de Cataluña y dar traslado del mismo al Abogado del Estado al objeto de que, en el plazo de diez días, expusiera lo que estimase procedente acerca del contenido del número 1 de la súplica de dicho escrito.</w:t>
      </w:r>
    </w:p>
    <w:p w:rsidR="008107C7" w:rsidRDefault="008107C7" w:rsidP="008107C7">
      <w:pPr>
        <w:pStyle w:val="TextoNormal"/>
      </w:pPr>
    </w:p>
    <w:p w:rsidR="008107C7" w:rsidRDefault="008107C7" w:rsidP="008107C7">
      <w:pPr>
        <w:pStyle w:val="TextoNormal"/>
      </w:pPr>
      <w:r w:rsidRPr="008107C7">
        <w:rPr>
          <w:rStyle w:val="NumeroAFNegritaCaracter"/>
        </w:rPr>
        <w:t>7</w:t>
      </w:r>
      <w:r>
        <w:t xml:space="preserve">. El Abogado del Estado presentó escrito de alegaciones el 29 de julio de 1988. A su juicio, la primera cuestión que suscita el primero de los apartados del suplico del escrito de oposición es el relativo a cuál de los textos de redacción sucesiva del Decreto 411/1987 (22 de diciembre de 1987 y 28 de abril de 1988) debe estimarse vigente y a cuál de ellos debe entenderse referido el presente conflicto. Recuerda el Abogado del Estado que fue la primera de las redacciones la que motivó el requerimiento previo, siendo la segunda el resultado de un Acuerdo del Consejo Ejecutivo por el que se accedía parcialmente a lo interesado en el requerimiento. La redacción que el Gobierno estimó vigente y contra la que recurrió fue, por tanto, la segunda; la misma contra la que el Consejo Ejecutivo entiende que ha de dirigirse el conflicto. Esta conformidad debería eliminar toda otra cuestión, si bien el suplico del escrito de adverso deja traslucir dos órdenes de problemas: 1) Subsistencia del Decreto en su redacción primitiva. 2) Preceptos a los que se contrae la impugnación. A cada una de estas cuestiones se refiere a continuación el Abogado del Estado. </w:t>
      </w:r>
    </w:p>
    <w:p w:rsidR="008107C7" w:rsidRDefault="008107C7" w:rsidP="008107C7">
      <w:pPr>
        <w:pStyle w:val="TextoNormal"/>
      </w:pPr>
      <w:r>
        <w:t xml:space="preserve">Alega el Abogado del Estado, en primer lugar, que, aunque el Consejo Ejecutivo reconoce que es la segunda redacción la única que puede constituir el objeto de la acción, no deja de apuntar que dicha redacción no ha sido publicada y que «quizá no parece tampoco conveniente proceder a su publicación en tanto se mantenga la suspensión determinada por la invocación por el Gobierno del art. 161.2 de la Constitución». El Abogado del Estado sostiene que le preocupa gravemente esta consideración, pues pudiera entenderse que se </w:t>
      </w:r>
      <w:r>
        <w:lastRenderedPageBreak/>
        <w:t xml:space="preserve">concibe un juego de vigencias y de suspensiones que frustraría los mecanismos esenciales del propio proceso: si se entiende que la suspensión opera respecto de la norma nueva y que la vigencia es conservada por la antigua, de poco habría servido el trámite del requerimiento previo, su estimación parcial y la petición de suspensión de la norma. Estos últimos trámites, concebidos como instrumentos de eliminación o, cuando menos, de depuración o simplificación del conflicto, se convertirían en simples e inútiles medios de disfrazarlo. A juicio del Abogado del Estado, la estimación de un requerimiento produce un efecto derogatorio del texto objeto de dicho trámite, surgiendo a cargo del órgano requerido el deber de darle la necesaria publicidad. El Abogado del Estado declara no alcanzar a explicarse por qué estimándose de adverso que la norma nueva es la única que tiene vigencia y la única susceptible de conflicto se pone en duda la conveniencia de su publicación en tanto se mantenga la suspensión. Si ello responde a un intento de mantener la vigencia de la norma antigua y así desviar la impugnación hacia una norma carente de vigencia se daría un fraude procesal de tal magnitud que es preferible no pensar que esa sea la intención de la contraparte. </w:t>
      </w:r>
    </w:p>
    <w:p w:rsidR="008107C7" w:rsidRDefault="008107C7" w:rsidP="008107C7">
      <w:pPr>
        <w:pStyle w:val="TextoNormal"/>
      </w:pPr>
      <w:r>
        <w:t xml:space="preserve">Así las cosas -continúa el escrito de alegaciones-, el objeto impugnado se contrae a los preceptos que se consignan en el suplico del escrito del Abogado del Estado: arts. 11.5 y 14.1.1 del Decreto. </w:t>
      </w:r>
    </w:p>
    <w:p w:rsidR="008107C7" w:rsidRDefault="008107C7" w:rsidP="008107C7">
      <w:pPr>
        <w:pStyle w:val="TextoNormal"/>
      </w:pPr>
      <w:r>
        <w:t>Con todo, y para el supuesto de que se entendiera que la acción se dirige contra la redacción originaria de aquellos preceptos, alega el Abogado del Estado que el suplico habría de entenderse en un sentido más amplio; concretamente, en función del requerimiento previo de incompetencia. Así, la pretensión derogatoria, e implícitamente anulatoria, habría de afectar al art. 11.5 y, en conexión con él, a aquéllos preceptos del Decreto que, como el art. 14.1, desarrollan las funciones previstas en el art. 11.5.</w:t>
      </w:r>
    </w:p>
    <w:p w:rsidR="008107C7" w:rsidRDefault="008107C7" w:rsidP="008107C7">
      <w:pPr>
        <w:pStyle w:val="TextoNormal"/>
      </w:pPr>
    </w:p>
    <w:p w:rsidR="008107C7" w:rsidRDefault="008107C7" w:rsidP="008107C7">
      <w:pPr>
        <w:pStyle w:val="TextoNormal"/>
      </w:pPr>
      <w:r w:rsidRPr="008107C7">
        <w:rPr>
          <w:rStyle w:val="NumeroAFNegritaCaracter"/>
        </w:rPr>
        <w:t>8</w:t>
      </w:r>
      <w:r>
        <w:t>. Por Auto de 22 de noviembre de 1988, oídas las alegaciones de las partes, se acordó mantener la suspensión de la vigencia de los arts. 11.5 y 14.1.1 del Decreto 411/1987 en la redacción dada por el Decreto 155/1988.</w:t>
      </w:r>
    </w:p>
    <w:p w:rsidR="008107C7" w:rsidRDefault="008107C7" w:rsidP="008107C7">
      <w:pPr>
        <w:pStyle w:val="TextoNormal"/>
      </w:pPr>
    </w:p>
    <w:p w:rsidR="008107C7" w:rsidRDefault="008107C7" w:rsidP="008107C7">
      <w:pPr>
        <w:pStyle w:val="TextoNormal"/>
      </w:pPr>
      <w:r w:rsidRPr="008107C7">
        <w:rPr>
          <w:rStyle w:val="NumeroAFNegritaCaracter"/>
        </w:rPr>
        <w:t>9</w:t>
      </w:r>
      <w:r>
        <w:t>. Por providencia de 28 de enero de 1997 se señaló el día 30 del mismo mes y año para deliberación y votación de la presente Sentencia, quedando conclusa con esta fecha.</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Si bien el presente conflicto positivo de competencia fue formulado frente a los arts. 11.5 y 14.1 del Decreto 411/1987, de 22 de diciembre, de reestructuración del Departamento de Comercio, Consumo y Turismo de la Generalidad de Cataluña, el Pleno de este Tribunal debió declarar, mediante Auto de 22 de noviembre de 1988, literalmente, que "el conflicto se plantea frente al texto resultante de la última actividad normativa de la Generalidad, es decir, frente a los arts. 11.5 y 14.1.1 del Decreto 411/1987, en la redacción que les dio el Acuerdo de 28 de abril de 1988, y que en la actualidad se recoge en los artículos 5.5 y 8.1.1 del Decreto catalán 155/1988". Estos últimos fueron efectivamente los preceptos cuya suspensión se mantuvo en el citado Auto y sobre cuya adecuación al bloque de la constitucionalidad ahora hemos de pronunciarnos.</w:t>
      </w:r>
    </w:p>
    <w:p w:rsidR="008107C7" w:rsidRDefault="008107C7" w:rsidP="008107C7">
      <w:pPr>
        <w:pStyle w:val="TextoNormal"/>
      </w:pPr>
      <w:r>
        <w:t xml:space="preserve">Las incidencias procesales, todas ellas perfectamente evitables, que han condicionado esta declaración de sustitución, en puridad sólo formal, del objeto del conflicto han quedado recogidas en los Antecedentes, al igual que el texto de los respectivos preceptos. Lo esencial a retener es que el conflicto se plantea ante nosotros frente a unos preceptos cuyo contenido </w:t>
      </w:r>
      <w:r>
        <w:lastRenderedPageBreak/>
        <w:t>el Consejo Ejecutivo resuelve modificar en el Acuerdo por el que se responde al requerimiento de incompetencia facultativo formulado previamente por el Gobierno. Las alegaciones del Gobierno versan ya efectivamente sobre el nuevo contenido que el Consejo Ejecutivo acuerda dar a esos preceptos, en la medida en que tampoco satisfacen al Gobierno, con independencia de que dichos nuevos preceptos, como tales, no llegan a publicarse. Del mismo modo, las alegaciones del Consejo Ejecutivo se hacen a partir de ese nuevo contenido, sin embargo no en vigor, de los preceptos objeto del conflicto; la falta de "edición del Decreto que modifique la anterior redacción" se justifica con base en la suspensión bajo la que se encuentran dichos preceptos con motivo de la admisión a trámite del conflicto. Sólo con el Decreto 155/1988, de 11 de julio, nacen, finalmente, a la vida jurídica los anunciados nuevos contenidos, con ocasión de la reorganización del Departamento de Industria y Energía de la Generalidad, al que pasa a incorporarse la Dirección General de Promoción Comercial, ahora como arts. 5.5 y 8.1.1 del citado Decreto. Son, por tanto, estos preceptos los únicos que interesan a los efectos del presente conflicto.</w:t>
      </w:r>
    </w:p>
    <w:p w:rsidR="008107C7" w:rsidRDefault="008107C7" w:rsidP="008107C7">
      <w:pPr>
        <w:pStyle w:val="TextoNormal"/>
      </w:pPr>
    </w:p>
    <w:p w:rsidR="008107C7" w:rsidRDefault="008107C7" w:rsidP="008107C7">
      <w:pPr>
        <w:pStyle w:val="TextoNormal"/>
      </w:pPr>
      <w:r w:rsidRPr="008107C7">
        <w:rPr>
          <w:rStyle w:val="NumeroAFNegritaCaracter"/>
        </w:rPr>
        <w:t>2</w:t>
      </w:r>
      <w:r>
        <w:t>. Los citados preceptos son impugnados por vulnerar las competencias exclusivas que la Constitución reserva al Estado en su art. 149.1.3ª y 10ª, es decir, las materias de relaciones internacionales y comercio exterior. El primero de los preceptos impugnados atribuye a la Dirección General de Promoción Comercial la programación y realización de acciones "a fin de incrementar las posibilidades de introducción de las producciones catalanas en los distintos mercados, sin perjuicio de las competencias que constitucionalmente corresponden al Estado"; el segundo encomienda al Servicio de Promoción Exterior de dicha Dirección General, de conformidad a su vez con las competencias del Departamento, "organizar jornadas, seminarios y todo tipo de actos encaminados a facilitar la introducción de las producciones catalanas en los distintos mercados".</w:t>
      </w:r>
    </w:p>
    <w:p w:rsidR="008107C7" w:rsidRDefault="008107C7" w:rsidP="008107C7">
      <w:pPr>
        <w:pStyle w:val="TextoNormal"/>
      </w:pPr>
      <w:r>
        <w:t>La denunciada invasión competencial sólo puede adquirir sentido teniendo en cuenta el contenido de los preceptos frente a los que inicialmente el Gobierno de la Nación requirió a la Generalidad de incompetencia. En los mismos se decía "los mercados internacionales" allí donde luego los preceptos rezan "los distintos mercados". El Gobierno de la Nación entiende que el sentido del precepto "sigue siendo el mismo"; una sincera aceptación del requerimiento habría llevado a hablar de "mercados interiores"; la dicción "distintos mercados" no puede interpretarse sino entendiendo comprendidos dentro de los mismos a los internacionales.</w:t>
      </w:r>
    </w:p>
    <w:p w:rsidR="008107C7" w:rsidRDefault="008107C7" w:rsidP="008107C7">
      <w:pPr>
        <w:pStyle w:val="TextoNormal"/>
      </w:pPr>
      <w:r>
        <w:t>Frente a ello, el Consejo Ejecutivo de la Generalidad de Cataluña responde que "pretender que la expresión 'distintos mercados' comporta un exceso de competencia es hacer una interpretación apriorística y parcial, prejuzgando que la Generalidad desarrollará una actividad en determinados mercados donde pudiera carecer de competencia para ejercerla.</w:t>
      </w:r>
    </w:p>
    <w:p w:rsidR="008107C7" w:rsidRDefault="008107C7" w:rsidP="008107C7">
      <w:pPr>
        <w:pStyle w:val="TextoNormal"/>
      </w:pPr>
    </w:p>
    <w:p w:rsidR="008107C7" w:rsidRDefault="008107C7" w:rsidP="008107C7">
      <w:pPr>
        <w:pStyle w:val="TextoNormal"/>
      </w:pPr>
      <w:r w:rsidRPr="008107C7">
        <w:rPr>
          <w:rStyle w:val="NumeroAFNegritaCaracter"/>
        </w:rPr>
        <w:t>3</w:t>
      </w:r>
      <w:r>
        <w:t>. El conflicto positivo de competencia debe ser desestimado.  Es, en efecto, doctrina de este Tribunal que «el conflicto de competencias no tiene como función la de prevenir posibles interpretaciones contrarias a la Constitución por parte de quienes están llamados a aplicar las disposiciones delimitadoras de competencias» (STC 13/1988, fundamento jurídico 4º), sino la de eliminar transgresiones concretas y efectivas de los respectivos ámbitos competenciales; no es la suya, en consecuencia, una función preventiva, sino reparadora.</w:t>
      </w:r>
    </w:p>
    <w:p w:rsidR="008107C7" w:rsidRDefault="008107C7" w:rsidP="008107C7">
      <w:pPr>
        <w:pStyle w:val="TextoNormal"/>
      </w:pPr>
      <w:r>
        <w:t xml:space="preserve">En el presente caso, es patente que las normas finalmente objeto de conflicto, a diferencia de lo que sucedía en su redacción originaria, están desprovistas de toda referencia a los «mercados internacionales». Los preceptos objeto del conflicto, en virtud de la sustitución, </w:t>
      </w:r>
      <w:r>
        <w:lastRenderedPageBreak/>
        <w:t>primero sólo acordada y finalmente hecha efectiva, como consecuencia del oportuno requerimiento, se refieren a «los distintos mercados». Dentro de tal expresión, como es obvio, no cabe excluir que puedan comprenderse también los mercados «internacionales», pero desde luego no de manera necesaria. La expresión es lo suficientemente genérica como para impedir, por nuestra parte, cualquier otra declaración que no viniera a resultar puramente cautelar o preventiva. El Gobierno de la Nación está en su pleno derecho al temer una actuación futura en el sentido indicado por parte del Departamento en cuestión de la Generalidad catalana, pero la materialización de tal conducta no será, en modo alguno, consecuencia necesaria de los preceptos impugnados, a cuya dicción no puede reprocharse invasión de las competencias exclusivas estatales invocadas en el presente conflicto. A ello viene a sumarse el que, en aplicación de la doctrina antes señalada, este Tribunal no hace pronunciamientos preventivos; sólo en el supuesto de una aplicación de aquellas normas en la que se dé lugar a una actuación exterior a nuestras fronteras por parte de aquellos organismos podrá tenerse por ejercida una competencia que, considerada propia por el Gobierno, será preciso adscribir por este Tribunal a una u otra de las entidades que, en su caso, se disputen su titularidad. En tanto tal cosa no suceda, el presente conflicto, en los términos actualmente planteados, debe ser desestimado.</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Desestimar el presente conflicto positivo de competencia.</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treinta de enero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19" w:name="SENTENCIA_1997_16"/>
      <w:r>
        <w:lastRenderedPageBreak/>
        <w:t>SENTENCIA 16/1997, de 30 de enero de 1997</w:t>
      </w:r>
    </w:p>
    <w:bookmarkEnd w:id="19"/>
    <w:p w:rsidR="008107C7" w:rsidRDefault="008107C7" w:rsidP="008107C7">
      <w:pPr>
        <w:pStyle w:val="TtuloResolucin"/>
      </w:pPr>
      <w:r>
        <w:t>Pleno</w:t>
      </w:r>
    </w:p>
    <w:p w:rsidR="008107C7" w:rsidRDefault="008107C7" w:rsidP="008107C7">
      <w:pPr>
        <w:pStyle w:val="TtuloResolucin"/>
      </w:pPr>
    </w:p>
    <w:p w:rsidR="008107C7" w:rsidRDefault="008107C7" w:rsidP="008107C7">
      <w:pPr>
        <w:pStyle w:val="TtuloBOE"/>
      </w:pPr>
      <w:r>
        <w:t>("BOE" núm. 49, de 26 de febrero de 1997)</w:t>
      </w:r>
    </w:p>
    <w:p w:rsidR="008107C7" w:rsidRDefault="008107C7" w:rsidP="008107C7">
      <w:pPr>
        <w:pStyle w:val="TtuloBOE"/>
      </w:pPr>
    </w:p>
    <w:p w:rsidR="008107C7" w:rsidRDefault="008107C7" w:rsidP="008107C7">
      <w:pPr>
        <w:pStyle w:val="SntesisDescriptiva"/>
      </w:pPr>
      <w:r>
        <w:t>ECLI:ES:TC:1997:16</w:t>
      </w:r>
    </w:p>
    <w:p w:rsidR="008107C7" w:rsidRDefault="008107C7" w:rsidP="008107C7">
      <w:pPr>
        <w:pStyle w:val="SntesisDescriptiva"/>
      </w:pPr>
    </w:p>
    <w:p w:rsidR="008107C7" w:rsidRDefault="008107C7" w:rsidP="008107C7">
      <w:pPr>
        <w:pStyle w:val="SntesisDescriptiva"/>
      </w:pPr>
      <w:r>
        <w:t>Recurso de inconstitucionalidad 1.834/1989. Promovido por el Presidente del Gobierno contra el art. 46.2 de la  Ley del Principado de Asturias 2/1989, de 6 de junio, de Caza.</w:t>
      </w:r>
    </w:p>
    <w:p w:rsidR="008107C7" w:rsidRDefault="008107C7" w:rsidP="008107C7">
      <w:pPr>
        <w:pStyle w:val="SntesisDescriptiva"/>
      </w:pPr>
    </w:p>
    <w:p w:rsidR="008107C7" w:rsidRDefault="008107C7" w:rsidP="008107C7">
      <w:pPr>
        <w:pStyle w:val="SntesisAnaltica"/>
      </w:pPr>
    </w:p>
    <w:p w:rsidR="008107C7" w:rsidRDefault="008107C7" w:rsidP="008107C7">
      <w:pPr>
        <w:pStyle w:val="SntesisAnaltica"/>
      </w:pPr>
    </w:p>
    <w:p w:rsidR="008107C7" w:rsidRDefault="008107C7" w:rsidP="008107C7">
      <w:pPr>
        <w:pStyle w:val="Extracto"/>
      </w:pPr>
      <w:r>
        <w:t>1.</w:t>
      </w:r>
      <w:r>
        <w:tab/>
        <w:t>La controversia competencial en la que se basa este recurso ya ha sido resuelta, en su estricta dimensión constitucional, por la STC 102/1995, cuya doctrina, aplicada ya en las SSTC 156/1995 y 196/1996, ha de mantenerse también en este caso en el que se plantea el mismo problema. En la STC 102/1995 declaramos, en lo que aquí importa, el carácter básico y, por ende, la constitucionalidad de las normas de naturaleza administrativo-sancionadora contenidas en sus arts. 38 y 39 de la Ley 4/1989, de Conservación de los Espacios Naturales y la Flora y Fauna silvestre. Así figura expresamente razonado en los fundamentos jurídicos 25, 26 y 32 de aquella Sentencia, cuyo contenido damos ahora por reproducido. Con apoyo en esa doctrina, en las SSTC 156/1995 y 196/1996 declaró este Tribunal que el Estado, con la finalidad de garantizar unos mínimos comunes de protección del medio ambiente en todo el territorio nacional, puede establecer con carácter básico un catálogo de infracciones -ampliable por el legislador autonómico- sancionables administrativamente que establecen una protección mínima que debe ser común en todo el territorio nacional. Por ello mismo, si el legislador autonómico «hubiera suprimido las infracciones muy graves o hubiera rebajado sensiblemente la cuantía de la sanción correspondiente, se habría dejado sin efecto la norma estatal» (fundamento jurídico 8., STC 156/1995). En definitiva, como dice la STC 196/1996, «la protección concedida por la ley estatal puede ser ampliada y mejorada por la ley autonómica; lo que resulta constitucionalmente improcedente es que resulte restringida o disminuida». [F.J. 2]</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El Pleno del Tribunal Constitucional, compuesto por don Álvaro Rodríguez Bereijo, Presidente, don José Gabaldón López, don Fernando García-Mon y González-Regueral, don Vicente Gimeno Sendra, don Rafael de Mendizábal Allende, Don Julio Diego González Campos, don Pedro Cruz Villalón, don Carles Viver Pi- Sunyer, don Enrique Ruíz Vadillo, don Manuel Jiménez de Parga y Cabrera, don Tomás S. Vives Antón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lastRenderedPageBreak/>
        <w:t>SENTENCIA</w:t>
      </w:r>
    </w:p>
    <w:p w:rsidR="008107C7" w:rsidRDefault="008107C7" w:rsidP="008107C7">
      <w:pPr>
        <w:pStyle w:val="TextoNormalCentrado"/>
        <w:keepNext/>
      </w:pPr>
    </w:p>
    <w:p w:rsidR="008107C7" w:rsidRDefault="008107C7" w:rsidP="008107C7">
      <w:pPr>
        <w:pStyle w:val="TextoNormal"/>
      </w:pPr>
      <w:r>
        <w:t>En el recurso de inconstitucionalidad núm. 1.834/89, promovido por el Presidente del Gobierno contra el art. 46.2 de la Ley del Principado de Asturias 2/1989, de 6 de junio, de Caza. Han sido parte, el Abogado del Estado en la representación del Gobierno que legalmente ostenta, don Antonio Landeta y Alvarez- Valdés, en representación de la Junta General del Principado de Asturias, y don José Fraile Hinojosa, en representación del Consejo de Gobierno de aquella Comunidad Autónoma. Ha sido Ponente el Magistrado don Fernando García-Mon y González-Regueral quien expresa el parecer del Tribunal.</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Mediante escrito registrado en este Tribunal el 14 de septiembre de 1989, el Abogado del Estado, en nombre y representación del Presidente del Gobierno, interpuso recurso de inconstitucionalidad contra el art. 46.2ª de la Ley del Principado de Asturias 2/1989, de 6 de junio, de Caza. Tras hacer expresa invocación de lo dispuesto en el art. 161.2 de la Constitución, fundamenta su pretensión de inconstitucionalidad en la forma que, sucintamente, a continuación se expone. </w:t>
      </w:r>
    </w:p>
    <w:p w:rsidR="008107C7" w:rsidRDefault="008107C7" w:rsidP="008107C7">
      <w:pPr>
        <w:pStyle w:val="TextoNormal"/>
      </w:pPr>
      <w:r>
        <w:t xml:space="preserve">El precepto autonómico impugnado tipifica la caza, captura, tenencia, comercio, naturalización o destrucción del hábitat de especies catalogadas, sus crías o huevos, careciendo de autorización especial, como una infracción muy grave, sancionable administrativamente con multa de 1.250.001 a 15.000.000 de pesetas y retirada de la licencia e imposibilidad de obtenerla por un plazo de diez años. </w:t>
      </w:r>
    </w:p>
    <w:p w:rsidR="008107C7" w:rsidRDefault="008107C7" w:rsidP="008107C7">
      <w:pPr>
        <w:pStyle w:val="TextoNormal"/>
      </w:pPr>
      <w:r>
        <w:t xml:space="preserve">De este modo, el legislador autonómico tipifica una infracción administrativa en materia de protección de los recursos naturales, con desconocimiento de lo dispuesto en la legislación básica estatal contenida en la Ley 4/1989, de 27 de marzo, de Conservación de los Espacios Naturales y de la Flora y Fauna Silvestre (L.C.E.N). Se quiebra así, el orden constitucional de distribución de competencias entre el Estado y las Comunidades Autónomas. </w:t>
      </w:r>
    </w:p>
    <w:p w:rsidR="008107C7" w:rsidRDefault="008107C7" w:rsidP="008107C7">
      <w:pPr>
        <w:pStyle w:val="TextoNormal"/>
      </w:pPr>
      <w:r>
        <w:t xml:space="preserve">A) En efecto, la L.C.E.N fue dictada en el ejercicio de la competencia exclusiva del Estado para dictar la legislación básica en materia de medio ambiente (art. 149.1.23 C.E.). El art. 38 de esta Ley dispone -con el carácter de normativa básica- que «sin perjuicio de lo que disponga al respecto la legislación autonómica que desarrolle estas normas de protección y las leyes reguladoras de determinados recursos naturales, se considerarán infracciones administrativas: «... Sexta. La destrucción, muerte, deterioro, recolección, comercio, captura y exposición para el comercio o naturalización no autorizada de especies animales o plantas catalogadas en peligro de extinción o vulnerables a la alteración de su habitat, así como la de sus propágulos o restos. Séptima.- La destrucción del hábitat de especies en peligro de extinción o vulnerables a la alteración de su hábitat, en particular del lugar de su reproducción, invernada, reposo, campo o alimentación». </w:t>
      </w:r>
    </w:p>
    <w:p w:rsidR="008107C7" w:rsidRDefault="008107C7" w:rsidP="008107C7">
      <w:pPr>
        <w:pStyle w:val="TextoNormal"/>
      </w:pPr>
      <w:r>
        <w:t xml:space="preserve">Estas infracciones son calificadas como muy graves (art. 39.2) y sancionadas con multa de 10.000.001 a 50.000.000 de pesetas en el art. 39.1 de la citada Ley. </w:t>
      </w:r>
    </w:p>
    <w:p w:rsidR="008107C7" w:rsidRDefault="008107C7" w:rsidP="008107C7">
      <w:pPr>
        <w:pStyle w:val="TextoNormal"/>
      </w:pPr>
      <w:r>
        <w:t xml:space="preserve">B) Pues bien, la Ley del Principado de Asturias 2/1989, de Caza, vulnera la normativa básica estatal en esta materia, al sancionar de manera más leve esas mismas conductas en relación con especies catalogadas como amenazadas (art. 4.2 de la Ley 2/1989). Esta vulneración determina la inconstitucionalidad del precepto que se impugna. </w:t>
      </w:r>
    </w:p>
    <w:p w:rsidR="008107C7" w:rsidRDefault="008107C7" w:rsidP="008107C7">
      <w:pPr>
        <w:pStyle w:val="TextoNormal"/>
      </w:pPr>
      <w:r>
        <w:lastRenderedPageBreak/>
        <w:t xml:space="preserve">Nótese que, en rigor, las especies amenazadas o en peligro de extinción no tienen la consideración de piezas de caza como reconoce la propia Ley impugnada (art. 4.2). En consecuencia, la competencia exclusiva que en materia de caza ostenta la Comunidad Autónoma de Asturias [art. 10.1 h) de su Estatuto de Autonomía] no sirve de título justificativo de la competencia autonómica para establecer estas infracciones y sanciones, al margen de la legislación básica del Estado sobre protección del medio ambiente. </w:t>
      </w:r>
    </w:p>
    <w:p w:rsidR="008107C7" w:rsidRDefault="008107C7" w:rsidP="008107C7">
      <w:pPr>
        <w:pStyle w:val="TextoNormal"/>
      </w:pPr>
      <w:r>
        <w:t xml:space="preserve">Resulta, además, que el propio precepto impugnado incluye varias conductas ajenas al concepto de caza y que son típicas de las infracciones medioambientales. </w:t>
      </w:r>
    </w:p>
    <w:p w:rsidR="008107C7" w:rsidRDefault="008107C7" w:rsidP="008107C7">
      <w:pPr>
        <w:pStyle w:val="TextoNormal"/>
      </w:pPr>
      <w:r>
        <w:t xml:space="preserve">C) En la STC 87/1985 (fundamento jurídico 8º) se declaró que «las Comunidades Autónomas pueden adoptar normas administrativas sancionadoras cuando, teniendo competencia sobre la materia sustantiva de que se trate, tales disposiciones (...) no introduzcan divergencias irrazonables y desproporcionadas al fin perseguido respecto del régimen jurídico aplicable en otras partes del territorio (art. 149.1.1 C.E.)». En idéntico sentido se pronuncian las SSTC 102/1985, 48/1988, 186/1988 y 15/1989. </w:t>
      </w:r>
    </w:p>
    <w:p w:rsidR="008107C7" w:rsidRDefault="008107C7" w:rsidP="008107C7">
      <w:pPr>
        <w:pStyle w:val="TextoNormal"/>
      </w:pPr>
      <w:r>
        <w:t xml:space="preserve">En el caso que nos ocupa, es evidente que la Ley del Principado de Asturias disminuye de forma considerable la gravedad de las sanciones que la legislación básica estatal establece para las mismas conductas, lo que supone, en definitiva, «una diferencia de trato sustancial o 'salto sancionador cualitativo que rompe la unidad en lo fundamental del esquema sancionatorio'» (STC 48/1988, fundamento jurídico 25, in fine). </w:t>
      </w:r>
    </w:p>
    <w:p w:rsidR="008107C7" w:rsidRDefault="008107C7" w:rsidP="008107C7">
      <w:pPr>
        <w:pStyle w:val="TextoNormal"/>
      </w:pPr>
      <w:r>
        <w:t>En conclusión, el precepto impugnado ha de estimarse inconstitucional en relación con la cuantía de las multas establecidas en el primer párrafo del citado art. 46 de la Ley 2/1989, del Principado de Asturias.</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Por providencia de la Sección Primera, de 18 de septiembre de 1989, se acordó la admisión a trámite del recurso y dar traslado del mismo, conforme a lo dispuesto en el art. 34.1 LOTC, al Congreso de los Diputados y al Senado, por conducto de sus Presidentes, así como a la Junta General del Principado de Asturias y al Consejo de Gobierno de aquella Comunidad Autónoma, al objeto de que, en el plazo común de quince días, se personasen en el presente proceso constitucional y formulasen las alegaciones que considerasen oportunas. </w:t>
      </w:r>
    </w:p>
    <w:p w:rsidR="008107C7" w:rsidRDefault="008107C7" w:rsidP="008107C7">
      <w:pPr>
        <w:pStyle w:val="TextoNormal"/>
      </w:pPr>
      <w:r>
        <w:t>Asimismo, se acordó la suspensión del precepto impugnado, a tenor de lo dispuesto en los arts. 161.2 C.E. y 30 LOTC, y publicar la formalización del recurso y la suspensión acordada en el Boletín Oficial del Estado, para general conocimiento.</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El día 16 de octubre de 1989, presentó su escrito de alegaciones el representante de la Junta General del Principado de Asturias. </w:t>
      </w:r>
    </w:p>
    <w:p w:rsidR="008107C7" w:rsidRDefault="008107C7" w:rsidP="008107C7">
      <w:pPr>
        <w:pStyle w:val="TextoNormal"/>
      </w:pPr>
      <w:r>
        <w:t xml:space="preserve">A) Se señala, en primer lugar, que el Abogado del Estado para cuestionar la constitucionalidad del precepto impugnado aduce la vulneración de la legislación estatal en materia de medio ambiente contenida en la Ley 4/1989 de Conservación de los Espacios Naturales y de la Flora y Fauna Silvestres (L.C.E.N.). En este sentido, sostiene la parte recurrente que la competencia autonómica en materia de caza se encuentra subordinada a la legislación básica sobre medio ambiente, de forma que la competencia exclusiva atribuida al Principado de Asturias por el art. 10.1.h) de su Estatuto de Autonomía no sirve de título justificativo para establecer las infracciones y sanciones previstas en el precepto impugnado, al margen de la legislación básica estatal, en cuanto que ésta delimita previa y lícitamente el ámbito sobre el que recae la competencia autonómica. Junto a esta argumentación esgrime el Abogado del Estado otra línea de razonamiento vinculada a la cláusula del art. 149.1.1 C.E., y al hecho de que el precepto impugnado, al reducir notoriamente las sanciones contenidas en </w:t>
      </w:r>
      <w:r>
        <w:lastRenderedPageBreak/>
        <w:t xml:space="preserve">la legislación básica estatal, habría establecido una fractura en la unidad del esquema sancionatorio mínimo previsto, con carácter general, para todo el territorio del Estado. </w:t>
      </w:r>
    </w:p>
    <w:p w:rsidR="008107C7" w:rsidRDefault="008107C7" w:rsidP="008107C7">
      <w:pPr>
        <w:pStyle w:val="TextoNormal"/>
      </w:pPr>
      <w:r>
        <w:t xml:space="preserve">B) Frente a estos razonamientos cabe oponer la interpretación expansiva que el Abogado del Estado realiza de los títulos competenciales invocados en justificación de su pretensión de inconstitucionalidad. En efecto, el medio ambiente es un título competencial de alcance residual y limitado, sin que el art. 149.1 C.E. establezca una específica competencia del Estado para la protección de la fauna silvestre. Antes bien, el art. 148. C.E. en relación con el art. 10.1 h) del E.A.P han conferido a esta Comunidad Autónoma competencia exclusiva sobre la caza y los ecosistemas en los que se desarrolla. </w:t>
      </w:r>
    </w:p>
    <w:p w:rsidR="008107C7" w:rsidRDefault="008107C7" w:rsidP="008107C7">
      <w:pPr>
        <w:pStyle w:val="TextoNormal"/>
      </w:pPr>
      <w:r>
        <w:t xml:space="preserve">Sin embargo, el Abogado del Estado mantiene un enfoque reduccionista de la competencia de la Comunidad Autónoma de Asturias sobre la caza, confiriéndole una dimensión estrictamente venatoria, al objeto de excluir de la misma la protección de la fauna silvestre. Ahora bien, si la finalidad venatoria aparece expresamente reflejada en la vigente Ley 1/1970, de Caza, y en las disposiciones reglamentarias que la desarrollan, es claro que de la mencionada normativa se deduce un principio de conservación de la fauna, tanto de las especies cinegéticas como de las excluidas, que informa decididamente este sector del ordenamiento. En este sentido, la finalidad de los refugios nacionales de caza es la protección de especies faunísticas, finalidad protectora que igualmente persigue la Orden General de Vedas, en cuanto instrumento de planificación de la actividad cinegética que fija limitaciones temporales y épocas hábiles de caza en relación con las distintas especies. </w:t>
      </w:r>
    </w:p>
    <w:p w:rsidR="008107C7" w:rsidRDefault="008107C7" w:rsidP="008107C7">
      <w:pPr>
        <w:pStyle w:val="TextoNormal"/>
      </w:pPr>
      <w:r>
        <w:t xml:space="preserve">Abundando más en el principio de protección de la fauna como principio informador de la materia de caza, es de reseñar el dato de que la normativa específicamente protectora de la fauna silvestre encuentra su fundamento legal en el art. 23.2 de la Ley 1/1970, de Caza. Es por ello que, cuando en el recurso se afirma que las especies amenazadas, en tanto que no susceptibles de ser cazadas, quedan al margen de la competencia autonómica sobre caza, se está, no sólo reconociendo la competencia autonómica sobre la protección de la fauna, sino también sosteniendo una interpretación que resulta extraña a la lógica del sistema constitucional de distribución de competencias y a los contenidos normativo-materiales de ese título competencial. </w:t>
      </w:r>
    </w:p>
    <w:p w:rsidR="008107C7" w:rsidRDefault="008107C7" w:rsidP="008107C7">
      <w:pPr>
        <w:pStyle w:val="TextoNormal"/>
      </w:pPr>
      <w:r>
        <w:t xml:space="preserve">En efecto, dada la plena conexión entre la existencia de una actividad protectora de la fauna susceptible de ser cazada y la de una fauna amenazada que no puede ser objeto de esa actividad, persiguiéndose en ambos casos la protección directa de las especies y su hábitat, hay que convenir que el art. 10.1 h) del E.P.A. atribuye esa competencia a la Comunidad Autónoma. Pero, además, la protección de los ecosistemas en que se desarrolla la caza, entendidos como red de interacciones entre una comunidad de organismos vivientes que se relacionan entre sí, determina el alcance de la competencia de la Comunidad Autónoma no sólo respecto de la protección de la fauna entendida como pieza de caza, sino también en cuanto que seres vivos integrantes de un ecosistema, de las denominadas especies amenazadas o en peligro de extinción. En tercer lugar, porque pudiendo excepcionalmente las especies amenazadas ser objeto de caza previa autorización de la Comunidad Autónoma, resulta lógico que corresponda a ésta la competencia para garantizar su conservación. </w:t>
      </w:r>
    </w:p>
    <w:p w:rsidR="008107C7" w:rsidRDefault="008107C7" w:rsidP="008107C7">
      <w:pPr>
        <w:pStyle w:val="TextoNormal"/>
      </w:pPr>
      <w:r>
        <w:t xml:space="preserve">C) Por otra parte, un análisis de la Ley del Estado 4/1989, en relación con las especies faunísticas amenazadas permite alcanzar las siguientes conclusiones. En primer lugar, que no es posible -como pretende el Abogado del Estado- una identificación conceptual entre la fauna amenazada y las especies «en peligro de extinción» o «sensibles a la alteración de su hábitat», toda vez que estas últimas sólo se corresponden con dos de las cuatro categorías de especies amenazadas previstas en el art. 29 de la citada Ley. En segundo lugar, es claro que todas las Comunidades Autónomas pueden crear catálogos de especies amenazadas que </w:t>
      </w:r>
      <w:r>
        <w:lastRenderedPageBreak/>
        <w:t xml:space="preserve">complementen el Catálogo Nacional e, incluso, establecer nuevas categorías específicas al margen de las previstas en la mencionada ley estatal. Facultades todas éstas para cuyo ejercicio cuenta con competencia la Comunidad Autónoma de Asturias. </w:t>
      </w:r>
    </w:p>
    <w:p w:rsidR="008107C7" w:rsidRDefault="008107C7" w:rsidP="008107C7">
      <w:pPr>
        <w:pStyle w:val="TextoNormal"/>
      </w:pPr>
      <w:r>
        <w:t xml:space="preserve">D) A partir de estas premisas ha de analizarse la denunciada inconstitucionalidad del art. 46.2 de la Ley del Principado de Asturias 2/1989, en relación con la distinta cuantía de las multas establecidas. </w:t>
      </w:r>
    </w:p>
    <w:p w:rsidR="008107C7" w:rsidRDefault="008107C7" w:rsidP="008107C7">
      <w:pPr>
        <w:pStyle w:val="TextoNormal"/>
      </w:pPr>
      <w:r>
        <w:t xml:space="preserve">De la lectura conjunta de los preceptos de la ley estatal (art. 38 y 39) que regulan las infracciones y sanciones de determinadas conductas contrarias a la conservación y protección de las especies amenazadas, declarados básicos por la Disposición Adicional de la propia Ley 4/1989, se constata, en primer lugar, la similitud de conductas, con la excepción del supuesto de «tenencia» no previsto en la ley estatal, así como su común calificación como infracciones muy graves. Por otra parte, se aprecia la diferente cuantía de las multas que se establecen en una y otra legislación. Para el Abogado del Estado, dado el carácter de normativa básica de los arts. 38 y 39 de la Ley 4/1989 y, dada la similitud de conductas tipificadas -salvo la de «tenencia»- el art. 46.2 de la Ley autonómica, al establecer una multa sensiblemente inferior, vulnera los citados preceptos básicos de la Ley estatal y, en consecuencia, incurre en inconstitucionalidad. Cumple, sin embargo, advertir, que mientras el art. 38.6 de la Ley estatal tipifica determinadas conductas en relación con las especies en peligro de extinción o vulnerables a la alteración de su hábitat, las que tipifica el art. 46.2 de la Ley autonómica, lo son en relación con las especies catalogadas, por lo que no es posible establecer una relación de equivalencia entre uno y otro concepto. </w:t>
      </w:r>
    </w:p>
    <w:p w:rsidR="008107C7" w:rsidRDefault="008107C7" w:rsidP="008107C7">
      <w:pPr>
        <w:pStyle w:val="TextoNormal"/>
      </w:pPr>
      <w:r>
        <w:t xml:space="preserve">En efecto, el régimen sancionador básico establecido en la legislación del Estado para las especies amenazadas presenta las siguientes notas: de un lado, tipifica como infracciones administrativas determinadas conductas (destrucción, muerte, deterioro...) en relación con cualquiera de las cuatro categorías en que legalmente se clasifican; de otro lado, califica como infracción muy grave -con multa de 10.000.001 a 50.000.000 de pesetas- aquellas conductas cuando se refieran a especies «en peligro de extinción» y «sensibles a la alteración de su hábitat», no siendo calificada por la legislación estatal la infracción cuando tales conductas se dirijan a especies «vulnerables» y «de interés especial». </w:t>
      </w:r>
    </w:p>
    <w:p w:rsidR="008107C7" w:rsidRDefault="008107C7" w:rsidP="008107C7">
      <w:pPr>
        <w:pStyle w:val="TextoNormal"/>
      </w:pPr>
      <w:r>
        <w:t xml:space="preserve">Por su parte, el art. 46.2 de la Ley del Principado de Asturias tipifica y sanciona con multa inferior similares conductas -salvo el apuntado supuesto de «tenecia»-, si bien las refiere no a las especies en peligro de extinción o sensibles a la alteración de su hábitat, sino a las especies catalogadas. Expresión que incluye no sólo a las cuatro categorías de especies catalogadas por la Ley estatal sino también a las incluidas en el catálogo que elabore la Comunidad Autónoma de Asturias en el ejercicio de sus competencias. </w:t>
      </w:r>
    </w:p>
    <w:p w:rsidR="008107C7" w:rsidRDefault="008107C7" w:rsidP="008107C7">
      <w:pPr>
        <w:pStyle w:val="TextoNormal"/>
      </w:pPr>
      <w:r>
        <w:t xml:space="preserve">Resulta así, que una interpretación sistemática de la ley autonómica y la estatal, unida a la efectividad del principio de conservación de ley, permite desestimar la aducida contradicción apuntada por el Abogado del Estado entre las normas básicas estatales y el precepto impugnado. Si se tiene presente que la reserva estatal del art. 149.1.23 C.E. delimita el ejercicio de la competencia que reconoce el art. 10.1 h) E.P.A., y que en razón de aquella competencia el Estado ha establecido un régimen sancionador básico, todo ello debe conducir a que la expresión «especies catalogadas» del art. 46.2 de la Ley 2/1989 se refiere únicamente a aquellas especies faunísticas que se incluyan en el catálogo de la Comunidad Autónoma de Asturias, lo que explica que, aun tipificándose conductas similares se establezcan sanciones cuyas multas son de cuantía distinta. Es posible, pues, una interpretación del mencionado precepto legal que resulta conforme a la legislación básica del Estado y al orden constitucional de competencias, salvándose, con arreglo al principio de conservación de la ley, la aducida inconstitucionalidad del precepto impugnado. </w:t>
      </w:r>
    </w:p>
    <w:p w:rsidR="008107C7" w:rsidRDefault="008107C7" w:rsidP="008107C7">
      <w:pPr>
        <w:pStyle w:val="TextoNormal"/>
      </w:pPr>
      <w:r>
        <w:lastRenderedPageBreak/>
        <w:t>En conclusión, el art. 46.2 de la Ley del Principado de Asturias, interpretado en el sentido anteriormente señalado, no conculca las previsiones contenidas en la ley estatal y, por tanto, se adecua plenamente a la Constitución.</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Tras la solicitud de una prórroga que le fue concedida por providencia de la Sección Primera de 16 de octubre de 1989, el representante del Consejo de Gobierno de la Comunidad Autónoma del Principado de Asturias presentó sus alegaciones el día 19 de octubre de 1989. </w:t>
      </w:r>
    </w:p>
    <w:p w:rsidR="008107C7" w:rsidRDefault="008107C7" w:rsidP="008107C7">
      <w:pPr>
        <w:pStyle w:val="TextoNormal"/>
      </w:pPr>
      <w:r>
        <w:t xml:space="preserve">A) Una vez centradas las pretensiones impugnatorias del Abogado del Estado, comienza su exposición analizando las competencias del Estado en materia de medio ambiente y su repercusión sobre la competencia exclusiva sobre caza que corresponde a aquella Comunidad Autónoma. En este sentido, se subraya la naturaleza indefinida y transversal de la competencia del Estado sobre medio ambiente, así como la necesidad de establecer fórmulas no excluyentes y de cooperación que permitan compatibilizar la competencia estatal sobre medio ambiente con otros títulos competenciales propios de las Comunidades Autónomas. </w:t>
      </w:r>
    </w:p>
    <w:p w:rsidR="008107C7" w:rsidRDefault="008107C7" w:rsidP="008107C7">
      <w:pPr>
        <w:pStyle w:val="TextoNormal"/>
      </w:pPr>
      <w:r>
        <w:t xml:space="preserve">El Estado al invocar su competencia sobre medio ambiente para atraer hacia sí la competencia para fijar el régimen sancionador en materia de caza, está extendiendo el concepto de medio ambiente hasta límites desmesurados que, en la práctica, pueden dejar vacía de contenido la competencia exclusiva que sobre esa materia reconoce el art. 10.1 h) del E.P.A. Se hace, pues, un uso desmedido de la competencia sobre medio ambiente convirtiéndola en una "vis atractiva" cuya sola invocación puede llegar a vaciar de contenido otros títulos competenciales. </w:t>
      </w:r>
    </w:p>
    <w:p w:rsidR="008107C7" w:rsidRDefault="008107C7" w:rsidP="008107C7">
      <w:pPr>
        <w:pStyle w:val="TextoNormal"/>
      </w:pPr>
      <w:r>
        <w:t xml:space="preserve">B) Se sostiene en el recurso que la Ley 2/1989, de Caza, del Principado de Asturias, disminuye de forma drástica la gravedad de las sanciones establecidas en la legislación básica estatal para idénticas conductas, lo que supondría una «diferencia de trato sustancial o salto sancionador cuantitativo que rompe la unidad de lo fundamental en el esquema sancionatorio», en términos de la SSTC 48/1988. </w:t>
      </w:r>
    </w:p>
    <w:p w:rsidR="008107C7" w:rsidRDefault="008107C7" w:rsidP="008107C7">
      <w:pPr>
        <w:pStyle w:val="TextoNormal"/>
      </w:pPr>
      <w:r>
        <w:t xml:space="preserve">Sin embargo, un análisis de la jurisprudencia constitucional permite alcanzar una convicción distinta. En efecto, en la STC 87/1985 se dispone que el derecho sancionador no siempre es de la exclusiva competencia del Estado, y en la propia STC 48/1988 se declaró que «Las Comunidades Autónomas pueden adoptar normas administrativas sancionadoras cuando, teniendo competencia sobre la materia sustantiva de que se trate, tales disposiciones se acomoden a las garantías constitucionales dispuestas en este ámbito del derecho sancionador» (fundamento jurídico 25). Estas declaraciones son de entera aplicación al presente caso, en el que se da la curiosa paradoja de que en la legislación básica estatal, contenida en la Ley 4/1989, ni siquiera se tipifica como infracción la acción de cazar, sin que pueda oponerse a este razonamiento que tal acción es susceptible de ser subsumida en el resto de las conductas allí tipificadas. La acción de cazar, propiamente entendida, sólo aparece sancionada y regulada en la ley autonómica. </w:t>
      </w:r>
    </w:p>
    <w:p w:rsidR="008107C7" w:rsidRDefault="008107C7" w:rsidP="008107C7">
      <w:pPr>
        <w:pStyle w:val="TextoNormal"/>
      </w:pPr>
      <w:r>
        <w:t xml:space="preserve">C) Todo ello conduce a la necesidad de perfilar el verdadero alcance de la legislación básica estatal y su repercusión sobre la materia de caza. A partir de ciertos pronunciamientos del Tribunal Constitucional sobre el concepto de legislación básica se infieren, por esta representación, las siguientes consecuencias: a) Que la caza constituye una competencia exclusiva de la Comunidad Autónoma de Asturias. b) Que el régimen sancionador en esta materia carece de la estabilidad consustancial a la normativa básica estatal, máxime cuando la propia ley estatal (art. 39.5) pone en manos del Gobierno la posibilidad de actualizar las sanciones teniendo en cuenta las variación del índice de los precios al consumo. c) Aunque la caza pueda, en alguno de sus conceptos, subsumirse en el concepto de medio ambiente, </w:t>
      </w:r>
      <w:r>
        <w:lastRenderedPageBreak/>
        <w:t xml:space="preserve">esa operación no puede alcanzar tal grado de intensidad que expulse a la competencia sobre caza del modelo constitucional de distribución de competencias, haciendo prevalecer la primera sobre la segunda, cuando el medio ambiente debe tener un carácter residual. </w:t>
      </w:r>
    </w:p>
    <w:p w:rsidR="008107C7" w:rsidRDefault="008107C7" w:rsidP="008107C7">
      <w:pPr>
        <w:pStyle w:val="TextoNormal"/>
      </w:pPr>
      <w:r>
        <w:t xml:space="preserve">Al hilo de estos razonamientos cabe plantearse la hipótesis de que la ley autonómica precediese en el tiempo a la del Estado. En esa tesitura la noción material de bases en materia de caza nos vendría dada por la Ley 1/1970, de 4 de abril, conjuntamente con el E.P.A. y la Constitución, bloque de la constitucionalidad del que resulta difícil deducir que el régimen de sanciones aplicado a la caza habría de quedar fuera del marco competencial del Principado de Asturias. </w:t>
      </w:r>
    </w:p>
    <w:p w:rsidR="008107C7" w:rsidRDefault="008107C7" w:rsidP="008107C7">
      <w:pPr>
        <w:pStyle w:val="TextoNormal"/>
      </w:pPr>
      <w:r>
        <w:t xml:space="preserve">D) Pero es que, además, del mero contraste literal entre los preceptos de la legislación básica y el art. 46.2 de la Ley autonómica, objeto de impugnación, se desprende que si bien entre ellos existe similitud no son del todo coincidentes. </w:t>
      </w:r>
    </w:p>
    <w:p w:rsidR="008107C7" w:rsidRDefault="008107C7" w:rsidP="008107C7">
      <w:pPr>
        <w:pStyle w:val="TextoNormal"/>
      </w:pPr>
      <w:r>
        <w:t xml:space="preserve">En efecto, la coincidencia se produce respecto de ciertas conductas tipificadas: destrucción, naturalización, comercio y captura. Ahora bien, existen acciones prevista en la Ley 4/1989, no incorporadas en el precepto autonómico: así, muerte, deterioro, recolección. Mientras que, finalmente, se contemplan en la ley autonómica, conductas no previstas en la legislación básica estatal: caza y tenencia. Por otra parte, la Ley estatal configura el plazo de diez años de prohibición de ejercicio de la caza como un plazo máximo, mientras que en la Ley autonómica ese plazo es fijo y absoluto. </w:t>
      </w:r>
    </w:p>
    <w:p w:rsidR="008107C7" w:rsidRDefault="008107C7" w:rsidP="008107C7">
      <w:pPr>
        <w:pStyle w:val="TextoNormal"/>
      </w:pPr>
      <w:r>
        <w:t>Ante esta diferente regulación resulta difícil mantener el razonamiento esgrimido por el Abogado del Estado, puesto que no es posible arbitrar un juicio de comparación entre unos y otros preceptos legales. Diferencias jurídicas sustanciales entre uno y otro régimen sancionador que impiden considerar que la legislación autonómica se oponga a la normativa estatal y que, por tanto, resulte inconstitucional por contravenir el orden constitucional de distribución de competencias.</w:t>
      </w:r>
    </w:p>
    <w:p w:rsidR="008107C7" w:rsidRDefault="008107C7" w:rsidP="008107C7">
      <w:pPr>
        <w:pStyle w:val="TextoNormal"/>
      </w:pPr>
    </w:p>
    <w:p w:rsidR="008107C7" w:rsidRDefault="008107C7" w:rsidP="008107C7">
      <w:pPr>
        <w:pStyle w:val="TextoNormal"/>
      </w:pPr>
      <w:r w:rsidRPr="008107C7">
        <w:rPr>
          <w:rStyle w:val="NumeroAFNegritaCaracter"/>
        </w:rPr>
        <w:t>5</w:t>
      </w:r>
      <w:r>
        <w:t>. Por providencia de 15 de enero de 1990, la Sección, próximo a cumplirse el plazo de cinco meses de suspensión del precepto impugnado, conforme a lo dispuesto en el art. 161.2 C.E., acordó oír a las partes personadas para que, en el plazo común de cinco días, alegasen sobre la procedencia de mantener o levantar dicha suspensión. Por Auto de 13 de febrero de 1990, el Pleno del Tribunal acordó mantener la suspensión del precepto legal impugnado.</w:t>
      </w:r>
    </w:p>
    <w:p w:rsidR="008107C7" w:rsidRDefault="008107C7" w:rsidP="008107C7">
      <w:pPr>
        <w:pStyle w:val="TextoNormal"/>
      </w:pPr>
    </w:p>
    <w:p w:rsidR="008107C7" w:rsidRDefault="008107C7" w:rsidP="008107C7">
      <w:pPr>
        <w:pStyle w:val="TextoNormal"/>
      </w:pPr>
      <w:r w:rsidRPr="008107C7">
        <w:rPr>
          <w:rStyle w:val="NumeroAFNegritaCaracter"/>
        </w:rPr>
        <w:t>6</w:t>
      </w:r>
      <w:r>
        <w:t>. Por providencia de 28 de enero de 1997 se fijó para la deliberación y votación de esta Sentencia el día 30 siguiente.</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El Presidente del Gobierno, representado por el Abogado del Estado, impugna, a través de este recurso de inconstitucionalidad, el art. 46.2ª de la Ley del Principado de Asturias 2/1989, de 6 de junio, de Caza, cuyo tenor literal es el siguiente: «Son infracciones muy graves sancionables con multa de 1.250.001 a 15.000.000 pesetas y retirada de la licencia e imposibilidad de obtenerla por un plazo de 10 años: (...)  2ª. La caza, captura, tenencia, comercio, naturalización o destrucción del hábitat de especies catalogadas, sus crías o huevos, careciendo de autorización especial».</w:t>
      </w:r>
    </w:p>
    <w:p w:rsidR="008107C7" w:rsidRDefault="008107C7" w:rsidP="008107C7">
      <w:pPr>
        <w:pStyle w:val="TextoNormal"/>
      </w:pPr>
      <w:r>
        <w:t>Dos son los argumentos en los que se funda la pretensión de inconstitucionalidad del mancionado precepto.</w:t>
      </w:r>
    </w:p>
    <w:p w:rsidR="008107C7" w:rsidRDefault="008107C7" w:rsidP="008107C7">
      <w:pPr>
        <w:pStyle w:val="TextoNormal"/>
      </w:pPr>
      <w:r>
        <w:lastRenderedPageBreak/>
        <w:t>En primer lugar, el artículo transcrito contraviene lo dispuesto en la legislación básica estatal sobre protección del medio ambiente, contenida en la Ley 4/1989, de 27 de marzo, de Conservación de los Espacios Naturales y de la Flora y Fauna Silvestre (L.C.E.N.)  y, en particular, las previsiones sancionadoras que se establecen en sus arts. 38 y 39, en los que para las mismas conductas se dispone una multa de 10.000.001 a 50.000.000 pesetas. De este modo, el precepto impugnado, al atenuar la sanción administrativa de tales comportamientos infractores, desconoce la legislación básica del Estado sobre medio ambiente ex art. 149.1.23 C.E., con vulneración del orden constitucional de distribución de competencias.</w:t>
      </w:r>
    </w:p>
    <w:p w:rsidR="008107C7" w:rsidRDefault="008107C7" w:rsidP="008107C7">
      <w:pPr>
        <w:pStyle w:val="TextoNormal"/>
      </w:pPr>
      <w:r>
        <w:t>En segundo lugar, si bien las Comunidades Autónomas pueden aprobar normas administrativas-sancionadoras en materias de su competencia, tal régimen sancionatorio no puede implicar una disminución drástica que, en palabras de la STC 48/1988 (fundamento jurídico 25º), «rompa la unidad en lo fundamental del esquema sancionatorio», porque, en tal circunstancia, se vulneraría el art. 149.1.1 de la Constitución.</w:t>
      </w:r>
    </w:p>
    <w:p w:rsidR="008107C7" w:rsidRDefault="008107C7" w:rsidP="008107C7">
      <w:pPr>
        <w:pStyle w:val="TextoNormal"/>
      </w:pPr>
      <w:r>
        <w:t>Por su parte, tanto el representante de la Junta General del Principado de Asturias como el del Consejo de Gobierno de aquella Comunidad Autónoma se oponen a la referida pretensión de inconstitucionalidad.</w:t>
      </w:r>
    </w:p>
    <w:p w:rsidR="008107C7" w:rsidRDefault="008107C7" w:rsidP="008107C7">
      <w:pPr>
        <w:pStyle w:val="TextoNormal"/>
      </w:pPr>
      <w:r>
        <w:t>En su criterio, la norma autonómica cuestionada es resultado de la competencia exclusiva que sobre la caza ostenta la Comunidad Autónoma de Asturias, de acuerdo con lo dispuesto en el art. 148.1.11 C.E. y el art. 10.1 h) de su Estatuto de Autonomía.  Ámbito competencial propio que pretende ser ilícitamente limitado por la legislación del Estado mediante una interpretación expansiva de su competencia para dictar la legislación básica en materia de protección del medio ambiente (art. 149.1.23 C.E.)  y tampoco puede aplicarse el art. 149.1.1 C.E., porque el régimen sancionatorio establecido en los arts. 38 y 39 de la L.C.E.N. aunque contempla conductas similares a las descritas en el precepto autonómico impugnado, éstas no son del todo coincidentes, existiendo diferencias no sólo en cuanto a la cuantía de las multas sino también en lo referente a las actividades tipificadas como infracción administrativa.</w:t>
      </w:r>
    </w:p>
    <w:p w:rsidR="008107C7" w:rsidRDefault="008107C7" w:rsidP="008107C7">
      <w:pPr>
        <w:pStyle w:val="TextoNormal"/>
      </w:pPr>
      <w:r>
        <w:t>En todo caso, aduce subsidiariamente el representante de la Junta General del Principado de Asturias, es posible salvar la constitucionalidad de la norma impugnada, mediante una interpretación de la misma vinculada al principio de conservación de la ley.  En efecto, como la propia legislación básica estatal permite a las Comunidades Autónomas establecer su particular y específico catálogo complementario de especies protegidas, nada impediría entender que la infracción sancionada en el art. 46.2ª de la Ley 2/1989 se refiere a las especies catalogadas no incluidas en el Catálogo Nacional, pero sí en el elaborado por la Comunidad Autónoma del Principado de Asturias.</w:t>
      </w:r>
    </w:p>
    <w:p w:rsidR="008107C7" w:rsidRDefault="008107C7" w:rsidP="008107C7">
      <w:pPr>
        <w:pStyle w:val="TextoNormal"/>
      </w:pPr>
    </w:p>
    <w:p w:rsidR="008107C7" w:rsidRDefault="008107C7" w:rsidP="008107C7">
      <w:pPr>
        <w:pStyle w:val="TextoNormal"/>
      </w:pPr>
      <w:r w:rsidRPr="008107C7">
        <w:rPr>
          <w:rStyle w:val="NumeroAFNegritaCaracter"/>
        </w:rPr>
        <w:t>2</w:t>
      </w:r>
      <w:r>
        <w:t>. Centrados así los términos del debate, se aprecia sin dificultad que la controversia competencial en la que se basa este recurso ya ha sido resuelta, en su estricta dimensión constitucional, por la STC 102/1995, cuya doctrina, aplicada ya en las SSTC 156/1995 y 196/1996, ha de mantenerse también en este caso en el que se plantea el mismo problema.</w:t>
      </w:r>
    </w:p>
    <w:p w:rsidR="008107C7" w:rsidRDefault="008107C7" w:rsidP="008107C7">
      <w:pPr>
        <w:pStyle w:val="TextoNormal"/>
      </w:pPr>
      <w:r>
        <w:t>En la STC 102/1995 enjuiciamos la constitucionalidad de determinados preceptos de la Ley del Estado 4/1989, de Conservación de los Espacios Naturales y la Flora y Fauna Silvestre, declarando, en lo que aquí importa, el carácter básico y, por ende, la constitucionalidad de las normas de naturaleza administrativo-sancionadora contenidas en sus arts. 38 y 39. Así figura expresamente razonado en los fundamentos jurídicos 25, 26 y 32 de aquella Sentencia, cuyo contenido damos ahora por reproducido.</w:t>
      </w:r>
    </w:p>
    <w:p w:rsidR="008107C7" w:rsidRDefault="008107C7" w:rsidP="008107C7">
      <w:pPr>
        <w:pStyle w:val="TextoNormal"/>
      </w:pPr>
      <w:r>
        <w:lastRenderedPageBreak/>
        <w:t>Con apoyo en esa doctrina, en las SSTC 156/1995 y 196/1996 declaró este Tribunal que el Estado, con la finalidad de garantizar unos mínimos comunes de protección del medio ambiente en todo el territorio nacional, puede establecer con carácter básico un catálogo de infracciones -ampliable por el legislador autonómico- sancionables administrativamente que establecen una protección mínima que debe ser común en todo el territorio nacional. Por ello mismo, si el legislador autonómico «hubiera suprimido las infracciones muy graves, o hubiera rebajado sensiblemente la cuantía de la sanción correspondiente, se habría dejado sin efecto la norma estatal» (fundamento jurídico 8º STC 156/1995). En definitiva, como dice la STC 196/1996, "la protección concedida por la ley estatal puede ser ampliada y mejorada por la ley autonómica; lo que resulta constitucionalmente improcedente es que resulte restringida o disminuida".</w:t>
      </w:r>
    </w:p>
    <w:p w:rsidR="008107C7" w:rsidRDefault="008107C7" w:rsidP="008107C7">
      <w:pPr>
        <w:pStyle w:val="TextoNormal"/>
      </w:pPr>
    </w:p>
    <w:p w:rsidR="008107C7" w:rsidRDefault="008107C7" w:rsidP="008107C7">
      <w:pPr>
        <w:pStyle w:val="TextoNormal"/>
      </w:pPr>
      <w:r w:rsidRPr="008107C7">
        <w:rPr>
          <w:rStyle w:val="NumeroAFNegritaCaracter"/>
        </w:rPr>
        <w:t>3</w:t>
      </w:r>
      <w:r>
        <w:t>. Pues bien, tal es el caso que ahora nos ocupa. El precepto autonómico impugnado reduce notoriamente la cuantía de la multa prevista en la legislación básica del Estado para similares conductas tipificadas como infracción administrativa, quebrando la unidad del régimen sancionador mínimo y común en materia de medio ambiente, y que -por las razones expuestas- no puede ser desconocido por las Comunidades Autónomas en el ejercicio de aquellas otras competencias que, como la caza, inciden directamente sobre la primera. El art. 46.2ª de la Ley autonómica 2/1989, disminuye sensiblemente la protección administrativo-sancionadora que dispensan los arts. 38 y 39 de la L.C.E.N., incidiendo en una materia de carácter básico y reservada al Estado por el art.  149.1.23 de la Constitución, por lo que debe declararse su inconstitucionalidad al contravenir el orden constitucional de distribución de competencias.</w:t>
      </w:r>
    </w:p>
    <w:p w:rsidR="008107C7" w:rsidRDefault="008107C7" w:rsidP="008107C7">
      <w:pPr>
        <w:pStyle w:val="TextoNormal"/>
      </w:pPr>
    </w:p>
    <w:p w:rsidR="008107C7" w:rsidRDefault="008107C7" w:rsidP="008107C7">
      <w:pPr>
        <w:pStyle w:val="TextoNormal"/>
      </w:pPr>
      <w:r w:rsidRPr="008107C7">
        <w:rPr>
          <w:rStyle w:val="NumeroAFNegritaCaracter"/>
        </w:rPr>
        <w:t>4</w:t>
      </w:r>
      <w:r>
        <w:t>. Como fórmula subsidiaria, propone el representante de la Junta General del Principado de Asturias que por este Tribunal en aplicación del principio de conservación de la ley y su proyección hermenéutica, el de la interpretación conforme, se realice una lectura de la norma impugnada tendente a salvar su constitucionalidad. Esta opción hermenéutica consistiría en entender que el art. 46.2ª de la Ley 2/1989, de Caza, del Principado de Asturias, únicamente sanciona aquellas conductas que atenten a especies protegidas o amenazadas de extinción incluídas en el catálogo especial elaborado por la propia Comunidad Autónoma, al margen, pues, de las especies contenidas en el Catálogo Nacional.  De este modo, la legislación autonómica y la estatal se complementarían desapareciendo el problema competencial que originaría su inconstitucionalidad.</w:t>
      </w:r>
    </w:p>
    <w:p w:rsidR="008107C7" w:rsidRDefault="008107C7" w:rsidP="008107C7">
      <w:pPr>
        <w:pStyle w:val="TextoNormal"/>
      </w:pPr>
      <w:r>
        <w:t>Como ya hemos dicho en la STC 196/1996, fundamento jurídico 4, tal petición no puede ser acogida. El art. 46.2 impugnadop en este proceso constitucional es un precepto de naturaleza sancionadora, respecto del cual las competencias del Estado y de la Comunidad Autónoma ha sido precisada en los fundamentos jurídicos anteriores. La interpretación de un precepto con el fin de que resulte conforme a la Constitución es un instrumento hermenéutico que no puede utilizarse de modo absoluto e incondicionado, y cuyo empleo resulta improcedente cuando, como ocurre en el presente caso, no eliminaría la inconstitucionalidad del precepto.</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Declarar inconstitucional y, por tanto, nulo, el art.  46.2ª de la Ley del Principado de Asturias 2/1989, de 6 de junio, de Caza en la medida en que por conexión con la sanción prevista en el párrafo primero del mismo art. 46 vulnera la competencia estatal de legislación básica sobre protección del medio ambiente.</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treinta de enero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20" w:name="SENTENCIA_1997_17"/>
      <w:r>
        <w:lastRenderedPageBreak/>
        <w:t>SENTENCIA 17/1997, de 10 de febrero de 1997</w:t>
      </w:r>
    </w:p>
    <w:bookmarkEnd w:id="20"/>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63, de 14 de marzo de 1997)</w:t>
      </w:r>
    </w:p>
    <w:p w:rsidR="008107C7" w:rsidRDefault="008107C7" w:rsidP="008107C7">
      <w:pPr>
        <w:pStyle w:val="TtuloBOE"/>
      </w:pPr>
    </w:p>
    <w:p w:rsidR="008107C7" w:rsidRDefault="008107C7" w:rsidP="008107C7">
      <w:pPr>
        <w:pStyle w:val="SntesisDescriptiva"/>
      </w:pPr>
      <w:r>
        <w:t>ECLI:ES:TC:1997:17</w:t>
      </w:r>
    </w:p>
    <w:p w:rsidR="008107C7" w:rsidRDefault="008107C7" w:rsidP="008107C7">
      <w:pPr>
        <w:pStyle w:val="SntesisDescriptiva"/>
      </w:pPr>
    </w:p>
    <w:p w:rsidR="008107C7" w:rsidRDefault="008107C7" w:rsidP="008107C7">
      <w:pPr>
        <w:pStyle w:val="SntesisDescriptiva"/>
      </w:pPr>
      <w:r>
        <w:t>Recurso de amparo 378/1993. Contra Sentencia de la Audiencia Provincial de Murcia dictada en apelación de juicio de cognición sobre resolución de contrato de arrendamiento.</w:t>
      </w:r>
    </w:p>
    <w:p w:rsidR="008107C7" w:rsidRDefault="008107C7" w:rsidP="008107C7">
      <w:pPr>
        <w:pStyle w:val="SntesisDescriptiva"/>
      </w:pPr>
    </w:p>
    <w:p w:rsidR="008107C7" w:rsidRDefault="008107C7" w:rsidP="008107C7">
      <w:pPr>
        <w:pStyle w:val="SntesisAnaltica"/>
      </w:pPr>
      <w:r>
        <w:t>Vulneración del derecho a la tutela judicial efectiva: resolución judicial dictada inaudita parte.</w:t>
      </w:r>
    </w:p>
    <w:p w:rsidR="008107C7" w:rsidRDefault="008107C7" w:rsidP="008107C7">
      <w:pPr>
        <w:pStyle w:val="SntesisAnaltica"/>
      </w:pPr>
    </w:p>
    <w:p w:rsidR="008107C7" w:rsidRDefault="008107C7" w:rsidP="008107C7">
      <w:pPr>
        <w:pStyle w:val="Extracto"/>
      </w:pPr>
      <w:r>
        <w:t>1.</w:t>
      </w:r>
      <w:r>
        <w:tab/>
        <w:t>Determinada irregularidad formal provocó que se dictara en el recurso de apelación, sin audiencia del solicitante de amparo, una Sentencia que incide negativamente en sus derechos e intereses legítimos, causándole un perjuicio actual y efectivo, consistente en la resolución del contrato de arrendamiento y la pérdida del título para ocupar la vivienda. Se convierte así en la indefensión material que el art. 24.1 C.E. proscribe y, por ello, el demandante merece el amparo que pide. [F.J. 2]</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378/93, interpuesto por don Francisco Durante Contreras, a quien representa la Procuradora de los Tribunales doña Beatriz Ruano Casanova con la asistencia del Letrado don Ricardo Martínez-Moya Asensio, contra la Sentencia dictada el 5 de marzo de 1992 por la Sección Tercera de la Audiencia Provincial de Murcia, en apelación de juicio de cognición sobre resolución de contrato de arrendamiento. Ha comparecido el Fiscal, siendo Ponente el Magistrado don Rafael de Mendizábal Allende, quien expresa el parecer de la Sala.</w:t>
      </w:r>
    </w:p>
    <w:p w:rsidR="008107C7" w:rsidRDefault="008107C7" w:rsidP="008107C7">
      <w:pPr>
        <w:pStyle w:val="TextoNormal"/>
      </w:pPr>
    </w:p>
    <w:p w:rsidR="008107C7" w:rsidRDefault="008107C7" w:rsidP="008107C7">
      <w:pPr>
        <w:pStyle w:val="TextoNormalNegritaCentrado"/>
        <w:keepNext/>
      </w:pPr>
      <w:r>
        <w:lastRenderedPageBreak/>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Don Francisco Durante Contreras, en escrito recibido en este Tribunal el 12 de febrero de 1993, interpuso el recurso de amparo de que se hace mérito en el encabezamiento, relatando que el 4 de febrero de 1992 el Juez de Primera Instancia núm. 7 de Murcia dictó Sentencia desestimando íntegramente la demanda de juicio de cognición que, ejercitando la acción de resolución por necesidad de contrato de arrendamiento, dirigieron contra él don Juan de la Esperanza Gómez García y doña Dolores Moreno Navarro, quienes interpusieron contra la Sentencia recurso de apelación. El recurso fue admitido en ambos efectos y, emplazadas las partes para ante la Audiencia Provincial de Murcia, compareció como apelado ante dicho Tribunal mediante escrito que presentó el 5 de marzo de 1992. </w:t>
      </w:r>
    </w:p>
    <w:p w:rsidR="008107C7" w:rsidRDefault="008107C7" w:rsidP="008107C7">
      <w:pPr>
        <w:pStyle w:val="TextoNormal"/>
      </w:pPr>
      <w:r>
        <w:t xml:space="preserve">A partir de ese momento no le fue practicada a su representación notificación ni citación alguna, hasta que, de forma accidental, tuvo conocimiento de que en fecha 3 de diciembre de 1992 se había celebrado la vista del recurso con su incomparecencia, dictándose Sentencia estimatoria del mismo en el día siguiente. Sin dilación, el 17 de diciembre presentó escrito interesando la nulidad de lo actuado en la segunda instancia para que, una vez tenido por personado y parte apelada en el rollo, fuese tramitado el mismo, dándole traslado de todas las diligencias y actuaciones. Esta solicitud fue rechazada por la Sección Tercera del mencionado Tribunal en Auto de 21 de enero de 1993. </w:t>
      </w:r>
    </w:p>
    <w:p w:rsidR="008107C7" w:rsidRDefault="008107C7" w:rsidP="008107C7">
      <w:pPr>
        <w:pStyle w:val="TextoNormal"/>
      </w:pPr>
      <w:r>
        <w:t>Sostiene el solicitante de amparo que en el recurso de apelación se ha vulnerado su derecho a obtener la tutela judicial efectiva, causándole indefensión, y solicita que, otorgándole amparo, sea dictada Sentencia declarando la nulidad de todo lo actuado desde el trámite de personación en el rollo de apelación, mandando reponer los autos a dicho momento procesal, al objeto de que sea tenido por personado y parte apelada en la segunda instancia desde el inicio de su trámite, dándosele traslado de todas las diligencias y actuaciones que se vayan produciendo. También pidió que, hasta tanto fuese dictada esa Sentencia, fuese decretada la suspensión de la ejecución de la Sentencia dictada en resolución del recurso de apelación.</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La Sección Cuarta, en providencia de 4 de junio de 1993, admitió a trámite la demanda, condicionando esta decisión a que la Procuradora Sra. Ruano Casanova acreditase con poder notarial la representación que decía ostentar del recurrente, lo que efectivamente hizo en el plazo que se le concedió al efecto. En dicha providencia también se acordó solicitar de la Sección Tercera de la Audiencia Provincial de Murcia la remisión de las actuaciones, así como el emplazamiento de quienes fueron parte en el proceso para que pudieran comparecer en este de amparo, si les conviniere. </w:t>
      </w:r>
    </w:p>
    <w:p w:rsidR="008107C7" w:rsidRDefault="008107C7" w:rsidP="008107C7">
      <w:pPr>
        <w:pStyle w:val="TextoNormal"/>
      </w:pPr>
      <w:r>
        <w:t xml:space="preserve">En otra providencia simultánea, la Sección decidió que se formase pieza separada y concedió al demandante y al Fiscal un plazo de tres días para que pudieran alegar cuanto estimasen conveniente sobre la suspensión solicitada. Evacuado el trámite por las partes mediante escritos presentados el 11 y el 14 de junio de 1993, la Sala Segunda, en Auto de 30 de junio, decretó la suspensión de la ejecución de la Sentencia dictada en el recurso de apelación. </w:t>
      </w:r>
    </w:p>
    <w:p w:rsidR="008107C7" w:rsidRDefault="008107C7" w:rsidP="008107C7">
      <w:pPr>
        <w:pStyle w:val="TextoNormal"/>
      </w:pPr>
      <w:r>
        <w:t>Una vez recibidas las actuaciones reclamadas, la Sección Cuarta, en providencia de 19 de julio, dio vista de las mismas a las partes para que, por plazo común de veinte días, pudieran formular las alegaciones que tuvieran a bien.</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3</w:t>
      </w:r>
      <w:r>
        <w:t xml:space="preserve">. El demandante de amparo formuló sus alegaciones el 7 de septiembre, mediante escrito en el que reiteró todas y cada una de las manifestaciones contenidas en su escrito de demanda. El Fiscal hizo lo propio en escrito que presentó el 17 del mismo mes, donde interesó el otorgamiento del amparo por vulneración del derecho fundamental consagrado en el art. 24.1 C.E. exponiendo que quien solicita el amparo fue emplazado en el recurso de apelación interpuesto por los demandantes contra la Sentencia de instancia y en virtud del emplazamiento se personó en dicho recurso el 15 de marzo de 1992 y, a pesar de esta personación, la Audiencia no la tuvo en cuenta y no dio a aquél traslado de las actuaciones ni le citó para el día de la vista del recurso, que se celebró sin su presencia, dictando acto seguido Sentencia estimatoria de la apelación. Esta falta de citación para la vista de la apelación, exclusivamente imputable al órgano judicial, es una omisión de un trámite procesal previsto por la Ley, que ha determinado que el solicitante de amparo no fuera oído ni pudiera hacer alegaciones, con quiebra de los principios de bilateralidad, contradicción y defensa, lo que constituye una violación del derecho a obtener la tutela judicial efectiva. Se le ha impedido el ejercicio de su derecho de defensa en la tramitación y sustanciación del recurso de apelación, privándosele de alegar y justificar sus derechos e intereses legítimos o replicar a las alegaciones de la otra parte. </w:t>
      </w:r>
    </w:p>
    <w:p w:rsidR="008107C7" w:rsidRDefault="008107C7" w:rsidP="008107C7">
      <w:pPr>
        <w:pStyle w:val="TextoNormal"/>
      </w:pPr>
      <w:r>
        <w:t>No ha existido una actividad positiva del órgano judicial, a pesar de la personación del apelado, para asegurar su intervención en el recurso de apelación y en especial para el real conocimiento de la fecha de celebración de la vista, que le posibilitase la comparecencia y la alegación. El desconocimiento por él de la fecha de celebración de la vista es consecuencia de un error o inactividad imputable únicamente al órgano judicial y este desconocimiento le ha impedido estar presente en la vista, lo que ha supuesto su indefensión.</w:t>
      </w:r>
    </w:p>
    <w:p w:rsidR="008107C7" w:rsidRDefault="008107C7" w:rsidP="008107C7">
      <w:pPr>
        <w:pStyle w:val="TextoNormal"/>
      </w:pPr>
    </w:p>
    <w:p w:rsidR="008107C7" w:rsidRDefault="008107C7" w:rsidP="008107C7">
      <w:pPr>
        <w:pStyle w:val="TextoNormal"/>
      </w:pPr>
      <w:r w:rsidRPr="008107C7">
        <w:rPr>
          <w:rStyle w:val="NumeroAFNegritaCaracter"/>
        </w:rPr>
        <w:t>4</w:t>
      </w:r>
      <w:r>
        <w:t>. Por providencia de 6 de febrero de 1997, se acordó fijar para la deliberación y votación de la presente Sentencia, el día 10 del mismo mes.</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El objeto de este proceso constitucional está compuesto, en su anverso, por una Sentencia de la Audiencia Provincial de Murcia cuya nulidad se pretende, y este es el reverso, como consecuencia de haberse pronunciado sin ser oído quien formula tal reproche y de él se duele, inaudita parte, pues, razón de pedir o fundamento, ratio petendi, que sirve para configurar la indefensión, proscrita constitucionalmente como la tacha más grave de la cual puede adolecer la tutela judicial no ya para resultar eficaz sino simplemente para ser. El presupuesto necesario para disfrutar de este derecho fundamental con la efectividad que la Constitución demanda, es el libre acceso a los Jueces en todos los grados y niveles procesales, según el sistema de recursos que las respectivas leyes de enjuiciamiento configuren para cada sector jurisdiccional en función de sus características. El sustrato se encuentra en el principio de que nadie puede ser condenado en juicio sin ser oído, proposición donde se cobijan una serie de exigencias y, entre ellas, la garantía de un proceso contradictorio con igualdad de armas para todas las partes. Tal esquema, que condensa la doctrina de este Tribunal (v.gr.: SSTC 105/1995 y 134/1995), sirve al propósito de prevenir el riesgo de indefensión. No caben por tanto procesos clandestinos, (art. 24.2 C.E.), porque el juicio en audiencia pública es una exigencia inmanente a la potestad de juzgar.</w:t>
      </w:r>
    </w:p>
    <w:p w:rsidR="008107C7" w:rsidRDefault="008107C7" w:rsidP="008107C7">
      <w:pPr>
        <w:pStyle w:val="TextoNormal"/>
      </w:pPr>
      <w:r>
        <w:t xml:space="preserve">Cobra así todo su valor el papel de los actos del órgano jurisdiccional encaminados a la válida constitución de la relación jurídica procesal en sus distintos aspectos, tanto los de </w:t>
      </w:r>
      <w:r>
        <w:lastRenderedPageBreak/>
        <w:t>comunicación -citaciones y emplazamientos- para hacer saber la existencia de un litigio o de sus distintas fases y actuaciones a quienes pueda afectarles, como aquellos otros que tienen por objeto otorgar la condición de parte en el proceso a quien ha alcanzado aquel conocimiento y ha comparecido en tiempo y forma. En la medida en que unos y otros hacen posible la comparecencia en juicio y el ejercicio del derecho de defensa son una exigencia ineludible para que el curso normal de un proceso contradictorio quede asegurado y, en consecuencia, su defectuosa práctica o su pura omisión puede dejar indefenso al afectado.</w:t>
      </w:r>
    </w:p>
    <w:p w:rsidR="008107C7" w:rsidRDefault="008107C7" w:rsidP="008107C7">
      <w:pPr>
        <w:pStyle w:val="TextoNormal"/>
      </w:pPr>
    </w:p>
    <w:p w:rsidR="008107C7" w:rsidRDefault="008107C7" w:rsidP="008107C7">
      <w:pPr>
        <w:pStyle w:val="TextoNormal"/>
      </w:pPr>
      <w:r w:rsidRPr="008107C7">
        <w:rPr>
          <w:rStyle w:val="NumeroAFNegritaCaracter"/>
        </w:rPr>
        <w:t>2</w:t>
      </w:r>
      <w:r>
        <w:t>. Así ha ocurrido precisamente en el caso que nos ocupa.  El hoy demandante en amparo, una vez emplazado por el Juez a quo, compareció en tiempo y forma ante la Audiencia Provincial mediante escrito en el que, con toda claridad, identificaba el proceso del cual traía causa el recurso de apelación donde comparecía y la condición en la cual pretendía hacerlo. La equivocación de la oficina judicial provocó que ese escrito de personación fuera repartido a Sección distinta de la que le correspondía, sin que ésta por lo tanto llegara a conocer su existencia y, por ello, que el recurso de apelación se tramitara sin la presencia del apelado, a quien no se le dio la oportunidad de hacer las alegaciones pertinentes al caso, con un resultado fatal para sus intereses: la revocación de la Sentencia que en la primera instancia había ganado. Tal irregularidad formal provocó que se dictara en el recurso de apelación, sin audiencia del solicitante de amparo, una Sentencia que incide negativamente en sus derechos e intereses legítimos, causándole un perjuicio actual y efectivo, consistente en la resolución del contrato de arrendamiento y la pérdida del título para ocupar la vivienda. Se convierte así en la indefensión material que el art. 24.1 C.E. proscribe y, por ello, el demandante merece el amparo que pide, tal y como en casos sustancialmente idénticos a este hemos hecho otras veces (SSTC 77/1987, 22/1989, 78/1992, 131/1992 y 212/1992).</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Otorgar el al amparo solicitado y, en su virtud,</w:t>
      </w:r>
    </w:p>
    <w:p w:rsidR="008107C7" w:rsidRDefault="008107C7" w:rsidP="008107C7">
      <w:pPr>
        <w:pStyle w:val="TextoNormal"/>
      </w:pPr>
      <w:r>
        <w:t>1º Reconocer el derecho del demandante a la tutela judicial efectiva sin indefensión.</w:t>
      </w:r>
    </w:p>
    <w:p w:rsidR="008107C7" w:rsidRDefault="008107C7" w:rsidP="008107C7">
      <w:pPr>
        <w:pStyle w:val="TextoNormal"/>
      </w:pPr>
      <w:r>
        <w:t>2º Declarar la nulidad de la Sentencia dictada el 4 de diciembre de 1992 por la Sección Tercera de la Audiencia Provincial de Murcia en el rollo de apelación núm. 86/92, así como la del Auto pronunciado el 21 de enero de 1993 en el mismo recurso de apelación.</w:t>
      </w:r>
    </w:p>
    <w:p w:rsidR="008107C7" w:rsidRDefault="008107C7" w:rsidP="008107C7">
      <w:pPr>
        <w:pStyle w:val="TextoNormal"/>
      </w:pPr>
      <w:r>
        <w:t>3º Restablecer al demandante en la integridad de su derecho, retrotrayendo las actuaciones al momento inmediatamente anterior a aquel en que debió proveerse el escrito que presentó el 5 de marzo de 1992 personándose como parte apelada en la segunda instancia.</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diez de febrero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21" w:name="SENTENCIA_1997_18"/>
      <w:r>
        <w:lastRenderedPageBreak/>
        <w:t>SENTENCIA 18/1997, de 10 de febrero de 1997</w:t>
      </w:r>
    </w:p>
    <w:bookmarkEnd w:id="21"/>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63, de 14 de marzo de 1997)</w:t>
      </w:r>
    </w:p>
    <w:p w:rsidR="008107C7" w:rsidRDefault="008107C7" w:rsidP="008107C7">
      <w:pPr>
        <w:pStyle w:val="TtuloBOE"/>
      </w:pPr>
    </w:p>
    <w:p w:rsidR="008107C7" w:rsidRDefault="008107C7" w:rsidP="008107C7">
      <w:pPr>
        <w:pStyle w:val="SntesisDescriptiva"/>
      </w:pPr>
      <w:r>
        <w:t>ECLI:ES:TC:1997:18</w:t>
      </w:r>
    </w:p>
    <w:p w:rsidR="008107C7" w:rsidRDefault="008107C7" w:rsidP="008107C7">
      <w:pPr>
        <w:pStyle w:val="SntesisDescriptiva"/>
      </w:pPr>
    </w:p>
    <w:p w:rsidR="008107C7" w:rsidRDefault="008107C7" w:rsidP="008107C7">
      <w:pPr>
        <w:pStyle w:val="SntesisDescriptiva"/>
      </w:pPr>
      <w:r>
        <w:t>Recurso de amparo 2.913/1993. Contra diligencia que archiva la ejecución de la Sentencia del Juzgado de lo Social núm. 20 de Madrid, recaída en autos sobre nulidad de despido.</w:t>
      </w:r>
    </w:p>
    <w:p w:rsidR="008107C7" w:rsidRDefault="008107C7" w:rsidP="008107C7">
      <w:pPr>
        <w:pStyle w:val="SntesisDescriptiva"/>
      </w:pPr>
    </w:p>
    <w:p w:rsidR="008107C7" w:rsidRDefault="008107C7" w:rsidP="008107C7">
      <w:pPr>
        <w:pStyle w:val="SntesisAnaltica"/>
      </w:pPr>
      <w:r>
        <w:t>Vulneración del derecho a la tutela judicial efectiva: diligencia de archivo de procedimiento de ejecución de Sentencia lesiva del derecho.</w:t>
      </w:r>
    </w:p>
    <w:p w:rsidR="008107C7" w:rsidRDefault="008107C7" w:rsidP="008107C7">
      <w:pPr>
        <w:pStyle w:val="SntesisAnaltica"/>
      </w:pPr>
    </w:p>
    <w:p w:rsidR="008107C7" w:rsidRDefault="008107C7" w:rsidP="008107C7">
      <w:pPr>
        <w:pStyle w:val="Extracto"/>
      </w:pPr>
      <w:r>
        <w:t>1.</w:t>
      </w:r>
      <w:r>
        <w:tab/>
        <w:t>El contenido principal del derecho a la ejecución de las Sentencias consiste en que esa prestación jurisdiccional sea respetuosa con lo fallado y enérgica, si fuera preciso, frente a su eventual contradicción por terceros. En tal contexto, no es cometido de este Tribunal la determinación de cuáles sean las decisiones que, en cada caso, hayan de adoptarse para la ejecución de lo resuelto, pero sí deberá vigilar, cuando de la reparación de eventuales lesiones del derecho a la tutela judicial se trate, que ésta no sea debida a una decisión arbitraria ni irrazonable, ni tenga su origen en la pasividad o desfallecimiento de los órganos judiciales para adoptar las medidas necesarias que aseguren la satisfacción de este derecho (STC 153/1992). [F.J. 3]</w:t>
      </w:r>
    </w:p>
    <w:p w:rsidR="008107C7" w:rsidRDefault="008107C7" w:rsidP="008107C7">
      <w:pPr>
        <w:pStyle w:val="Extracto"/>
      </w:pPr>
    </w:p>
    <w:p w:rsidR="008107C7" w:rsidRDefault="008107C7" w:rsidP="008107C7">
      <w:pPr>
        <w:pStyle w:val="Extracto"/>
      </w:pPr>
      <w:r>
        <w:t>2.</w:t>
      </w:r>
      <w:r>
        <w:tab/>
        <w:t>El contenido del derecho a la ejecución de la Sentencia, en nuestro caso, impone al órgano judicial un conjunto de obligaciones de actuar en cuanto medios instrumentales necesarios para poder dar satisfacción al titular de dicho derecho fundamental: tras dictar Auto despachando la ejecución, debe requerir al ejecutado, a los organismos públicos de cualquier ámbito territorial en el que se presuma que el ejecutado pueda tener bienes y a cualquier organismo o persona privada en los términos indicados . [F.J. 4]</w:t>
      </w:r>
    </w:p>
    <w:p w:rsidR="008107C7" w:rsidRDefault="008107C7" w:rsidP="008107C7">
      <w:pPr>
        <w:pStyle w:val="Extracto"/>
      </w:pPr>
    </w:p>
    <w:p w:rsidR="008107C7" w:rsidRDefault="008107C7" w:rsidP="008107C7">
      <w:pPr>
        <w:pStyle w:val="Extracto"/>
      </w:pPr>
      <w:r>
        <w:t>3.</w:t>
      </w:r>
      <w:r>
        <w:tab/>
        <w:t>Cuando el sujeto ejecutado es una Embajada o un Estado extranjero no puede presumirse su insolvencia y, sobre todo, en estos supuestos, cuando surgen dificultades en la ejecución de las resoluciones judiciales cobra vital importancia la colaboración de los poderes públicos del Estado del foro y, en especial, de su Ministerio de Asuntos Exteriores. Por ello el órgano judicial debe recabar sin desmayo esta colaboración cuya negativa puede producir el nacimiento de las pertinentes responsabilidades . [F.J. 6]</w:t>
      </w:r>
    </w:p>
    <w:p w:rsidR="008107C7" w:rsidRDefault="008107C7" w:rsidP="008107C7">
      <w:pPr>
        <w:pStyle w:val="Extracto"/>
      </w:pPr>
    </w:p>
    <w:p w:rsidR="008107C7" w:rsidRDefault="008107C7" w:rsidP="008107C7">
      <w:pPr>
        <w:pStyle w:val="Extracto"/>
      </w:pPr>
      <w:r>
        <w:t>4.</w:t>
      </w:r>
      <w:r>
        <w:tab/>
        <w:t xml:space="preserve">El objeto de este amparo consiste en una decisión de archivo provocada por la supuesta insolvencia de la Embajada deudora. O visto desde otra perspectiva: de las diligencias realizadas por el órgano judicial no ha surgido el conocimiento de la existencia de bienes embargables suficientes con los que la Embajada deudora pudiera hacer frente a la obligación impuesta en la Sentencia cuya ejecución se pretendía. Con ello, toda la cuestión se centra en determinar si el órgano judicial, </w:t>
      </w:r>
      <w:r>
        <w:lastRenderedPageBreak/>
        <w:t>sobre quien recae la carga de llevar a término la ejecución, ha impulsado el procedimiento con el alcance que el art. 24.1 C.E. le impone en el ámbito laboral . [F.J. 7]</w:t>
      </w:r>
    </w:p>
    <w:p w:rsidR="008107C7" w:rsidRDefault="008107C7" w:rsidP="008107C7">
      <w:pPr>
        <w:pStyle w:val="Extracto"/>
      </w:pPr>
    </w:p>
    <w:p w:rsidR="008107C7" w:rsidRDefault="008107C7" w:rsidP="008107C7">
      <w:pPr>
        <w:pStyle w:val="Extracto"/>
      </w:pPr>
      <w:r>
        <w:t>5.</w:t>
      </w:r>
      <w:r>
        <w:tab/>
        <w:t>Es preciso señalar también que en este supuesto lo que está en juego es el derecho fundamental de un ciudadano; y, cualquiera que sea la complejidad de la causa y las dificultades que entrañe su adecuada resolución, el órgano judicial viene obligado, por el propio ordenamiento, a utilizar todas las vías que objetivamente sean posibles y pertinentes para dotar de eficacia al contenido del derecho fundamental en litigio. De esta forma, la decisión judicial de interrumpir las actuaciones no debe responder a un principio de discrecionalidad o razonabilidad subjetiva, sino a un principio imperativo objetivo marcado por el ordenamiento, en los términos expresados en nuestro fundamento jurídico 4. Y por los motivos que ahora se dirán tal supuesto se ha producido en esta causa . [F.J. 7]</w:t>
      </w:r>
    </w:p>
    <w:p w:rsidR="008107C7" w:rsidRDefault="008107C7" w:rsidP="008107C7">
      <w:pPr>
        <w:pStyle w:val="Extracto"/>
      </w:pPr>
    </w:p>
    <w:p w:rsidR="008107C7" w:rsidRDefault="008107C7" w:rsidP="008107C7">
      <w:pPr>
        <w:pStyle w:val="Extracto"/>
      </w:pPr>
      <w:r>
        <w:t>6.</w:t>
      </w:r>
      <w:r>
        <w:tab/>
        <w:t>Aunque, en puridad, la demandada en el proceso de instancia no fuera la República de Guinea Ecuatorial, sino su Embajada, ésta no es sino órgano de aquel Estado y su representante en España, por lo que las posibilidades de ejecución de la Sentencia se extienden también a aquellos otros bienes de que sea titular el Estado en último término demandado, y a los que no alcance la inmunidad de ejecución. En consecuencia, ha quedado al margen de la investigación el principal titular potencial de bienes susceptibles de utilización para lograr una ejecución de la Sentencia acorde con el derecho fundamental protegido. En ese mismo ámbito de carencias, también se hace notar la no cumplimentación de lo dispuesto en el art. 246 de la L.P.L. de 1990 (art. 247 de la L.P.L. de 1995) por parte del órgano judicial, pues no ha requerido a la ejecutada para que efectuase manifestación sobre sus bienes o derechos con la precisión necesaria para garantizar sus responsabilidades y con necesaria indicación, además, de las personas que ostentaran derechos de cualquier naturaleza sobre sus bienes . [F.J. 8]</w:t>
      </w:r>
    </w:p>
    <w:p w:rsidR="008107C7" w:rsidRDefault="008107C7" w:rsidP="008107C7">
      <w:pPr>
        <w:pStyle w:val="Extracto"/>
      </w:pPr>
    </w:p>
    <w:p w:rsidR="008107C7" w:rsidRDefault="008107C7" w:rsidP="008107C7">
      <w:pPr>
        <w:pStyle w:val="Extracto"/>
      </w:pPr>
      <w:r>
        <w:t>7.</w:t>
      </w:r>
      <w:r>
        <w:tab/>
        <w:t>El desfallecimiento más relevante sufrido por el órgano judicial en la ejecución de la Sentencia se refiere al seguimiento de dos diligencias iniciadas por el Juzgado, a instancia del Abogado Estado, en relación con los organismos competentes de los Ministerios de Economía y Hacienda y de Asuntos Exteriores. El órgano judicial, tras requerir la información pertinente, decidió, de un lado, dirigir oficio a los referidos organismos decretando el embargo de los créditos que pudiera haber concedido a Guinea Ecuatorial y la retención y puesta a disposición del Juzgado de las cantidades que pudieran tener pendiente de pago al mencionado Estado y, de otro lado, requerir del Ministerio de Asuntos Exteriores el acceso a la vía diplomática. El contenido de las contestaciones relativas al embargo y a la retención de créditos y ayudas, o bien fueron negativas, en el sentido de que en tal momento no existían fondos disponibles, o bien fueron positivas, señalando la existencia de tales fondos, pero expresando a su vez la imposibilidad de acceder a lo solicitado por el Juzgado porque la aceptación de dicha solicitud hubiera supuesto, a su juicio, el que España incurriera en responsabilidad internacional al traer causa las ayudas de un Tratado de amistad con Guinea Ecuatorial . [F.J. 8]</w:t>
      </w:r>
    </w:p>
    <w:p w:rsidR="008107C7" w:rsidRDefault="008107C7" w:rsidP="008107C7">
      <w:pPr>
        <w:pStyle w:val="Extracto"/>
      </w:pPr>
    </w:p>
    <w:p w:rsidR="008107C7" w:rsidRDefault="008107C7" w:rsidP="008107C7">
      <w:pPr>
        <w:pStyle w:val="Extracto"/>
      </w:pPr>
      <w:r>
        <w:lastRenderedPageBreak/>
        <w:t>8.</w:t>
      </w:r>
      <w:r>
        <w:tab/>
        <w:t>Decretar el archivo en estas circunstancias equivale a no agotar las posibilidades de actuación que el ordenamiento ofrece al órgano judicial ejecutor. En efecto, respecto de las ayudas y subvenciones, el Juez se conformó, sin más indagación, con la contestación de que no existían en tal momento fondos disponibles, siendo así que consta en el expediente que este tipo de ayudas se conceden de forma periódica, como en la práctica ha venido ocurriendo entre los años 1989 a 1995 en los que el Estado español ha concedido substanciosas ayudas y subvenciones al Estado de Guinea Ecuatorial. Por otra parte, y ante la negativa de la Administración de acceder al embargo decretado de las ayudas y subvenciones, por entender ésta que la aceptación de dicha orden supondría el que España incurriera en responsabilidad internacional, el órgano judicial debió reiterar hasta obtener respuesta y bajo el apercibimiento correspondiente, la orden referida, pues el cumplimiento de las Sentencias y demás resoluciones firmes de los Jueces y Tribunales es obligatorio, así como prestar la colaboración requerida por éstos en el curso del proceso y en la ejecución de lo resuelto (art. 118 C.E., 17 L.O.P.J. y 410 C.P.). En cuanto a la vía diplomática, el Juzgado debía haber reiterado su requerimiento antes de declarar el archivo, no aquietándose ante la falta de respuesta de la Embajada a la nota verbal. El órgano judicial debía insistir en el requerimiento al Ministerio de Asuntos Exteriores para que adoptase las medidas que el Derecho internacional le ofrece en el ámbito de las relaciones diplomáticas frente a la Embajada de otro Estado y frente al mismo Estado en el ámbito de las relaciones económicas. Al no reiterar su orden y ceder pasivamente ante las respuestas de la Administración, el Juez declinó su obligación de utilizar cuantos cauces le brinda el ordenamiento para ejecutar una Sentencia firme. Cabría pensar, no obstante, que en el ínterin el Juez asumió la respuesta  de imposibilidad de embargo de aquellos bienes ofrecida por el mencionado Ministerio; pero ello obligaba al órgano judicial a exteriorizar, mediante resolución motivada, cuáles eran los impedimentos que, a su juicio, concurrían para no proceder al embargo de las ayudas y subvenciones otorgadas al Estado de Guinea Ecuatorial . [F.J. 9]</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Rafael de Mendizábal y Allende, don Julio Diego González Campos,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 xml:space="preserve">En el recurso de amparo núm. 2.913/93 promovido por don Emilio Blanco Montero, representado por la Procuradora de los Tribunales doña Mónica Oca de Zayas y asistido por el Letrado don Juan Luis Yoate Flaquer, contra la diligencia que archiva la ejecución (autos </w:t>
      </w:r>
      <w:r>
        <w:lastRenderedPageBreak/>
        <w:t>núm. 182/86) de la Sentencia del Juzgado de lo Social núm. 20 de Madrid (entonces, Magistratura de Trabajo), de 22 de abril de 1986, recaída en autos núm. 1.257/84, sobre nulidad de despido. Ha sido parte el Abogado del Estado, en nombre y representación del Fondo de Garantía Salarial, y ha intervenido el Ministerio Fiscal. Ha sido Ponente el Magistrado don Carles Viver Pi-Sunyer,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Por escrito registrado en este Tribunal el 7 de febrero de 1994, doña Mónica Oca de Zayas, Procuradora de los Tribunales, en nombre y representación de don Emilio Blanco Montero, interpone recurso de amparo contra la diligencia que archiva la ejecución (autos núm. 182/86) de la Sentencia del Juzgado de lo Social núm. 20 de Madrid (entonces, Magistratura de Trabajo), de 22 de abril de 1986, recaída en autos núm. 1.257/84, sobre nulidad de despido.</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hechos en los que se fundamenta la demanda son, sucintamente expuestos, los siguientes: </w:t>
      </w:r>
    </w:p>
    <w:p w:rsidR="008107C7" w:rsidRDefault="008107C7" w:rsidP="008107C7">
      <w:pPr>
        <w:pStyle w:val="TextoNormal"/>
      </w:pPr>
      <w:r>
        <w:t xml:space="preserve">a) El día 29 de septiembre de 1984, don Emilio Blanco Montero presentó escrito de demanda en la oficinas de Registro de Magistratura que por turno de reparto correspondió a la Magistratura de Trabajo núm. 20. Se admitió a trámite la demanda y se señaló para que tuviera lugar el acto del juicio la audiencia del 8 de noviembre de 1984. Tras la celebración de dicho trámite, la Magistratura dictó Sentencia, de 9 de noviembre de 1984, por la que declaraba la incompetencia de esta jurisdicción para conocer de la demanda formulada. Interpuesto el correspondiente recurso de casación contra la misma, la Sala Sexta del Tribunal Supremo casó y anuló, en Sentencia de 10 de febrero de 1986, la pronunciada por la Magistratura de Trabajo, declarando la competencia del orden laboral de la jurisdicción española para el conocimiento de la demanda. El 22 de abril de 1986, la Magistratura dictó nueva Sentencia por la que declaró nulo el despido acordado por la demandada Embajada de Guinea Ecuatorial, a la que condenó a la readmisión inmediata del demandante, con abono de los salarios dejados de percibir hasta que la readmisión tuviera lugar. </w:t>
      </w:r>
    </w:p>
    <w:p w:rsidR="008107C7" w:rsidRDefault="008107C7" w:rsidP="008107C7">
      <w:pPr>
        <w:pStyle w:val="TextoNormal"/>
      </w:pPr>
      <w:r>
        <w:t xml:space="preserve">b) Como quiera que la mencionada misión diplomática no procedió a la readmisión del trabajador despedido, éste instó la ejecución de la Sentencia antes citada, solicitando el abono de la indemnización y los salarios de tramitación. El día 3 de julio de 1986, se dictó Auto en el que, después de declarar extinguido el contrato de trabajo que unía a los litigantes, se condenó a la Embajada de Guinea Ecuatorial a que abonase al actor, en concepto de indemnización, la suma de 408.195 ptas., así como los salarios dejados de percibir desde la fecha del despido -26 de agosto de 1984- hasta el día de tal resolución. </w:t>
      </w:r>
    </w:p>
    <w:p w:rsidR="008107C7" w:rsidRDefault="008107C7" w:rsidP="008107C7">
      <w:pPr>
        <w:pStyle w:val="TextoNormal"/>
      </w:pPr>
      <w:r>
        <w:t xml:space="preserve">c) En escrito presentado en fecha 9 de septiembre de 1986, la parte actora interesó la ejecución de la referida resolución judicial firme, cuantificando el importe de la misma en 2.546.574 ptas., cantidad correspondiente a 408.195 ptas. de indemnización, y 2.138.379 ptas. de salarios de tramitación, para lo que solicitaba, al mismo tiempo, el embargo de determinados bienes propiedad de la demandada (cuentas corrientes, bienes muebles e inmuebles). El mismo día, recayó proveído en el que se acordó requerir a la parte actora para que concretase las vías de ejecución que proponía, a lo que la misma contestó insistiendo en el embargo de bienes que tenía interesado y en el orden en que aparecían en la mencionada lista. </w:t>
      </w:r>
    </w:p>
    <w:p w:rsidR="008107C7" w:rsidRDefault="008107C7" w:rsidP="008107C7">
      <w:pPr>
        <w:pStyle w:val="TextoNormal"/>
      </w:pPr>
      <w:r>
        <w:lastRenderedPageBreak/>
        <w:t xml:space="preserve">d) Al socaire del último de los fundamentos jurídicos de la Sentencia del Tribunal Supremo recaída en autos, en fecha 25 de noviembre de 1986, el órgano judicial dictó providencia por la que acordó elevar oficio al Excmo. Sr. Presidente del Gobierno, a través del Ministerio de Justicia y por conducto del Consejo General del Poder Judicial, a los efectos previstos en el art. 278.2 de la L.O.P.J.. La Comisión Permanente del Consejo General del Poder Judicial, en reunión del día 9 de enero de 1987, acordó remitir al Ministerio de Justicia las certificaciones enviadas por la Magistratura, al igual que el informe emitido por su Gabinete Técnico. Dada la tardanza en evacuar el informe solicitado, el 22 de febrero de 1988 se dictó proveído requiriendo a la Dirección General de Relaciones con la Administración de Justicia, para que remitiera informe sobre la existencia o no de reciprocidad entre España y Guinea Ecuatorial. Finalmente, el 22 de septiembre de 1988, se recibió comunicación de la Secretaria General Técnica del Ministerio de Justicia, en el que se informaba al órgano judicial que entre ambos países "no existe acuerdo bilateral en materia de inmunidad". </w:t>
      </w:r>
    </w:p>
    <w:p w:rsidR="008107C7" w:rsidRDefault="008107C7" w:rsidP="008107C7">
      <w:pPr>
        <w:pStyle w:val="TextoNormal"/>
      </w:pPr>
      <w:r>
        <w:t xml:space="preserve">e) El 20 de octubre de 1988, se dictó Auto cuya parte dispositiva era la siguiente: "... que accediendo a lo interesado por el ejecutante Emilio Blanco Montero debía declarar haber lugar a la misma (la ejecución) debiendo recabarse de la demandada Embajada de Guinea Ecuatorial el abono al actor de la cantidad de 408.195 ptas. el abono de la misma en potestad directiva. Interesando del Ministerio de Asuntos Exteriores por medio de la oportuna exposición, tramitada a través del Tribunal Central de Trabajo". </w:t>
      </w:r>
    </w:p>
    <w:p w:rsidR="008107C7" w:rsidRDefault="008107C7" w:rsidP="008107C7">
      <w:pPr>
        <w:pStyle w:val="TextoNormal"/>
      </w:pPr>
      <w:r>
        <w:t xml:space="preserve">El demandante formuló en tiempo y forma recurso de reposición frente al Auto anterior, entendiendo que había existido un error en la cuantía de la ejecutoria. Por Auto, de 3 de abril de 1989, se estimó el recurso de reposición, se ordenó la continuación de la ejecución y se acordó requerir formalmente a la Embajada de Guinea Ecuatorial para que, en el plazo de quince días, procediera a dar cumplimiento en sus propios términos al Auto de la entonces Magistratura de Trabajo núm. 20 de las de Madrid, de 3 de julio de 1986, y para que, en consecuencia, satisficiera al demandante la suma de 2.546.574 ptas., cantidad que por conceptos de indemnización y salarios de tramitación le fuera fijada al trabajador por la extinción del contrato laboral que le unía con dicha legación diplomática. </w:t>
      </w:r>
    </w:p>
    <w:p w:rsidR="008107C7" w:rsidRDefault="008107C7" w:rsidP="008107C7">
      <w:pPr>
        <w:pStyle w:val="TextoNormal"/>
      </w:pPr>
      <w:r>
        <w:t xml:space="preserve">f) Por nuevo escrito del demandante, fechado a 3 de junio de 1989, se volvió a solicitar al Juzgado de lo Social núm. 20 de Madrid que ordenara el embargo de bienes suficientes de la Embajada de Guinea Ecuatorial, para que la misma hiciera frente a la deuda que tenía contraída. Por providencia de 3 de junio de 1989, el Juzgado requirió a la parte actora para que aportara relación de cuentas corrientes a nombre de la ejecutada, a fin de proceder al embargo de éstas. Tras señalarse por el recurrente, a través de sucesivos escritos, las entidades financieras en las que la Embajada de Guinea Ecuatorial era potencial titular de cuentas corrientes (Banco Hispano Americano, Banco Exterior de España, Banco de España y Banco de Andalucía), el Juzgado decretó el embargo de los saldos existentes en tales cuentas corrientes. Al mismo tiempo, el órgano judicial requirió, sucesivamente, a los distintos Registros de la Propiedad de Madrid y de Majadahonda a fin de que remitiesen certificación de bienes inmuebles que aparecieran inscritos a nombre de Embajada de Guinea Ecuatorial. </w:t>
      </w:r>
    </w:p>
    <w:p w:rsidR="008107C7" w:rsidRDefault="008107C7" w:rsidP="008107C7">
      <w:pPr>
        <w:pStyle w:val="TextoNormal"/>
      </w:pPr>
      <w:r>
        <w:t xml:space="preserve">Todas estas gestiones resultaron, o bien insatisfactorias, o bien infructuosas: el Banco Hispano Americano manifestó al Juzgado que había procedido a efectuar retención en las cuentas de dicha Embajada, por un importe de 604 ptas., poniéndolas a su disposición; el Banco Exterior de España contestó que no aparecían bienes de ninguna especie en su entidad a nombre de la mencionada Embajada; el Banco de España indicó lo mismo que el anterior; y el Banco de Andalucía puso a disposición del Juzgado de lo Social, primero, 1 pta., que constaba en la cuenta corriente de la Embajada, y después, 601 ptas. Los diversos Registros de la Propiedad de Madrid requeridos contestaron que en sus oficinas no aparecía inscrito </w:t>
      </w:r>
      <w:r>
        <w:lastRenderedPageBreak/>
        <w:t xml:space="preserve">ningún bien inmueble, ni derecho real alguno, a nombre de la reiterada Embajada; el Registro de la Propiedad de Majadahonda indicó que no aparecía inscrita finca o derecho alguno a nombre de la Embajada en aquél Registro. Finalmente, el Ayuntamiento de Madrid comunicó al Juzgado que la mencionada Embajada ocupaba el piso 5º de la calle Claudio Coello pero en régimen de alquiler. </w:t>
      </w:r>
    </w:p>
    <w:p w:rsidR="008107C7" w:rsidRDefault="008107C7" w:rsidP="008107C7">
      <w:pPr>
        <w:pStyle w:val="TextoNormal"/>
      </w:pPr>
      <w:r>
        <w:t xml:space="preserve">g) Por Auto del Juzgado de lo Social, de 10 de noviembre de 1989, se declaró, previa audiencia del Fondo de Garantía Salarial, la insolvencia de la Embajada ejecutada con carácter provisional y parcial, sin perjuicio de continuar la ejecución cuando aquélla mejorase de fortuna. </w:t>
      </w:r>
    </w:p>
    <w:p w:rsidR="008107C7" w:rsidRDefault="008107C7" w:rsidP="008107C7">
      <w:pPr>
        <w:pStyle w:val="TextoNormal"/>
      </w:pPr>
      <w:r>
        <w:t xml:space="preserve">h) El Abogado del Estado, en representación del mencionado Fondo, interesó al Juzgado que se practicaran las siguientes diligencias: 1) embargo de bienes existentes en el domicilio de la demandada; 2) dirigir oficio a la Jefatura Provincial de Tráfico de Madrid, a fin de que se trabara embargo de los distintos vehículos que prestaban servicio para la demandada; 3) dirigir oficio a distintos organismos del Ministerio de Asuntos Exteriores, para que informaran sobre los acuerdos o convenios de cooperación bilateral; y 4) dirigir oficio al organismo competente del Ministerio de Economía y Hacienda, a fin de que informara sobre la existencia de cualquier tipo de subvenciones o ayudas concedidas al Estado de Guinea Ecuatorial. </w:t>
      </w:r>
    </w:p>
    <w:p w:rsidR="008107C7" w:rsidRDefault="008107C7" w:rsidP="008107C7">
      <w:pPr>
        <w:pStyle w:val="TextoNormal"/>
      </w:pPr>
      <w:r>
        <w:t xml:space="preserve">i) El 6 de noviembre de 1989, el Juzgado dictó providencia por la que acordó no haber lugar a lo solicitado en los apartados 1) y 2) del anterior escrito, pero accedió a dirigir oficio a la Secretaria de Estado para la Cooperación Internacional e Iberoamericana y a la Oficina de Cooperación de Guinea Ecuatorial del Ministerio de Asuntos Exteriores, e igualmente a la Dirección General de Política Comercial u Organismo competente del Ministerio de Economía y Hacienda, con los fines anteriormente mencionados. </w:t>
      </w:r>
    </w:p>
    <w:p w:rsidR="008107C7" w:rsidRDefault="008107C7" w:rsidP="008107C7">
      <w:pPr>
        <w:pStyle w:val="TextoNormal"/>
      </w:pPr>
      <w:r>
        <w:t xml:space="preserve">El Ministerio de Asuntos Exteriores remitió al Juzgado al Instituto de Cooperación para el Desarrollo, integrado en la Agencia Española de Cooperación Internacional. El Ministerio de Economía y Hacienda comunicó al órgano judicial la cuantía de los créditos [FAD I (1979), por importe de 10.000.000 $, FAD II (1979), por importe de 4.000.000 $, FAD III (1980), por importe de 700.000.000 ptas. y FAD IV (1988), por importe de 1.400.000.000 ptas.], indicándole que se canalizaban a través del Instituto de Crédito Oficial y que podía dirigirse al Banco Exterior de España, quien concede los que incluye en su coeficiente de inversión. </w:t>
      </w:r>
    </w:p>
    <w:p w:rsidR="008107C7" w:rsidRDefault="008107C7" w:rsidP="008107C7">
      <w:pPr>
        <w:pStyle w:val="TextoNormal"/>
      </w:pPr>
      <w:r>
        <w:t xml:space="preserve">j) Por providencia, de 19 de febrero de 1990, el Juzgado ofició al Banco Exterior de España que se decretaba el embargo de los créditos autorizados por el Ministerio de Economía y Hacienda dentro de la modalidad de Fondo de Ayuda al Desarrollo (FAD). </w:t>
      </w:r>
    </w:p>
    <w:p w:rsidR="008107C7" w:rsidRDefault="008107C7" w:rsidP="008107C7">
      <w:pPr>
        <w:pStyle w:val="TextoNormal"/>
      </w:pPr>
      <w:r>
        <w:t xml:space="preserve">k) El Abogado del Estado, en representación del Fondo de Garantía Salarial, comunicó al órgano judicial que aquél organismo, en su condición de representante legal subsidiario, había dictado resolución concediendo al actor el importe de 581.788 ptas. El Juzgado, mediante providencia de 11 de junio de 1990, tras los oportunos trámites, tuvo por subrogado al Fondo de Garantía Salarial en los derechos de don Emilio Blanco Montero, frente a la Embajada de Guinea Ecuatorial, por el importe de 581.788 ptas, abonadas por el mencionado Fondo de Garantía Salarial. </w:t>
      </w:r>
    </w:p>
    <w:p w:rsidR="008107C7" w:rsidRDefault="008107C7" w:rsidP="008107C7">
      <w:pPr>
        <w:pStyle w:val="TextoNormal"/>
      </w:pPr>
      <w:r>
        <w:t xml:space="preserve">l) El Juzgado de lo Social acordó, mediante providencia de 10 de junio de 1991, oficiar al Instituto de Crédito Oficial para que procediera a la retención y puesta a disposición del Juzgado de las cantidades que pudiera tener pendientes de pagos al país de Guinea Ecuatorial, como consecuencia de los créditos autorizados por el Ministerio de Economía y Hacienda dentro de la modalidad "Fondo de Ayuda al Desarrollo"; oficiar al Banco Exterior de España reiterando el contenido de los oficios de fechas anteriores; y oficiar a la Agencia </w:t>
      </w:r>
      <w:r>
        <w:lastRenderedPageBreak/>
        <w:t xml:space="preserve">Española de Cooperación Internacional (Ministerio de Asuntos Exteriores), para que informara al Juzgado de la existencia de subvenciones o ayudas económicas a Guinea Ecuatorial, cuantía de las mismas y organismo que gestiona su pago. </w:t>
      </w:r>
    </w:p>
    <w:p w:rsidR="008107C7" w:rsidRDefault="008107C7" w:rsidP="008107C7">
      <w:pPr>
        <w:pStyle w:val="TextoNormal"/>
      </w:pPr>
      <w:r>
        <w:t xml:space="preserve">El Subdirector General de Financiación a la Exportación del Instituto de Crédito Oficial comunicó al Juzgado que el Estado de Guinea Ecuatorial no tenía actualmente importes pendientes de percibir por el tipo de créditos del "Fondo de Ayuda al Desarrollo", especificando, además, que, en tales casos, el perceptor directo es el exportador español que suministra la mercancía, aunque el deudor del crédito otorgado sea el propio Estado del país receptor del bien suministrado. El Banco Exterior de España comunicó al Juzgado que, una vez verificados sus archivos, no se constataba la existencia de crédito alguno dentro de la modalidad "Fondo de Ayuda al Desarrollo", concedido por esa entidad de crédito a Guinea Ecuatorial. El Ministerio de Asuntos Exteriores indicó, por su parte, que las ayudas o subvenciones a la República de Guinea Ecuatorial son concedidas en virtud de un Tratado de amistad y que dicho Tratado obliga a España como parte, por lo que su incumplimiento podría hacer incurrir a España en responsabilidad internacional; en consecuencia este organismo se declaró imposibilitado para acceder a lo solicitado por el Juzgado, en cuanto a retener y poner a disposición la cantidad requerida. La Agencia Española de Cooperación Internacional certificó que, en ese momento, no se estaba tramitando ninguna ayuda o subvención que tuviera por destinatario el Estado de Guinea Ecuatorial. </w:t>
      </w:r>
    </w:p>
    <w:p w:rsidR="008107C7" w:rsidRDefault="008107C7" w:rsidP="008107C7">
      <w:pPr>
        <w:pStyle w:val="TextoNormal"/>
      </w:pPr>
      <w:r>
        <w:t xml:space="preserve">m) El Juzgado dictó providencia, de fecha 1 de diciembre de 1992, por la que, dando cuenta que se había agotado la vía ejecutiva directa iniciada por el Auto de 3 de abril de 1989 y, no conociéndose bienes en territorio español pertenecientes al Estado de Guinea, se acordaba librar oficio a la Asesoría Jurídica Internacional del Ministerio de Asuntos Exteriores para que emitiera informe sobre las modalidades de ejecución de la Sentencia conforme a los Tratados, prácticas y usos internacionales. </w:t>
      </w:r>
    </w:p>
    <w:p w:rsidR="008107C7" w:rsidRDefault="008107C7" w:rsidP="008107C7">
      <w:pPr>
        <w:pStyle w:val="TextoNormal"/>
      </w:pPr>
      <w:r>
        <w:t xml:space="preserve">En dicho informe se puso de manifiesto que no era posible, en el presente caso, ejercer la protección diplomática, pues el actor no había agotado los recursos judiciales internos del Estado demandado; en cambio, se exponía que sí era posible que el Estado español solicitara a Guinea Ecuatorial el cumplimiento de la Sentencia, y que esa solicitud podía realizarse a través de la vía diplomática. </w:t>
      </w:r>
    </w:p>
    <w:p w:rsidR="008107C7" w:rsidRDefault="008107C7" w:rsidP="008107C7">
      <w:pPr>
        <w:pStyle w:val="TextoNormal"/>
      </w:pPr>
      <w:r>
        <w:t xml:space="preserve">A tenor de este informe, el Juzgado requirió del Ministerio de Asuntos Exteriores el acceso a la vía diplomática, lo que motivó la entrega, por parte del citado Ministerio, de una nota verbal a la Embajada de la República de Guinea Ecuatorial. </w:t>
      </w:r>
    </w:p>
    <w:p w:rsidR="008107C7" w:rsidRDefault="008107C7" w:rsidP="008107C7">
      <w:pPr>
        <w:pStyle w:val="TextoNormal"/>
      </w:pPr>
      <w:r>
        <w:t>n) Por providencia de 1 de junio de 1993, el Juzgado acordó quedar a la espera un tiempo prudencial para su cumplimiento. Finalmente, y por diligencia de 30 de noviembre de 1993, se procedió al archivo del procedimiento.</w:t>
      </w:r>
    </w:p>
    <w:p w:rsidR="008107C7" w:rsidRDefault="008107C7" w:rsidP="008107C7">
      <w:pPr>
        <w:pStyle w:val="TextoNormal"/>
      </w:pPr>
    </w:p>
    <w:p w:rsidR="008107C7" w:rsidRDefault="008107C7" w:rsidP="008107C7">
      <w:pPr>
        <w:pStyle w:val="TextoNormal"/>
      </w:pPr>
      <w:r w:rsidRPr="008107C7">
        <w:rPr>
          <w:rStyle w:val="NumeroAFNegritaCaracter"/>
        </w:rPr>
        <w:t>3</w:t>
      </w:r>
      <w:r>
        <w:t>. La demanda de amparo, escueta en su fundamentación, centra su queja en la inejecución de la resolución judicial que había acordado el pago de una cantidad indemnizatoria a favor del actor, como consecuencia de no haber optado la empleadora, Embajada de Guinea Ecuatorial, a la readmisión del mismo tras haber sido declarado nulo su despido. Con ello, se cita como vulnerado el art. 24.1 C.E. en su vertiente de derecho a ejecutar las resoluciones judiciales en sus propios términos.</w:t>
      </w:r>
    </w:p>
    <w:p w:rsidR="008107C7" w:rsidRDefault="008107C7" w:rsidP="008107C7">
      <w:pPr>
        <w:pStyle w:val="TextoNormal"/>
      </w:pPr>
    </w:p>
    <w:p w:rsidR="008107C7" w:rsidRDefault="008107C7" w:rsidP="008107C7">
      <w:pPr>
        <w:pStyle w:val="TextoNormal"/>
      </w:pPr>
      <w:r w:rsidRPr="008107C7">
        <w:rPr>
          <w:rStyle w:val="NumeroAFNegritaCaracter"/>
        </w:rPr>
        <w:t>4</w:t>
      </w:r>
      <w:r>
        <w:t>. Por providencia de 19 de mayo de 1994, la Sección Tercera de este Tribunal, acordó recabar del Juzgado de lo Social núm. 20 de Madrid, la remisión o fotocopia adverada de las actuaciones correspondientes al procedimiento núm. 1.257/86, ejecutoria 182/86.</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5</w:t>
      </w:r>
      <w:r>
        <w:t>. Mediante providencia de 11 de octubre de 1994, la mencionada Sección acordó admitir a trámite la demanda de amparo y, en consecuencia, dirigir comunicación al Juzgado de lo Social núm. 20 de Madrid a fin de que procediera a emplazar, para que en el plazo de diez días pudieran comparecer en el recurso de amparo y defender sus derechos, a quienes hubieran sido parte en el procedimiento.</w:t>
      </w:r>
    </w:p>
    <w:p w:rsidR="008107C7" w:rsidRDefault="008107C7" w:rsidP="008107C7">
      <w:pPr>
        <w:pStyle w:val="TextoNormal"/>
      </w:pPr>
    </w:p>
    <w:p w:rsidR="008107C7" w:rsidRDefault="008107C7" w:rsidP="008107C7">
      <w:pPr>
        <w:pStyle w:val="TextoNormal"/>
      </w:pPr>
      <w:r w:rsidRPr="008107C7">
        <w:rPr>
          <w:rStyle w:val="NumeroAFNegritaCaracter"/>
        </w:rPr>
        <w:t>6</w:t>
      </w:r>
      <w:r>
        <w:t>. Por providencia de 23 de febrero de 1995, la Sección Cuarta acordó dar vista de las actuaciones a la parte recurrente y al Ministerio Fiscal por plazo común de veinte días, a fin de que pudieran presentar las alegaciones que estimaran pertinentes, conforme determina el art. 52.1 de la LOTC.</w:t>
      </w:r>
    </w:p>
    <w:p w:rsidR="008107C7" w:rsidRDefault="008107C7" w:rsidP="008107C7">
      <w:pPr>
        <w:pStyle w:val="TextoNormal"/>
      </w:pPr>
    </w:p>
    <w:p w:rsidR="008107C7" w:rsidRDefault="008107C7" w:rsidP="008107C7">
      <w:pPr>
        <w:pStyle w:val="TextoNormal"/>
      </w:pPr>
      <w:r w:rsidRPr="008107C7">
        <w:rPr>
          <w:rStyle w:val="NumeroAFNegritaCaracter"/>
        </w:rPr>
        <w:t>7</w:t>
      </w:r>
      <w:r>
        <w:t xml:space="preserve">. Por escrito registrado ante este Tribunal el 24 de marzo de 1985, el Ministerio Fiscal dio curso al trámite anterior, solicitando de este Tribunal que dictara Sentencia en virtud de la cual acordara estimar el amparo solicitado, por entender que las resoluciones judiciales recurridas han vulnerado el art. 24.1 C.E. Para el Fiscal no puede afirmarse que el Juzgado de lo Social incurriera en una inactividad procesal. De manera periódica requirió y recordó a los preceptivos órganos y organizaciones ministeriales a fin de que le informaran sobre la existencia de créditos "Fondo de Ayuda al Desarrollo" concedidos al Estado demandado, así como de cualquier otro tipo de préstamo o concesión económica. El Juzgado también intentó pesquisas sobre bienes inmobiliarios inscritos a favor del Estado y Embajada demandadas, resultando infructuosa la gestión. Es decir, el Juzgado, hasta la providencia de 1 de junio de 1993, hizo todo lo posible por la efectividad de la ejecución. No cabe decir lo mismo, a juicio del Fiscal, de la representación letrada del actor de amparo, que nada solicitó, ni cuando fue requerido designó bienes iure gestionis susceptibles de amparo. </w:t>
      </w:r>
    </w:p>
    <w:p w:rsidR="008107C7" w:rsidRDefault="008107C7" w:rsidP="008107C7">
      <w:pPr>
        <w:pStyle w:val="TextoNormal"/>
      </w:pPr>
      <w:r>
        <w:t>Por otra parte, en la STC 107/1992 se mencionaban, en un caso semejante al presente, otras vías de satisfacción del interés del ejecutante; y, así, se decía "... por ejemplo, cabría pensar en el recurso a la vía de la protección diplomática, en los casos en que la misma sea procedente con arreglo al Derecho internacional público, o, en último término, en una asunción por parte del Estado del foro del deber de satisfacer la obligación judicialmente declarada, cuando la inejecución de la misma pudiera suponer un sacrificio especial para el justiciable contrario al principio de igualdad ante las cargas públicas". Según el Fiscal, es al filo de esta reflexión donde surge la posibilidad de amparo. El Juzgado si bien instó la vía diplomática, y quedó a la espera, acabó archivando la causa sin interesar del Ministerio de Asuntos Exteriores el estado de la reclamación en vía diplomática, y si procedía, intentar la ejecución subsidiaria en el Estado del foro. En consecuencia, y a juicio del Ministerio Fiscal, al no haber agotado esas posibilidades, el Juzgado vulneró con su decisión de archivo el derecho de ejecución, por lo que considera que el amparo debe prosperar. Su alcance presupondría la anulación de la diligencia de archivo y la prosecución de la ejecución por las vías antes reseñadas.</w:t>
      </w:r>
    </w:p>
    <w:p w:rsidR="008107C7" w:rsidRDefault="008107C7" w:rsidP="008107C7">
      <w:pPr>
        <w:pStyle w:val="TextoNormal"/>
      </w:pPr>
    </w:p>
    <w:p w:rsidR="008107C7" w:rsidRDefault="008107C7" w:rsidP="008107C7">
      <w:pPr>
        <w:pStyle w:val="TextoNormal"/>
      </w:pPr>
      <w:r w:rsidRPr="008107C7">
        <w:rPr>
          <w:rStyle w:val="NumeroAFNegritaCaracter"/>
        </w:rPr>
        <w:t>8</w:t>
      </w:r>
      <w:r>
        <w:t xml:space="preserve">. El Abogado del Estado registró escrito ante este Tribunal el día 13 de diciembre de 1996 mediante el que se persona en el presente recurso, en nombre y representación del Fondo de Garantía Salarial, y formula las alegaciones previstas en el art. 52.1 LOTC. Se aduce en el mismo que es de aplicación al caso la doctrina contenida en las SSTC 197/1992 y 292/1994, de las que resulta que son ejecutables las Sentencias dictadas por Tribunales españoles y condenatorias de Estados extranjeros, siempre que la ejecución se circunscriba a bienes destinados a las actividades prestadas iure gestionis, si existieran. No obstante, se </w:t>
      </w:r>
      <w:r>
        <w:lastRenderedPageBreak/>
        <w:t xml:space="preserve">manifiesta que de las actuaciones consultadas no se constata que el Juzgado de lo Social se haya planteado la cuestión de si existen bienes pertenecientes a la República de Guinea Ecuatorial que no gocen de inmunidad de ejecución para proceder a su traba y realización o aplicación. Por ello, seria posible otorgar el amparo reconociendo al demandante su derecho a la ejecución de la Sentencia dictada contra la Embajada de Guinea Ecuatorial sobre bienes que no gocen de inmunidad de ejecución, si alguna vez llegan a existir antes de que prescriba la acción de ejecución. De todos modos, en opinión del Abogado del Estado, éste sería un reconocimiento vacío de consecuencias prácticas desde el punto de vista del éxito de la ejecución y tendría el inconveniente de no hacer justicia a los intentos del Juzgado por lograr la ejecución de la Sentencia. Además, considera que, en buena parte, el problema que se plantea es el del éxito económico de la ejecución, algo que el art. 24 C.E. no garantiza; y, en el presente caso, se da la peculiaridad de que la Embajada parece no tener bienes libres susceptibles de traba, es decir, bienes no inmunes a la ejecución por estar adscritos a actividades iure gestionis, mientras que bienes ostensiblemente pertenecientes a la Embajada (o más exactamente a la República de Guinea Ecuatorial) parecen ser inmunes a la ejecución. </w:t>
      </w:r>
    </w:p>
    <w:p w:rsidR="008107C7" w:rsidRDefault="008107C7" w:rsidP="008107C7">
      <w:pPr>
        <w:pStyle w:val="TextoNormal"/>
      </w:pPr>
      <w:r>
        <w:t xml:space="preserve">Por otra parte, se aduce que la tesis contenida en la STC 107/1992, fundamento jurídico 3º in fine, en donde se contiene una referencia a la posible "asunción por parte del Estado del foro del deber de satisfacer la obligación judicialmente declarada, cuando la inejecución de la misma (por razón de inmunidad de ejecución) pudiera suponer un sacrificio especial para el justiciable contrario al principio de igualdad ante las cargas públicas", presenta graves problemas y dificultades; pero es que, además, en todo caso, este es, en su opinión, un problema de responsabilidad patrimonial de la Administración absolutamente ajeno a la jurisdicción constitucional de amparo, sobre el que, por tanto, sería improcedente cualquier pronunciamiento en el presente recurso. </w:t>
      </w:r>
    </w:p>
    <w:p w:rsidR="008107C7" w:rsidRDefault="008107C7" w:rsidP="008107C7">
      <w:pPr>
        <w:pStyle w:val="TextoNormal"/>
      </w:pPr>
      <w:r>
        <w:t>A pesar de estos inconvenientes, esta parte solicita que se dicte Sentencia reconociendo el derecho del actor a la ejecución de la Sentencia en bienes de la Embajada de Guinea Ecuatorial destinados a actividades iure gestionis, si existieran.</w:t>
      </w:r>
    </w:p>
    <w:p w:rsidR="008107C7" w:rsidRDefault="008107C7" w:rsidP="008107C7">
      <w:pPr>
        <w:pStyle w:val="TextoNormal"/>
      </w:pPr>
    </w:p>
    <w:p w:rsidR="008107C7" w:rsidRDefault="008107C7" w:rsidP="008107C7">
      <w:pPr>
        <w:pStyle w:val="TextoNormal"/>
      </w:pPr>
      <w:r w:rsidRPr="008107C7">
        <w:rPr>
          <w:rStyle w:val="NumeroAFNegritaCaracter"/>
        </w:rPr>
        <w:t>9</w:t>
      </w:r>
      <w:r>
        <w:t>. Por providencia de 19 de diciembre de 1996, la Sección, visto el contenido del anterior, acordó unirlo a las presentes actuaciones y tener por personado y parte al Abogado del Estado en el procedimiento en la representación que ostenta.</w:t>
      </w:r>
    </w:p>
    <w:p w:rsidR="008107C7" w:rsidRDefault="008107C7" w:rsidP="008107C7">
      <w:pPr>
        <w:pStyle w:val="TextoNormal"/>
      </w:pPr>
    </w:p>
    <w:p w:rsidR="008107C7" w:rsidRDefault="008107C7" w:rsidP="008107C7">
      <w:pPr>
        <w:pStyle w:val="TextoNormal"/>
      </w:pPr>
      <w:r w:rsidRPr="008107C7">
        <w:rPr>
          <w:rStyle w:val="NumeroAFNegritaCaracter"/>
        </w:rPr>
        <w:t>10</w:t>
      </w:r>
      <w:r>
        <w:t>. Por providencia de 6 de febrero de 1997, se señaló para deliberación y votación de la presente Sentencia el día 10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El presente recurso tiene como objeto la diligencia del Juzgado de lo Social núm. 20 de los de Madrid, de 30 de noviembre de 1993, por la que se declara el archivo de la ejecución de la Sentencia del mismo Juzgado (entonces, Magistratura de Trabajo), de 22 de abril de 1986, recaída en autos 1.257/84, sobre nulidad de despido. Todas las partes personadas en este proceso y el Ministerio Fiscal coinciden en atribuir al acto que se impugna la vulneración del art. 24.1 C.E., en su vertiente de derecho a la ejecución de las Sentencias firmes.</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Como se ha relatado en los antecedentes, la ejecución que se reclama se remonta a 1984, año en el que don Emilio Blanco presentó escrito de demanda por despido contra la </w:t>
      </w:r>
      <w:r>
        <w:lastRenderedPageBreak/>
        <w:t>Embajada de Guinea Ecuatorial en España, en la que había desempeñado un puesto como conductor. Tras sucesivos trámites, entre los que destacan la Sentencia de Magistratura que declaraba la incompetencia de esa jurisdicción para conocer de la demanda formulada y la Sentencia del Tribunal Supremo, por la que casó y anuló la anterior, la Magistratura de Trabajo núm.  20 de Madrid dictó nueva Sentencia de 22 de abril de 1986, declarando nulo el despido acordado por la mencionada Embajada y condenándola a la readmisión inmediata del demandante, con abono de salarios dejados de percibir hasta que la readmisión tuviera lugar. Pero como quiera que la mencionada misión diplomática no procedió a la readmisión del trabajador despedido, éste reclamó el abono de la indemnización correspondiente, quedando definitivamente fijada, por Auto de 3 de abril de 1989, en la suma de 2.546.574 ptas., en concepto de indemnización y salarios de tramitación. Designados por el demandante los bienes sobre los que se solicitaba el embargo (cuentas corrientes y bienes muebles e inmuebles), el Juzgado decretó el embargo de los saldos existentes en las cuentas corrientes referidas por el actor y, al mismo tiempo, requirió, sucesivamente, a los distintos Registros de la Propiedad de Madrid y de Majadahonda, a fin de que remitiesen certificación de bienes inmuebles que aparecieran inscritos a nombre de Embajada de Guinea Ecuatorial. Todas estas gestiones resultaron, o bien insatisfactorias, o bien infructuosas, tal y como se detalla en los antecedentes.</w:t>
      </w:r>
    </w:p>
    <w:p w:rsidR="008107C7" w:rsidRDefault="008107C7" w:rsidP="008107C7">
      <w:pPr>
        <w:pStyle w:val="TextoNormal"/>
      </w:pPr>
      <w:r>
        <w:t>Se declaró, así, la insolvencia de la Embajada ejecutada con carácter provisional y parcial, facilitándose, con ello, la intervención del Fondo de Garantía Salarial en el proceso, quien, tras los correspondientes trámites, concedió al actor el importe de 581.788 ptas., subrogándose por tal cuantía en los derechos del trabajador. El Abogado del Estado, en nombre y representación del mencionado Fondo, interesó que se practicaran, por una parte, una serie de diligencias tendentes a averiguar la existencia de posibles bienes de la meritada Embajada a través de determinados organismos públicos y, por otra, instó que se trabara embargo sobre bienes sitos en el domicilio de la misma y sus vehículos. El Juzgado accedió a la práctica de las diligencias solicitadas relativas a recabar nueva información sobre posibles bienes, pero no así al embargo de los bienes mencionados.</w:t>
      </w:r>
    </w:p>
    <w:p w:rsidR="008107C7" w:rsidRDefault="008107C7" w:rsidP="008107C7">
      <w:pPr>
        <w:pStyle w:val="TextoNormal"/>
      </w:pPr>
      <w:r>
        <w:t>Se inició así una larga sucesión de oficios dictados por el órgano judicial a distintos organismos públicos a fin de que le informaran sobre la existencia de cualquier tipo de subvenciones o ayudas concedidas por el Estado español al Estado de Guinea Ecuatorial. El tipo de gestiones que realizó el Juez en este período de la ejecución deberá ser objeto de un examen más detenido, dada su relevancia para la resolución del presente caso; pero baste recordar, por el momento, que la respuesta negativa de tales organismos, con independencia de la causa que la motivó, llevó al juzgador a requerir al Ministerio de Asuntos Exteriores el acceso a la vía de protección diplomática, lo que motivó, por parte del citado Ministerio, la entrega de una nota verbal a la Embajada de la República de Guinea Ecuatorial. El Juzgado, en junio de 1993, acordó quedar a la espera de su cumplimiento. Sin embargo, fue en el mes de noviembre cuando, ante la falta de un resultado satisfactorio de tal gestión, se dictó la diligencia de archivo, motivo del presente amparo.</w:t>
      </w:r>
    </w:p>
    <w:p w:rsidR="008107C7" w:rsidRDefault="008107C7" w:rsidP="008107C7">
      <w:pPr>
        <w:pStyle w:val="TextoNormal"/>
      </w:pPr>
      <w:r>
        <w:t>Este extracto de los hechos que han dado lugar al presente amparo permite identificar las cuestiones que deben abordarse para la resolución del mismo.  Así, será ineludible determinar el contenido del derecho fundamental que se alega. También será necesario examinar con detenimiento las obligaciones del sujeto pasivo frente al que se ejerce. Posteriormente, y analizados en abstracto los elementos de la estructura del derecho consagrado en el art.  24.1 C.E., éstos deberán ponerse en relación con el contexto concreto en el que se plantea la queja del recurrente, a saber, la ejecución de una Sentencia dictada en el orden laboral frente a una Embajada de un Estado extranjero sita en España.</w:t>
      </w:r>
    </w:p>
    <w:p w:rsidR="008107C7" w:rsidRDefault="008107C7" w:rsidP="008107C7">
      <w:pPr>
        <w:pStyle w:val="TextoNormal"/>
      </w:pPr>
    </w:p>
    <w:p w:rsidR="008107C7" w:rsidRDefault="008107C7" w:rsidP="008107C7">
      <w:pPr>
        <w:pStyle w:val="TextoNormal"/>
      </w:pPr>
      <w:r w:rsidRPr="008107C7">
        <w:rPr>
          <w:rStyle w:val="NumeroAFNegritaCaracter"/>
        </w:rPr>
        <w:t>3</w:t>
      </w:r>
      <w:r>
        <w:t>. Este Tribunal ha afirmado, y ahora lo debemos reiterar, que la ejecución de las Sentencias forma parte del derecho a la tutela efectiva de los Jueces y Tribunales, ya que en caso contrario las decisiones judiciales y los derechos que en las mismas se reconocen o declaran no serían otra cosa que meras declaraciones de intenciones sin alcance práctico ni efectividad alguna. Más concretamente, el derecho a la ejecución impide que el órgano judicial se aparte, sin causa justificada, de lo previsto en el fallo que ha de ejecutar, o que se abstenga de adoptar las medidas necesarias para proveer a la ejecución de la misma, cuando ello sea legalmente exigible (SSTC 125/1987, 215/1988, 153/1992, entre otras). El contenido principal del derecho consiste, pues, en que esa prestación jurisdiccional sea respetuosa con lo fallado y enérgica, si fuera preciso, frente a su eventual contradicción por terceros.  En tal contexto, no es cometido de este Tribunal la determinación de cuáles sean las decisiones que, en cada caso, hayan de adoptarse para la ejecución de lo resuelto, pero sí deberá vigilar, cuando de la reparación de eventuales lesiones del derecho a la tutela judicial se trate, que ésta no sea debida a una decisión arbitraria ni irrazonable, ni tenga su origen en la pasividad o desfallecimiento de los órganos judiciales para adoptar las medidas necesarias que aseguren la satisfacción de este derecho (STC 153/1992).</w:t>
      </w:r>
    </w:p>
    <w:p w:rsidR="008107C7" w:rsidRDefault="008107C7" w:rsidP="008107C7">
      <w:pPr>
        <w:pStyle w:val="TextoNormal"/>
      </w:pPr>
      <w:r>
        <w:t>Profundizando en estas dos últimas cuestiones, sobre las que sí puede y debe pronunciarse este Tribunal en ejercicio de su jurisdicción, hemos afirmado, por una parte, que una decisión de no ejecución de una Sentencia habrá de apoyarse en la concurrencia de una causa prevista por una norma legal, pero interpretada a su vez en el sentido más favorable a tal ejecución, sin que sea constitucionalmente válida la inejecución salvo que así se decida expresamente en resolución motivada, en aplicación de una causa prevista por una norma legal y no interpretada restrictivamente (SSTC 155/1985, 151/1993). Por otra parte, y en relación con el deber de diligencia que debe desplegar el órgano judicial en toda ejecución, en aquellos casos en los que la resolución de ejecución deba ser cumplida por un ente público, éste ha de llevarla a cabo con la necesaria diligencia, sin obstaculizar el cumplimiento de lo acordado, por imponerlo así el art.  118 C.E.; y cuando tal obstaculización se produzca, el Juez ha de adoptar las medidas necesarias para la ejecución, de acuerdo con las leyes. Si tales medidas no se adoptan con la intensidad necesaria -y legalmente posible- para remover la obstaculización producida, el órgano judicial vulnera el derecho fundamental a la ejecución de las Sentencias, que le impone -como antes decíamos- el deber de adoptar las medidas oportunas para llevarlas a cabo (SSTC 64/1987, 298/1994).</w:t>
      </w:r>
    </w:p>
    <w:p w:rsidR="008107C7" w:rsidRDefault="008107C7" w:rsidP="008107C7">
      <w:pPr>
        <w:pStyle w:val="TextoNormal"/>
      </w:pPr>
    </w:p>
    <w:p w:rsidR="008107C7" w:rsidRDefault="008107C7" w:rsidP="008107C7">
      <w:pPr>
        <w:pStyle w:val="TextoNormal"/>
      </w:pPr>
      <w:r w:rsidRPr="008107C7">
        <w:rPr>
          <w:rStyle w:val="NumeroAFNegritaCaracter"/>
        </w:rPr>
        <w:t>4</w:t>
      </w:r>
      <w:r>
        <w:t>. Pues bien, conectando el contenido del derecho que se invoca con los sujetos y el Juzgado encargado de la ejecución que conforman su estructura ha de precisarse ahora cuál es el deber de diligencia exigido legalmente al órgano judicial en relación con el procedimiento judicial concreto que ha tenido lugar. En el presente caso, tal delimitación hace inexcusable una referencia a las leyes laborales.</w:t>
      </w:r>
    </w:p>
    <w:p w:rsidR="008107C7" w:rsidRDefault="008107C7" w:rsidP="008107C7">
      <w:pPr>
        <w:pStyle w:val="TextoNormal"/>
      </w:pPr>
      <w:r>
        <w:t>Ahora bien, el contexto legal referido presenta cierta complejidad en un supuesto como el de autos, en el que su fase de ejecución, desde su comienzo hasta el momento actual, ha sobrevivido a tres normativas distintas. Se rigió en su inicio por la Ley de Procedimiento Laboral (en adelante L.P.L.), aprobada por el Real Decreto legislativo 1.568/1980, de 13 de junio; a éste sobrevino la Ley de Procedimiento Laboral, aprobada por el Real Decreto legislativo 521/1990, de 27 de abril (Disposición transitoria cuarta); y, actualmente, de seguir la ejecución, regiría el nuevo texto de dicha Ley, aprobado por el Real Decreto legislativo 2/1995, de 7 de abril (Disposición transitoria cuarta).</w:t>
      </w:r>
    </w:p>
    <w:p w:rsidR="008107C7" w:rsidRDefault="008107C7" w:rsidP="008107C7">
      <w:pPr>
        <w:pStyle w:val="TextoNormal"/>
      </w:pPr>
      <w:r>
        <w:lastRenderedPageBreak/>
        <w:t>De este modo, la norma que ha configurado el ejercicio del derecho a la ejecución de la Sentencia recaída en el proceso de autos ni es única, ni su contenido es el mismo. La Ley de Procedimiento Laboral de 1990, además de incrementar notablemente el número de preceptos dedicados a la fase ejecutiva de las Sentencias laborales, introdujo una nueva regulación en relación con las obligaciones del órgano ejecutor. A estos preceptos habrá que hacer especial mención, pues tales normas han sido de aplicación al procedimiento que ahora enjuiciamos. Lo mismo sucede con la última reforma de 1995, que también lo sería de continuar abierta la ejecución.</w:t>
      </w:r>
    </w:p>
    <w:p w:rsidR="008107C7" w:rsidRDefault="008107C7" w:rsidP="008107C7">
      <w:pPr>
        <w:pStyle w:val="TextoNormal"/>
      </w:pPr>
      <w:r>
        <w:t>Punto común de este conjunto normativo es tanto el modo de inicio como el de seguimiento e impulso de esta fase procesal.  Señalaba el entonces vigente art. 201 de la L.P.L. de 1980 que "La ejecución de las Sentencias dictadas por las Magistraturas de Trabajo tendrán únicamente lugar a instancia de parte.  Una vez solicitada, se llevará a efecto por todos sus trámites, dictándose de oficio todos los proveídos necesarios". El impulso de oficio de la ejecución de los procesos laborales se reitera y perfecciona en las dos Leyes procesales posteriores (art. 236 de la L.P.L. de 1990 y art. 237 de la L.P.L. de 1995).</w:t>
      </w:r>
    </w:p>
    <w:p w:rsidR="008107C7" w:rsidRDefault="008107C7" w:rsidP="008107C7">
      <w:pPr>
        <w:pStyle w:val="TextoNormal"/>
      </w:pPr>
      <w:r>
        <w:t>De acuerdo con tal normativa, la ejecución de las Sentencias laborales se inicia tras el Auto de despacho de la ejecución. A partir de este momento, el órgano judicial debe practicar diversas diligencias sobre la existencia de bienes o derechos del ejecutado con los que éste pudiere hacer frente a la obligación declarada en Sentencia. El art.  204 de la entonces vigente L.P.L.  de 1980 circunscribía la realización de esas diligencias ante la Alcaldía, el Registro de la Propiedad y la Delegación de Hacienda correspondientes. En cambio, el art. 247 de la L.P.L. de 1990 ampliaba la capacidad del Juez para efectuar dichas diligencias a todos los organismos y registros públicos, de cualquier ámbito territorial, en los que se presumiera que el ejecutado pudiera tener bienes; además la extendía a entidades financieras o depositarias u otras personas privadas que, por el objeto de su normal actividad o por sus relaciones jurídicas con el ejecutado, debieran tener constancia de los bienes o derechos de éste o pudieran resultar deudoras del mismo. En idénticos términos se ha expresado el vigente art.  248 de la L.P.L.  de 1995.</w:t>
      </w:r>
    </w:p>
    <w:p w:rsidR="008107C7" w:rsidRDefault="008107C7" w:rsidP="008107C7">
      <w:pPr>
        <w:pStyle w:val="TextoNormal"/>
      </w:pPr>
      <w:r>
        <w:t>Además de estas concretas diligencias averiguatorias, la reforma de 1990 implantó una importante novedad respecto de la legislación anterior que se mantiene en la regulación actual. Su art. 246 establecía, previo requerimiento del órgano judicial, la obligación del propio ejecutado de efectuar manifestación sobre sus bienes o derechos.  Manifestación que alcanzaba, incluso, a indicar las personas que ostentaran derechos de cualquier naturaleza sobre sus bienes (actual art. 247 de la L.P.L. de 1995).</w:t>
      </w:r>
    </w:p>
    <w:p w:rsidR="008107C7" w:rsidRDefault="008107C7" w:rsidP="008107C7">
      <w:pPr>
        <w:pStyle w:val="TextoNormal"/>
      </w:pPr>
      <w:r>
        <w:t>De lo expuesto se deduce, pues, que el contenido del derecho a la ejecución de la Sentencias, en nuestro caso, impone al órgano judicial un conjunto de obligaciones de actuar en cuanto medios instrumentales necesarios para poder dar satisfacción al titular de dicho derecho fundamental: tras dictar Auto despachando la ejecución, debe requerir al ejecutado, a los organismos públicos de cualquier ámbito territorial en el que se presuma que el ejecutado pueda tener bienes y a cualquier organismo o persona privada en los términos indicados.</w:t>
      </w:r>
    </w:p>
    <w:p w:rsidR="008107C7" w:rsidRDefault="008107C7" w:rsidP="008107C7">
      <w:pPr>
        <w:pStyle w:val="TextoNormal"/>
      </w:pPr>
      <w:r>
        <w:t>Ahora bien, aunque hubiera que tener en cuenta que las tres Leyes procesales antes mencionadas han ido modificando el ámbito de la propia actuación judicial, según se acaba de ver, la pervivencia en el tiempo del presente procedimiento de ejecución (desde el Auto de despacho de ejecución 20 de octubre de 1988 hasta diligencia de archivo de 30 de noviembre de 1993) ha hecho confluir en el mismo las exigencias contenidas en las dos primeras normas y, a la postre, el canon de aquella actuación judicial se ha establecido por la suma de ambas regulaciones. Suma a la que habría de añadirse el contenido de la tercera Ley, como se ha dicho, de continuar abierta la ejecución.</w:t>
      </w:r>
    </w:p>
    <w:p w:rsidR="008107C7" w:rsidRDefault="008107C7" w:rsidP="008107C7">
      <w:pPr>
        <w:pStyle w:val="TextoNormal"/>
      </w:pPr>
    </w:p>
    <w:p w:rsidR="008107C7" w:rsidRDefault="008107C7" w:rsidP="008107C7">
      <w:pPr>
        <w:pStyle w:val="TextoNormal"/>
      </w:pPr>
      <w:r w:rsidRPr="008107C7">
        <w:rPr>
          <w:rStyle w:val="NumeroAFNegritaCaracter"/>
        </w:rPr>
        <w:t>5</w:t>
      </w:r>
      <w:r>
        <w:t>. Todavía en el análisis del contenido del derecho fundamental invocado por el actor en el marco del proceso laboral, y delimitadas las obligaciones que incumben al órgano judicial en el mismo, debemos referirnos también a aquellas facultades de las que, al mismo tiempo, dispone, en conexión con los hechos que han tenido lugar en el presente supuesto.</w:t>
      </w:r>
    </w:p>
    <w:p w:rsidR="008107C7" w:rsidRDefault="008107C7" w:rsidP="008107C7">
      <w:pPr>
        <w:pStyle w:val="TextoNormal"/>
      </w:pPr>
      <w:r>
        <w:t>En el iter procesal de la ejecución de una Sentencia dictada en el ámbito laboral bien puede suceder que, tras la práctica de las distintas diligencias averiguatorias señaladas, el proceso se archive por insolvencia total o parcial del ejecutado, cuando no se encontraren bienes o bienes suficientes en los que hacer traba o embargo. La declaración por parte del Juez de la insolvencia del deudor y el consiguiente archivo de las actuaciones son facultades que la Ley concede al órgano judicial en determinadas circunstancias; por lo que, de concurrir éstas, aquel Acuerdo no vulnera por si mismo derecho fundamental alguno.</w:t>
      </w:r>
    </w:p>
    <w:p w:rsidR="008107C7" w:rsidRDefault="008107C7" w:rsidP="008107C7">
      <w:pPr>
        <w:pStyle w:val="TextoNormal"/>
      </w:pPr>
      <w:r>
        <w:t>Lo cierto es que la declaración de insolvencia del ejecutado se decide, en cualquier caso, de forma provisional, no definitiva (arts. 204 de la L.P.L. de 1980; 273.2 de la L.P.L. de 1990 y 274 de la L.P.L. de 1995), lo que, por una parte, asegura, incluso en caso de archivo por esa causa, que no se interrumpa la prescripción de la acción ejecutiva mientras no esté cumplida en su integridad la obligación que se ejecuta (arts. 240.3 de la L.P.L. 1990 y 241.3 de la L.P.L. de 1995); por otra, permite proseguir o reabrir la ejecución si se conocen bienes del deudor por haber venido a mejor fortuna.  Cuestión distinta es la de que tal posibilidad pueda ser más teórica que real si persiste la insolvencia del deudor. Mas ello, como se ha dicho, no afecta a la integridad de la tutela judicial efectiva, pues el art. 24.1 C.E.  no garantiza la solvencia de los deudores (STC 171/1991, fundamento jurídico 4º).</w:t>
      </w:r>
    </w:p>
    <w:p w:rsidR="008107C7" w:rsidRDefault="008107C7" w:rsidP="008107C7">
      <w:pPr>
        <w:pStyle w:val="TextoNormal"/>
      </w:pPr>
      <w:r>
        <w:t>No obstante, una cosa es que la decisión de archivo de la acción ejecutoria por insolvencia del deudor no entrañe en si misma una vulneración del art.  24.1 C.E. y otra muy distinta es que el órgano judicial la adopte sin haber dado cumplimiento previo a las obligaciones que el art. 24.1 C.E. le impone en el ámbito laboral. Repárese, en este sentido, que la resolución judicial de archivo tiene, entre otros efectos, abrir la vía del recurso de amparo. O dicho de otro modo: el archivo de la acción ejecutoria supone que el Juez "cancela", por más que sea de modo provisional, su obligación de dar curso de oficio a la ejecución.  Pues bien, desde la perspectiva constitucional es menester examinar si la decisión de archivo ha sido adoptada después de haber agotado todas y cada una de las posibilidades descritas en las leyes de procedimiento para la averiguación de la existencia de bienes suficientes del ejecutado. En caso contrario, podría constatarse una vulneración del art. 24.1 C.E.</w:t>
      </w:r>
    </w:p>
    <w:p w:rsidR="008107C7" w:rsidRDefault="008107C7" w:rsidP="008107C7">
      <w:pPr>
        <w:pStyle w:val="TextoNormal"/>
      </w:pPr>
    </w:p>
    <w:p w:rsidR="008107C7" w:rsidRDefault="008107C7" w:rsidP="008107C7">
      <w:pPr>
        <w:pStyle w:val="TextoNormal"/>
      </w:pPr>
      <w:r w:rsidRPr="008107C7">
        <w:rPr>
          <w:rStyle w:val="NumeroAFNegritaCaracter"/>
        </w:rPr>
        <w:t>6</w:t>
      </w:r>
      <w:r>
        <w:t>. Antes, sin embargo, de entrar al análisis de los hechos concretos es necesaria, para acabar de dejar perfilada la estructura del derecho fundamental invocado, una referencia al sujeto ejecutado -la Embajada de Guinea Ecuatorial- quien, por su especial condición subjetiva, aporta una serie de peculiaridades al objeto del presente amparo.</w:t>
      </w:r>
    </w:p>
    <w:p w:rsidR="008107C7" w:rsidRDefault="008107C7" w:rsidP="008107C7">
      <w:pPr>
        <w:pStyle w:val="TextoNormal"/>
      </w:pPr>
      <w:r>
        <w:t>No es este un supuesto extraño a la casuística de nuestra jurisprudencia, puesto que hemos tenido ya oportunidad de pronunciarnos anteriormente en dos asuntos -SSTC 107/1992 y 292/1994- en los que, también en un procedimiento de ejecución laboral, el sujeto ejecutado era una Embajada extranjera sita en España. Estos dos casos plantean, desde un punto de vista doctrinal, la cuestión de hasta qué punto la condición subjetiva del ejecutado puede matizar el contenido del art. 24.1 C.E.; en definitiva, plantean las relaciones entre la inmunidad de ejecución de los Estados extranjeros y el derecho a la tutela judicial efectiva como comprensivo del derecho a la ejecución de las Sentencias.</w:t>
      </w:r>
    </w:p>
    <w:p w:rsidR="008107C7" w:rsidRDefault="008107C7" w:rsidP="008107C7">
      <w:pPr>
        <w:pStyle w:val="TextoNormal"/>
      </w:pPr>
      <w:r>
        <w:lastRenderedPageBreak/>
        <w:t>Sin necesidad de reiterar ahora los argumentos expuestos en las dos resoluciones mencionadas y centrándonos en lo que aquí interesa, sí conviene reiterar las siguientes afirmaciones:</w:t>
      </w:r>
    </w:p>
    <w:p w:rsidR="008107C7" w:rsidRDefault="008107C7" w:rsidP="008107C7">
      <w:pPr>
        <w:pStyle w:val="TextoNormal"/>
      </w:pPr>
      <w:r>
        <w:t>a) Corresponde a este Tribunal, en esta vía de amparo, comprobar que la decisión de inejecución se ha basado en una causa legal, interpretada en el sentido más favorable a la efectividad de la tutela.</w:t>
      </w:r>
    </w:p>
    <w:p w:rsidR="008107C7" w:rsidRDefault="008107C7" w:rsidP="008107C7">
      <w:pPr>
        <w:pStyle w:val="TextoNormal"/>
      </w:pPr>
      <w:r>
        <w:t>b) Desde esta perspectiva el régimen de inmunidad de ejecución de los Estados extranjeros no es contrario, cualquiera que éste sea, al derecho a la tutela judicial efectiva consagrado por el art. 24.1 C.E., pero, por otra parte, una indebida extensión o ampliación por parte de los Tribunales ordinarios del ámbito que es dable atribuir a la inmunidad de ejecución de los Estados extranjeros en el actual ordenamiento internacional acarrea una violación del derecho a la tutela judicial efectiva del ejecutante, porque supone restringir sin motivo las posibilidades del justiciable de conseguir la efectividad del fallo, sin que ninguna norma imponga una excepción a dicha efectividad.</w:t>
      </w:r>
    </w:p>
    <w:p w:rsidR="008107C7" w:rsidRDefault="008107C7" w:rsidP="008107C7">
      <w:pPr>
        <w:pStyle w:val="TextoNormal"/>
      </w:pPr>
      <w:r>
        <w:t>c) El régimen concreto de la inmunidad de ejecución de los Estados extranjeros, por remisión del art. 21.1 L.O.P.J, se contiene en normas de Derecho internacional público que se obtienen por inducción de datos de origen muy diverso, entre los que se encuentran las convenciones internacionales y la práctica de los Estados. Analizados en las dos resoluciones a las que nos referimos, llegamos a la conclusión de que no existe una inmunidad absoluta, sino relativa, de ejecución de los Estados, conclusión que se ve reforzada por la propia exigencia de efectividad de los derechos contenidos en el art. 24 C.E. y por la ratio de la inmunidad, que no es la de otorgar a los Estados una protección indiscriminada, sino la de salvaguardar la integridad de su soberanía. Por tanto, la delimitación del alcance concreto de la inmunidad de ejecución de los Estados debe partir de que, con carácter general, cuando en una determinada actividad o cuando en la afectación de determinados bienes no esté empeñada la soberanía del Estado extranjero, tanto el ordenamiento internacional como, por remisión, el ordenamiento interno desautorizan que se inejecute una Sentencia; en consecuencia, una decisión de inejecución supone en tales casos una vulneración del art.  24.1 C.E.</w:t>
      </w:r>
    </w:p>
    <w:p w:rsidR="008107C7" w:rsidRDefault="008107C7" w:rsidP="008107C7">
      <w:pPr>
        <w:pStyle w:val="TextoNormal"/>
      </w:pPr>
      <w:r>
        <w:t>d) Además de esta delimitación genérica, es preciso tener en cuenta que determinados bienes gozan de una particular inmunidad por la calidad de sus titulares, como ocurre con los de las misiones diplomáticas y consulares; de modo que la inmunidad de los Estados se asienta sobre una doble distinción: 1) son absolutamente inmunes a la ejecución los bienes de las misiones diplomáticas y consulares; 2) son inmunes a la ejecución los demás bienes de los Estados extranjeros que estén destinados a actividades iure imperii, pero no los destinados a actividades iure gestionis.</w:t>
      </w:r>
    </w:p>
    <w:p w:rsidR="008107C7" w:rsidRDefault="008107C7" w:rsidP="008107C7">
      <w:pPr>
        <w:pStyle w:val="TextoNormal"/>
      </w:pPr>
      <w:r>
        <w:t>e) De este modo, corresponde en cada caso al Juez ejecutor determinar cuáles de entre los bienes que sea titular un Estado extranjero en nuestro territorio, y que no sean específicamente de las misiones diplomáticas o consulares, están inequívocamente destinados al desenvolvimiento de actividades en las que dicho Estado, sin hacer uso de su potestad de imperio, actúa de la misma manera que un particular.</w:t>
      </w:r>
    </w:p>
    <w:p w:rsidR="008107C7" w:rsidRDefault="008107C7" w:rsidP="008107C7">
      <w:pPr>
        <w:pStyle w:val="TextoNormal"/>
      </w:pPr>
      <w:r>
        <w:t>f) No es necesario que los bienes objeto de la ejecución estén destinados a la misma actividad iure gestionis que provocó el litigio, pues otra cosa podría hacer ilusoria la ejecución.</w:t>
      </w:r>
    </w:p>
    <w:p w:rsidR="008107C7" w:rsidRDefault="008107C7" w:rsidP="008107C7">
      <w:pPr>
        <w:pStyle w:val="TextoNormal"/>
      </w:pPr>
      <w:r>
        <w:t xml:space="preserve">g) Por último, añadíamos en la STC 292/1994, que aunque en tales casos el demandado en el proceso de instancia no sea propiamente el Estado extranjero, sino su Embajada, ésta no es sino un órgano de aquel Estado y su representante en España [art.  3.1 a) del Convenio </w:t>
      </w:r>
      <w:r>
        <w:lastRenderedPageBreak/>
        <w:t>de Viena sobre relaciones diplomáticas], por lo que no es imprudente extender las posibilidades de ejecución de la Sentencia no a los bienes de la Embajada afectos al desenvolvimiento de las actividades que le son propias, que gozan de absoluta inmunidad de ejecución, sino a aquellos otros de los que sea titular el Estado en último término demandado que estén afectos a actividades de naturaleza comercial o similar, a los que, en los términos antedichos, no alcance la inmunidad de ejecución.</w:t>
      </w:r>
    </w:p>
    <w:p w:rsidR="008107C7" w:rsidRDefault="008107C7" w:rsidP="008107C7">
      <w:pPr>
        <w:pStyle w:val="TextoNormal"/>
      </w:pPr>
      <w:r>
        <w:t>A lo dicho hasta ahora cabe añadir dos datos relevantes en relación con el caso aquí enjuiciado: que cuando el sujeto ejecutado es una Embajada o un Estado extranjero no puede presumirse su insolvencia y, sobre todo, que, en estos supuestos, cuando surgen dificultades en la ejecución de las resoluciones judiciales cobra vital importancia la colaboración de los poderes públicos del Estado del foro y, en especial, de su Ministerio de Asuntos Exteriores. Por ello el órgano judicial debe recabar sin desmayo esta colaboración cuya negativa puede producir de nacimiento las pertinentes responsabilidades.</w:t>
      </w:r>
    </w:p>
    <w:p w:rsidR="008107C7" w:rsidRDefault="008107C7" w:rsidP="008107C7">
      <w:pPr>
        <w:pStyle w:val="TextoNormal"/>
      </w:pPr>
    </w:p>
    <w:p w:rsidR="008107C7" w:rsidRDefault="008107C7" w:rsidP="008107C7">
      <w:pPr>
        <w:pStyle w:val="TextoNormal"/>
      </w:pPr>
      <w:r w:rsidRPr="008107C7">
        <w:rPr>
          <w:rStyle w:val="NumeroAFNegritaCaracter"/>
        </w:rPr>
        <w:t>7</w:t>
      </w:r>
      <w:r>
        <w:t>. Los fundamentos anteriores nos han permitido perfilar el contenido de la pretensión ejercitada y sus límites.  Ahora es menester, para llevar a buen fin la resolución del presente amparo, poner en relación las conclusiones anteriores con el supuesto de hecho que ha dado lugar al mismo.</w:t>
      </w:r>
    </w:p>
    <w:p w:rsidR="008107C7" w:rsidRDefault="008107C7" w:rsidP="008107C7">
      <w:pPr>
        <w:pStyle w:val="TextoNormal"/>
      </w:pPr>
      <w:r>
        <w:t>En esta tarea, deben resaltarse de inmediato las diferencias que concurren entre el caso de autos y los resueltos en las SSTC 107/1992 y 292/1994, aunque en algunos aspectos la doctrina allí contenida sí sea, como se verá, de aplicación al presente caso.  Desde esta perspectiva, frente a lo acaecido en aquellos supuestos, este recurso de amparo no se interpone porque el órgano judicial haya estimado una inmunidad absoluta de los bienes de la Embajada ejecutada y, en consecuencia, haya denegado la ejecución de la Sentencia correspondiente. Se interpone porque a pesar de que se han intentado varios embargos éstos se han visto mayoritariamente frustrados y no ha podido satisfacerse el derecho del recurrente a la ejecución de la Sentencia laboral.</w:t>
      </w:r>
    </w:p>
    <w:p w:rsidR="008107C7" w:rsidRDefault="008107C7" w:rsidP="008107C7">
      <w:pPr>
        <w:pStyle w:val="TextoNormal"/>
      </w:pPr>
      <w:r>
        <w:t>Bien es cierto, que, en nuestro caso, el Juzgado de lo Social denegó el embargo solicitado por el Abogado del Estado sobre bienes existentes en el domicilio de la demandada y sobre los distintos vehículos que le prestaban servicio. Pero esta decisión, es perfectamente acorde con la doctrina contenida en las reiteradas SSTC 107/1992 y 292/1994, según la cual tales bienes gozan de inmunidad absoluta de ejecución.</w:t>
      </w:r>
    </w:p>
    <w:p w:rsidR="008107C7" w:rsidRDefault="008107C7" w:rsidP="008107C7">
      <w:pPr>
        <w:pStyle w:val="TextoNormal"/>
      </w:pPr>
      <w:r>
        <w:t>Al margen de esta decisión, y lejos de realizar una proclamación general de inmunidad de ejecución de la Embajada de Guinea Ecuatorial, el Juzgado de lo Social ha procedido al embargo de los únicos bienes -cuentas corrientes con cantidades dinerarias irrisorias, como se relata en los antecedentes- que han aflorado de la demandada durante la fase de ejecución; bienes que, desde luego no han cubierto más que una parte insignificante de la obligación de la Embajada ejecutada.</w:t>
      </w:r>
    </w:p>
    <w:p w:rsidR="008107C7" w:rsidRDefault="008107C7" w:rsidP="008107C7">
      <w:pPr>
        <w:pStyle w:val="TextoNormal"/>
      </w:pPr>
      <w:r>
        <w:t>Pues bien, como se ve, no nos enfrentamos aquí con una decisión judicial que niegue el derecho del recurrente a ver ejecutada la resolución recaída en el proceso laboral por estimar la concurrencia de la inmunidad de ejecución de los bienes de la deudora.  El problema es otro: el objeto de este amparo consiste en una decisión de archivo provocada por la supuesta insolvencia de la Embajada deudora. O visto desde otra perspectiva: de las diligencias realizadas por el órgano judicial no ha surgido el conocimiento de la existencia de bienes embargables suficientes con los que la Embajada deudora pudiera hacer frente a la obligación impuesta en la Sentencia cuya ejecución se pretendía.</w:t>
      </w:r>
    </w:p>
    <w:p w:rsidR="008107C7" w:rsidRDefault="008107C7" w:rsidP="008107C7">
      <w:pPr>
        <w:pStyle w:val="TextoNormal"/>
      </w:pPr>
      <w:r>
        <w:lastRenderedPageBreak/>
        <w:t>Con ello, toda la cuestión se centra en determinar si el órgano judicial, sobre quien recae la carga de llevar a término la ejecución, ha impulsado el procedimiento con el alcance que el art. 24.1 C.E. le impone en el ámbito laboral.</w:t>
      </w:r>
    </w:p>
    <w:p w:rsidR="008107C7" w:rsidRDefault="008107C7" w:rsidP="008107C7">
      <w:pPr>
        <w:pStyle w:val="TextoNormal"/>
      </w:pPr>
      <w:r>
        <w:t>Desde luego, no puede afirmarse que, en el presente caso, el Juzgado de lo Social haya mantenido una actitud pasiva durante la fase de ejecución. Antes al contrario, basta leer los antecedentes de esta resolución para comprender cuán laboriosa y compleja ha sido la tarea desempeñada por el Juez, que se ha visto incluso obstaculizada por la renuencia de diversos organismos públicos en dar respuesta a los distintos oficios que les ha dirigido durante el curso de la ejecución. No debe olvidarse que la falta de respuesta o la respuesta tardía de tales organismos pudo, por otra parte, haber generado su responsabilidad, como ya puso de manifiesto la Comisión Disciplinaria del Consejo General del Poder Judicial en su Acuerdo de 5 de diciembre de 1990, que consta en las actuaciones, por el que archiva el expediente abierto contra el Juez del Juzgado de lo Social núm. 20 "... por no apreciarse, según lo informado, responsabilidad disciplinaria, ya que la interrupción del curso de la ejecutoria no es atribuible al Juzgado de lo Social núm. 20 de Madrid sino a la Administración".</w:t>
      </w:r>
    </w:p>
    <w:p w:rsidR="008107C7" w:rsidRDefault="008107C7" w:rsidP="008107C7">
      <w:pPr>
        <w:pStyle w:val="TextoNormal"/>
      </w:pPr>
      <w:r>
        <w:t>Ahora bien, constatado esto, es preciso señalar también que en este supuesto lo que está en juego es el derecho fundamental de un ciudadano; y, cualquiera que sea la complejidad de la causa y las dificultades que entrañe su adecuada resolución, el órgano judicial viene obligado, por el propio ordenamiento, a utilizar todas las vías que objetivamente sean posibles y pertinentes para dotar de eficacia al contenido del derecho fundamental en litigio. De esta forma, la decisión judicial de interrumpir las actuaciones no debe responder a un principio de discrecionalidad o razonabilidad subjetiva sino a un principio imperativo objetivo marcado por el ordenamiento, en los términos expresados en nuestro fundamento jurídico 4º. Y, por los motivos que ahora se dirán, tal supuesto se ha producido en esta causa.</w:t>
      </w:r>
    </w:p>
    <w:p w:rsidR="008107C7" w:rsidRDefault="008107C7" w:rsidP="008107C7">
      <w:pPr>
        <w:pStyle w:val="TextoNormal"/>
      </w:pPr>
    </w:p>
    <w:p w:rsidR="008107C7" w:rsidRDefault="008107C7" w:rsidP="008107C7">
      <w:pPr>
        <w:pStyle w:val="TextoNormal"/>
      </w:pPr>
      <w:r w:rsidRPr="008107C7">
        <w:rPr>
          <w:rStyle w:val="NumeroAFNegritaCaracter"/>
        </w:rPr>
        <w:t>8</w:t>
      </w:r>
      <w:r>
        <w:t>. En efecto, el examen del cumplimiento de aquel principio objetivo pone de manifiesto ciertas carencias en la realización de las actividades indagatorias sobre la existencia de bienes de la ejecutada ante el elenco de organismos públicos, entidades y personas privadas que el art. 247 de la L.P.L. de 1990 (actual art. 248 de la L.P.L. de 1995) preveía frente al art. 204 de la L.P.L.  de 1980. Según consta en los antecedentes, ciertamente, a petición de la parte recurrente, el órgano judicial decretó el embargo de los saldos de la Embajada existentes en las cuentas corrientes de las entidades financieras indicadas por el actor, con los resultados ya descritos. No obstante, su actividad impulsora de oficio se circunscribió a dichas entidades sin solicitar ampliación informativa a otros organismos en los que previsiblemente pudieran constar la relación de tales bienes, como, por ejemplo el Ministerio de Asuntos Exteriores u otros Ministerios que, por razón de competencia, pudieran tener constancia de esos bienes o derechos afectables. Lo propio hay que señalar de los requerimientos realizados a los Registros de la Propiedad de Madrid y de Majadahonda y al Ayuntamiento de Madrid, a fin de que remitiesen certificación de bienes inmuebles que aparecieren inscritos a nombre de la Embajada de Guinea Ecuatorial.</w:t>
      </w:r>
    </w:p>
    <w:p w:rsidR="008107C7" w:rsidRDefault="008107C7" w:rsidP="008107C7">
      <w:pPr>
        <w:pStyle w:val="TextoNormal"/>
      </w:pPr>
      <w:r>
        <w:t xml:space="preserve">Pero, además, y ello es fundamental, el contenido de los distintos requerimientos y oficios mencionados adolecían de una importante imprecisión: pretendía únicamente la averiguación o, en su caso, el embargo de bienes de titularidad de la Embajada de Guinea Ecuatorial. Sin embargo, como se dejó indicado en el fundamento jurídico 6º, aunque, en puridad, la demandada en el proceso de instancia no fuera la República de Guinea Ecuatorial, sino su Embajada, ésta no es sino órgano de aquel Estado y su representante en España, por lo que las posibilidades de ejecución de la Sentencia se extienden también a aquellos otros bienes de que sea titular el Estado en último término demandado, y a los que no alcance la </w:t>
      </w:r>
      <w:r>
        <w:lastRenderedPageBreak/>
        <w:t>inmunidad de ejecución. En consecuencia, ha quedado al margen de la investigación el principal titular potencial de bienes susceptibles de utilización para lograr una ejecución de la Sentencia acorde con el derecho fundamental protegido.</w:t>
      </w:r>
    </w:p>
    <w:p w:rsidR="008107C7" w:rsidRDefault="008107C7" w:rsidP="008107C7">
      <w:pPr>
        <w:pStyle w:val="TextoNormal"/>
      </w:pPr>
      <w:r>
        <w:t>En ese mismo ámbito de carencias, también se hace notar la no cumplimentación de lo dispuesto en el art. 246 de la L.P.L.  de 1990 (art. 247 de la L.P.L. de 1995) por parte del órgano judicial, pues no ha requerido a la ejecutada para que efectuase manifestación sobre sus bienes o derechos con la precisión necesaria para garantizar sus responsabilidades y con necesaria indicación, además, de las personas que ostentaran derechos de cualquier naturaleza sobre sus bienes.</w:t>
      </w:r>
    </w:p>
    <w:p w:rsidR="008107C7" w:rsidRDefault="008107C7" w:rsidP="008107C7">
      <w:pPr>
        <w:pStyle w:val="TextoNormal"/>
      </w:pPr>
      <w:r>
        <w:t>Sin embargo, dadas las circunstancias del presente caso, el desfallecimiento más relevante sufrido por el órgano judicial en la ejecución de la Sentencia se refiere al seguimiento de dos diligencias iniciadas por el Juzgado, a instancia del Abogado Estado, en relación con los organismos competentes de los Ministerios de Economía y Hacienda y de Asuntos Exteriores.</w:t>
      </w:r>
    </w:p>
    <w:p w:rsidR="008107C7" w:rsidRDefault="008107C7" w:rsidP="008107C7">
      <w:pPr>
        <w:pStyle w:val="TextoNormal"/>
      </w:pPr>
      <w:r>
        <w:t>En efecto, como se ha señalado con detalle en los antecedentes, el órgano judicial, tras requerir la información pertinente, decidió, de un lado, dirigir oficio a los referidos organismos decretando el embargo de los créditos que pudiera haber concedido a Guinea Ecuatorial y la retención y puesta a disposición del Juzgado de las cantidades que pudieran tener pendiente de pago al mencionado Estado y, de otro lado, requerir del Ministerio de Asuntos Exteriores el acceso a la vía diplomática.</w:t>
      </w:r>
    </w:p>
    <w:p w:rsidR="008107C7" w:rsidRDefault="008107C7" w:rsidP="008107C7">
      <w:pPr>
        <w:pStyle w:val="TextoNormal"/>
      </w:pPr>
      <w:r>
        <w:t>El contenido de las contestaciones relativas al embargo y a la retención de créditos y ayudas, o bien fueron negativas, en el sentido de que en tal momento no existían fondos disponibles, o bien fueron positivas, señalando la existencia de tales fondos, pero expresando a su vez la imposibilidad de acceder a lo solicitado por el Juzgado porque la aceptación de dicha solicitud hubiera supuesto, a su juicio, el que España incurriera en responsabilidad internacional al traer causa las ayudas de un Tratado de amistad con Guinea Ecuatorial.</w:t>
      </w:r>
    </w:p>
    <w:p w:rsidR="008107C7" w:rsidRDefault="008107C7" w:rsidP="008107C7">
      <w:pPr>
        <w:pStyle w:val="TextoNormal"/>
      </w:pPr>
      <w:r>
        <w:t>El requerimiento dirigido al Ministro de Asuntos Exteriores concluyó con una nota verbal a la Embajada de la República de Guinea Ecuatorial que no tuvo respuesta alguna.</w:t>
      </w:r>
    </w:p>
    <w:p w:rsidR="008107C7" w:rsidRDefault="008107C7" w:rsidP="008107C7">
      <w:pPr>
        <w:pStyle w:val="TextoNormal"/>
      </w:pPr>
      <w:r>
        <w:t>Decretar el archivo en estas circunstancias equivale a no agotar las posibilidades de actuación que el ordenamiento ofrece al órgano judicial ejecutor. En efecto, respecto de las ayudas y subvenciones, el juez se conformó, sin más indagación, con la contestación de que no existían en tal momento fondos disponibles siendo así que consta en el expediente que este tipo de ayudas se conceden de forma periódica, como en la práctica ha venido ocurriendo entre los años 1989 a 1995 en los que el Estado español ha concedido substanciosas ayudas y subvenciones al Estado de Guinea Ecuatorial.  Por otra parte, y ante la negativa de la Administración de acceder al embargo decretado de las ayudas y subvenciones, por entender ésta que la aceptación de dicha orden supondría el que España incurriera en responsabilidad internacional, el órgano judicial debió reiterar hasta obtener respuesta y bajo el apercibimiento correspondiente, la orden referida, pues el cumplimiento de las Sentencias y demás resoluciones firmes de los Jueces y Tribunales es obligatorio, así como prestar la colaboración requerida por éstos en el curso del proceso y en la ejecución de lo resuelto (art. 118 C.E., 17 L.O.P.J. y 410 C.P).</w:t>
      </w:r>
    </w:p>
    <w:p w:rsidR="008107C7" w:rsidRDefault="008107C7" w:rsidP="008107C7">
      <w:pPr>
        <w:pStyle w:val="TextoNormal"/>
      </w:pPr>
      <w:r>
        <w:t xml:space="preserve">En cuanto a la vía diplomática, dada la ya referida trascendencia que debe atribuirse a la colaboración del Ministerio de Asuntos Exteriores, el Juzgado debía haber reiterado su requerimiento antes de declarar el archivo, no aquietándose ante la falta de respuesta de la Embajada a la nota verbal. El órgano judicial debía insistir en el requerimiento al Ministerio de Asuntos Exteriores para que adoptase las medidas que el Derecho internacional le ofrece </w:t>
      </w:r>
      <w:r>
        <w:lastRenderedPageBreak/>
        <w:t>en el ámbito de las relaciones diplomáticas frente a la Embajada de otro Estado y frente al mismo Estado en el ámbito de las relaciones económicas. De haberse reiterado la gestión iniciada, cabía esperar un resultado positivo en orden a la pretendida ejecución de la Sentencia y ello sin perjuicio de la responsabilidad de la Administración por su inactividad, caso de no continuarlas.</w:t>
      </w:r>
    </w:p>
    <w:p w:rsidR="008107C7" w:rsidRDefault="008107C7" w:rsidP="008107C7">
      <w:pPr>
        <w:pStyle w:val="TextoNormal"/>
      </w:pPr>
      <w:r>
        <w:t>Al no reiterar su orden y ceder pasivamente ante las respuestas de la Administración, el juez declinó su obligación de utilizar cuantos cauces le brinda el ordenamiento para ejecutar una Sentencia firme. Cabría pensar, no obstante, que en el interín el Juez asumió la respuesta de imposibilidad de embargo de aquellos bienes ofrecida por el mencionado Ministerio; pero ello, obligaba al órgano judicial a exteriorizar, mediante resolución motivada, cuáles eran los impedimentos que, a su juicio, concurrían para no proceder al embargo de las ayudas y subvenciones otorgadas al Estado de Guinea Ecuatorial.</w:t>
      </w:r>
    </w:p>
    <w:p w:rsidR="008107C7" w:rsidRDefault="008107C7" w:rsidP="008107C7">
      <w:pPr>
        <w:pStyle w:val="TextoNormal"/>
      </w:pPr>
      <w:r>
        <w:t>Sea como sea, y visto desde la perspectiva que se quiera, la conclusión sigue siendo la misma: cuando finalmente se ha llegado al conocimiento de la existencia de determinados bienes de la Embajada deudora, el órgano judicial se muestra inactivo siendo así que el ordenamiento le compelía a actuar a fin de satisfacer el derecho fundamental del recurrente a ver ejecutada la Sentencia de 22 de abril de 1986.</w:t>
      </w:r>
    </w:p>
    <w:p w:rsidR="008107C7" w:rsidRDefault="008107C7" w:rsidP="008107C7">
      <w:pPr>
        <w:pStyle w:val="TextoNormal"/>
      </w:pPr>
    </w:p>
    <w:p w:rsidR="008107C7" w:rsidRDefault="008107C7" w:rsidP="008107C7">
      <w:pPr>
        <w:pStyle w:val="TextoNormal"/>
      </w:pPr>
      <w:r w:rsidRPr="008107C7">
        <w:rPr>
          <w:rStyle w:val="NumeroAFNegritaCaracter"/>
        </w:rPr>
        <w:t>9</w:t>
      </w:r>
      <w:r>
        <w:t>. Por todo lo expuesto, el recurso de amparo debe ser estimado. El derecho a la tutela judicial efectiva sin indefensión, en su vertiente de derecho a la ejecución de las resoluciones firmes, ha sido conculcado por el órgano judicial por cuanto la diligencia de 30 de noviembre de 1993, ha procedido al archivo de la ejecución antes de haber agotado todas las posibilidades de actuación judicial que el ordenamiento jurídico prevé, en los términos indicados en los fundamentos anteriores.</w:t>
      </w:r>
    </w:p>
    <w:p w:rsidR="008107C7" w:rsidRDefault="008107C7" w:rsidP="008107C7">
      <w:pPr>
        <w:pStyle w:val="TextoNormal"/>
      </w:pPr>
      <w:r>
        <w:t>No obstante, y a pesar de este reconocimiento, no podemos concluir esta Sentencia sin insistir, de nuevo, en el hecho de que una vez se hayan cumplido las obligaciones que derivan del deber de tutela judicial por parte del juez ejecutante, y que ahora se declaran por el momento insatisfechas, de persistir la insolvencia del deudor o de no hallarse bienes destinados a actividades iure gestionis, el consiguiente archivo ya no afectaría el derecho fundamental reconocido en el art. 24.1 C.E., pues dicho precepto ni garantiza la solvencia de los deudores, ni impide la aplicación del régimen de inmunidad de ejecución a ciertos bienes de los Estados extranjeros, como podría ser el caso.</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Otorgar el amparo solicitado y, en su virtud,</w:t>
      </w:r>
    </w:p>
    <w:p w:rsidR="008107C7" w:rsidRDefault="008107C7" w:rsidP="008107C7">
      <w:pPr>
        <w:pStyle w:val="TextoNormal"/>
      </w:pPr>
      <w:r>
        <w:t>1º. Declarar que se ha vulnerado el derecho a la tutela judicial efectiva.</w:t>
      </w:r>
    </w:p>
    <w:p w:rsidR="008107C7" w:rsidRDefault="008107C7" w:rsidP="008107C7">
      <w:pPr>
        <w:pStyle w:val="TextoNormal"/>
      </w:pPr>
      <w:r>
        <w:t>2º. Restablecer al recurrente en su derecho y, en consecuencia, declarar la nulidad de la diligencia que archiva la ejecución, de 30 de noviembre de 1993 (autos núm. 182/86) de la Sentencia del Juzgado de lo Social núm. 20 de Madrid (entonces, Magistratura de Trabajo), de 22 de abril de 1986, recaída en autos múm. 1.257/84, sobre nulidad de despido, para que continúe la ejecución de la referida Sentencia.</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diez de febrero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22" w:name="SENTENCIA_1997_19"/>
      <w:r>
        <w:lastRenderedPageBreak/>
        <w:t>SENTENCIA 19/1997, de 10 de febrero de 1997</w:t>
      </w:r>
    </w:p>
    <w:bookmarkEnd w:id="22"/>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63, de 14 de marzo de 1997)</w:t>
      </w:r>
    </w:p>
    <w:p w:rsidR="008107C7" w:rsidRDefault="008107C7" w:rsidP="008107C7">
      <w:pPr>
        <w:pStyle w:val="TtuloBOE"/>
      </w:pPr>
    </w:p>
    <w:p w:rsidR="008107C7" w:rsidRDefault="008107C7" w:rsidP="008107C7">
      <w:pPr>
        <w:pStyle w:val="SntesisDescriptiva"/>
      </w:pPr>
      <w:r>
        <w:t>ECLI:ES:TC:1997:19</w:t>
      </w:r>
    </w:p>
    <w:p w:rsidR="008107C7" w:rsidRDefault="008107C7" w:rsidP="008107C7">
      <w:pPr>
        <w:pStyle w:val="SntesisDescriptiva"/>
      </w:pPr>
    </w:p>
    <w:p w:rsidR="008107C7" w:rsidRDefault="008107C7" w:rsidP="008107C7">
      <w:pPr>
        <w:pStyle w:val="SntesisDescriptiva"/>
      </w:pPr>
      <w:r>
        <w:t>Recurso de amparo 687/1994. Contra providencias de la Sala de lo Contencioso-Administrativo del T.S.J. de las Islas Baleares dictadas en autos que acordaron el archivo del recurso contencioso-administrativo formulado por el actor contra la Resolución del Ministerio de Obras Públicas, Transportes y Comunicaciones  que acordó desahucio administrativo de vivienda.</w:t>
      </w:r>
    </w:p>
    <w:p w:rsidR="008107C7" w:rsidRDefault="008107C7" w:rsidP="008107C7">
      <w:pPr>
        <w:pStyle w:val="SntesisDescriptiva"/>
      </w:pPr>
    </w:p>
    <w:p w:rsidR="008107C7" w:rsidRDefault="008107C7" w:rsidP="008107C7">
      <w:pPr>
        <w:pStyle w:val="SntesisAnaltica"/>
      </w:pPr>
      <w:r>
        <w:t>Vulneración del derecho a la tutela judicial efectiva: subsanabilidad de omisión de comunicación previa.</w:t>
      </w:r>
    </w:p>
    <w:p w:rsidR="008107C7" w:rsidRDefault="008107C7" w:rsidP="008107C7">
      <w:pPr>
        <w:pStyle w:val="SntesisAnaltica"/>
      </w:pPr>
    </w:p>
    <w:p w:rsidR="008107C7" w:rsidRDefault="008107C7" w:rsidP="008107C7">
      <w:pPr>
        <w:pStyle w:val="Extracto"/>
      </w:pPr>
      <w:r>
        <w:t>1.</w:t>
      </w:r>
      <w:r>
        <w:tab/>
        <w:t>La cuestión que se plantea en el presente recurso de amparo ha sido resuelta en la Sentencia del Pleno de este Tribunal (STC 76/1996), cuya doctrina ha sido reiterada en posteriores Sentencias de Sala (SSTC 83/1996 y 84/1996). En la mencionada Sentencia declaramos la constitucionalidad del art. 110.3 de la Ley 30/1992, y del art. 57.2 f) de la Ley Reguladora de la Jurisdicción Contencioso-Administrativa, siempre que se interpretaran en el sentido que señala el párrafo 2. del fundamento jurídico 7. de la referida resolución. [F.J. 3]</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687/94, interpuesto por don Jesús de Frutos Rodríguez, representado por la Procuradora doña Isabel Cañedo Vega y bajo la dirección del Letrado don Ángel Gracia Caramés, contra las providencias de la Sala de lo Contencioso-Administrativo del Tribunal Superior de Justicia de las Islas Baleares, de 13 de enero y 19 de febrero de 1994, dictadas en autos 1.214/93, que acordaron el archivo del recurso contencioso-administrativo formulado por el actor contra la Resolución del Ministerio de Obras Públicas, Transportes y Comunicaciones que acordó el desahucio de la vivienda que venía ocupando en Ciutadella (Menorca). Han intervenido el Abogado del Estado y el Ministerio Fiscal. Ha sido Ponente el Magistrado don Fernando García-Mon y González-Regueral,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Por escrito registrado en este Tribunal el día 3 de marzo de 1994, doña Isabel Cañedo Vega, Procuradora de los Tribunales, actuando en nombre y representación de don Jesús Frutos Rodríguez, interpuso el recurso de amparo de que se ha hecho mérito en el encabezamiento con base, en síntesis, en los siguientes hechos: </w:t>
      </w:r>
    </w:p>
    <w:p w:rsidR="008107C7" w:rsidRDefault="008107C7" w:rsidP="008107C7">
      <w:pPr>
        <w:pStyle w:val="TextoNormal"/>
      </w:pPr>
      <w:r>
        <w:t xml:space="preserve">a) El recurrente en amparo, técnico mecánico de señales marítimas, fue destinado a la localidad de Ciutadella (Menorca) el 26 de enero de 1991, ocupando desde tal fecha la vivienda sita en el Faro de Punta Nati. </w:t>
      </w:r>
    </w:p>
    <w:p w:rsidR="008107C7" w:rsidRDefault="008107C7" w:rsidP="008107C7">
      <w:pPr>
        <w:pStyle w:val="TextoNormal"/>
      </w:pPr>
      <w:r>
        <w:t xml:space="preserve">b) Como consecuencia de su no integración como personal laboral en el Ente Público Autoridad Portuaria de Baleares y en aplicación de la Ley 27/1992, fue cesado en su puesto de trabajo en el Faro de Punta Nati, y adscrito provisionalmente a la Jefatura Provincial de Baleares de los Servicios Periféricos de la Marina Mercante. </w:t>
      </w:r>
    </w:p>
    <w:p w:rsidR="008107C7" w:rsidRDefault="008107C7" w:rsidP="008107C7">
      <w:pPr>
        <w:pStyle w:val="TextoNormal"/>
      </w:pPr>
      <w:r>
        <w:t xml:space="preserve">c) El día 13 de septiembre de 1993 se requiere al demandante para que desaloje la referida vivienda y tras formular alegaciones, el día 8 de octubre de 1993, el Ministerio de Obras Públicas y Transportes le notificó el acuerdo de desahucio administrativo de la vivienda. </w:t>
      </w:r>
    </w:p>
    <w:p w:rsidR="008107C7" w:rsidRDefault="008107C7" w:rsidP="008107C7">
      <w:pPr>
        <w:pStyle w:val="TextoNormal"/>
      </w:pPr>
      <w:r>
        <w:t xml:space="preserve">d) Contra esta Resolución, el demandante en amparo formuló recurso contencioso- administrativo ante la Sala de este orden del Tribunal Superior de Justicia de las Islas Baleares. </w:t>
      </w:r>
    </w:p>
    <w:p w:rsidR="008107C7" w:rsidRDefault="008107C7" w:rsidP="008107C7">
      <w:pPr>
        <w:pStyle w:val="TextoNormal"/>
      </w:pPr>
      <w:r>
        <w:t xml:space="preserve">e) Por providencia de 7 de diciembre de 1993 la referida Sala acordó requerir al actor para que en el plazo de diez días acreditara haber efectuado la comunicación previa a la que se refiere el art. 110.3 de la Ley de Régimen Jurídico de las Administraciones Públicas y del Procedimiento Administrativo Común. </w:t>
      </w:r>
    </w:p>
    <w:p w:rsidR="008107C7" w:rsidRDefault="008107C7" w:rsidP="008107C7">
      <w:pPr>
        <w:pStyle w:val="TextoNormal"/>
      </w:pPr>
      <w:r>
        <w:t xml:space="preserve">f) El día 24 de diciembre de 1993 el actor formuló la comunicación previa, poniéndolo en conocimiento de la Sala de lo Contencioso-Administrativo, y ésta, por providencia de 13 de enero de 1994, acordó el archivo de las actuaciones, por cuanto la comunicación exigida en el art. 110.3 de la Ley 30/1992 y 57.1 de la L.J.C.A. había sido formulada con carácter posterior a la interposición del recurso. </w:t>
      </w:r>
    </w:p>
    <w:p w:rsidR="008107C7" w:rsidRDefault="008107C7" w:rsidP="008107C7">
      <w:pPr>
        <w:pStyle w:val="TextoNormal"/>
      </w:pPr>
      <w:r>
        <w:t xml:space="preserve">g) Notificada esta resolución, el día 25 de enero de 1994 el actor formuló recurso de apelación contra la providencia de archivo de 13 de enero de 1994. </w:t>
      </w:r>
    </w:p>
    <w:p w:rsidR="008107C7" w:rsidRDefault="008107C7" w:rsidP="008107C7">
      <w:pPr>
        <w:pStyle w:val="TextoNormal"/>
      </w:pPr>
      <w:r>
        <w:t>h) Por providencia de la Sala de 9 de febrero de 1994, se acuerda no haber lugar a lo solicitado, por cuanto la providencia impugnada no era susceptible de recurso de apelación, archivándose, sin más, las actuaciones.</w:t>
      </w:r>
    </w:p>
    <w:p w:rsidR="008107C7" w:rsidRDefault="008107C7" w:rsidP="008107C7">
      <w:pPr>
        <w:pStyle w:val="TextoNormal"/>
      </w:pPr>
    </w:p>
    <w:p w:rsidR="008107C7" w:rsidRDefault="008107C7" w:rsidP="008107C7">
      <w:pPr>
        <w:pStyle w:val="TextoNormal"/>
      </w:pPr>
      <w:r w:rsidRPr="008107C7">
        <w:rPr>
          <w:rStyle w:val="NumeroAFNegritaCaracter"/>
        </w:rPr>
        <w:t>2</w:t>
      </w:r>
      <w:r>
        <w:t>. En la demanda de amparo se imputa a las resoluciones judiciales impugnadas la infracción del derecho a la tutela judicial efectiva, por cuanto, la interpretación que realiza la Sala del requisito de comunicación previa al que se refiere el art. 110.3 de la Ley 30/1992, resulta excesivamente formalista y ha privado al actor del acceso al recurso. Se afirma que la exigencia de la formulación de la comunicación fue cumplida por el demandante con posterioridad, y que la inadmisión del recurso formulado contra la decisión de archivo, constituye una interpretación rigorista y formalista contraria a la doctrina de este Tribunal Constitucional en esta materia.</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Por providencia de 10 de marzo de 1994, la Sección Cuarta de este Tribunal acordó, conforme determina el art. 50.5 LOTC, conceder al recurrente un plazo de diez días para que aportara copia, traslado o certificación de las resoluciones impugnadas, acreditara la </w:t>
      </w:r>
      <w:r>
        <w:lastRenderedPageBreak/>
        <w:t>fecha de notificación a su representación procesal de la providencia impugnada y de la resolución por la que se inadmitía el recurso de apelación interpuesto, así como que acreditara haber invocado ante la jurisdicción ordinaria el derecho constitucional que se estima violado.</w:t>
      </w:r>
    </w:p>
    <w:p w:rsidR="008107C7" w:rsidRDefault="008107C7" w:rsidP="008107C7">
      <w:pPr>
        <w:pStyle w:val="TextoNormal"/>
      </w:pPr>
    </w:p>
    <w:p w:rsidR="008107C7" w:rsidRDefault="008107C7" w:rsidP="008107C7">
      <w:pPr>
        <w:pStyle w:val="TextoNormal"/>
      </w:pPr>
      <w:r w:rsidRPr="008107C7">
        <w:rPr>
          <w:rStyle w:val="NumeroAFNegritaCaracter"/>
        </w:rPr>
        <w:t>4</w:t>
      </w:r>
      <w:r>
        <w:t>. Por escrito registrado el día 24 de marzo de 1994, la Procuradora del recurrente aportó la documentación requerida y por providencia de 9 de mayo de 1994, la Sección Cuarta acordó dirigir comunicación a la Sala de lo Contencioso-Administrativo del Tribunal Superior de Justicia de Baleares, a fin de que remitiera certificación en la que se hiciera constar si en la notificación de las providencias impugnadas se había efectuado la correspondiente indicación de los recursos procedentes. Por nueva providencia de 7 de julio, la Sección acordó requerir a la Sala de lo Contencioso la remisión de certificación o fotocopia adverada de las actuaciones correspondientes a los autos 1.214/93.</w:t>
      </w:r>
    </w:p>
    <w:p w:rsidR="008107C7" w:rsidRDefault="008107C7" w:rsidP="008107C7">
      <w:pPr>
        <w:pStyle w:val="TextoNormal"/>
      </w:pPr>
    </w:p>
    <w:p w:rsidR="008107C7" w:rsidRDefault="008107C7" w:rsidP="008107C7">
      <w:pPr>
        <w:pStyle w:val="TextoNormal"/>
      </w:pPr>
      <w:r w:rsidRPr="008107C7">
        <w:rPr>
          <w:rStyle w:val="NumeroAFNegritaCaracter"/>
        </w:rPr>
        <w:t>5</w:t>
      </w:r>
      <w:r>
        <w:t>. Por providencia de 9 de marzo de 1995, la Sección Cuarta acordó admitir a trámite la demanda de amparo y dirigir comunicación al Tribunal Superior de Justicia de las Islas Baleares, a fin de que, en plazo que no excediera de diez días, y obrando ya en esta Sala la certificación de las actuaciones correspondientes al recurso contencioso núm. 1.214/93, se emplazan para que pudieran comparecer en el recurso de amparo y defender sus derechos, a quienes fueron parte en el procedimiento, excepto el recurrente en amparo.</w:t>
      </w:r>
    </w:p>
    <w:p w:rsidR="008107C7" w:rsidRDefault="008107C7" w:rsidP="008107C7">
      <w:pPr>
        <w:pStyle w:val="TextoNormal"/>
      </w:pPr>
    </w:p>
    <w:p w:rsidR="008107C7" w:rsidRDefault="008107C7" w:rsidP="008107C7">
      <w:pPr>
        <w:pStyle w:val="TextoNormal"/>
      </w:pPr>
      <w:r w:rsidRPr="008107C7">
        <w:rPr>
          <w:rStyle w:val="NumeroAFNegritaCaracter"/>
        </w:rPr>
        <w:t>6</w:t>
      </w:r>
      <w:r>
        <w:t>. Por providencia de 4 de mayo de 1995 la Sección Cuarta acordó dar vista de las actuaciones remitidas por la Sala de lo Contencioso-Administrativo a la parte recurrente, al Abogado del Estado y al Ministerio Fiscal por plazo común de veinte días a fin de formular las alegaciones que estimaran convenientes, conforme determina el art. 52.1 de la LOTC.</w:t>
      </w:r>
    </w:p>
    <w:p w:rsidR="008107C7" w:rsidRDefault="008107C7" w:rsidP="008107C7">
      <w:pPr>
        <w:pStyle w:val="TextoNormal"/>
      </w:pPr>
    </w:p>
    <w:p w:rsidR="008107C7" w:rsidRDefault="008107C7" w:rsidP="008107C7">
      <w:pPr>
        <w:pStyle w:val="TextoNormal"/>
      </w:pPr>
      <w:r w:rsidRPr="008107C7">
        <w:rPr>
          <w:rStyle w:val="NumeroAFNegritaCaracter"/>
        </w:rPr>
        <w:t>7</w:t>
      </w:r>
      <w:r>
        <w:t>. El día 2 de junio de 1995 se presentó ante el Juzgado de Guardia de Madrid el escrito de alegaciones formuladas por la parte recurrente en el que reiteraba sus anteriores manifestaciones, invocaba la jurisprudencia de este Tribunal y suplicaba que se concediera el amparo solicitado.</w:t>
      </w:r>
    </w:p>
    <w:p w:rsidR="008107C7" w:rsidRDefault="008107C7" w:rsidP="008107C7">
      <w:pPr>
        <w:pStyle w:val="TextoNormal"/>
      </w:pPr>
    </w:p>
    <w:p w:rsidR="008107C7" w:rsidRDefault="008107C7" w:rsidP="008107C7">
      <w:pPr>
        <w:pStyle w:val="TextoNormal"/>
      </w:pPr>
      <w:r w:rsidRPr="008107C7">
        <w:rPr>
          <w:rStyle w:val="NumeroAFNegritaCaracter"/>
        </w:rPr>
        <w:t>8</w:t>
      </w:r>
      <w:r>
        <w:t xml:space="preserve">. El mismo día 2 de junio de 1995 tuvo entrada en el Registro de este Tribunal el escrito de alegaciones del Abogado del Estado en el que se solicitaba que se denegara el amparo solicitado. </w:t>
      </w:r>
    </w:p>
    <w:p w:rsidR="008107C7" w:rsidRDefault="008107C7" w:rsidP="008107C7">
      <w:pPr>
        <w:pStyle w:val="TextoNormal"/>
      </w:pPr>
      <w:r>
        <w:t xml:space="preserve">Sostiene esta representación que, según reiterada doctrina de este Tribunal, no vulnera el derecho a la tutela judicial efectiva una resolución judicial de inadmisibilidad que se apoye en una causa legal, rectamente aplicada por los órganos judiciales e interpretada en el sentido más favorable a la efectividad del derecho fundamental, que es lo ocurrido prima facie en el supuesto de autos, ya que la inadmisión, fundada y notificada, se apoya en la clara dicción literal del art. 110.3 de la Ley 30/1992, de Régimen Jurídico de las Administraciones Públicas y del Procedimiento Administrativo Común, que establece la obligatoriedad de la comunicación previa al recurso contencioso- administrativo, por lo que no cabe efectuar ningún reproche a la interpretación realizada por el órgano judicial. No obstante, continúa el Abogado del Estado, podría también sostenerse razonablemente otra interpretación del precepto que constriñera sus efectos a los casos en que el acto que agotara la vía administrativa fuera el acto originariamente impugnado. No obstante, afirma, la interpretación realizada por el órgano judicial en el supuesto de autos es igualmente razonable y quizás más </w:t>
      </w:r>
      <w:r>
        <w:lastRenderedPageBreak/>
        <w:t>próxima a la dicción literal del precepto, que no realiza ninguna distinción. Por otra parte, la imposibilidad de subsanar el requisito transcurrido el plazo para interponer el recurso era doctrina jurisprudencial pacífica con el derogado recurso de reposición, lo que confirma la razonabilidad del criterio sostenido por la Sala, si bien ésta podía haber sostenido una interpretación restrictiva del alcance del art. 110.3 de la Ley 30/1992, en el sentido de limitarlo a los casos en que el acto que agota la vía administrativa sea el acto originario.</w:t>
      </w:r>
    </w:p>
    <w:p w:rsidR="008107C7" w:rsidRDefault="008107C7" w:rsidP="008107C7">
      <w:pPr>
        <w:pStyle w:val="TextoNormal"/>
      </w:pPr>
    </w:p>
    <w:p w:rsidR="008107C7" w:rsidRDefault="008107C7" w:rsidP="008107C7">
      <w:pPr>
        <w:pStyle w:val="TextoNormal"/>
      </w:pPr>
      <w:r w:rsidRPr="008107C7">
        <w:rPr>
          <w:rStyle w:val="NumeroAFNegritaCaracter"/>
        </w:rPr>
        <w:t>9</w:t>
      </w:r>
      <w:r>
        <w:t xml:space="preserve">. El Fiscal ante el Tribunal Constitucional formuló sus alegaciones mediante escrito registrado el 31 de mayo de 1995. Tras resumir los antecedentes y fundamentos del recurso de amparo, señala, que antes de entrar en el examen del fondo del asunto, procede analizar la posible concurrencia de la causa de inadmisibilidad consistente en la extemporaneidad del recurso de amparo, y, afirma al respecto, que para entender agotada la vía judicial el recurrente debió formular recurso de súplica en el plazo de cinco días contra la providencia de archivo pero en lugar de ello el actor formuló un recurso de apelación, que fue rechazado por la Sala. Ahora bien, a pesar de la equivocación en el nomen iuris, la Sala, en aplicación del principio pro actione, debió tramitarlo como un recurso de súplica y no rechazarlo no por su posible extemporaneidad sino sólo por su inexacta denominación. Así las cosas, entiende el Ministerio Fiscal el recurso debe entenderse temporáneo, pues se interpuso dentro del plazo de veinte días desde la notificación de la providencia que inadmitió a trámite el recurso del actor. </w:t>
      </w:r>
    </w:p>
    <w:p w:rsidR="008107C7" w:rsidRDefault="008107C7" w:rsidP="008107C7">
      <w:pPr>
        <w:pStyle w:val="TextoNormal"/>
      </w:pPr>
      <w:r>
        <w:t xml:space="preserve">En cuanto al fondo, argumenta que la Sala de lo Contencioso ha procedido a realizar una interpretación literal del art. 110.3 de la Ley 30/1992 y 57.2 f) L.J.C.A., toda vez que ambos preceptos exigen que la comunicación de la interposición del recurso contencioso al órgano que dicta el acto impugnado tenga carácter previo y, por ello, considera insubsanable el defecto. Sin embargo, sostiene el Ministerio Fiscal siguiendo la doctrina sentada por la STC 53/1992, si bien las Resoluciones recurridas no se basan en un motivo inexistente para acordar la inadmisión del recurso contencioso, sí incurren en el defecto de irrazonabilidad que conlleva la vulneración de la tutela judicial efectiva. En primer término, porque al basarse en el adjetivo "previa" del art. 110.3 de la Ley 30/1992 como por el 57.2 f) L.J.C.A., ha realizado la interpretación de dichos preceptos más claramente contraria a la efectividad del derecho fundamental de acceso al recurso. En segundo lugar, porque no ha tenido en cuenta otras interpretaciones, posibles en nuestro ordenamiento jurídico, que hubieran permitido considerar que la comunicación realizada en un momento posterior supondría la subsanación del defecto procesal, y por último, la Sala podría haber realizado una interpretación conforme con la finalidad de los preceptos citados. </w:t>
      </w:r>
    </w:p>
    <w:p w:rsidR="008107C7" w:rsidRDefault="008107C7" w:rsidP="008107C7">
      <w:pPr>
        <w:pStyle w:val="TextoNormal"/>
      </w:pPr>
      <w:r>
        <w:t>Tales consideraciones llevan al Ministerio Fiscal a entender que pese al tenor literal de los mencionados preceptos no es un requisito absolutamente esencial e ineludible que la comunicación tenga carácter previo. Por tanto, la interpretación realizada por la Sala de lo Contencioso-Administrativo si bien es acorde con la literalidad de los preceptos, incurre en un formalismo exagerado e irrazonable que, al cerrar el paso a la admisión del recurso, vulnera el derecho a la tutela judicial efectiva por lo que concluye interesando que se dicte Sentencia otorgando el amparo.</w:t>
      </w:r>
    </w:p>
    <w:p w:rsidR="008107C7" w:rsidRDefault="008107C7" w:rsidP="008107C7">
      <w:pPr>
        <w:pStyle w:val="TextoNormal"/>
      </w:pPr>
    </w:p>
    <w:p w:rsidR="008107C7" w:rsidRDefault="008107C7" w:rsidP="008107C7">
      <w:pPr>
        <w:pStyle w:val="TextoNormal"/>
      </w:pPr>
      <w:r w:rsidRPr="008107C7">
        <w:rPr>
          <w:rStyle w:val="NumeroAFNegritaCaracter"/>
        </w:rPr>
        <w:t>10</w:t>
      </w:r>
      <w:r>
        <w:t>. Por providencia de 6 de febrero de 1997 se señaló para deliberación y fallo el día 10 siguiente.</w:t>
      </w:r>
    </w:p>
    <w:p w:rsidR="008107C7" w:rsidRDefault="008107C7" w:rsidP="008107C7">
      <w:pPr>
        <w:pStyle w:val="TextoNormal"/>
      </w:pPr>
    </w:p>
    <w:p w:rsidR="008107C7" w:rsidRDefault="008107C7" w:rsidP="008107C7">
      <w:pPr>
        <w:pStyle w:val="TextoNormalNegritaCentrado"/>
        <w:keepNext/>
      </w:pPr>
      <w:r>
        <w:lastRenderedPageBreak/>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Se impugna en el presente recurso de amparo la providencia dictada por la Sala de lo Contencioso-Administrativo del Tribunal Superior de Justicia de las Islas Baleares de 13 de enero de 1994 que acordó el archivo de las actuaciones correspondientes al recurso contencioso-administrativo núm.  1.214/1993 promovido por el demandante, por cuanto la comunicación previa exigida por el art. 110.3 de la Ley 30/1992 y 52.2 f) de la Ley de la Jurisdicción Contencioso-Administrativa se formuló con carácter posterior y no previo a la interposición del recurso contencioso-administrativo. Asimismo se recurre la providencia de 9 de febrero de 1994, que inadmitió a trámite el recurso formulado por el actor contra la referida providencia.</w:t>
      </w:r>
    </w:p>
    <w:p w:rsidR="008107C7" w:rsidRDefault="008107C7" w:rsidP="008107C7">
      <w:pPr>
        <w:pStyle w:val="TextoNormal"/>
      </w:pPr>
      <w:r>
        <w:t>Tanto el demandante de amparo como el Ministerio Fiscal, en contra de lo sostenido por el Abogado del Estado, estiman que las resoluciones impugnadas, que realizan una interpretación literal de los mencionados preceptos, lesionan el derecho fundamental a la tutela judicial efectiva, por cuanto con tal interpretación impiden al demandante subsanar la omisión de la comunicación previa que consideran un defecto subsanable, y, en consecuencia, el acceso al recurso.</w:t>
      </w:r>
    </w:p>
    <w:p w:rsidR="008107C7" w:rsidRDefault="008107C7" w:rsidP="008107C7">
      <w:pPr>
        <w:pStyle w:val="TextoNormal"/>
      </w:pPr>
    </w:p>
    <w:p w:rsidR="008107C7" w:rsidRDefault="008107C7" w:rsidP="008107C7">
      <w:pPr>
        <w:pStyle w:val="TextoNormal"/>
      </w:pPr>
      <w:r w:rsidRPr="008107C7">
        <w:rPr>
          <w:rStyle w:val="NumeroAFNegritaCaracter"/>
        </w:rPr>
        <w:t>2</w:t>
      </w:r>
      <w:r>
        <w:t>. No es preciso examinar la supuesta extemporaneidad del recurso apuntada en sus alegaciones por el Ministerio Fiscal, pues como en ellas señala, la denominación equivocada del recurso interpuesto contra la providencia de 13 de enero de 1994 que había ordenado el archivo de las actuaciones, y que, dirigido a la propia Sala calificó de apelación en lugar de suplica, no basta para considerarlo como un recurso notoriamente improcedente y, como tal, dilatorio del plazo para la interposición del amparo, sino que tal equivocación en el nomen iuris del recurso interpuesto, no impedía a la Sala conocer del mismo pues de ella se solicitaba, y no de un Tribunal superior, la revocación de la providencia impugnada.</w:t>
      </w:r>
    </w:p>
    <w:p w:rsidR="008107C7" w:rsidRDefault="008107C7" w:rsidP="008107C7">
      <w:pPr>
        <w:pStyle w:val="TextoNormal"/>
      </w:pPr>
      <w:r>
        <w:t>Ha de considerarse por ello que con dicho recurso se agotó la vía judicial y que, por tanto, se ha interpuesto el amparo dentro del plazo señalado en el art. 44.2 de nuestra Ley Orgánica a contar desde la notificación de la providencia, de 19 de febrero de 1994, también impugnada, que inadmitió dicho recurso sin otra base que su incorrecta denominación, contradicha por su contenido.</w:t>
      </w:r>
    </w:p>
    <w:p w:rsidR="008107C7" w:rsidRDefault="008107C7" w:rsidP="008107C7">
      <w:pPr>
        <w:pStyle w:val="TextoNormal"/>
      </w:pPr>
    </w:p>
    <w:p w:rsidR="008107C7" w:rsidRDefault="008107C7" w:rsidP="008107C7">
      <w:pPr>
        <w:pStyle w:val="TextoNormal"/>
      </w:pPr>
      <w:r w:rsidRPr="008107C7">
        <w:rPr>
          <w:rStyle w:val="NumeroAFNegritaCaracter"/>
        </w:rPr>
        <w:t>3</w:t>
      </w:r>
      <w:r>
        <w:t>. La cuestión que se plantea en el presente recurso de amparo ha sido resuelta en la Sentencia del Pleno de este Tribunal (STC 76/1996), cuya doctrina ha sido reiterada en posteriores Sentencias de Sala (SSTC 83/1996 y 84/1996). En la mencionada Sentencia del Pleno declaramos la constitucionalidad del art. 110.3 de la Ley 30/1992, y del art. 57.2 f) de la Ley Reguladora de la Jurisdicción Contencioso-Administrativa, siempre que se interpretaran en el sentido que señala el párrafo 2º del fundamento jurídico 7º de la referida resolución.</w:t>
      </w:r>
    </w:p>
    <w:p w:rsidR="008107C7" w:rsidRDefault="008107C7" w:rsidP="008107C7">
      <w:pPr>
        <w:pStyle w:val="TextoNormal"/>
      </w:pPr>
      <w:r>
        <w:t>Decíamos en la misma que "de entre las distintas interpretaciones posibles de las normas cuestionadas ha de prevalecer no la que sostienen los Autos de planteamiento de la cuestión de inconstitucionalidad, que determina la inadmisión del recurso contencioso-administrativo, impidiendo la resolución jurisdiccional de fondo, sino la que viene a hacer viable esta resolución con plena efectividad del derecho a la tutela judicial efectiva que reconoce el art. 24.1 C.E. y que se traduce en una configuración de la omisión de la comunicación previa como un defecto subsanable".</w:t>
      </w:r>
    </w:p>
    <w:p w:rsidR="008107C7" w:rsidRDefault="008107C7" w:rsidP="008107C7">
      <w:pPr>
        <w:pStyle w:val="TextoNormal"/>
      </w:pPr>
      <w:r>
        <w:lastRenderedPageBreak/>
        <w:t>En el presente caso la Sala de lo Contencioso- Administrativo del Tribunal Superior de Justicia de las Islas Baleares ha optado por una interpretación puramente literal de los referidos preceptos, interpretación que determinó la inadmisión del recurso contencioso formulado por el actor. Por consiguiente, de conformidad con la doctrina contenida en la indicada STC 76/1996 ha de declararse que tal interpretación, que impide la obtención de una resolución de fondo, no resulta conforme a las exigencias derivadas del derecho a la tutela judicial efectiva. Lo que conduce al otorgamiento del amparo solicitado y a retrotraer las actuaciones al momento anterior al que acordó el archivo de las mismas, a fin de que la Sala proceda a dictar nueva resolución, según la interpretación contenida en la citada Sentencia 76/1996 y conforme al derecho fundamental a la tutela judicial efectiva.</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Otorgar el amparo solicitado por don Jesús de Frutos Rodríguez y en su virtud:</w:t>
      </w:r>
    </w:p>
    <w:p w:rsidR="008107C7" w:rsidRDefault="008107C7" w:rsidP="008107C7">
      <w:pPr>
        <w:pStyle w:val="TextoNormal"/>
      </w:pPr>
      <w:r>
        <w:t>1º. Declarar que se ha lesionado al recurrente su derecho a la tutela judicial efectiva.</w:t>
      </w:r>
    </w:p>
    <w:p w:rsidR="008107C7" w:rsidRDefault="008107C7" w:rsidP="008107C7">
      <w:pPr>
        <w:pStyle w:val="TextoNormal"/>
      </w:pPr>
      <w:r>
        <w:t>2º. Restablecerle en su derecho y, a este fin, declarar la nulidad de las providencias dictadas por la Sala de lo Contencioso-Administrativo del Tribunal Superior de Justicia de las Islas Baleares de 13 de enero y 19 de febrero de 1994, y retrotraer las actuaciones al momento anterior a dictarse las mismas a fin de que por la referida Sala se resuelva el recurso contencioso-administrativo interpuesto por el recurrente en amparo.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diez de febrero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23" w:name="SENTENCIA_1997_20"/>
      <w:r>
        <w:lastRenderedPageBreak/>
        <w:t>SENTENCIA 20/1997, de 10 de febrero de 1997</w:t>
      </w:r>
    </w:p>
    <w:bookmarkEnd w:id="23"/>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63, de 14 de marzo de 1997)</w:t>
      </w:r>
    </w:p>
    <w:p w:rsidR="008107C7" w:rsidRDefault="008107C7" w:rsidP="008107C7">
      <w:pPr>
        <w:pStyle w:val="TtuloBOE"/>
      </w:pPr>
    </w:p>
    <w:p w:rsidR="008107C7" w:rsidRDefault="008107C7" w:rsidP="008107C7">
      <w:pPr>
        <w:pStyle w:val="SntesisDescriptiva"/>
      </w:pPr>
      <w:r>
        <w:t>ECLI:ES:TC:1997:20</w:t>
      </w:r>
    </w:p>
    <w:p w:rsidR="008107C7" w:rsidRDefault="008107C7" w:rsidP="008107C7">
      <w:pPr>
        <w:pStyle w:val="SntesisDescriptiva"/>
      </w:pPr>
    </w:p>
    <w:p w:rsidR="008107C7" w:rsidRDefault="008107C7" w:rsidP="008107C7">
      <w:pPr>
        <w:pStyle w:val="SntesisDescriptiva"/>
      </w:pPr>
      <w:r>
        <w:t>Recurso de amparo 3.603/1994. Contra Autos dictados por el Juzgado de Primera Instancia núm. 5 de Alicante, en procedimientos especiales de jura de cuentas.</w:t>
      </w:r>
    </w:p>
    <w:p w:rsidR="008107C7" w:rsidRDefault="008107C7" w:rsidP="008107C7">
      <w:pPr>
        <w:pStyle w:val="SntesisDescriptiva"/>
      </w:pPr>
    </w:p>
    <w:p w:rsidR="008107C7" w:rsidRDefault="008107C7" w:rsidP="008107C7">
      <w:pPr>
        <w:pStyle w:val="SntesisAnaltica"/>
      </w:pPr>
      <w:r>
        <w:t>Supuesta vulneración del derecho a la tutela judicial efectiva: interpretación de los arts. 8 y 12 L.E.C. no lesiva del derecho.</w:t>
      </w:r>
    </w:p>
    <w:p w:rsidR="008107C7" w:rsidRDefault="008107C7" w:rsidP="008107C7">
      <w:pPr>
        <w:pStyle w:val="SntesisAnaltica"/>
      </w:pPr>
    </w:p>
    <w:p w:rsidR="008107C7" w:rsidRDefault="008107C7" w:rsidP="008107C7">
      <w:pPr>
        <w:pStyle w:val="Extracto"/>
      </w:pPr>
      <w:r>
        <w:t>1.</w:t>
      </w:r>
      <w:r>
        <w:tab/>
        <w:t>Nuestra STC 110/1993 ha determinado la constitucionalidad del procedimiento de jura de cuentas (arts. 8 y 12 de la L.E.C.), por cuanto el mismo permite unos medios de alegación y defensa limitados pero suficientes. Mas también quedó en ellas manifiesto que tales medios, cuyo uso permite excluir la indefensión del demandado, son únicamente los enumerados allí, entre los que no se comprende una aplicación amplia de la impugnación de honorarios por indebidos . [F.J. 4]</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Rafael de Mendizabal Allende, don Julio Diego González Campos, don Carles Viver Pi-Sunyer y don Tomás S.Vives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Centrado"/>
        <w:keepNext/>
      </w:pPr>
      <w:r>
        <w:t xml:space="preserve">En el recurso de amparo núm. 3.603/94, promovido por </w:t>
      </w:r>
    </w:p>
    <w:p w:rsidR="008107C7" w:rsidRDefault="008107C7" w:rsidP="008107C7">
      <w:pPr>
        <w:pStyle w:val="TextoNormal"/>
      </w:pPr>
      <w:r>
        <w:t>don Manuel Calvo Sebastia, representado por el Procurador don Carlos Ibañez de la Cadiniere contra los Autos dictados por el Juzgado de Primera Instancia núm. 5 de Alicante, en procedimientos especiales de jura de cuentas, dictados el 14 de octubre de 1994. Han intervenido la Procuradora doña Blanca Barriatua Horta, en nombre y representación de don Isidro Serna Muñoz, y el Ministerio Fiscal, siendo Ponente el Magistrado don José Gabaldón López,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Mediante escrito presentado en el Registro General de este Tribunal el 10 de noviembre de 1994, y previamente en los Juzgados de Guardia de Madrid el 8 de noviembre de ese </w:t>
      </w:r>
      <w:r>
        <w:lastRenderedPageBreak/>
        <w:t>mismo año, se interpuso el recurso de amparo de referencia contra los Autos de 14 de octubre de 1994, dictados en los procedimientos de jura de cuentas del art. 12 L.E.C. 477/90, 502/90, 503/90, 598/90 y 662/90.</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hechos que dan lugar a la presente demanda de amparo son, en síntesis, los siguientes: </w:t>
      </w:r>
    </w:p>
    <w:p w:rsidR="008107C7" w:rsidRDefault="008107C7" w:rsidP="008107C7">
      <w:pPr>
        <w:pStyle w:val="TextoNormal"/>
      </w:pPr>
      <w:r>
        <w:t xml:space="preserve">a) Don Isidro Serna Muñoz, en su condición de Abogado, concertó en el año 1981, con el Banco Central, un contrato de colaboración profesional o de arrendamiento de servicios profesionales por virtud del cual se hacía cargo de los asuntos jurídicos de ese Banco en la zona de Alicante, en lo sucesivo y por plazo indefinido y a cambio el Banco retribuiría su prestación profesional con una cantidad fija anual, dividida en doce mensualidades. Respecto de los supuestos en que hubiera condena en costas, el Letrado percibiría sus honorarios de la parte condenada a su pago conforme a las normas colegiales oportunas. </w:t>
      </w:r>
    </w:p>
    <w:p w:rsidR="008107C7" w:rsidRDefault="008107C7" w:rsidP="008107C7">
      <w:pPr>
        <w:pStyle w:val="TextoNormal"/>
      </w:pPr>
      <w:r>
        <w:t xml:space="preserve">b) Sobre este contrato tuvieron lugar en el año 1991 ciertas diferencias entre el Banco y el Letrado las cuales determinaron la resolución del vínculo contractual y un pleito entre las partes que, cuando se interpuso el recurso de amparo, todavía se encontraba pendiente de apelación. </w:t>
      </w:r>
    </w:p>
    <w:p w:rsidR="008107C7" w:rsidRDefault="008107C7" w:rsidP="008107C7">
      <w:pPr>
        <w:pStyle w:val="TextoNormal"/>
      </w:pPr>
      <w:r>
        <w:t>c) A causa de estas diferencias el Letrado planteó en los pleitos en que había intervenido en calidad de tal defendiendo al Banco y en los que estaba pendiente el cobro de sus honorarios, el procedimiento de jura de cuentas del art. 12 L.E.C. contra el que había actuado como Procurador. En estos procedimientos se dictaron los Autos ahora recurridos de 14 de octubre de 1994, por el Juzgado de Primera Instancia núm. 5 de Alicante resolviendo recursos de reposición contra las providencias que habían acordado el embargo de los bienes del Procurador ahora recurrente para obtener el cobro de los honorarios que, en cada proceso, reclamaba el Letrado actor. Antes de dichas providencias se había practicado el requerimiento al Procurador quien opuso la excepción de pago por ser indebidos los honorarios reclamados. Se fundaba en que ya estaban abonados conforme al acuerdo o contrato de colaboración profesional celebrado en su día entre el Letrado y el Banco Central.</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En la demanda de amparo se alega que las resoluciones impugnadas vulneran los derechos fundamentales a obtener la tutela efectiva de los Jueces y Tribunales, a la defensa, a un proceso público con todas las garantías y a utilizar los medios de prueba pertinentes para su defensa por haber interpretado de forma contraria al art. 24 C.E. los arts. 8 y 12 de la L.E.C. y, por ende, la doctrina constitucional sentada por la STC 110/1993, en cuanto a la interpretación y alcance que ha de darse a dichos preceptos reguladores del proceso de jura de cuentas, apartándose del mandato del ordinal primero del art. 5 de la L.O.P.J. </w:t>
      </w:r>
    </w:p>
    <w:p w:rsidR="008107C7" w:rsidRDefault="008107C7" w:rsidP="008107C7">
      <w:pPr>
        <w:pStyle w:val="TextoNormal"/>
      </w:pPr>
      <w:r>
        <w:t xml:space="preserve">Se refería a la doctrina del Tribunal Constitucional que extiende la aplicación de las garantías procesales constitucionalizadas en el art. 24 no sólo al proceso penal sino a los demás procedimientos, y entre ellos al civil. Y agrega que el procedimiento de amparo constitucional protege las garantías procesales constitucionalizadas y las invocadas en este recurso es evidente que lo están. </w:t>
      </w:r>
    </w:p>
    <w:p w:rsidR="008107C7" w:rsidRDefault="008107C7" w:rsidP="008107C7">
      <w:pPr>
        <w:pStyle w:val="TextoNormal"/>
      </w:pPr>
      <w:r>
        <w:t xml:space="preserve">Además, se refiere a la exigencia de motivación que, según la STC 14/1994 (sic), extiende también esta obligación de motivar a las resoluciones que adoptan la forma de Auto, puesto que desde la perspectiva del derecho a la tutela judicial existe la misma razón para exigir su motivación. </w:t>
      </w:r>
    </w:p>
    <w:p w:rsidR="008107C7" w:rsidRDefault="008107C7" w:rsidP="008107C7">
      <w:pPr>
        <w:pStyle w:val="TextoNormal"/>
      </w:pPr>
      <w:r>
        <w:t xml:space="preserve">Los Autos impugnados vulneran, pues, según el recurrente los derechos fundamentales invocados, al resolver desestimando el recurso de reposición que interpuso contra las providencias de las correspondientes piezas de jura de cuentas que mandaban proceder, sin </w:t>
      </w:r>
      <w:r>
        <w:lastRenderedPageBreak/>
        <w:t>previo requerimiento de pago, al embargo de los bienes para cubrir las sumas reclamadas, no admitiendo la excepción de pago formulada con fundamento en el carácter de indebidos de los honorarios reclamados y ello sin expresar motivo alguno que justificara tal decisión, ni ampararla en ningún precepto legal.</w:t>
      </w:r>
    </w:p>
    <w:p w:rsidR="008107C7" w:rsidRDefault="008107C7" w:rsidP="008107C7">
      <w:pPr>
        <w:pStyle w:val="TextoNormal"/>
      </w:pPr>
    </w:p>
    <w:p w:rsidR="008107C7" w:rsidRDefault="008107C7" w:rsidP="008107C7">
      <w:pPr>
        <w:pStyle w:val="TextoNormal"/>
      </w:pPr>
      <w:r w:rsidRPr="008107C7">
        <w:rPr>
          <w:rStyle w:val="NumeroAFNegritaCaracter"/>
        </w:rPr>
        <w:t>4</w:t>
      </w:r>
      <w:r>
        <w:t>. La Sección Cuarta, por providencia de 4 de abril de 1995, acordó admitir a trámite la demanda de amparo, así como en aplicación de lo dispuesto en el art. 51 de la LOTC, dirigir comunicación al Juzgado de Primera Instancia núm. 5 de Alicante, a fin de que, en plazo que no excediera de diez días, remitiera certificación o fotocopia adverada de las actuaciones correspondientes a los procedimientos especiales en los que recayó providencia el 28 de octubre de 1993 y Auto de 14 de octubre de 1994, y emplazar previamente, para que en el plazo de diez días pudieran comparecer, si lo deseaban, en el recurso de amparo y defender sus derechos, a quienes hubieran sido parte en el procedimiento excepto el recurrente en amparo.</w:t>
      </w:r>
    </w:p>
    <w:p w:rsidR="008107C7" w:rsidRDefault="008107C7" w:rsidP="008107C7">
      <w:pPr>
        <w:pStyle w:val="TextoNormal"/>
      </w:pPr>
    </w:p>
    <w:p w:rsidR="008107C7" w:rsidRDefault="008107C7" w:rsidP="008107C7">
      <w:pPr>
        <w:pStyle w:val="TextoNormal"/>
      </w:pPr>
      <w:r w:rsidRPr="008107C7">
        <w:rPr>
          <w:rStyle w:val="NumeroAFNegritaCaracter"/>
        </w:rPr>
        <w:t>5</w:t>
      </w:r>
      <w:r>
        <w:t>. La misma Sección, por providencia de 4 de abril de 1995, acordó formar pieza para la tramitación del incidente sobre suspensión y conforme determina el art. 57 de la Ley Orgánica de este Tribunal, conceder un plazo común de tres días a la parte recurrente y al Ministerio Fiscal para que alegasen lo que estimaren pertinente sobre dicha suspensión. Por Auto de 22 de mayo de 1995 se acordó no haber lugar a la suspensión solicitada.</w:t>
      </w:r>
    </w:p>
    <w:p w:rsidR="008107C7" w:rsidRDefault="008107C7" w:rsidP="008107C7">
      <w:pPr>
        <w:pStyle w:val="TextoNormal"/>
      </w:pPr>
    </w:p>
    <w:p w:rsidR="008107C7" w:rsidRDefault="008107C7" w:rsidP="008107C7">
      <w:pPr>
        <w:pStyle w:val="TextoNormal"/>
      </w:pPr>
      <w:r w:rsidRPr="008107C7">
        <w:rPr>
          <w:rStyle w:val="NumeroAFNegritaCaracter"/>
        </w:rPr>
        <w:t>6</w:t>
      </w:r>
      <w:r>
        <w:t>. La Sección Tercera, por providencia de 12 de junio de 1995, acordó tener por personada y parte en el procedimiento a la Procuradora doña Blanca Berriatua Horta, en nombre y representación de don Isidro Serna Muñoz, acordándose entender con ella las sucesivas actuaciones y dar vista de las recibidas a las partes personadas y al Ministerio Fiscal por plazo común de veinte días, dentro de los cuales podrían presentar las alegaciones que estimaran pertinentes, conforme determina el art. 52.1 de la Ley Orgánica del Tribunal Constitucional.</w:t>
      </w:r>
    </w:p>
    <w:p w:rsidR="008107C7" w:rsidRDefault="008107C7" w:rsidP="008107C7">
      <w:pPr>
        <w:pStyle w:val="TextoNormal"/>
      </w:pPr>
    </w:p>
    <w:p w:rsidR="008107C7" w:rsidRDefault="008107C7" w:rsidP="008107C7">
      <w:pPr>
        <w:pStyle w:val="TextoNormal"/>
      </w:pPr>
      <w:r w:rsidRPr="008107C7">
        <w:rPr>
          <w:rStyle w:val="NumeroAFNegritaCaracter"/>
        </w:rPr>
        <w:t>7</w:t>
      </w:r>
      <w:r>
        <w:t xml:space="preserve">. Por escrito presentado el 27 de junio de 1995 doña Blanca Berriatua Horta, Procuradora de los Tribunales, en nombre y representación de don Isidro Serna Muñoz interesa que se deniegue el amparo. </w:t>
      </w:r>
    </w:p>
    <w:p w:rsidR="008107C7" w:rsidRDefault="008107C7" w:rsidP="008107C7">
      <w:pPr>
        <w:pStyle w:val="TextoNormal"/>
      </w:pPr>
      <w:r>
        <w:t xml:space="preserve">Alega que el apartado primero de los antecedentes del escrito de recurso es completamente falso, pues el Letrado a que representa nunca aceptó las condiciones de trabajo contenidas en la copia de carta que se aporta por la parte recurrente en amparo como documento núm. 1. Manifiesta que la carta del Banco de 25 de marzo de 1981, que el Letrado aceptó, contenía la retribución fija de 15.000 pesetas al mes por la asesoría consultiva, cantidad pequeña en relación con la considerable actividad profesional diaria, pero que se encontraba compensada por la retribución del servicio contencioso. </w:t>
      </w:r>
    </w:p>
    <w:p w:rsidR="008107C7" w:rsidRDefault="008107C7" w:rsidP="008107C7">
      <w:pPr>
        <w:pStyle w:val="TextoNormal"/>
      </w:pPr>
      <w:r>
        <w:t xml:space="preserve">Manifiesta también que el Banco nunca ha discutido al Letrado en juicio declarativo su derecho a percibir honorarios en los procedimientos en que intervino, haciéndolo por el contrario en todos los procedimientos de jura de cuentas. Cuando presentó a trámite el juicio ordinario declarativo que menciona en su escrito, no sometió a debate la aludida cuestión que discute. </w:t>
      </w:r>
    </w:p>
    <w:p w:rsidR="008107C7" w:rsidRDefault="008107C7" w:rsidP="008107C7">
      <w:pPr>
        <w:pStyle w:val="TextoNormal"/>
      </w:pPr>
      <w:r>
        <w:t xml:space="preserve">Entiende que el presente recurso de amparo se ha formulado prematuramente habida cuenta que es trámite esencial del procedimiento de jura de cuentas de Letrado o Procurador, el establecido por el art. 8 párrafo 3º de la L.E.C., que posibilita la continuación del debate </w:t>
      </w:r>
      <w:r>
        <w:lastRenderedPageBreak/>
        <w:t xml:space="preserve">en aquellos casos en que el litigante que hubiera verificado el pago considerase oportuno oponer argumentos de fondo en cuanto a su obligación de soportar total o parcialmente la aludida carga procesal. </w:t>
      </w:r>
    </w:p>
    <w:p w:rsidR="008107C7" w:rsidRDefault="008107C7" w:rsidP="008107C7">
      <w:pPr>
        <w:pStyle w:val="TextoNormal"/>
      </w:pPr>
      <w:r>
        <w:t>Por último, manifiesta que si se aceptara la tesis que mantiene la parte recurrente desaparecería el procedimiento de jura de cuentas puesto que no existiría ningún requerido de pago que no improvisara cualquier tipo de prueba indiciaria para paralizar el procedimiento de la jura, con lo cual reconduciría el procedimiento al incidental de los arts. 741 y ss. de la L.E.C. y se llegaría al absurdo procesal de la derogación práctica de los arts. 7, 8 y 12 de esa misma Ley rituaria y la declaración indirecta de su inconstitucionalidad. Sin embargo, se declaró su constitucionalidad y el procedimiento carece de período probatorio por expreso diseño del legislador. Esta característica determina la imposibilidad de debate, prueba y resolución de cuestiones de fondo.</w:t>
      </w:r>
    </w:p>
    <w:p w:rsidR="008107C7" w:rsidRDefault="008107C7" w:rsidP="008107C7">
      <w:pPr>
        <w:pStyle w:val="TextoNormal"/>
      </w:pPr>
    </w:p>
    <w:p w:rsidR="008107C7" w:rsidRDefault="008107C7" w:rsidP="008107C7">
      <w:pPr>
        <w:pStyle w:val="TextoNormal"/>
      </w:pPr>
      <w:r w:rsidRPr="008107C7">
        <w:rPr>
          <w:rStyle w:val="NumeroAFNegritaCaracter"/>
        </w:rPr>
        <w:t>8</w:t>
      </w:r>
      <w:r>
        <w:t>. Por escrito registrado en este Tribunal el 5 de julio de 1995, la parte recurrente en amparo reitera, en síntesis, lo manifestado en su demanda.</w:t>
      </w:r>
    </w:p>
    <w:p w:rsidR="008107C7" w:rsidRDefault="008107C7" w:rsidP="008107C7">
      <w:pPr>
        <w:pStyle w:val="TextoNormal"/>
      </w:pPr>
    </w:p>
    <w:p w:rsidR="008107C7" w:rsidRDefault="008107C7" w:rsidP="008107C7">
      <w:pPr>
        <w:pStyle w:val="TextoNormal"/>
      </w:pPr>
      <w:r w:rsidRPr="008107C7">
        <w:rPr>
          <w:rStyle w:val="NumeroAFNegritaCaracter"/>
        </w:rPr>
        <w:t>9</w:t>
      </w:r>
      <w:r>
        <w:t xml:space="preserve">. El Ministerio Fiscal, por escrito que tuvo entrada en este Tribunal el 5 de julio de 1995, interesa se desestime el recurso de amparo por la concurrencia de la causa de inadmisión, ahora de desestimación, del art. 44.1 a) de la LOTC y, en caso de no admitirse dicha causa, por no vulnerar las resoluciones recurridas el derecho fundamental a la tutela judicial efectiva consagrado en el art. 24 C.E. </w:t>
      </w:r>
    </w:p>
    <w:p w:rsidR="008107C7" w:rsidRDefault="008107C7" w:rsidP="008107C7">
      <w:pPr>
        <w:pStyle w:val="TextoNormal"/>
      </w:pPr>
      <w:r>
        <w:t xml:space="preserve">La aplicación de la doctrina contenida en la STC 110/93 lleva a afirmar al Ministerio Fiscal que las resoluciones impugnadas no vulneran el derecho a la tutela judicial efectiva porque el recurrente en este miniproceso de cognición ha podido alegar y aportar las pruebas que ha estimado pertinentes sin limitación alguna para justificar el pago de lo debido que era su única alegación respecto a la procedencia de la jura de cuentas. El Juzgado da respuesta a su pretensión negando dicho pago y afirmando la realidad del débito por entender que las pruebas aportadas así lo acreditaban. Esta respuesta motivada y fundada no puede considerarse irracional o arbitraria por lo que satisface el derecho fundamental a la tutela judicial efectiva, derecho fundamental que no garantiza, según doctrina constitucional constante, el acierto de la resolución. </w:t>
      </w:r>
    </w:p>
    <w:p w:rsidR="008107C7" w:rsidRDefault="008107C7" w:rsidP="008107C7">
      <w:pPr>
        <w:pStyle w:val="TextoNormal"/>
      </w:pPr>
      <w:r>
        <w:t xml:space="preserve">En cuanto a la falta de motivación de las resoluciones recurridas, para el Ministerio Fiscal tampoco se objetiva lesión del art. 24.1 de la C.E., toda vez que proporciona la explicación del criterio decisorio, aunque bajo la rúbrica incorrecta de "hecho", al negarse la nulidad con invocación de los arts. 245.1 a) y 248 de la L.O.P.J. y resultar un mero desarrollo del Auto precedente que es el indirectamente atacado en amparo. </w:t>
      </w:r>
    </w:p>
    <w:p w:rsidR="008107C7" w:rsidRDefault="008107C7" w:rsidP="008107C7">
      <w:pPr>
        <w:pStyle w:val="TextoNormal"/>
      </w:pPr>
      <w:r>
        <w:t>Por último, alega el Ministerio Fiscal que la invocada Sentencia del Tribunal Constitucional, en su fundamento jurídico quinto, declara que lo resuelto por el órgano judicial en esta clase de procedimientos no tiene la consideración de cosa juzgada material, atendida su sumariedad, por lo que el actor puede acudir al procedimiento declarativo ordinario pertinente a los efectos de discutir con toda amplitud la totalidad de las cuestiones que se propongan sin cortapisa alguna, lo que significa, como para otros procesos de cognición limitada ya se acepta, la necesidad de agotar la vía judicial antes de acudir al proceso constitucional, concurriendo por lo tanto en este caso la causa de inadmisión, en este momento procesal de desestimación, del art. 44.1 a) de la LOTC.</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10</w:t>
      </w:r>
      <w:r>
        <w:t>. Por providencia de 6 de febrero de 1.997, se acordó fijar el día 10 del mismo mes para la deliberación y votación de la presente sentencia.</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La demanda de amparo fundamenta su pretensión, con apoyo en la doctrina de la STC 110/1993, reiterada en las SSTC 167/1994 y 76/1996, entre otras, en que el órgano judicial ha vulnerado las garantías procesales que protege el art.  24 C.E., en el procedimiento civil de jura de cuentas. Pone especial énfasis en la tutela efectiva, la falta de motivación de los Autos impugnados y en el derecho a utilizar los medios de prueba pertinentes para su defensa. En la alegación genérica del derecho a un proceso con todas las garantías no se insiste y queda comprendida en las otras.</w:t>
      </w:r>
    </w:p>
    <w:p w:rsidR="008107C7" w:rsidRDefault="008107C7" w:rsidP="008107C7">
      <w:pPr>
        <w:pStyle w:val="TextoNormal"/>
      </w:pPr>
    </w:p>
    <w:p w:rsidR="008107C7" w:rsidRDefault="008107C7" w:rsidP="008107C7">
      <w:pPr>
        <w:pStyle w:val="TextoNormal"/>
      </w:pPr>
      <w:r w:rsidRPr="008107C7">
        <w:rPr>
          <w:rStyle w:val="NumeroAFNegritaCaracter"/>
        </w:rPr>
        <w:t>2</w:t>
      </w:r>
      <w:r>
        <w:t>. No resulta de lo actuado el desconocimiento del derecho a la prueba, y antes al contrario, las resoluciones impugnadas se apoyan en las únicas que, según la invocada STC 110/1993, era posible utilizar en este tipo de proceso, en el cual los arts. 12 en relación con el 8 de la L.E.C. sólamente permiten una oposición fundada en los presupuestos propios del mismo, en el pago o prescripcion o en que los honorarios no se hubieren devengado en el pleito, así como, en su caso, su impugnación por excesivos y esta última objecion fue la decidida por las resoluciones impugnadas.</w:t>
      </w:r>
    </w:p>
    <w:p w:rsidR="008107C7" w:rsidRDefault="008107C7" w:rsidP="008107C7">
      <w:pPr>
        <w:pStyle w:val="TextoNormal"/>
      </w:pPr>
      <w:r>
        <w:t>Al examinar los Autos recurridos puede comprobarse que desestiman la pretensión por entender que las resoluciones primeramente dictadas eran mera ejecución de un Auto precedente que había reconocido la deuda, así como que ésta no había sido satisfecha, y en ellos se fundamentaba dicha decisión.  En efecto, en la oposición al requerimiento se alegó que las resoluciones judiciales rechazaron la alegación de honorarios indebidos decidiendo solamente la de excesivos, mientras que el recurrente entendía que debían reputarse pagados por estar incluidos en el contrato de colaboración profesional o de arrendamiento de servicios profesionales mediante retribución mensual suscrito entre el Letrado y la entidad bancaria, como también, que dichos honorarios eran excesivos. La resolución impugnada estimó esta última alegación y en consecuencia acordó la reducción de aquéllos. Ello suponía, al detraer el exceso, la desestimación de la alegación de pago (que por otra parte no resultaba acreditado directamente) en cuanto la diferencia quedaba reconocida y, si se hubieran estimado satisfechos habría resultado superflua una reducción de su cuantía.</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Esta motivación debe reputarse suficiente y no cabe calificarla de arbitraria ni de manifiestamente irrazonable en la aplicación que efectúa de la legalidad ordinaria y la apreciación de las pruebas. No vulnera por tanto el art. 24 C.E.  que no garantiza el derecho al acierto judicial (STC 148/1994, por todas). Por otra parte, lo que en realidad pretendió el recurrente era que en el proceso de jura de cuentas se resolviese una cuestión que evidentemente excede de su ámbito puesto que habría de ser objeto de un jucio ordinario, es decir, la interpretación que debiera darse al contrato suscrito entre la entidad bancaria y el Letrado en orden a la prestación de servicios profesionales durante un tiempo dilatado, sin especificar cuales fueran y, por supuesto, ajenos al asunto donde la jura de cuentas tenía lugar.  Dicha interpretación no se limitaría, pues, a dilucidar únicamente si se había o no realizado el pago de lo reclamado por el Letrado, o sea de los honorarios devengados en el pleito, cuestión ésta que sí corresponde decidir en la jura de cuentas (párrafo octavo del fundamento </w:t>
      </w:r>
      <w:r>
        <w:lastRenderedPageBreak/>
        <w:t>jurídico sexto de la STC 131/1993), sino que habría de extenderse a determinar el alcance de una relación contractual de la cual acaso pudiera o no derivarse la existencia o no de esa deuda pero sí otras varias cuestiones, entre ellas la de si en el pacto general se incluían o no todos los honorarios devengados en diversos litigios o solo el asesoramiento habitual.</w:t>
      </w:r>
    </w:p>
    <w:p w:rsidR="008107C7" w:rsidRDefault="008107C7" w:rsidP="008107C7">
      <w:pPr>
        <w:pStyle w:val="TextoNormal"/>
      </w:pPr>
    </w:p>
    <w:p w:rsidR="008107C7" w:rsidRDefault="008107C7" w:rsidP="008107C7">
      <w:pPr>
        <w:pStyle w:val="TextoNormal"/>
      </w:pPr>
      <w:r w:rsidRPr="008107C7">
        <w:rPr>
          <w:rStyle w:val="NumeroAFNegritaCaracter"/>
        </w:rPr>
        <w:t>4</w:t>
      </w:r>
      <w:r>
        <w:t>. Nuestra STC 110/1993, invocada también en el recurso de amparo núm.  2.870/94, seguido por el mismo recurrente y resuelto ya por Sentencia recientemente, ha determinado, como esta última también señaló, la constitucionalidad del proceso de los arts.  8 y 12 de la L.E.C., por cuanto el mismo permite unos medios de alegación y defensa limitados pero suficientes.  Mas también quedó en ellas manifiesto que tales medios, cuyo uso permite excluir la indefensión del demandado, son únicamente los enumerados allí, entre los que no se comprende una aplicación amplia de la impugnación de honorarios por indebidos. Así lo razona la última Sentencia citada, dictada en el recurso de amparo núm. 2.870/94, donde se insiste en que "la posibilidad de oponer el pago, la prescripción o el hecho de que que no se hayan devengado en el pleito los honorarios o parte de ellos, no puede interpretarse en un sentido tan amplio como para admitir que estas alegaciones se extiendan a la genérica impugnación de honorarios indebidos puesto que el debate y la determinación de los mismos con la amplitud que esa calificacion supone, excedería del limitado ambito de los medios de defensa que, según la citada STC 110/1993, sin alterar el singular carácter del proceso establecido en los arts. 8 y 12 L.E.C. permite calificar su constitucionalidad porque en ellos se respetan "los niveles de garantía que en su dos apartados exige el art. 24 de la Constitución, que consagra el derecho fundamental a la tutela judicial efectiva".</w:t>
      </w:r>
    </w:p>
    <w:p w:rsidR="008107C7" w:rsidRDefault="008107C7" w:rsidP="008107C7">
      <w:pPr>
        <w:pStyle w:val="TextoNormal"/>
      </w:pPr>
      <w:r>
        <w:t>Procede, en consecuencia, la desestimación de este recurso.</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Denegar el amparo solicitado.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díez de febrero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24" w:name="SENTENCIA_1997_21"/>
      <w:r>
        <w:lastRenderedPageBreak/>
        <w:t>SENTENCIA 21/1997, de 10 de febrero de 1997</w:t>
      </w:r>
    </w:p>
    <w:bookmarkEnd w:id="24"/>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63, de 14 de marzo de 1997)</w:t>
      </w:r>
    </w:p>
    <w:p w:rsidR="008107C7" w:rsidRDefault="008107C7" w:rsidP="008107C7">
      <w:pPr>
        <w:pStyle w:val="TtuloBOE"/>
      </w:pPr>
    </w:p>
    <w:p w:rsidR="008107C7" w:rsidRDefault="008107C7" w:rsidP="008107C7">
      <w:pPr>
        <w:pStyle w:val="SntesisDescriptiva"/>
      </w:pPr>
      <w:r>
        <w:t>ECLI:ES:TC:1997:21</w:t>
      </w:r>
    </w:p>
    <w:p w:rsidR="008107C7" w:rsidRDefault="008107C7" w:rsidP="008107C7">
      <w:pPr>
        <w:pStyle w:val="SntesisDescriptiva"/>
      </w:pPr>
    </w:p>
    <w:p w:rsidR="008107C7" w:rsidRDefault="008107C7" w:rsidP="008107C7">
      <w:pPr>
        <w:pStyle w:val="SntesisDescriptiva"/>
      </w:pPr>
      <w:r>
        <w:t>Recurso de amparo 2.212/1996. Contra Auto de la Sala de lo Penal de la Audiencia Nacional recaído en apelación frente a Autos anteriores del Juzgado Central de Instrucción núm. 1 dictados en procedimiento dimanante de diligencias previas que condujeron a la detención en alta mar del recurrente, supuestamente implicado en delito de narcotráfico.</w:t>
      </w:r>
    </w:p>
    <w:p w:rsidR="008107C7" w:rsidRDefault="008107C7" w:rsidP="008107C7">
      <w:pPr>
        <w:pStyle w:val="SntesisDescriptiva"/>
      </w:pPr>
    </w:p>
    <w:p w:rsidR="008107C7" w:rsidRDefault="008107C7" w:rsidP="008107C7">
      <w:pPr>
        <w:pStyle w:val="SntesisAnaltica"/>
      </w:pPr>
      <w:r>
        <w:t>Supuesta vulneración del derecho a la libertad personal: límites del derecho.</w:t>
      </w:r>
    </w:p>
    <w:p w:rsidR="008107C7" w:rsidRDefault="008107C7" w:rsidP="008107C7">
      <w:pPr>
        <w:pStyle w:val="SntesisAnaltica"/>
      </w:pPr>
    </w:p>
    <w:p w:rsidR="008107C7" w:rsidRDefault="008107C7" w:rsidP="008107C7">
      <w:pPr>
        <w:pStyle w:val="Extracto"/>
      </w:pPr>
      <w:r>
        <w:t>1.</w:t>
      </w:r>
      <w:r>
        <w:tab/>
        <w:t>Ha de destacarse la singularidad del presente caso, dado que los hechos de los que traen causa las citadas resoluciones judiciales impugnadas tuvieron lugar en la alta mar, tras haber sido abordado el 23 de enero de 1995, a los 20 04' Lat. Sur y 19 20' Long. W, el buque mercante de bandera panameña «Archangelos», que se encontraba bajo el mando del ahora recurrente, por una dotación del buque del Servicio de Vigilancia Aduanera «Petrel I» . [F.J. 1]</w:t>
      </w:r>
    </w:p>
    <w:p w:rsidR="008107C7" w:rsidRDefault="008107C7" w:rsidP="008107C7">
      <w:pPr>
        <w:pStyle w:val="Extracto"/>
      </w:pPr>
    </w:p>
    <w:p w:rsidR="008107C7" w:rsidRDefault="008107C7" w:rsidP="008107C7">
      <w:pPr>
        <w:pStyle w:val="Extracto"/>
      </w:pPr>
      <w:r>
        <w:t>2.</w:t>
      </w:r>
      <w:r>
        <w:tab/>
        <w:t>Conviene observar, con carácter previo, que si en el presente caso las autoridades españolas han procedido a la ejecución en la alta mar de las medidas acordadas por un órgano jurisdiccional, el Juzgado Central de Instrucción núm. 1, esta actividad, aun realizada fuera de los límites del territorio español, no deja de estar sujeta a la Constitución y al resto del ordenamiento jurídico (art. 9.1 C.E.) y, en particular, al respeto de los derechos y libertades que nuestra Norma fundamental reconoce y garantiza. [F.J. 2]</w:t>
      </w:r>
    </w:p>
    <w:p w:rsidR="008107C7" w:rsidRDefault="008107C7" w:rsidP="008107C7">
      <w:pPr>
        <w:pStyle w:val="Extracto"/>
      </w:pPr>
    </w:p>
    <w:p w:rsidR="008107C7" w:rsidRDefault="008107C7" w:rsidP="008107C7">
      <w:pPr>
        <w:pStyle w:val="Extracto"/>
      </w:pPr>
      <w:r>
        <w:t>3.</w:t>
      </w:r>
      <w:r>
        <w:tab/>
        <w:t xml:space="preserve">Las circunstancias del presente supuesto -en particular, el haberse producido la privación de libertad tras el abordaje de un buque extranjero en la alta mar- hacen aconsejable su examen para determinar si tal privación se ha llevado a cabo en forma no prevista en la Ley y, de este modo, se ha lesionado el art. 17. 1 C.E.: a) Al establecer la extensión y límites de la jurisdicción de los Juzgados y Tribunales españoles, el art. 23.4 de la L.O.P.J. atribuye el conocimiento por nuestros órganos judiciales de los hechos cometidos por españoles y extranjeros fuera del territorio nacional cuando los mismos sean susceptibles de tipificación como delitos, según la Ley penal española, en ciertos supuestos, entre ellos el del apartado f), relativo al «tráfico ilegal de drogas psicotrópicas, tóxicas y estupefacientes». Lo que entraña, pues, que el legislador ha atribuido un alcance universal a la jurisdicción española para conocer de estos concretos delitos, en correspondencia tanto con su gravedad como con su proyección internacional. b) De otra parte, la ejecución de la medida en un buque mercante extranjero que navegaba en la alta mar por las autoridades españolas puede ser contraria a la norma de Derecho internacional que establece la competencia exclusiva del Estado del pabellón sobre el buque que se encuentra en ese espacio marítimo, salvo en los supuestos excepcionales de piratería o trata de esclavos (art. 22 del Convenio de Ginebra de 1958 sobre el alta </w:t>
      </w:r>
      <w:r>
        <w:lastRenderedPageBreak/>
        <w:t>mar). Lo que exige que cualquier excepción a dicha norma ha de tener un fundamento jurídico, que en el presente caso se encuentra en el art. 17, apartados 3 y 4, en relación con el art. 4, apartados 1 y 3, del Convenio de las Naciones Unidas contra el tráfico ilícito de estupefacientes y sustancias psicotrópicas, hecho en Viena el 20 de diciembre de 1988. Acuerdo internacional en el que tanto España como la República de Panamá eran Estados partes y había entrado en vigor entre ambos Estados al ocurrir los hechos aquí considerados, de conformidad con lo dispuesto en su art. 29. Normativa a la que se ajusta tanto la medida adoptada por el Jugado Central de Instrucción núm. 1 como su ejecución respecto al «Archangelos», pues en las actuaciones recibidas consta que el Ministerio de Asuntos Exteriores recabó la autorización de la Embajada de la República de Panamá en Madrid y ésta fue concedida mediante nota verbal de dicha repre sentación diplomática en la que se autorizaba a las autoridades españolas para proceder «al abordaje y apresamiento del buque «Archangelos», así como la detención de su tripulación por ser portadores según parece de un cargamento de cocaína». Por lo que no cabe estimar, en suma, que la privación de libertad que ha sufrido el recurrente tras ser detenido el 23 de enero de 1995 haya lesionado el derecho que el art. 17.1 garantiza, dado que se encuentra legalmente prevista para ese tipo de delitos y en cuanto a la forma de practicarla se ha ajustado a normas internacionales que forman parte de nuestro  ordenamiento (art. 96.1 C.E. y art. 1.5 del Código civil). [F.J. 3]</w:t>
      </w:r>
    </w:p>
    <w:p w:rsidR="008107C7" w:rsidRDefault="008107C7" w:rsidP="008107C7">
      <w:pPr>
        <w:pStyle w:val="Extracto"/>
      </w:pPr>
    </w:p>
    <w:p w:rsidR="008107C7" w:rsidRDefault="008107C7" w:rsidP="008107C7">
      <w:pPr>
        <w:pStyle w:val="Extracto"/>
      </w:pPr>
      <w:r>
        <w:t>4.</w:t>
      </w:r>
      <w:r>
        <w:tab/>
        <w:t>Si bien la libertad en cuanto derecho fundamental y valor superior de nuestro ordenamiento (art. 1.1 C.E.) no puede sufrir excepciones por razones de eficacia en la lucha contra el delito, no es menos cierto que la vulneración del derecho que el art. 17.2 C.E. garantiza que sólo se producirá cuando se hayan transgredido los límites del mismo. Y al respecto basta recordar que si la disponibilidad sobre la pérdida de libertad es exclusivamente judicial, «el mandato de la Constitución es que, más allá de las setenta y dos horas, corresponde a un órgano judicial la decisión sobre mantenimiento o no de la limitación de la libertad» (STC 115/1987). Lo que es aplicable incluso respecto a un supuesto tan singular de detención como el presente, pues de esta decisión se desprende con claridad que el sentido y finalidad de esta exigencia constitucional no requiere incondicionalmente la presencia física del detenido ante el Juez, sino que la persona privada de libertad, transcurrido el plazo de las setenta y dos horas, no continúe sujeta a las autoridades que practicaron la detención y quede bajo el control y la decisión del órgano judicial competente, garante de la libertad que el art. 17.1 reconoce. Ha existido en este caso un pleno control judicial sobre la libertad del recurrente al término del plazo constitucionalmente previsto y, desde la perspectiva del control externo que corresponde a este Tribunal, ningún reproche en esta sede constitucional cabe hacer a la decisión acordando elevar la detención a prisión provisional, pues su adopción se ha acordado de forma fundada, razonada, completa y acorde con la finalidad de la institución (STC 128/1995) . [F.J. 4]</w:t>
      </w:r>
    </w:p>
    <w:p w:rsidR="008107C7" w:rsidRDefault="008107C7" w:rsidP="008107C7">
      <w:pPr>
        <w:pStyle w:val="Extracto"/>
      </w:pPr>
    </w:p>
    <w:p w:rsidR="008107C7" w:rsidRDefault="008107C7" w:rsidP="008107C7">
      <w:pPr>
        <w:pStyle w:val="Extracto"/>
      </w:pPr>
      <w:r>
        <w:t>5.</w:t>
      </w:r>
      <w:r>
        <w:tab/>
        <w:t xml:space="preserve">En el presente caso la finalidad de la actuación del Servicio de Vigilancia Aduanera era la de abordar el buque «Archangelos», proceder a su inspección, aprehender la droga y detener a las personas que integraban la tripulación del </w:t>
      </w:r>
      <w:r>
        <w:lastRenderedPageBreak/>
        <w:t>buque como presuntamente responsables del ilícito comercio, custodiando seguidamente el buque, la carga y los detenidos hasta su llegada a puerto español. A lo que cabe agregar otra circunstancia particular: en los supuestos de abordaje y captura de un buque en alta mar es obvio -salvo que tales hechos hayan ocasionado su pérdida, como aquí pudo ocurrir por la resistencia de un tripulante en la sala de máquinas- que el buque ha de continuar su navegación bajo la vigilancia del buque captor hasta arribar a puerto; y la navegación se lleva a cabo con la participación, en todo o en parte, de la propia tripulación del buque capturado bajo el control de una dotación de presa, como en este caso ha ocurrido . [F.J. 5]</w:t>
      </w:r>
    </w:p>
    <w:p w:rsidR="008107C7" w:rsidRDefault="008107C7" w:rsidP="008107C7">
      <w:pPr>
        <w:pStyle w:val="Extracto"/>
      </w:pPr>
    </w:p>
    <w:p w:rsidR="008107C7" w:rsidRDefault="008107C7" w:rsidP="008107C7">
      <w:pPr>
        <w:pStyle w:val="Extracto"/>
      </w:pPr>
      <w:r>
        <w:t>6.</w:t>
      </w:r>
      <w:r>
        <w:tab/>
        <w:t>En el presente caso no se han vulnerado los derechos que el art. 17.3 C.E. reconoce. En relación con la doctrina elaborada por este Tribunal respecto al mismo y de las garantías configuradas legalmente en el art. 520.1 L.E.Crim. basta observar que la captura del buque y la detención de su tripulación no fue seguida de diligencia alguna para el esclarecimiento de los hechos por parte de las autoridades del Servicio de Vigilancia Aduanera en el buque «Petrel I». No habiendo existido, por tanto, el presupuesto necesario para satisfacer las exigencias de defensa en tales diligencias policiales conforme al sentido y finalidad del art. 17.3 C.E., pues ninguna diligencia para el esclarecimiento de los hechos se ha practicado por las autoridades del buque captor; limitándose a custodiar a los detenidos y a proceder de forma inmediata e ininterrumpida a su traslado a un puerto español . [F.J. 5]</w:t>
      </w:r>
    </w:p>
    <w:p w:rsidR="008107C7" w:rsidRDefault="008107C7" w:rsidP="008107C7">
      <w:pPr>
        <w:pStyle w:val="Extracto"/>
      </w:pPr>
    </w:p>
    <w:p w:rsidR="008107C7" w:rsidRDefault="008107C7" w:rsidP="008107C7">
      <w:pPr>
        <w:pStyle w:val="Extracto"/>
      </w:pPr>
      <w:r>
        <w:t>7.</w:t>
      </w:r>
      <w:r>
        <w:tab/>
        <w:t>Finalmente, cabe pensar que una situación de prolongación de la privación de libertad como la sufrida por el recurrente durante la navegación del «Archangelos» hasta su llegada a puerto español es susceptible de afectar a otro elemento esencial del entero sistema de protección judicial de la libertad, el instituto del «habeas corpus» (art. 17.4 C.E). Sin embargo, basta reparar que dicho instituto opera, potencialmente, en «todos los supuestos en los que se produce una privación de libertad no acordada por el Juez» (STC 31/1985) y en concreto, frente a una eventual «prolongación abusiva de la permanencia en las dependencias policiales» (STC 341/1993) -lo que aquí no es el caso-, de suerte que su finalidad esencial es la de controlar la legalidad de la detención practicada y hacer cesar de inmediato las situaciones irregulares de privación de libertad (SSTC 194/1989 y 104/1990, entre otras), frente a detenciones ilegales o que transcurran en condiciones ilegales (STC 153/1988) . [F.J. 6]</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lastRenderedPageBreak/>
        <w:t>SENTENCIA</w:t>
      </w:r>
    </w:p>
    <w:p w:rsidR="008107C7" w:rsidRDefault="008107C7" w:rsidP="008107C7">
      <w:pPr>
        <w:pStyle w:val="TextoNormalCentrado"/>
        <w:keepNext/>
      </w:pPr>
    </w:p>
    <w:p w:rsidR="008107C7" w:rsidRDefault="008107C7" w:rsidP="008107C7">
      <w:pPr>
        <w:pStyle w:val="TextoNormal"/>
      </w:pPr>
      <w:r>
        <w:t>En el recurso de amparo núm. 2.212/96, promovido por don Angelos Rigopoulos representado por la Procuradora de los Tribunales doña Alicia Oliva Collar y bajo la dirección letrada de don Juan Molins Otero, frente al Auto de la Sección Segunda de la Sala de lo Penal de la Audiencia Nacional de 23 de abril de 1996, recaído en el rollo de apelación 61/96 que tuvo por objeto el Auto del Juzgado Central de Instrucción núm. 1, de 25 de octubre de 1995, dictado a su vez en recurso de reforma frente al de fecha 22 de marzo de 1995, en el sumario 21/95-6, resoluciones todas ellas que también se impugnan. Ha sido parte en el presente proceso don Luis A. Gaete Pino, representado por la Procuradora de los Tribunales doña María Marta Sanz Amaro y bajo la dirección de la Letrada doña María Victoria Romero Herrera. Ha intervenido el Ministerio Fiscal, y ha sido Ponente el Magistrado don Julio Diego González Campos,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Por medio de escrito que tuvo entrada en el Registro de este Tribunal el 29 de mayo de 1996, procedente del Juzgado de Guardia donde fue presentado el día 27 anterior, doña Alicia Oliva Collar, Procuradora de los Tribunales y de don Angelos Rigopoulos, interpuso recurso de amparo frente el Auto de la Sección Segunda de la Sala de lo Penal de la Audiencia Nacional de 23 de abril de 1996, recaído en el rollo de apelación núm. 61/96, y demás resoluciones anteriormente referenciadas, de las que trajo causa.</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hechos de los que dimana la pretensión constitucional de amparo son, en síntesis, los siguientes: </w:t>
      </w:r>
    </w:p>
    <w:p w:rsidR="008107C7" w:rsidRDefault="008107C7" w:rsidP="008107C7">
      <w:pPr>
        <w:pStyle w:val="TextoNormal"/>
      </w:pPr>
      <w:r>
        <w:t xml:space="preserve">A) Con fecha 23 de enero de 1995, se procedió por parte de la dotación del buque español del Servicio de Vigilancia Aduanera Petrel I a la detención en aguas internacionales del Océano Atlántico, junto a otras personas, del recurrente, que viajaba a bordo del buque de bandera panameña Archangelos, con autorización del Gobierno de la República de dicho país, ocupándose una importante cantidad de sustancia estupefaciente (2.000 Kgs. de cocaína). Todo ello ordenado y a consecuencia de las investigaciones seguidas por el Juzgado Central de Instrucción núm. 1 de la Audiencia Nacional en diligencias previas núm. 88/94. </w:t>
      </w:r>
    </w:p>
    <w:p w:rsidR="008107C7" w:rsidRDefault="008107C7" w:rsidP="008107C7">
      <w:pPr>
        <w:pStyle w:val="TextoNormal"/>
      </w:pPr>
      <w:r>
        <w:t xml:space="preserve">B) Con fecha 26 de enero de 1995, el citado Juzgado Central de Instrucción, conociendo que el buque iba a ser conducido a las Islas Canarias, a donde tardaría unos días en llegar, dictó Auto en cuyo primer fundamento jurídico se señala: </w:t>
      </w:r>
    </w:p>
    <w:p w:rsidR="008107C7" w:rsidRDefault="008107C7" w:rsidP="008107C7">
      <w:pPr>
        <w:pStyle w:val="TextoNormal"/>
      </w:pPr>
      <w:r>
        <w:t xml:space="preserve">"Estando por transcurrir las setenta y dos horas primeras desde la aprehensión del barco "ARCHANGELOS" y detención de su tripulación, estamos en el caso de legalizar su situación en cumplimiento del mandato constitucional, por el que toda persona detenida debe ser puesta en libertad o a disposición judicial en el plazo de las setenta y dos horas siguientes de su detención. </w:t>
      </w:r>
    </w:p>
    <w:p w:rsidR="008107C7" w:rsidRDefault="008107C7" w:rsidP="008107C7">
      <w:pPr>
        <w:pStyle w:val="TextoNormal"/>
      </w:pPr>
      <w:r>
        <w:t xml:space="preserve">Cuando, como en el caso que nos ocupa, no resulta posible recibir declaración a los detenidos miembros de la tripulación con la necesaria asistencia de Letrado prevenida en el art. 520 de la Ley de Enjuiciamiento Criminal, ni es posible tampoco la puesta a presencia judicial de los legítimamente privados de libertad a causa de la distancia que media desde el lugar de la detención, es preciso valorar los indicios de criminalidad existentes respecto a tales personas. </w:t>
      </w:r>
    </w:p>
    <w:p w:rsidR="008107C7" w:rsidRDefault="008107C7" w:rsidP="008107C7">
      <w:pPr>
        <w:pStyle w:val="TextoNormal"/>
      </w:pPr>
      <w:r>
        <w:lastRenderedPageBreak/>
        <w:t xml:space="preserve">La presencia a bordo del barco mencionado, sin que conste la dedicación de dicha embarcación a actividad lícita alguna en esta su última navegación y sí, por contrario, la recepción de un importantísimo cargamento de cocaína, colocado, además en condiciones de ser arrojado de forma rápida al agua en caso de peligro, revelan elementos incriminatorios suficientes para decretar, por ahora, la prisión provisional, comunicada y sin fianza de todos ellos. </w:t>
      </w:r>
    </w:p>
    <w:p w:rsidR="008107C7" w:rsidRDefault="008107C7" w:rsidP="008107C7">
      <w:pPr>
        <w:pStyle w:val="TextoNormal"/>
      </w:pPr>
      <w:r>
        <w:t xml:space="preserve">Lo anterior no obsta para que por el Servicio de Vigilancia Aduanera se adopten las medidas de prevención necesarias para intentar impedir que los detenidos, ahora presos, mantengan conversaciones que les permitan ponerse de acuerdo respecto a sus futuras declaraciones ante este Instructor". </w:t>
      </w:r>
    </w:p>
    <w:p w:rsidR="008107C7" w:rsidRDefault="008107C7" w:rsidP="008107C7">
      <w:pPr>
        <w:pStyle w:val="TextoNormal"/>
      </w:pPr>
      <w:r>
        <w:t xml:space="preserve">C) La llegada al puerto de Las Palmas de Gran Canaria, tuvo lugar el 6 de febrero del mismo año, momento en el que se procedió a la información de derechos y puesta a disposición judicial de los detenidos. Con fecha 16 y 27 de febrero, por la representación del actor se presentaron sendos escritos ante el Juzgado solicitando la nulidad de las actuaciones e invocando diversas violaciones de derechos fundamentales, y por ende la libertad del detenido, ahora demandante de amparo. Dichas peticiones fueron denegadas mediante Auto de fecha 22 de marzo de 1995, ratificado por otro posterior, dictado en recurso de reforma, de 25 de octubre. Finalmente, mediante Auto de 23 de abril de 1996, la Sección Segunda de la Sala de lo Penal de la Audiencia Nacional, desestima el recurso de apelación que había sido presentado contra los anteriores, con base en los siguientes fundamentos: </w:t>
      </w:r>
    </w:p>
    <w:p w:rsidR="008107C7" w:rsidRDefault="008107C7" w:rsidP="008107C7">
      <w:pPr>
        <w:pStyle w:val="TextoNormal"/>
      </w:pPr>
      <w:r>
        <w:t xml:space="preserve">"TERCERO.- El testimonio de las actuaciones acredita la existencia de una resistencia armada al ser abordado el barco "Archangelos", según Acta de 26 de enero de 1995, del Oficial Marítimo del Servicio de Vigilancia Aduanera, y Comandante del Buque "Petrel I" y asimismo la incautación de la droga y la detención del resto de la tripulación. El Juzgado de Instrucción dictó con esa misma fecha Auto decretando la prisión, consta asimismo el Acta de aprehensión, resumen del diario de navegación, providencia de 2 de febrero de 1995 en el que se ordena, próximo el arribo del barco "Archangelos", la práctica e información de todos y cada uno de los derechos que le asisten a los detenidos, como así se efectúa el 6 de febrero, día de la arribada de dicho buque. </w:t>
      </w:r>
    </w:p>
    <w:p w:rsidR="008107C7" w:rsidRDefault="008107C7" w:rsidP="008107C7">
      <w:pPr>
        <w:pStyle w:val="TextoNormal"/>
      </w:pPr>
      <w:r>
        <w:t>CUARTO.- La Sala, sin ignorar el carácter de los derechos constitucionalmente establecidos, y que asisten a toda persona, y aun admitiendo la efectividad de los medios modernos de comunicación, no puede ignorar los problemas que una aprehensión en alta mar conlleva y con mayor motivo en circunstancias como las acaecidas con el barco "Archangelos". Es prácticamente de difícil cumplimiento las garantías de asistencia de un Médico Forense, la presencia de un intérprete de su lengua vernácula, el griego, y la presencia de un Letrado que le asista. Entiende la Sala, que los derechos establecidos, no se limitan a una proclamación formal de los mismos, sino que éstos han de poder ejercitarse por aquel a quien le asisten lo que resulta imposible dadas las circunstancias del hecho, y lo que sí se acredita, y no niega el recurrente, es que en cuanto se produjo la posibilidad, se dio pleno cumplimiento a lo dispuesto en el art. 17 de la C.E. y 520 de la Ley de Enjuiciamiento Criminal, según se acredita con el testimonio aportado, por ello, procede desestimar el recurso interpuesto, sin hacer pronunciamiento en cuanto a las costas".</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Se fundamenta la demanda de amparo, articulada en un único motivo, en la vulneración del art. 17, núms. 1, 2 y 3 C.E. </w:t>
      </w:r>
    </w:p>
    <w:p w:rsidR="008107C7" w:rsidRDefault="008107C7" w:rsidP="008107C7">
      <w:pPr>
        <w:pStyle w:val="TextoNormal"/>
      </w:pPr>
      <w:r>
        <w:t xml:space="preserve">A) Se sostiene en primer lugar la lesión del derecho a la libertad personal del art. 17.1 C.E., por entender que tal derecho queda vulnerado cuando se produce una privación de libertad sin que se observe lo dispuesto en dicho precepto o en los casos y forma previstos </w:t>
      </w:r>
      <w:r>
        <w:lastRenderedPageBreak/>
        <w:t xml:space="preserve">en las leyes, con cita de la STC 31/1985. Por ello entiende el recurrente procedente analizar si los hechos anteriormente resumidos, suponen infracción de los preceptos legales que regulan la detención comenzando por los propios apartados 2 y 3 del art. 17 C.E.. </w:t>
      </w:r>
    </w:p>
    <w:p w:rsidR="008107C7" w:rsidRDefault="008107C7" w:rsidP="008107C7">
      <w:pPr>
        <w:pStyle w:val="TextoNormal"/>
      </w:pPr>
      <w:r>
        <w:t xml:space="preserve">B) Entiende asimismo el recurrente que el derecho establecido en el apartado 2, no necesitado de desarrollo ni mediación legislativa algunos, fue vulnerado al producirse una situación de privación de libertad, de hecho, durante dieciseis días, a contar desde la detención y traslado al buque del servicio de Vigilancia Aduanera. En este sentido, se entiende palmaria la situación del recurrente como detenido durante las primeras setenta y dos horas en suelo español, como asimismo el que, transcurrido ese plazo, no fuera puesto a disposición judicial sino hasta momento muy ulterior, con su arribada a puerto. Pasa la demanda de amparo, a continuación, a discutir los razonamientos contenidos en las resoluciones impugnadas, afirmando en este sentido que no existió imposibilidad material alguna de trasladar al recurrente a disposición judicial -dados los modernos medios de transporte disponibles-, en particular si se tiene en cuenta la jurisprudencia del Tribunal Europeo de Derechos Humanos (T.E.D.H.), de suma trascendencia a tenor de lo prescrito en el art. 10.2 C.E., y concretamente la Sentencia del T.E.D.H. de 26 de octubre de 1984, caso McGoff c. Suecia, de la que concluye, aplicándola al caso de autos, que la detención del Sr. Rigopoulos durante dieciseis días a bordo del buque Petrel I, sobrepasó con mucho no ya el plazo marcado en el art. 17.2 C.E., setenta y dos horas, sino el previsto en el art. 5.3 C.E.D.H. Además, de nuevo en contra de lo razonado en las resoluciones impugnadas, la pretendida "legalización" de esa detención prolongada por el Auto de prisión dictado el 26 de enero, se sostiene en la demanda de amparo que, al no haber sido comunicada en debida forma al recurrente hasta que el buque llegó a puerto -el 7 de febrero-, le mantuvo en su situación de completo desconocimiento de la causa y motivos de su detención, todo ello a pesar de la existencia a bordo del buque de medios técnicos suficientes para que se produjera un conocimiento efectivo por el recurrente de dichas circunstancias. Por ello, con apoyo en la doctrina constitucional que entiende de aplicación al caso, se mantiene en la demanda que una situación de detención que excede en trece días el plazo legal de setenta y dos horas, no puede en modo alguno resultar "legalizada" a posteriori por el instructor de la causa penal. Para el recurrente, objeto de una detención incomunicada, sin intérprete y sin Letrado, ignorante de la existencia del mencionado "Auto de prisión", su situación era, lisa y llanamente -en los términos empleados en la demanda de amparo- una detención policial. </w:t>
      </w:r>
    </w:p>
    <w:p w:rsidR="008107C7" w:rsidRDefault="008107C7" w:rsidP="008107C7">
      <w:pPr>
        <w:pStyle w:val="TextoNormal"/>
      </w:pPr>
      <w:r>
        <w:t xml:space="preserve">C) Se sostiene por último en el recurso la vulneración del derecho a ser informado de forma inmediata y comprensible de sus derechos, de las razones de su detención, y de ser asistido de Abogado en las dependencias policiales, todos ellos contenidos en el núm. 3 del art. 17 C.E. Tal conclusión se da por sentada en la demanda de amparo desde el momento en que las resoluciones impugnadas no responden, a juicio del recurrente, a la cuestión de por qué no se utilizaron los modernos medios de comunicación existentes a bordo del buque para evitar la lesión de los mencionados derechos, omisión que se considera injustificable habida cuenta de que el Juez instructor estuvo en todo momento al corriente del desenlace de la operación de apresamiento, que, por otra parte, llevaba meses gestándose por el propio órgano instructor; y con el dato añadido de que, al tiempo de que el referido apresamiento fuera ampliamente difundido por los medios de comunicación, el entonces detenido y ahora recurrente desconocía por completo los motivos y causas de esa detención. </w:t>
      </w:r>
    </w:p>
    <w:p w:rsidR="008107C7" w:rsidRDefault="008107C7" w:rsidP="008107C7">
      <w:pPr>
        <w:pStyle w:val="TextoNormal"/>
      </w:pPr>
      <w:r>
        <w:t xml:space="preserve">Se niega, por último, en la demanda, que la situación fáctica en la que se desenvolvió el apresamiento del buque y detención del recurrente hiciera imposible, en absoluto, la asistencia de intérprete -como concreción del derecho a ser informado de la acusación-, así </w:t>
      </w:r>
      <w:r>
        <w:lastRenderedPageBreak/>
        <w:t xml:space="preserve">como la de Abogado, incluso de oficio, haciendo especial referencia a la doctrina sentada en las SSTC 74/1987 y 196/1987. </w:t>
      </w:r>
    </w:p>
    <w:p w:rsidR="008107C7" w:rsidRDefault="008107C7" w:rsidP="008107C7">
      <w:pPr>
        <w:pStyle w:val="TextoNormal"/>
      </w:pPr>
      <w:r>
        <w:t>De todo ello deduce, en síntesis, la demanda que se produjo un total incumplimiento por los poderes públicos de los derechos alegados, lo que conduce a su vez a la nulidad de todo lo actuado como consecuencia de tan irregular actuación, y a la inmediata reposición del recurrente en la situación de libertad de que disfrutaba antes de la ilegal detención sufrida. Tales declaraciones se formulan, por ende, como suplico de la demanda de amparo.</w:t>
      </w:r>
    </w:p>
    <w:p w:rsidR="008107C7" w:rsidRDefault="008107C7" w:rsidP="008107C7">
      <w:pPr>
        <w:pStyle w:val="TextoNormal"/>
      </w:pPr>
    </w:p>
    <w:p w:rsidR="008107C7" w:rsidRDefault="008107C7" w:rsidP="008107C7">
      <w:pPr>
        <w:pStyle w:val="TextoNormal"/>
      </w:pPr>
      <w:r w:rsidRPr="008107C7">
        <w:rPr>
          <w:rStyle w:val="NumeroAFNegritaCaracter"/>
        </w:rPr>
        <w:t>4</w:t>
      </w:r>
      <w:r>
        <w:t>. Por providencia de 16 de septiembre de 1996, la Sección Tercera de este Tribunal acordó, antes de pronunciarse sobre la admisión a trámite del recurso, requerir atentamente a la Sección Segunda de la Sala de lo Penal de la Audiencia Nacional y al Juzgado Central de Instrucción núm. 1, la remisión a la mayor brevedad posible de certificación o fotocopia adverada de las actuaciones correspondientes al rollo de apelación núm. 61/96 y al sumario núm. 21/95-6.</w:t>
      </w:r>
    </w:p>
    <w:p w:rsidR="008107C7" w:rsidRDefault="008107C7" w:rsidP="008107C7">
      <w:pPr>
        <w:pStyle w:val="TextoNormal"/>
      </w:pPr>
    </w:p>
    <w:p w:rsidR="008107C7" w:rsidRDefault="008107C7" w:rsidP="008107C7">
      <w:pPr>
        <w:pStyle w:val="TextoNormal"/>
      </w:pPr>
      <w:r w:rsidRPr="008107C7">
        <w:rPr>
          <w:rStyle w:val="NumeroAFNegritaCaracter"/>
        </w:rPr>
        <w:t>5</w:t>
      </w:r>
      <w:r>
        <w:t xml:space="preserve">. Una vez recibidas, por providencia de 17 de octubre de 1996, la Sección acordó, de conformidad con lo dispuesto en el núm. 3 del art. 50 LOTC, conceder al demandante de amparo y al Ministerio Fiscal plazo común de diez días para que formularan cuantas alegaciones estimasen pertinentes en relación con la posible concurrencia de la causa de inadmisión consistente en la carencia manifiesta de contenido constitucional de la demanda [art. 50.1 c) LOTC], dándoles vista al efecto de las actuaciones remitidas. </w:t>
      </w:r>
    </w:p>
    <w:p w:rsidR="008107C7" w:rsidRDefault="008107C7" w:rsidP="008107C7">
      <w:pPr>
        <w:pStyle w:val="TextoNormal"/>
      </w:pPr>
      <w:r>
        <w:t xml:space="preserve">Por escrito de fecha 4 de noviembre de 1996, la representación del recurrente solicitó la concesión de un nuevo plazo de diez días para formular las alegaciones oportunas, a lo que se accedió por la Sección mediante providencia de 7 de noviembre de 1996. </w:t>
      </w:r>
    </w:p>
    <w:p w:rsidR="008107C7" w:rsidRDefault="008107C7" w:rsidP="008107C7">
      <w:pPr>
        <w:pStyle w:val="TextoNormal"/>
      </w:pPr>
      <w:r>
        <w:t>Evacuado dicho trámite, en el que el Ministerio Fiscal se opuso a la admisión de la demanda, por la causa señalada, y el recurrente sostuvo la admisibilidad de su pretensión, la Sección Tercera acordó, por providencia de 13 de diciembre de 1996, admitir a trámite el recurso; asimismo, obrando ya en esta Sala testimonio de las actuaciones relevantes, interesó de la Sala de lo Penal de la Audiencia Nacional el emplazamiento de cuantos, con excepción del recurrente, hubieran sido parte en el procedimiento judicial previo, para que en plazo de diez días pudieran comparecer, si así lo deseasen, en el presente proceso constitucional.</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En esta última fecha, la propia Sección acordó, por nuevo proveido, la apertura de pieza separada para la tramitación del incidente de suspensión de las resoluciones impugnadas, tal y como se solicitara en la demanda de amparo. Asimismo se acordó conceder al recurrente y al Ministerio Fiscal plazo común de tres días para que formularan las alegaciones pertinentes a ese fin. </w:t>
      </w:r>
    </w:p>
    <w:p w:rsidR="008107C7" w:rsidRDefault="008107C7" w:rsidP="008107C7">
      <w:pPr>
        <w:pStyle w:val="TextoNormal"/>
      </w:pPr>
      <w:r>
        <w:t>Recibidos los escritos del Fiscal, oponiéndose, y del recurrente, nuevamente solicitándola, la suspensión suplicada fue denegada por Auto de la Sala Segunda de 13 de enero de 1997.</w:t>
      </w:r>
    </w:p>
    <w:p w:rsidR="008107C7" w:rsidRDefault="008107C7" w:rsidP="008107C7">
      <w:pPr>
        <w:pStyle w:val="TextoNormal"/>
      </w:pPr>
    </w:p>
    <w:p w:rsidR="008107C7" w:rsidRDefault="008107C7" w:rsidP="008107C7">
      <w:pPr>
        <w:pStyle w:val="TextoNormal"/>
      </w:pPr>
      <w:r w:rsidRPr="008107C7">
        <w:rPr>
          <w:rStyle w:val="NumeroAFNegritaCaracter"/>
        </w:rPr>
        <w:t>7</w:t>
      </w:r>
      <w:r>
        <w:t>. Con fecha 3 de enero de 1997, tuvo entrada en el Registro de este Tribunal escrito de la Procuradora de los Tribunales doña María Marta Sanz Amaro, en nombre y representación de don Luis A. Gaete Pino, por el que suplicó se le tuviera por personada y parte en el presente proceso, bajo la dirección de la Letrada doña María Victoria Romero Herrera.</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8</w:t>
      </w:r>
      <w:r>
        <w:t>. La Sección Tercera de este Tribunal, por providencia de 13 de enero de 1997, acordó: 1º) tener por personada y parte a la Procuradora doña María Marta Sanz Amaro, en la representación que ostenta, entendiéndose con ella las sucesivas actuaciones; 2º) hacer uso de la facultad prevista en el art. 52.2 LOTC, señalando para la celebración de la vista oral del presente recurso el 27 de enero de 1997, a las 12,45 horas; 3º) poner en conocimiento de las partes que todas las actuaciones recibidas en este recurso estarían a su disposición en la Secretaría de esta Sala, hasta el día señalado para la Vista; y 4º) nombrar como Magistrado Ponente al Excmo. Sr. don Julio Diego González Campos.</w:t>
      </w:r>
    </w:p>
    <w:p w:rsidR="008107C7" w:rsidRDefault="008107C7" w:rsidP="008107C7">
      <w:pPr>
        <w:pStyle w:val="TextoNormal"/>
      </w:pPr>
    </w:p>
    <w:p w:rsidR="008107C7" w:rsidRDefault="008107C7" w:rsidP="008107C7">
      <w:pPr>
        <w:pStyle w:val="TextoNormal"/>
      </w:pPr>
      <w:r w:rsidRPr="008107C7">
        <w:rPr>
          <w:rStyle w:val="NumeroAFNegritaCaracter"/>
        </w:rPr>
        <w:t>9</w:t>
      </w:r>
      <w:r>
        <w:t>. En el día y hora señalados, se constituyó en audiencia pública la Sala Segunda de este Tribunal para la oportuna celebración de la vista oral, compareciendo el Ministerio Fiscal y las partes oportunamente personadas.</w:t>
      </w:r>
    </w:p>
    <w:p w:rsidR="008107C7" w:rsidRDefault="008107C7" w:rsidP="008107C7">
      <w:pPr>
        <w:pStyle w:val="TextoNormal"/>
      </w:pPr>
    </w:p>
    <w:p w:rsidR="008107C7" w:rsidRDefault="008107C7" w:rsidP="008107C7">
      <w:pPr>
        <w:pStyle w:val="TextoNormal"/>
      </w:pPr>
      <w:r w:rsidRPr="008107C7">
        <w:rPr>
          <w:rStyle w:val="NumeroAFNegritaCaracter"/>
        </w:rPr>
        <w:t>10</w:t>
      </w:r>
      <w:r>
        <w:t>. Tras la dación de cuenta por el Secretario de la tramitación de la causa, se inició la vista con el alegato de la defensa del recurrente, que insistió en cuantos antecedentes y razonamientos jurídicos se contenían ya en el escrito de interposición del recurso, cuyo suplico igualmente se reiteró, no sin precisar que la vulneración de los derechos contenidos en el art. 17, fundamento de la demanda de amparo, debía conducir a la nulidad de todo lo actuado en el proceso de origen a partir de la, a su juicio, ilícita detención padecida, por resultar inescindible de ella la obtención de todo el material probatorio obrante en la causa.</w:t>
      </w:r>
    </w:p>
    <w:p w:rsidR="008107C7" w:rsidRDefault="008107C7" w:rsidP="008107C7">
      <w:pPr>
        <w:pStyle w:val="TextoNormal"/>
      </w:pPr>
    </w:p>
    <w:p w:rsidR="008107C7" w:rsidRDefault="008107C7" w:rsidP="008107C7">
      <w:pPr>
        <w:pStyle w:val="TextoNormal"/>
      </w:pPr>
      <w:r w:rsidRPr="008107C7">
        <w:rPr>
          <w:rStyle w:val="NumeroAFNegritaCaracter"/>
        </w:rPr>
        <w:t>11</w:t>
      </w:r>
      <w:r>
        <w:t>. Por su parte, la parte coadyuvante dio por reiterados los argumentos utilizados por la defensa del recurrente, insistiendo a continuación en la vulneración del derecho a contar con asistencia letrada desde el momento mismo de la detención, con cita, en este sentido, de la doctrina constitucional que entendió de aplicación al caso.</w:t>
      </w:r>
    </w:p>
    <w:p w:rsidR="008107C7" w:rsidRDefault="008107C7" w:rsidP="008107C7">
      <w:pPr>
        <w:pStyle w:val="TextoNormal"/>
      </w:pPr>
    </w:p>
    <w:p w:rsidR="008107C7" w:rsidRDefault="008107C7" w:rsidP="008107C7">
      <w:pPr>
        <w:pStyle w:val="TextoNormal"/>
      </w:pPr>
      <w:r w:rsidRPr="008107C7">
        <w:rPr>
          <w:rStyle w:val="NumeroAFNegritaCaracter"/>
        </w:rPr>
        <w:t>12</w:t>
      </w:r>
      <w:r>
        <w:t xml:space="preserve">. Intervino, por último, el representante del Ministerio Fiscal, para sostener en su alegato la improcedencia de otorgar el amparo solicitado. </w:t>
      </w:r>
    </w:p>
    <w:p w:rsidR="008107C7" w:rsidRDefault="008107C7" w:rsidP="008107C7">
      <w:pPr>
        <w:pStyle w:val="TextoNormal"/>
      </w:pPr>
      <w:r>
        <w:t xml:space="preserve">Basó el representante del Ministerio Público su conclusión desestimatoria, en primer lugar, en un detenido recorrido por los antecedentes del caso, con particular incidencia en el dato de que la aprehensión del barco se produjo en estricto cumplimiento de una orden judicial, producto de dilatadas investigaciones siempre realizadas bajo control e impulso del titular del Juzgado Central de Instrucción. Tras hacer referencia a las exigencias derivadas de las nuevas formas transnacionales de delincuencia, y a su paralelo reflejo normativo en textos internacionales como el Convenio de las Naciones Unidas hecho en Viena el 19 de diciembre de 1988 contra el tráfico ilícito de drogas narcóticas y sustancias psicotrópicas -y en particular, su art. 17-, así como a la existencia de un Acuerdo ad hoc entre España y el Estado del pabellón del buque, hizo hincapié el Fiscal en el siguiente par de líneas argumentales: </w:t>
      </w:r>
    </w:p>
    <w:p w:rsidR="008107C7" w:rsidRDefault="008107C7" w:rsidP="008107C7">
      <w:pPr>
        <w:pStyle w:val="TextoNormal"/>
      </w:pPr>
      <w:r>
        <w:t xml:space="preserve">A) Por lo que se refiere a la alegada vulneración del derecho a ser puesto a disposición judicial en el término de setenta y dos horas, alegando, en contra de lo afirmado por el recurrente, que el Auto de 26 de enero de 1995 supuso, en las circunstancias del caso, un adecuado cumplimiento de la garantía contenida en el mencionado derecho fundamental. A este respecto, insistió el Fiscal en el absoluto dominio del hecho de la detención y de todas sus circunstancias por el Juez Central de Instrucción, que en todo momento tuvo a su disposición, sino material, sí espiritual o en cuanto a las circunstancias del caso, la persona del recurrente, realizando una adecuada ponderación de todas las circunstancias antes de decidir </w:t>
      </w:r>
      <w:r>
        <w:lastRenderedPageBreak/>
        <w:t xml:space="preserve">la prisión incondicional del recurrente en el plazo constitucionalmente fijado. Realizando una interpretación del precepto constitucional adecuada, a su juicio, al espíritu y finalidad de la norma, llega el Fiscal a la conclusión, en cuanto a este extremo de la demanda, de que el mencionado Auto no se limitaba a legalizar ex post facto una supuesta irregularidad -en todo caso meramente formal- inicial, sino que supuso de por sí el cumplimiento de la garantía constitucionalmente requerida. </w:t>
      </w:r>
    </w:p>
    <w:p w:rsidR="008107C7" w:rsidRDefault="008107C7" w:rsidP="008107C7">
      <w:pPr>
        <w:pStyle w:val="TextoNormal"/>
      </w:pPr>
      <w:r>
        <w:t>B) Asimismo, por lo que se refiere a los derechos a ser informado inmediatamente y de forma comprensible de las razones de la detención, así como a la asistencia letrada, sostuvo el Fiscal que la eventual irregularidad consistente en que durante los dieciséis días que duró la travesía no se diera estricto cumplimiento a tales formalidades, carece de trascendencia constitucional, por cuanto tales garantías tienen su razón de ser y finalidad en la exclusión de diligencias policiales que pudieran tener trascendencia sumarial sin el auxilio de las mismas, finalidad que sí tuvo exacto cumplimiento pues sólo a partir de la arribada a puerto español se siguieron tales diligencias. Por ello, atendiendo a la irrelevancia sumarial de la travesía, durante la cual no se llevó a cabo diligencia alguna, mantuvo el representante del interés público que, aún aceptando eventuales irregularidades, ninguna de ellas supuso de por sí la lesión de los derechos de defensa del recurrente, con cita de la doctrina constitucional que resulta de aplicación al caso.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El recurrente ha solicitado el amparo de este Tribunal frente al Auto dictado por la Sección Segunda de la Audiencia Nacional el 23 de abril de 1996, recaído en el recurso de apelación interpuesto contra el Auto de 25 de octubre de 1995, que confirmó en reforma lo resuelto por el Juzgado Central de Instrucción núm. 1 mediante Auto de 22 de marzo del mismo año; resoluciones judiciales que son impugnadas por cuanto desestimaron la petición de nulidad de actuaciones del sumario 21/95-6 y de puesta en libertad del ahora demandante, formulada el 27 de febrero de 1995, con base en la vulneración de los derechos reconocidos en los apartados 1, 2 y 3 del art. 17 C.E.</w:t>
      </w:r>
    </w:p>
    <w:p w:rsidR="008107C7" w:rsidRDefault="008107C7" w:rsidP="008107C7">
      <w:pPr>
        <w:pStyle w:val="TextoNormal"/>
      </w:pPr>
      <w:r>
        <w:t>Así precisado el objeto de este proceso constitucional, ha de destacarse la singularidad del presente caso, dado que los hechos de los que traen causa las citadas resoluciones judiciales tuvieron lugar en la alta mar, tras haber sido abordado el 23 de enero de 1995, a los 20 04' Lat. Sur y 19 20' Long. W, el buque mercante de bandera panameña Archangelos, que se encontraba bajo el mando del ahora recurrente, por una dotación del buque del Servicio de Vigilancia Aduanera Petrel I. Pues la representación procesal del Sr.  Rigopoulos ha alegado, tanto en la demanda como en el acto de la vista oral, que en el período que va desde la captura del buque en el Atlántico Sur en aquella fecha hasta su arribada al puerto de las Palmas de Gran Canaria, el 6 de febrero de dicho año, se ha vulnerado, en primer lugar, el derecho del recurrente a la libertad personal del art. 17.1 C.E., por privársele de ella sin observar lo dispuesto en dicho precepto ni en los casos y en la forma previstos por la Ley. En segundo término, que entre las fechas antes indicadas transcurrieron con exceso más de setenta y dos horas sin que el recurrente fuera puesto en libertad o a disposición judicial, vulnerándose así el art.  17.2 C.E. Por último, que hasta su desembarco en el puerto español permaneció detenido sin haber sido informado de sus derechos ni haber contado con la asistencia de Letrado e intérprete, lo que ha lesionado el art. 17.3 C.E.</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2</w:t>
      </w:r>
      <w:r>
        <w:t>. Antes de entrar en el examen de las quejas conviene observar, con carácter previo, que si en el presente caso las autoridades españolas han procedido a la ejecución, en la alta mar de las medidas acordadas por un órgano jurisdiccional, el Juzgado Central de Instrucción núm. 1, esta actividad, aun realizada fuera de los límites del territorio español -pues la alta mar es un espacio marítimo exterior al mar territorial y a las aguas interiores españolas (Convenio de Ginebra de 29 de abril de 1958 sobre la alta mar, arts.  1 y 2)-, no deja de estar sujeta a la Constitución y al resto del ordenamiento jurídico (art. 9.1 C.E.)  y, en particular, al respeto de los derechos y libertades que nuestra Norma fundamental reconoce y garantiza.</w:t>
      </w:r>
    </w:p>
    <w:p w:rsidR="008107C7" w:rsidRDefault="008107C7" w:rsidP="008107C7">
      <w:pPr>
        <w:pStyle w:val="TextoNormal"/>
      </w:pPr>
      <w:r>
        <w:t>En efecto, es procedente recordar aquí, de un lado, que "los poderes públicos españoles no están menos sujetos a la Constitución cuando actúan en las relaciones internacionales...  que al ejercer ad intra sus atribuciones", como se ha dicho en la Declaración de este Tribunal de 1 de julio de 1992, fundamento jurídico 4º, y ello es aplicable a las autoridades y funcionarios dependientes de dichos poderes. De otro lado, si el mandato del art. 10.2 C.E.  impone que los preceptos constitucionales sean interpretados de conformidad con las normas internacionales sobre protección de los derechos humanos, ha de recordarse también que el Tribunal Europeo de Derechos Humanos ha declarado, en relación con el art. 1 del Convenio de Roma de 1950, que el ámbito de la jurisdicción estatal, a los fines de la protección que ese instrumento garantiza, no se circunscribe al territorio nacional.  Por lo que cabe imputar al Estado una lesión de los derechos que el Título I del Convenio reconoce en relación con actos realizados por sus autoridades fuera del territorio estatal (asunto Drozd y Janousek c. Francia y España, Sentencia de 26 de junio de 1992 y asunto Loizidou c. Turquía, Sentencia de 23 de marzo de 1995), presupuestos que indudablemente concurren en el presente caso, dado que nos encontramos ante una actividad realizada por autoridades españolas en un espacio situado más allá del territorio español, como antes se ha dicho. Por lo que hemos de examinar a continuación si esa actuación de las autoridades españolas ha generado o no las lesiones de los derechos fundamentales que, en relación con el art. 17 C.E., denuncia el demandante de amparo.</w:t>
      </w:r>
    </w:p>
    <w:p w:rsidR="008107C7" w:rsidRDefault="008107C7" w:rsidP="008107C7">
      <w:pPr>
        <w:pStyle w:val="TextoNormal"/>
      </w:pPr>
    </w:p>
    <w:p w:rsidR="008107C7" w:rsidRDefault="008107C7" w:rsidP="008107C7">
      <w:pPr>
        <w:pStyle w:val="TextoNormal"/>
      </w:pPr>
      <w:r w:rsidRPr="008107C7">
        <w:rPr>
          <w:rStyle w:val="NumeroAFNegritaCaracter"/>
        </w:rPr>
        <w:t>3</w:t>
      </w:r>
      <w:r>
        <w:t>. Respecto a la eventual lesión del art. 17.1 C.E., la representación procesal del recurrente se ha limitado a enunciarla, con cita de la STC 31/1985, remitiendo su examen a los otros dos motivos que luego desarrolla. No obstante, las circunstancias del presente supuesto -en particular, el haberse producido la privación de libertad tras el abordaje de un buque extranjero en la alta mar- hacen aconsejable su examen para determinar si tal privación se ha llevado a cabo en un caso o en forma no prevista en la Ley y, de este modo, se ha lesionado el art. 17.1 C.E. Precepto del que se desprende, "tan clara como indeclinablemente, que los supuestos de privación de libertad han de ser acordados por quienes deban hacerlo de acuerdo a las atribuciones competenciales que contenga la Ley en la forma que ésta determina" (STC 3/1992, fundamento jurídico 5º).</w:t>
      </w:r>
    </w:p>
    <w:p w:rsidR="008107C7" w:rsidRDefault="008107C7" w:rsidP="008107C7">
      <w:pPr>
        <w:pStyle w:val="TextoNormal"/>
      </w:pPr>
      <w:r>
        <w:t>A) El abordaje y registro del buque panameño Archangelos fue autorizado por el Juzgado Central de Instrucción núm. 1 mediante Auto de 20 de enero de 1995, donde tras indicarse que dicho buque se utilizaba para el tráfico de cocaína y a bordo del mismo se hallaban dos nacionales españoles, hacía referencia tanto a lo dispuesto en el art. 18.2 C.E. y el art. 561 L.E.Crim.  como a la necesidad de recabar la previa autorización por parte del Estado cuyo pabellón enarbolaba dicho buque. Expresando también esta resolución judicial que el Archangelos se encontraba "en aguas internacionales del Océano Atlántico" y allí, por tanto, habría de llevarse a cabo su abordaje y registro, así como, en su caso, la detención de los participantes en el tráfico ilícito de estupefacientes.</w:t>
      </w:r>
    </w:p>
    <w:p w:rsidR="008107C7" w:rsidRDefault="008107C7" w:rsidP="008107C7">
      <w:pPr>
        <w:pStyle w:val="TextoNormal"/>
      </w:pPr>
      <w:r>
        <w:lastRenderedPageBreak/>
        <w:t>La situación del buque, sin embargo, no afecta a la validez de la medida adoptada por el órgano jurisdiccional ni a la de su ejecución por el buque del Servicio de Vigilancia Aduanera el 23 de enero de 1995. Ha de tenerse presente, en efecto, que al establecer la extensión y límites de la jurisdicción de los Juzgados y Tribunales españoles, el art. 23.4 de la Ley Orgánica 6/1985, de 1 de julio, del Poder Judicial, atribuye el conocimiento por nuestros órganos judiciales de los hechos cometidos por españoles y extranjeros fuera del territorio nacional cuando los mismos sean susceptibles de tipificación como delitos, según la Ley penal española, en ciertos supuestos, entre ellos el del apartado f), relativo al "Tráfico ilegal de drogas psicotrópicas, tóxicas y estupefacientes". Lo que entraña, pues, que el legislador ha atribuido un alcance universal a la jurisdicción española para conocer de estos concretos delitos, en correspondencia tanto con su gravedad como con su proyección internacional.</w:t>
      </w:r>
    </w:p>
    <w:p w:rsidR="008107C7" w:rsidRDefault="008107C7" w:rsidP="008107C7">
      <w:pPr>
        <w:pStyle w:val="TextoNormal"/>
      </w:pPr>
      <w:r>
        <w:t>B) De otra parte, la ejecución de la medida en un buque mercante extranjero que navegaba en la alta mar por las autoridades españolas puede ser contraria a una norma de Derecho internacional generalmente reconocida y aplicada en la práctica de los Estados: la que establece la competencia exclusiva del Estado del pabellón sobre el buque que se encuentra en ese espacio marítimo, salvo en los supuestos excepcionales de piratería o trata de esclavos (art. 22 del Convenio de Ginebra de 1958 sobre el alta mar). Lo que exige que cualquier excepción a dicha norma ha de tener un fundamento jurídico, que en el presente caso se encuentra en el art. 17, apartados 3 y 4 en relación con el art.  4, apartados 1 y 3, del Convenio de las Naciones Unidas contra el tráfico ilícito de estupefacientes y sustancias psicotrópicas, hecho en Viena el 20 de diciembre de 1988. Acuerdo internacional en el que tanto España como la República de Panamá eran Estados partes -al haberlo ratificado, respectivamente, el 30 de julio de 1990 y el 13 de enero de 1994 ("Boletín Oficial del Estado" del 10 de noviembre de 1990 y del 25 de enero de 1996)- y había entrado en vigor entre ambos Estados al ocurrir los hechos aquí considerados, de conformidad con lo dispuesto en su art.  29.</w:t>
      </w:r>
    </w:p>
    <w:p w:rsidR="008107C7" w:rsidRDefault="008107C7" w:rsidP="008107C7">
      <w:pPr>
        <w:pStyle w:val="TextoNormal"/>
      </w:pPr>
      <w:r>
        <w:t>En efecto, el art. 17, apartados 3 y 4 del Convenio de Viena de 1988 requiere la previa autorización del Estado del pabellón para que otro Estado adopte en la alta mar las medidas adecuadas en relación con un buque utilizado para el tráfico de estupefacientes o sustancias psicotrópicas, entre ellas las de abordar la nave e inspeccionarla y, si se descubren pruebas de implicación en el tráfico ilícito, adoptar medidas adecuadas respecto al buque, a las personas y la carga que se encuentren a bordo. Normativa a la que se ajusta tanto la medida adoptada por el Jugado Central de Instrucción núm. 1 como su ejecución respecto al Archangelos, pues en las actuaciones recibidas consta que el Ministerio de Asuntos Exteriores recabó la autorización de la Embajada de la República de Panamá en Madrid y ésta fue concedida mediante nota verbal de dicha representación diplomática, de 20 de enero de 1995, en la que se autorizaba a las autoridades españolas para proceder "al abordaje y apresamiento del buque Archangelos, así como la detención de su tripulación por ser portadores según parece de un cargamento de cocaína"; y a bordo del buque se encontró, como antes se ha dicho, una considerable cantidad de esta sustancia. Por lo que no cabe estimar, en suma, que la privación de libertad que ha sufrido el recurrente tras ser detenido el 23 de enero de 1995 haya lesionado el derecho que el art. 17.1 garantiza, dado que se encuentra legalmente prevista para ese tipo de delitos y en cuanto a la forma de practicarla se ha ajustado a normas internacionales que forman parte de nuestro ordenamiento (art. 96.1 C.E. y art. 1.5 del Código civil).</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En segundo término, se ha alegado que las resoluciones judiciales impugnadas en el presente proceso constitucional han incurrido en nulidad por vulnerar el derecho que el art. </w:t>
      </w:r>
      <w:r>
        <w:lastRenderedPageBreak/>
        <w:t>17.2 C.E.  le reconoce, ya que pese a ser detenido el recurrente de amparo el 23 de enero de 1995, no pasó a disposición judicial hasta el 6 de febrero del mismo año. Lo que excede con mucho el plazo máximo de setenta y dos horas establecido en dicho precepto, respecto al que hemos declarado que no sólo es aplicable a los supuestos de detención preventiva legalmente previstos sino que también expresa "un principio de limitación temporal de toda privación de libertad de origen policial" que ha de tener presente el legislador (STC 341/1993). Con la particularidad, además, de que al fijar un plazo máximo de detención preventiva, la garantía del art.  17.2 C.E. es más rigurosa que la que se contiene en instrumentos internacionales sobre protección de los derechos humanos en los que es parte España y, en concreto, en el art.  5.3 del Convenio de Roma de 1950, invocado por el recurrente con cita de la Sentencia del T.E.D.H. de 26 de octubre de 1984 en el asunto Mc Goff.</w:t>
      </w:r>
    </w:p>
    <w:p w:rsidR="008107C7" w:rsidRDefault="008107C7" w:rsidP="008107C7">
      <w:pPr>
        <w:pStyle w:val="TextoNormal"/>
      </w:pPr>
      <w:r>
        <w:t>Sin embargo, la queja por una presunta vulneración del art.  17.2 C.E. no puede ser acogida. Con independencia de que en el presente supuesto la detención no se practicó y mantuvo en el territorio del Estado parte, como ocurrió en el caso resuelto por el T.E.D.H. que se acaba de mencionar, sino en la alta mar y a considerable distancia de las costas españolas más próximas, la razón determinante no es la posibilidad o imposibilidad de dar cumplimiento al plazo de las setenta y dos horas, sino la que se deriva de una correcta interpretación del precepto constitucional cuya vulneración se ha alegado.  Pues no cabe admitir la injustificada extensión que la representación procesal del recurrente atribuye a la garantía establecida por el art. 17.2 C.E.</w:t>
      </w:r>
    </w:p>
    <w:p w:rsidR="008107C7" w:rsidRDefault="008107C7" w:rsidP="008107C7">
      <w:pPr>
        <w:pStyle w:val="TextoNormal"/>
      </w:pPr>
      <w:r>
        <w:t>En efecto, si bien la libertad en cuanto derecho fundamental y valor superior de nuestro ordenamiento (art. 1.1 C.E.)  no puede sufrir excepciones por razones de eficacia en la lucha contra el delito, como ha alegado el recurrente, no es menos cierto que la vulneración del derecho que el art. 17.2 C.E. garantiza sólo se producirá cuando se hayan transgredido los límites del mismo. Y al respecto basta recordar que si la disponibilidad sobre la pérdida de libertad es exclusivamente judicial "el mandato de la Constitución es que, más allá de las setenta y dos horas, corresponde a un órgano judicial la decisión sobre mantenimiento o no de la limitación de la libertad" (STC 115/1987). Lo que es aplicable incluso respecto a un supuesto tan singular de detención como el presente, pues de esta decisión se desprende con claridad que el sentido y finalidad de esta exigencia constitucional no requiere incondicionalmente la presencia física del detenido ante el Juez -aunque ello debe constituir la forma normal, por implicar una mayor garantía del detenido-, sino que la persona privada de libertad, transcurrido el plazo de las setenta y dos horas, no continúe sujeta a las autoridades que practicaron la detención y quede bajo el control y la decisión del órgano judicial competente, garante de la libertad que el art. 17.1 reconoce.</w:t>
      </w:r>
    </w:p>
    <w:p w:rsidR="008107C7" w:rsidRDefault="008107C7" w:rsidP="008107C7">
      <w:pPr>
        <w:pStyle w:val="TextoNormal"/>
      </w:pPr>
      <w:r>
        <w:t>En el presente caso, el Juzgado Central de Instrucción núm.  1, con fecha 26 de enero de 1995, dictó Auto en el que se expresa que "estando por transcurrir las setenta y dos horas primeras desde la aprehensión del barco Archangelos y detención de su tripulación", debía legalizarse su situación en cumplimiento del mandato constitucional y, tras tener en cuenta las circunstancias de lugar y tiempo que impedían la presencia física de los detenidos ante el órgano judicial y valorar los indicios de criminalidad existentes, acordó la prisión provisional, comunicada y sin fianza de éstos. Ha existido, pues, un pleno control judicial sobre la libertad del recurrente al término del plazo constitucionalmente previsto y, desde la perspectiva del control externo que corresponde a este Tribunal, ningún reproche en esta sede constitucional cabe hacer a la decisión acordando elevar la detención a prisión provisional, pues su adopción se ha acordado de forma fundada, razonada, completa y acorde con la finalidad de la institución (STC 128/1995, fundamento jurídico 3º). Lo que hace que decaiga el segundo motivo del recurso de amparo.</w:t>
      </w:r>
    </w:p>
    <w:p w:rsidR="008107C7" w:rsidRDefault="008107C7" w:rsidP="008107C7">
      <w:pPr>
        <w:pStyle w:val="TextoNormal"/>
      </w:pPr>
    </w:p>
    <w:p w:rsidR="008107C7" w:rsidRDefault="008107C7" w:rsidP="008107C7">
      <w:pPr>
        <w:pStyle w:val="TextoNormal"/>
      </w:pPr>
      <w:r w:rsidRPr="008107C7">
        <w:rPr>
          <w:rStyle w:val="NumeroAFNegritaCaracter"/>
        </w:rPr>
        <w:t>5</w:t>
      </w:r>
      <w:r>
        <w:t>. En el tercer y último motivo de su queja el recurrente en amparo ha invocado el derecho constitucional de todo detenido a ser informado de forma inmediata y comprensible de sus derechos y de las razones de su detención, a lo que asocia la falta de asistencia de un intérprete y de un Letrado tras producirse aquella el 23 de enero de 1995, estimando que ello ha lesionado el art. 17.3 C.E. Más concretamente, en cuanto a lo primero ha alegado, con cita del art. 261 L.O.P.J., que pudieron haberse utilizado al efecto por el Juzgado Central de Instrucción núm. 1 los medios de comunicación existentes en el Petrel I y, de este modo, pudo haber remitido una "notificación" en idioma griego, lo que no se hizo; en cuanto a lo segundo, que se hubiera cumplido con la exigencia del precepto constitucional "llevando a bordo un Letrado que asistiera a los detenidos", pero careció de tal asistencia tras su detención.  Sin embargo, esta queja del recurrente tampoco puede ser acogida.</w:t>
      </w:r>
    </w:p>
    <w:p w:rsidR="008107C7" w:rsidRDefault="008107C7" w:rsidP="008107C7">
      <w:pPr>
        <w:pStyle w:val="TextoNormal"/>
      </w:pPr>
      <w:r>
        <w:t>A) Al respecto, una precisión inicial es necesaria, puesto que la actuación del Servicio de Vigilancia Aduanera en el presente caso, por el lugar y circunstancias en que se produjo, se diferencia claramente de aquellas actuaciones que las fuerzas y cuerpos de seguridad llevan a cabo en el territorio nacional. En este supuesto, la detención de una persona por su participación en un hecho delictivo de inmediato va seguida del traslado del detenido a dependencias policiales; y tras darse cumplimiento a las exigencias del art. 17.3 C.E. y a las prescripciones contenidas en el art. 520.2 L.E.Crim., que las desarrollan, es en dichas dependencias donde se continúan las averiguaciones encaminadas al esclarecimiento de los hechos constitutivos del delito, como se desprende del segundo párrafo del art. 520.1 L.E.Crim.</w:t>
      </w:r>
    </w:p>
    <w:p w:rsidR="008107C7" w:rsidRDefault="008107C7" w:rsidP="008107C7">
      <w:pPr>
        <w:pStyle w:val="TextoNormal"/>
      </w:pPr>
      <w:r>
        <w:t>En el presente caso, sin embargo, la finalidad de la actuación del Servicio de Vigilancia Aduanera era la de abordar el buque Archangelos, proceder a su inspección, aprehender la droga y detener a las personas que integraban la tripulación del buque como presuntamente responsables del ilícito comercio, custodiando seguidamente el buque, la carga y los detenidos hasta su llegada a puerto español. A lo que cabe agregar otra circunstancia particular: en los supuestos de abordaje y captura de un buque en alta mar es obvio -salvo que tales hechos hayan ocasionado su pérdida, como aquí pudo ocurrir por la resistencia de un tripulante en la sala de máquinas- que el buque ha de continuar su navegación bajo la vigilancia del buque captor hasta arribar a puerto; y la navegación se lleva a cabo con la participación, en todo o en parte, de la propia tripulación del buque capturado bajo el control de una dotación de presa, como en este caso ha ocurrido. Pues en el Acta de constancia de hechos suscrita el 26 de enero de 1995 por el Comandante del Petrel I se expresa que, una vez reducida la resistencia del tripulante Sr.  Serantes Caneda, el Archangelos, "tripulado por seis detenidos y cinco funcionarios como dotación de presa" continuó navegando hacia Las Palmas de Gran Canaria; aunque este documento -excesivamente sucinto en la descripción de los hechos- no indica los nombres de los detenidos que quedaron a bordo y, por tanto, no puede determinarse si entre ellos se hallaba el Capitán del buque capturado y hoy recurrente en amparo.</w:t>
      </w:r>
    </w:p>
    <w:p w:rsidR="008107C7" w:rsidRDefault="008107C7" w:rsidP="008107C7">
      <w:pPr>
        <w:pStyle w:val="TextoNormal"/>
      </w:pPr>
      <w:r>
        <w:t xml:space="preserve">B) Dicho esto, la diferencia existente entre uno y otro supuesto conduce a apreciar que en el presente caso no se han vulnerado los derechos que el art.  17.3 C.E. reconoce. En efecto, tras la detención preventiva de una persona y su conducción a dependencias policiales, el art. 520.1 L.E.Crim. permite realizar diligencias tendentes al esclarecimiento de los hechos, incluida la declaración del detenido. Y es en esta situación, cuando adquieren su pleno sentido protector las garantías del detenido de ser informado "de forma inmediata, y de modo que le sea comprensible, de sus derechos y de las razones de su detención", así como de la asistencia letrada y la de un interprete, dada su innegable importancia para la </w:t>
      </w:r>
      <w:r>
        <w:lastRenderedPageBreak/>
        <w:t>defensa en tales diligencias (STC 74/1987). Garantías constitucionales que se han configurado legalmente en el art. 520.2 L.E.Crim. y cuya finalidad es, como ha declarado este Tribunal, la de "asegurar la situación de quien, privado de su libertad, se encuentra en la eventualidad de quedar sometido a un proceso", procurando así la norma constitucional que la situación de sujeción que la detención implica no procuzca "en ningún caso la indefensión del afectado" (STC 107/1985, fundamento jurídico 3º y SSTC 196/1987 y 341/1993). Y ello se ha reiterado por este Tribunal respecto a la asistencia letrada en las primeras diligencias policiales, diferenciándola de la que se presta en un proceso penal, al declarar que, de acuerdo con lo dispuesto en el art. 520 L.E.Crim., aquella responde a la finalidad "de asegurar con su presencia personal, que los derechos constitucionales del detenido sean respetados, que no sufra coacción o trato incompatible con su dignidad y libertad de declaración y que tendrá el debido asesoramiento técnico sobre la conducta a observar en los interrogatorios, incluida la de guardar silencio, así como sobre su derecho a comprobar, una vez realizados y concluidos con la presencia activa del Letrado, la fidelidad de lo transcrito en el Acta de declaración que se le presenta a la firma" (STC 196/1987, fundamento jurídico 5º y, en el mismo sentido, 252/1994).</w:t>
      </w:r>
    </w:p>
    <w:p w:rsidR="008107C7" w:rsidRDefault="008107C7" w:rsidP="008107C7">
      <w:pPr>
        <w:pStyle w:val="TextoNormal"/>
      </w:pPr>
      <w:r>
        <w:t>En relación con la anterior doctrina basta observar que en el presente caso la captura del buque y la detención de su tripulación no fue seguida de diligencia alguna para el esclarecimiento de los hechos por parte de las autoridades del Servicio de Vigilancia Aduanera en el buque Petrel I. Y como antes se ha dicho, una parte de la tripulación, no identificada, permaneció a bordo del Archangelos, bajo la vigilancia de la dotación de presa, hasta la llegada del buque a puerto español. No ha existido, por tanto, el presupuesto necesario para satisfacer las exigencias de defensa en tales diligencias policiales conforme al sentido y finalidad del art. 17.3 C.E., pues ninguna diligencia para el esclarecimiento de los hechos se ha practicado por las autoridades del buque captor; limitándose a custodiar a los detenidos y a proceder de forma inmediata e ininterrumpida a su traslado a un puerto español.</w:t>
      </w:r>
    </w:p>
    <w:p w:rsidR="008107C7" w:rsidRDefault="008107C7" w:rsidP="008107C7">
      <w:pPr>
        <w:pStyle w:val="TextoNormal"/>
      </w:pPr>
    </w:p>
    <w:p w:rsidR="008107C7" w:rsidRDefault="008107C7" w:rsidP="008107C7">
      <w:pPr>
        <w:pStyle w:val="TextoNormal"/>
      </w:pPr>
      <w:r w:rsidRPr="008107C7">
        <w:rPr>
          <w:rStyle w:val="NumeroAFNegritaCaracter"/>
        </w:rPr>
        <w:t>6</w:t>
      </w:r>
      <w:r>
        <w:t>. Finalmente, cabe pensar que una situación de prolongación de la privación de libertad como la sufrida por el recurrente durante la navegación del Archangelos hasta su llegada a puerto español es susceptible de afectar a otro elemento esencial del entero sistema de protección judicial de la libertad, el instituto del habeas corpus (art. 17.4 C.E). Sin embargo, basta reparar que dicho instituto opera, potencialmente, en "todos los supuestos en los que se produce una privación de libertad no acordada por el Juez" (STC 31/1985, fundamento jurídico 2º y en concreto, frente a una eventual "prolongación abusiva de la permanencia en las dependencias policiales" (STC 341/1993, fundamento jurídico 6º) - lo que aquí no es el caso-, de suerte que su finalidad esencial es la de controlar la legalidad de la detención practicada y hacer cesar de inmediato las situaciones irregulares de privación de libertad (SSTC 194/1989 y 104/1990, entre otras), frente a detenciones ilegales o que transcurran en condiciones ilegales (STC 153/1988).</w:t>
      </w:r>
    </w:p>
    <w:p w:rsidR="008107C7" w:rsidRDefault="008107C7" w:rsidP="008107C7">
      <w:pPr>
        <w:pStyle w:val="TextoNormal"/>
      </w:pPr>
      <w:r>
        <w:t>En el presente caso, como antes se ha dicho, la detención practicada fue acordada por previa resolución judicial y elevada a prisión preventiva también por el Auto del Juzgado Central de Instrucción núm. 1 antes mencionado, una vez transcurridas las setenta y dos horas desde que aquella tuvo lugar.  Situación procesal del recurrente en uno y otro momento que viene a excluir que la prolongación de la privación de libertad haya supuesto, directa o indirectamente, una lesión del derecho que el art.  17.4 consagra. Y ello conduce en definitiva, como antes se ha anticipado, a rechazar el tercer motivo de la queja formulada por el recurrente y, junto a lo expuesto en los fundamentos precedentes, a la desestimación del amparo solicitado.</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Desestimar el amparo solicitado por don Angelos Rigopoulos.</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diez de febrero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25" w:name="SENTENCIA_1997_22"/>
      <w:r>
        <w:lastRenderedPageBreak/>
        <w:t>SENTENCIA 22/1997, de 11 de febrero de 1997</w:t>
      </w:r>
    </w:p>
    <w:bookmarkEnd w:id="25"/>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63, de 14 de marzo de 1997)</w:t>
      </w:r>
    </w:p>
    <w:p w:rsidR="008107C7" w:rsidRDefault="008107C7" w:rsidP="008107C7">
      <w:pPr>
        <w:pStyle w:val="TtuloBOE"/>
      </w:pPr>
    </w:p>
    <w:p w:rsidR="008107C7" w:rsidRDefault="008107C7" w:rsidP="008107C7">
      <w:pPr>
        <w:pStyle w:val="SntesisDescriptiva"/>
      </w:pPr>
      <w:r>
        <w:t>ECLI:ES:TC:1997:22</w:t>
      </w:r>
    </w:p>
    <w:p w:rsidR="008107C7" w:rsidRDefault="008107C7" w:rsidP="008107C7">
      <w:pPr>
        <w:pStyle w:val="SntesisDescriptiva"/>
      </w:pPr>
    </w:p>
    <w:p w:rsidR="008107C7" w:rsidRDefault="008107C7" w:rsidP="008107C7">
      <w:pPr>
        <w:pStyle w:val="SntesisDescriptiva"/>
      </w:pPr>
      <w:r>
        <w:t>Recurso de amparo 1.084/1991. Contra Autos de la Sala Segunda del Tribunal Supremo por los que se declinaba la competencia para conocer de la causa entablada contra el recurrente por delito de desobediencia.</w:t>
      </w:r>
    </w:p>
    <w:p w:rsidR="008107C7" w:rsidRDefault="008107C7" w:rsidP="008107C7">
      <w:pPr>
        <w:pStyle w:val="SntesisDescriptiva"/>
      </w:pPr>
    </w:p>
    <w:p w:rsidR="008107C7" w:rsidRDefault="008107C7" w:rsidP="008107C7">
      <w:pPr>
        <w:pStyle w:val="SntesisAnaltica"/>
      </w:pPr>
      <w:r>
        <w:t>Supuesta vulneración de los derechos al Juez ordinario en relación con la prerrogativa de aforamiento de parlamentarios, y a un proceso sin dilaciones. Voto particular.</w:t>
      </w:r>
    </w:p>
    <w:p w:rsidR="008107C7" w:rsidRDefault="008107C7" w:rsidP="008107C7">
      <w:pPr>
        <w:pStyle w:val="SntesisAnaltica"/>
      </w:pPr>
    </w:p>
    <w:p w:rsidR="008107C7" w:rsidRDefault="008107C7" w:rsidP="008107C7">
      <w:pPr>
        <w:pStyle w:val="Extracto"/>
      </w:pPr>
      <w:r>
        <w:t>1.</w:t>
      </w:r>
      <w:r>
        <w:tab/>
        <w:t>Aun reiterando por nuestra parte que las garantías del art. 71 C.E., donde encuentran su acomodo natural es en el derecho fundamental reconocido en el art. 23.2 C.E., y en lo que respecta al instituto del aforamiento especial -dada su propia y específica autonomía-, también en el art. 24.2 C.E., debemos admitir la invocación que de la prerrogativa del aforamiento hace, de manera inequívoca, el recurrente con base en el art. 24.1 C.E. a fin de facilitar por nuestra parte una respuesta sobre el fondo de la pretensión; sin incurrir en rigorismos formalistas que no sirvan al fin del proceso constitucional cuando -como en el presente caso acontece- la demanda, no obstante su insuficiencia y errónea identificación del precepto constitucional vulnerado, permite, sin embargo, conocer a las claras las específicas vulneraciones aducidas de los derechos fundamentales cuyo amparo se solicita de este Tribunal (SSTC 167/1987, 184/1992, 80/1994). [F.J. 2]</w:t>
      </w:r>
    </w:p>
    <w:p w:rsidR="008107C7" w:rsidRDefault="008107C7" w:rsidP="008107C7">
      <w:pPr>
        <w:pStyle w:val="Extracto"/>
      </w:pPr>
    </w:p>
    <w:p w:rsidR="008107C7" w:rsidRDefault="008107C7" w:rsidP="008107C7">
      <w:pPr>
        <w:pStyle w:val="Extracto"/>
      </w:pPr>
      <w:r>
        <w:t>2.</w:t>
      </w:r>
      <w:r>
        <w:tab/>
        <w:t>El proceso tuvo su complejidad -derivada de la sucesión de recursos producidos en un mismo proceso-, por lo que la demora de la causa no puede considerarse, en principio, carente de toda justificación, ni ajena al propio comportamiento procesal del recurrente. En todo caso, y con independencia de ello, es lo cierto que el actor no denunció en ningún momento ante el órgano jurisdiccional la tardanza en que ahora dice haber incurrido, asumiendo con su falta de diligencia procesal las consecuencias que de ello se pudieran derivar y no permitiendo al órgano jurisdiccional reparar la lesión que de su derecho fundamental a un proceso sin dilaciones indebidas dice haber padecido. [F.J. 3]</w:t>
      </w:r>
    </w:p>
    <w:p w:rsidR="008107C7" w:rsidRDefault="008107C7" w:rsidP="008107C7">
      <w:pPr>
        <w:pStyle w:val="Extracto"/>
      </w:pPr>
    </w:p>
    <w:p w:rsidR="008107C7" w:rsidRDefault="008107C7" w:rsidP="008107C7">
      <w:pPr>
        <w:pStyle w:val="Extracto"/>
      </w:pPr>
      <w:r>
        <w:t>3.</w:t>
      </w:r>
      <w:r>
        <w:tab/>
        <w:t>Debe señalarse que la regulación legal de la prerrogativa de aforamiento de Diputados y Senadores se encuentra en un confuso marco normativo (Ley de 9 de febrero de 1912; arts. 303.5, 309 y 750 a 756 L.E.Crim.; arts. 20.2 y 21 del Reglamento del Congreso de los Diputados y art. 22 del Reglamento del Senado), integrado parcialmente por normas preconstitucionales y cuya persistencia al día de hoy sólo se explica por el olvido del Legislador, pese a nuestros llamamientos anteriores -que hemos de reiterar ahora- sobre la inseguridad jurídica que tal situación comporta (STC 206/1992) . [F.J. 4]</w:t>
      </w:r>
    </w:p>
    <w:p w:rsidR="008107C7" w:rsidRDefault="008107C7" w:rsidP="008107C7">
      <w:pPr>
        <w:pStyle w:val="Extracto"/>
      </w:pPr>
    </w:p>
    <w:p w:rsidR="008107C7" w:rsidRDefault="008107C7" w:rsidP="008107C7">
      <w:pPr>
        <w:pStyle w:val="Extracto"/>
      </w:pPr>
      <w:r>
        <w:t>4.</w:t>
      </w:r>
      <w:r>
        <w:tab/>
        <w:t xml:space="preserve">Mediante las prerrogativas constitucionales, entre las que se encuentran las que integran el estatuto de los Diputados y Senadores «ex» art. 71 C.E., la Constitución </w:t>
      </w:r>
      <w:r>
        <w:lastRenderedPageBreak/>
        <w:t>ha querido proteger de forma cualificada la libertad, autonomía e independencia de los órganos constitucionales, interés superior del ordenamiento de todo Estado Democrático de Derecho (art. 1.1 C.E.) e instrumento imprescindible para garantizar la efectiva separación entre los distintos poderes del Estado. Esta protección jurídica cualificada se articula constitucionalmente, en el caso de las prerrogativas parlamentarias, mediante el tratamiento de situaciones subjetivas no parangonables con las ordinarias, puesto que se atribuyen a los miembros de las Cortes Generales no en atención a un interés privado de sus titulares, sino a causa de un interés general, cual es el de asegurar su libertad e independencia en tanto que reflejo de la que se garantiza al órgano constitucional al que pertenecen. De este modo, las prerrogativas parlamentarias no se confunden con el privilegio ni tampoco pueden considerarse como expresión de un pretendido «ius singulare», pues en ellas no concurren las notas de la desigualdad y la excepcionalidad. Antes al contrario: ofrecen un tratamiento jurídico diferenciado a situaciones subjetivas cualitativas y funcionalmente diferenciadas por la propia Constitución, y resultan de obligada aplicación siempre que concurra el presupuesto de hecho por ellas contemplado . [F.J. 5]</w:t>
      </w:r>
    </w:p>
    <w:p w:rsidR="008107C7" w:rsidRDefault="008107C7" w:rsidP="008107C7">
      <w:pPr>
        <w:pStyle w:val="Extracto"/>
      </w:pPr>
    </w:p>
    <w:p w:rsidR="008107C7" w:rsidRDefault="008107C7" w:rsidP="008107C7">
      <w:pPr>
        <w:pStyle w:val="Extracto"/>
      </w:pPr>
      <w:r>
        <w:t>5.</w:t>
      </w:r>
      <w:r>
        <w:tab/>
        <w:t>A partir de estas premisas debe configurarse también la prerrogativa de aforamiento especial que, teleológicamente, y en sede estrictamente procesal, opera como complemento y cierre -aunque con su propia y específica autonomía- de las de la inviolabilidad y la inmunidad, orientadas todas ellas hacia unos mismos objetivos comunes: proteger a los legítimos representantes del pueblo de acciones penales con las que se pretenda coartar su libertad de opinión ( inviolabilidad), impedir indebida y fraudulentamente su participación en la formación de la voluntad de la Cámara, poniéndolos al abrigo de querellas insidiosas o políticas que, entre otras hipótesis, confunden, a través de la utilización inadecuada de los procesos judiciales, los planos de la responsabilidad política y la penal, cuya delimitación es uno de los mayores logros del Estado constitucional (inmunidad) o, finalmente, proteger la independencia del órgano y el ejercicio de las funciones del cargo constitucionalmente relevantes (aforamiento) . [F.J. 6]</w:t>
      </w:r>
    </w:p>
    <w:p w:rsidR="008107C7" w:rsidRDefault="008107C7" w:rsidP="008107C7">
      <w:pPr>
        <w:pStyle w:val="Extracto"/>
      </w:pPr>
    </w:p>
    <w:p w:rsidR="008107C7" w:rsidRDefault="008107C7" w:rsidP="008107C7">
      <w:pPr>
        <w:pStyle w:val="Extracto"/>
      </w:pPr>
      <w:r>
        <w:t>6.</w:t>
      </w:r>
      <w:r>
        <w:tab/>
        <w:t>La prerrogativa de aforamiento preserva un cierto equilibrio entre los poderes y, al propio tiempo, la resistencia más eficaz frente a la eventual trascendencia de la resolución judicial en la composición del Parlamento. Por ello, no es de extrañar que el constituyente atribuyese expresamente el conocimiento de tales causas a la Sala de lo Penal del Tribunal Supremo, en tanto que órgano jurisdiccional superior de los que integran aquel poder del Estado (art. 123.1 C.E.). Desde esta perspectiva, dicha Sala es, respecto de las acciones penales dirigidas contra Diputados y Senadores, «el Juez ordinario predeterminado por la Ley» a que se refiere el art. 24.2 C.E., esto es, aquel constituido con arreglo a las normas procesales de competencia preestablecidas, en este caso, por la Constitución misma en su art. 71.3. . [F.J. 6]</w:t>
      </w:r>
    </w:p>
    <w:p w:rsidR="008107C7" w:rsidRDefault="008107C7" w:rsidP="008107C7">
      <w:pPr>
        <w:pStyle w:val="Extracto"/>
      </w:pPr>
    </w:p>
    <w:p w:rsidR="008107C7" w:rsidRDefault="008107C7" w:rsidP="008107C7">
      <w:pPr>
        <w:pStyle w:val="Extracto"/>
      </w:pPr>
      <w:r>
        <w:t>7.</w:t>
      </w:r>
      <w:r>
        <w:tab/>
        <w:t>Aunque ninguna limitación específica se establece en el art. 71.3 C.E., en relación con el aforamiento de los miembros de las Cortes Generales, es indudable, sin embargo, que su interpretación no puede realizarse en términos absolutos y con des</w:t>
      </w:r>
      <w:r>
        <w:lastRenderedPageBreak/>
        <w:t>conocimiento de la finalidad a la que constitucionalmente sirve, junto con las demás prerrogativas parlamentarias, respecto de las que guarda íntima conexión. La exigencia de previa concesión del suplicatorio implica que la Cámara, al conceder el suplicatorio, ya ha deliberado y ponderado previamente la irrelevancia de la acción penal seguida contra uno o varios de sus miembros en relación con su autonomía e independencia institucional. Por ello mismo, el aforamiento de los miembros de las Cortes Generales y, en particular, su alcance temporal, no puede interpretarse al margen de los efectos que se vinculan a la prerrogativa de la inmunidad y la concesión, en su caso, del oportuno suplicatorio . [F.J. 7]</w:t>
      </w:r>
    </w:p>
    <w:p w:rsidR="008107C7" w:rsidRDefault="008107C7" w:rsidP="008107C7">
      <w:pPr>
        <w:pStyle w:val="Extracto"/>
      </w:pPr>
    </w:p>
    <w:p w:rsidR="008107C7" w:rsidRDefault="008107C7" w:rsidP="008107C7">
      <w:pPr>
        <w:pStyle w:val="Extracto"/>
      </w:pPr>
      <w:r>
        <w:t>8.</w:t>
      </w:r>
      <w:r>
        <w:tab/>
        <w:t>Iniciada la causa contra un Diputado o Senador, y si éste, de forma sobrevenida, hubiese perdido su condición de aforado, la interpretación de la legalidad procesal aplicable (art. 7 de la Ley de 9 de febrero de 1912 y preceptos concordantes de la L.E.Crim. y de la L.O.P.J.) a los efectos de determinar si la Sala de lo Penal del Tribunal Supremo debe mantener su competencia, continuando con el enjuiciamiento de la causa, o si, por el contrario, debe declinarla defiriendo la causa al Juzgado de Instrucción competente «locus commissi delicti», es una cuestión de legalidad que incide, sin embargo, en el contenido de un precepto constitucional, el art. 71.3 C.E., y en la prerrogativa de aforamiento especial en él establecida, así como en el derecho fundamental al Juez ordinario predeterminado por la Ley. Por tanto, el control que corresponde a este Tribunal requiere la consideración de este problema, el de la «perpetuatio iurisdictionis», a la luz de la doctrina anteriormente expuesta respecto de las prerrogativas que conforman el «status» de los parlamentarios, de forma que la observancia de dicho instituto procesal se cohoneste con la finalidad a que sirve la prerrogativa del aforamiento especial de Diputados y Senadores. Lo contrario supondría una extensión del ámbito temporal de la prerrogativa, innecesaria para salvaguardar su finalidad, que la convertiría en un mero privilegio personal . [F.J. 7]</w:t>
      </w:r>
    </w:p>
    <w:p w:rsidR="008107C7" w:rsidRDefault="008107C7" w:rsidP="008107C7">
      <w:pPr>
        <w:pStyle w:val="Extracto"/>
      </w:pPr>
    </w:p>
    <w:p w:rsidR="008107C7" w:rsidRDefault="008107C7" w:rsidP="008107C7">
      <w:pPr>
        <w:pStyle w:val="Extracto"/>
      </w:pPr>
      <w:r>
        <w:t>9.</w:t>
      </w:r>
      <w:r>
        <w:tab/>
        <w:t>En el caso presente, el demandante de amparo gozaba de la condición de parlamentario al tiempo de iniciarse la acción penal. Se cumplía así el primer presupuesto para la aplicación de la prerrogativa de aforamiento. Ahora bien, constatada por la Sala Segunda del Tribunal Supremo la pérdida sobrevenida de esa condición, la devolución de la causa al Juzgado de Instrucción no supuso vulneración alguna del derecho fundamental a la tutela judicial efectiva (art. 24.1 C.E.) y al Juez predeterminado por la Ley (art. 24.2 C.E.), toda vez que la cognición del Tribunal Supremo en este tipo de procesos sólo se justifica constitucionalmente por razón de la prerrogativa de aforamiento (art. 71.3 C.E.) y en atención a la función institucional que le es propia, y no cuando -como ahora acontece- ésta queda privada de su razón de ser, por haber perdido el encausado su condición de miembro de las Cortes Generales. Esta prerrogativa ha de ser objeto -al igual que las restantes que conforman el estatuto del parlamentario- de una interpretación estricta en atención al interés que preserva, interés que decae cuando se pierde la condición de parlamentario y no cabe temer que el Juzgador se sienta cohibido por el peso institucional de la representación popular o abrumado por la trascendencia de su decisión en la composición de la Cámara . [F.J. 8]</w:t>
      </w:r>
    </w:p>
    <w:p w:rsidR="008107C7" w:rsidRDefault="008107C7" w:rsidP="008107C7">
      <w:pPr>
        <w:pStyle w:val="Extracto"/>
      </w:pPr>
    </w:p>
    <w:p w:rsidR="008107C7" w:rsidRDefault="008107C7" w:rsidP="008107C7">
      <w:pPr>
        <w:pStyle w:val="Extracto"/>
      </w:pPr>
      <w:r>
        <w:lastRenderedPageBreak/>
        <w:t>10.</w:t>
      </w:r>
      <w:r>
        <w:tab/>
        <w:t>Cuando la Constitución proclama en su art. 71.3 que «en las causas contra Diputados y Senadores será competente la Sala de lo Penal del Tribunal Supremo», está estableciendo un contenido absolutamente indisponible de esta prerrogativa, de tal manera que, cualquiera que sea la causa, ésta pasará al Tribunal Supremo desde el momento en que la misma afecte a un Diputado o Senador, y mientras no se pierda la condición de miembro de las Cortes Generales. Más allá de este contenido indisponible, las leyes procesales o el Tribunal Supremo en su función de intérprete de la preconstitucional ley de 1912 pueden resolver de distinta manera acerca de la «perpetuatio iurisdictionis», sin que, en principio, quepa considerar por ello afectados los derechos fundamentales reconocidos en los arts. 23.2 y 24.2 C.E. . [F.J. 8]</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Alvaro Rodríguez Bereijo, Presidente, don Vicente Gimeno Sendra, don Pedro Cruz Villalón,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1.084/91, interpuesto por don Andrés Pedro Calero Baena, bajo la representación procesal del Procurador de los Tribunales don José Luis Pinto Marabotto, y asistido por el Abogado don José Luis Navarro, contra los Autos de la Sala Segunda del Tribunal Supremo de 15 de noviembre de 1990 y 18 de marzo de 1991. Ha intervenido el Ministerio Fiscal. Ha sido Ponente el Presidente don Alvaro Rodríguez Bereijo,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presentado ante el Juzgado de Guardia, el 22 de mayo de 1991, don José Luis Pinto Marabotto, Procurador de los Tribunales, en nombre y representación de don Andrés Pedro Calero Baena, interpuso recurso de amparo constitucional contra los Autos de la Sala Segunda del Tribunal Supremo, de 15 de noviembre de 1990 y 18 de marzo de 1991, por los que se declinaba la competencia para conocer de la causa entablada contra el recurrente por delito de desobediencia.</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La demanda se basa, en síntesis, en los siguientes hechos: </w:t>
      </w:r>
    </w:p>
    <w:p w:rsidR="008107C7" w:rsidRDefault="008107C7" w:rsidP="008107C7">
      <w:pPr>
        <w:pStyle w:val="TextoNormal"/>
      </w:pPr>
      <w:r>
        <w:t>a) Por Resolución, de 3 de mayo de 1986, la Alcaldía del Ayuntamiento de Andújar denegó la celebración de una sesión extraordinaria del Pleno para debatir una moción de censura contra el entonces Alcalde y hoy demandante de amparo. Se interpuso recurso con</w:t>
      </w:r>
      <w:r>
        <w:lastRenderedPageBreak/>
        <w:t xml:space="preserve">tencioso-administrativo ante la Audiencia Territorial de Granada que, con fecha 13 de octubre del mismo año, dictó Sentencia anulando dicha Resolución y, en consecuencia, ordenando que se convocara de forma inmediata un Pleno a tal fin. </w:t>
      </w:r>
    </w:p>
    <w:p w:rsidR="008107C7" w:rsidRDefault="008107C7" w:rsidP="008107C7">
      <w:pPr>
        <w:pStyle w:val="TextoNormal"/>
      </w:pPr>
      <w:r>
        <w:t xml:space="preserve">b) Solicitada la ejecución de Sentencia, por providencia de 18 de noviembre de 1986 se acordó proceder a la ejecución de la misma, requiriendo al Alcalde para que procediese a la convocatoria y celebración del Pleno, con apercibimiento de que, transcurridos los plazos legales sin verificarlo, se pasaría el tanto de culpa correspondiente a la jurisdicción penal por el delito de desobediencia. </w:t>
      </w:r>
    </w:p>
    <w:p w:rsidR="008107C7" w:rsidRDefault="008107C7" w:rsidP="008107C7">
      <w:pPr>
        <w:pStyle w:val="TextoNormal"/>
      </w:pPr>
      <w:r>
        <w:t xml:space="preserve">A instancias del Ministerio Fiscal y ante el incumplimiento del mandato judicial, se dedujo el oportuno tanto de culpa y, con fecha de 24 de febrero de 1987, se incoaron diligencias previas por el Juzgado de Instrucción de Andújar. El Alcalde invocó entonces su condición de Diputado de las Cortes Generales (con efectos del 15 de julio de 1986) y el Ministerio Público instó la competencia jurisdiccional de la Sala Segunda del Tribunal Supremo. </w:t>
      </w:r>
    </w:p>
    <w:p w:rsidR="008107C7" w:rsidRDefault="008107C7" w:rsidP="008107C7">
      <w:pPr>
        <w:pStyle w:val="TextoNormal"/>
      </w:pPr>
      <w:r>
        <w:t xml:space="preserve">c) La Sala Segunda, una vez acreditada documentalmente la condición de Diputado del Sr. Calero, asumió el conocimiento de los hechos por Auto de 12 de mayo de 1987, y designó Juez Delegado al Juzgado de Instrucción núm. 2 de Jaén. </w:t>
      </w:r>
    </w:p>
    <w:p w:rsidR="008107C7" w:rsidRDefault="008107C7" w:rsidP="008107C7">
      <w:pPr>
        <w:pStyle w:val="TextoNormal"/>
      </w:pPr>
      <w:r>
        <w:t xml:space="preserve">El Juzgado de Jaén incoó sumario ordinario, por Auto de 28 de mayo de 1987 (sumario 15/87). Tras la práctica de numerosas diligencias, lo declaró concluso y lo elevó al Tribunal Supremo el día 30 de septiembre de 1987. </w:t>
      </w:r>
    </w:p>
    <w:p w:rsidR="008107C7" w:rsidRDefault="008107C7" w:rsidP="008107C7">
      <w:pPr>
        <w:pStyle w:val="TextoNormal"/>
      </w:pPr>
      <w:r>
        <w:t xml:space="preserve">d) Previo informe del Ministerio Fiscal, la Sala Segunda elevó atento suplicatorio a la Presidencia del Congreso de los Diputados por Auto de 27 de noviembre de 1987, conforme a lo dispuesto en los arts. 750 y siguientes de la L.E.Crim., art. 71.2 C.E. y los arts. 11 y siguientes del Reglamento del Congreso de los Diputados, por apreciar la existencia de indicios racionales de responsabilidad criminal atribuibles al denunciado, puesto que los hechos podían reputarse integrantes, a los limitados efectos del presente momento procesal, del posible delito de desobediencia, salvo una más acertada calificación ulterior. El mismo día, el Presidente de la Sala remitió una exposición al Presidente del Congreso, por conducto del Presidente del Tribunal Supremo, solicitando el suplicatorio. El siguiente día 15 de diciembre se personó el Sr. Calero, con Procurador y Abogado, siendo tenido como parte el 13 de enero de 1988. </w:t>
      </w:r>
    </w:p>
    <w:p w:rsidR="008107C7" w:rsidRDefault="008107C7" w:rsidP="008107C7">
      <w:pPr>
        <w:pStyle w:val="TextoNormal"/>
      </w:pPr>
      <w:r>
        <w:t xml:space="preserve">El Congreso de los Diputados concedió autorización para procesar al inculpado, en sesión del Pleno de 17 de marzo de 1988, que fue recibido por providencia de la Sala del siguiente 7 de abril. </w:t>
      </w:r>
    </w:p>
    <w:p w:rsidR="008107C7" w:rsidRDefault="008107C7" w:rsidP="008107C7">
      <w:pPr>
        <w:pStyle w:val="TextoNormal"/>
      </w:pPr>
      <w:r>
        <w:t xml:space="preserve">e) El mismo día 17 de marzo, la representación del Sr. Calero formuló diversas alegaciones (que, con documentación adjunta, superaban las 650 páginas), solicitando el sobreseimiento de las actuaciones. El tuvo una actuación escrupulosa, en nada dilatoria, y plenamente ajustada a la Ley; la posible conducta delictiva, por el contrario, es achacable a los Magistrados de la Sala de lo Contencioso-Administrativo que dictaron y ejecutaron la Sentencia que dio lugar finalmente a la celebración de un Pleno extraordinario del Ayuntamiento de Andújar, en febrero de 1987, donde fue aprobada la moción de censura dirigida contra él. Puso en conocimiento de la Sala que había formulado querella contra dichos Magistrados, el día 12 de agosto de 1987, que se encontraba en trámite de admisión, así como una denuncia ante el Consejo General del Poder Judicial, presentada el 4 de febrero de 1988. </w:t>
      </w:r>
    </w:p>
    <w:p w:rsidR="008107C7" w:rsidRDefault="008107C7" w:rsidP="008107C7">
      <w:pPr>
        <w:pStyle w:val="TextoNormal"/>
      </w:pPr>
      <w:r>
        <w:t xml:space="preserve">Tras recibir el dictamen del Fiscal, así como la solicitud del denunciado de que se requirieran diversos testimonios documentales, la Sala denegó el sobreseimiento por Auto de 13 de junio de 1988. En él acordó solicitar de la Sala Especial del Tribunal Supremo la remisión de testimonio del antejuicio promovido por el denunciado. </w:t>
      </w:r>
    </w:p>
    <w:p w:rsidR="008107C7" w:rsidRDefault="008107C7" w:rsidP="008107C7">
      <w:pPr>
        <w:pStyle w:val="TextoNormal"/>
      </w:pPr>
      <w:r>
        <w:lastRenderedPageBreak/>
        <w:t xml:space="preserve">f) El 14 de julio se remitió el testimonio de la querella formulada por el Sr. Calero contra los Magistrados de la Sala de Granada, así como el Auto de 1 de marzo de 1988 por el que la Sala Especial del art. 61 L.O.P.J. la había rechazado (autos núm. 11/87), comunicando que la resolución de archivo había sido recurrida en súplica. </w:t>
      </w:r>
    </w:p>
    <w:p w:rsidR="008107C7" w:rsidRDefault="008107C7" w:rsidP="008107C7">
      <w:pPr>
        <w:pStyle w:val="TextoNormal"/>
      </w:pPr>
      <w:r>
        <w:t xml:space="preserve">Por providencia de 29 de julio de 1988, la Sala rogó al Presidente del Tribunal Supremo que se dignara ordenar que la Sala Especial expidiera y remitiera testimonio de la resolución que recayera sobre el recurso de súplica, y que se remitiera igualmente certificación de la Sentencia que había confirmado en apelación el fallo cuya ejecución había dado origen a los hechos. </w:t>
      </w:r>
    </w:p>
    <w:p w:rsidR="008107C7" w:rsidRDefault="008107C7" w:rsidP="008107C7">
      <w:pPr>
        <w:pStyle w:val="TextoNormal"/>
      </w:pPr>
      <w:r>
        <w:t xml:space="preserve">La antigua Sala Quinta del Tribunal Supremo remitió, el 21 de septiembre de 1988, testimonio de la Sentencia de 5 de octubre de 1987 (rollo núm. 2022/87), que confirmó la dictada por la Audiencia Territorial de Granada el día 13 de octubre de 1986. </w:t>
      </w:r>
    </w:p>
    <w:p w:rsidR="008107C7" w:rsidRDefault="008107C7" w:rsidP="008107C7">
      <w:pPr>
        <w:pStyle w:val="TextoNormal"/>
      </w:pPr>
      <w:r>
        <w:t xml:space="preserve">El 8 de mayo de 1989, el Presidente de la Sala Segunda reiteró su ruego al del Tribunal Supremo, en relación con el testimonio del recurso de súplica que había sido interpuesto contra el Auto de archivo de la querella de antejuicio. </w:t>
      </w:r>
    </w:p>
    <w:p w:rsidR="008107C7" w:rsidRDefault="008107C7" w:rsidP="008107C7">
      <w:pPr>
        <w:pStyle w:val="TextoNormal"/>
      </w:pPr>
      <w:r>
        <w:t xml:space="preserve">g) Por providencia de 19 de junio de 1990, la Sala solicitó que se acreditara si el encausado tenía la condición de Diputado o Senador en la nueva legislatura. Tras recibir certificaciones negativas por parte de los Presidentes del Senado y del Congreso, la Sala de lo Penal dictó Auto de 15 de noviembre de 1990, acordando declinar el conocimiento de los hechos denunciados contra el Sr. Calero Baena por supuesto delito de desobediencia, remitiendo las actuaciones al Juzgado de Instrucción de Andújar para que prosiguiera la instrucción sumarial con arreglo a Derecho. Su fundamento es el siguiente: </w:t>
      </w:r>
    </w:p>
    <w:p w:rsidR="008107C7" w:rsidRDefault="008107C7" w:rsidP="008107C7">
      <w:pPr>
        <w:pStyle w:val="TextoNormal"/>
      </w:pPr>
      <w:r>
        <w:t xml:space="preserve">“Durante el período de su mandato los Diputados y Senadores no podrán ser inculpados ni procesados sin la previa autorización de la Cámara respectiva, siendo competente para el conocimiento de estas causas la Sala de lo Penal del Tribunal Supremo (art. 71.2 de la Constitución Española, art. 11 del Reglamento del Congreso de 24 de febrero de 1982 y art. 22 del Reglamento del Senado de 26 de mayo del mismo año, referentes al privilegio de inmunidad); fuera del período expresado solamente se extiende la competencia de dicha Sala a los Diputados y Senadores electos (art. 752 de la Ley de Enjuiciamiento Criminal y art. 2 de la Ley de 9 de febrero de 1912), o cuando al finalizar su mandato estuviera concedida y vigente la autorización de la Cámara para proceder, según se desprende del segundo párrafo del art. 7 de la Ley citada de 1912, aunque condicionada esta posibilidad a que los hechos cometidos estuvieran directamente relacionados con el ejercicio de la función pública inherente al cargo representativo, por exigencias de la interpretación restrictiva que debe prevalecer en materia de privilegios de fuero (Auto de 20 de julio de 1990). </w:t>
      </w:r>
    </w:p>
    <w:p w:rsidR="008107C7" w:rsidRDefault="008107C7" w:rsidP="008107C7">
      <w:pPr>
        <w:pStyle w:val="TextoNormal"/>
      </w:pPr>
      <w:r>
        <w:t xml:space="preserve">Habiendo finalizado el mandato del presunto inculpado don Andrés-Pedro Calero Baena, y no concurriendo el segundo de los condicionamientos que se ha hecho mérito, concretamente el pertenecer los hechos al ejercicio de la función pública de Diputado, procede declinar la competencia de acuerdo con el dictamen del Ministerio Público”. </w:t>
      </w:r>
    </w:p>
    <w:p w:rsidR="008107C7" w:rsidRDefault="008107C7" w:rsidP="008107C7">
      <w:pPr>
        <w:pStyle w:val="TextoNormal"/>
      </w:pPr>
      <w:r>
        <w:t xml:space="preserve">h) Contra dicha resolución interpuso el actor recurso de súplica alegando que los hechos estaban relacionados con su actividad política por lo que entendía vulnerados diversos preceptos de la legalidad ordinaria (arts. 752 L.E.Crim. y 2 de la Ley de 9 de febrero de 1912), así como los arts. 71.2 y 24 C.E. en tanto que en ellos se consagran el principio de la inmunidad parlamentaria y el derecho a la tutela judicial efectiva. Por Auto de 18 de marzo de 1991, se desestimó el recurso de súplica, por las siguientes razones: </w:t>
      </w:r>
    </w:p>
    <w:p w:rsidR="008107C7" w:rsidRDefault="008107C7" w:rsidP="008107C7">
      <w:pPr>
        <w:pStyle w:val="TextoNormal"/>
      </w:pPr>
      <w:r>
        <w:t xml:space="preserve">“La interpretación del principio de inmunidad, ajustada al criterio restrictivo que debe prevalecer en materia de fueros y privilegios, conduce a restringir sus efectos más allá del período parlamentario, a los hechos que estuvieran en relación o conexión con el ejercicio </w:t>
      </w:r>
      <w:r>
        <w:lastRenderedPageBreak/>
        <w:t>de la función inherente al mandato representativo, entendiendo qué protección que la inmunidad entraña se hace a la función y no al funcionario (post officium vel in contemplatione officii). No hay inconveniente en aceptar que la actitud renuente del denunciado, en su calidad de Alcalde de Andújar, a convocar una sesión extraordinaria del Pleno del Ayuntamiento para debatir una moción de censura y propuesta de destitución ordenada por la Sala de lo Contencioso-Administrativo de la Audiencia de Granada, puede tener relación con su actividad política en el ámbito local, pero en modo alguno con su cometido o función como Diputado de las Cortes Generales. Estas son las razones para mantener la resolución recurrida”.</w:t>
      </w:r>
    </w:p>
    <w:p w:rsidR="008107C7" w:rsidRDefault="008107C7" w:rsidP="008107C7">
      <w:pPr>
        <w:pStyle w:val="TextoNormal"/>
      </w:pPr>
    </w:p>
    <w:p w:rsidR="008107C7" w:rsidRDefault="008107C7" w:rsidP="008107C7">
      <w:pPr>
        <w:pStyle w:val="TextoNormal"/>
      </w:pPr>
      <w:r w:rsidRPr="008107C7">
        <w:rPr>
          <w:rStyle w:val="NumeroAFNegritaCaracter"/>
        </w:rPr>
        <w:t>3</w:t>
      </w:r>
      <w:r>
        <w:t>. En su escrito de demanda el recurrente entiende que los Autos de la Sala de lo Penal del Tribunal Supremo por los que se declina su competencia para seguir conociendo de la causa, vulneran los arts. 71.2 y 24 C.E., en la medida en que la interpretación realizada por el órgano jurisdiccional no es conforme al espíritu que anima la inmunidad parlamentaria y la prerrogativa de aforamiento de Diputados y Senadores que, en su opinión, exige que la Sentencia resolutoria de la causa la dicte en todo caso el Tribunal Supremo, con independencia de que después de iniciada la misma la persona aforada pierda su condición de tal. Por otra parte, añade el actor, si en el momento de comenzar el enjuiciamiento de los hechos éste gozaba, por su condición de Diputado, de la referida prerrogativa, no es lícito demorar la causa hasta el momento en que se deje de ostentar la mencionada condición, para despojarlo en ese momento de las garantías que constitucionalmente le son atribuidas, pues ello supondría una conculcación inadmisible de la libertad de actuación del parlamentario.</w:t>
      </w:r>
    </w:p>
    <w:p w:rsidR="008107C7" w:rsidRDefault="008107C7" w:rsidP="008107C7">
      <w:pPr>
        <w:pStyle w:val="TextoNormal"/>
      </w:pPr>
    </w:p>
    <w:p w:rsidR="008107C7" w:rsidRDefault="008107C7" w:rsidP="008107C7">
      <w:pPr>
        <w:pStyle w:val="TextoNormal"/>
      </w:pPr>
      <w:r w:rsidRPr="008107C7">
        <w:rPr>
          <w:rStyle w:val="NumeroAFNegritaCaracter"/>
        </w:rPr>
        <w:t>4</w:t>
      </w:r>
      <w:r>
        <w:t>. Por providencia de 16 de diciembre de 1991, la Sección Tercera de este Tribunal Constitucional acordó la admisión a trámite del recurso y, a tenor de lo dispuesto en el art. 51 LOTC, dirigir atenta comunicación a la Sala Segunda del Tribunal Supremo interesando copia certificada de las actuaciones correspondientes a la causa especial núm. 250/87 instruida como consecuencia de las diligencias previas incoadas por el Juzgado de Instrucción de Andújar, con emplazamiento de quienes hubieren sido parte en el proceso judicial previo, para que, en el plazo de diez días, pudiesen comparecer en este proceso constitucional en defensa de sus derechos.</w:t>
      </w:r>
    </w:p>
    <w:p w:rsidR="008107C7" w:rsidRDefault="008107C7" w:rsidP="008107C7">
      <w:pPr>
        <w:pStyle w:val="TextoNormal"/>
      </w:pPr>
    </w:p>
    <w:p w:rsidR="008107C7" w:rsidRDefault="008107C7" w:rsidP="008107C7">
      <w:pPr>
        <w:pStyle w:val="TextoNormal"/>
      </w:pPr>
      <w:r w:rsidRPr="008107C7">
        <w:rPr>
          <w:rStyle w:val="NumeroAFNegritaCaracter"/>
        </w:rPr>
        <w:t>5</w:t>
      </w:r>
      <w:r>
        <w:t>. Mediante providencia de 9 de marzo de 1992, la Sección Cuarta, acordó acusar recibo de las actuaciones recibidas y dar vista de las mismas a la parte recurrente y al Ministerio Fiscal para que en el plazo común de diez días presentasen las alegaciones que estimasen pertinentes, de acuerdo con el art. 52.1 LOTC.</w:t>
      </w:r>
    </w:p>
    <w:p w:rsidR="008107C7" w:rsidRDefault="008107C7" w:rsidP="008107C7">
      <w:pPr>
        <w:pStyle w:val="TextoNormal"/>
      </w:pPr>
    </w:p>
    <w:p w:rsidR="008107C7" w:rsidRDefault="008107C7" w:rsidP="008107C7">
      <w:pPr>
        <w:pStyle w:val="TextoNormal"/>
      </w:pPr>
      <w:r w:rsidRPr="008107C7">
        <w:rPr>
          <w:rStyle w:val="NumeroAFNegritaCaracter"/>
        </w:rPr>
        <w:t>6</w:t>
      </w:r>
      <w:r>
        <w:t>. El escrito de alegaciones del recurrente tuvo entrada en el Registro General de este Tribunal el día 2 de abril de 1992. En él, se limita el actor a reproducir brevemente los argumentos previamente aducidos en su escrito de demanda, interesando finalmente la estimación de su recurso de amparo.</w:t>
      </w:r>
    </w:p>
    <w:p w:rsidR="008107C7" w:rsidRDefault="008107C7" w:rsidP="008107C7">
      <w:pPr>
        <w:pStyle w:val="TextoNormal"/>
      </w:pPr>
    </w:p>
    <w:p w:rsidR="008107C7" w:rsidRDefault="008107C7" w:rsidP="008107C7">
      <w:pPr>
        <w:pStyle w:val="TextoNormal"/>
      </w:pPr>
      <w:r w:rsidRPr="008107C7">
        <w:rPr>
          <w:rStyle w:val="NumeroAFNegritaCaracter"/>
        </w:rPr>
        <w:t>7</w:t>
      </w:r>
      <w:r>
        <w:t xml:space="preserve">. El alegato del Ministerio Fiscal fue registrado el día 6 de abril de 1992. Tras una somera exposición de los hechos y de la doctrina de este Tribunal sobre la naturaleza jurídica de las prerrogativas parlamentarias, el Ministerio Público interesó la denegación del amparo solicitado. A su criterio, la interpretación restrictiva que debe presidir toda interpretación de las prerrogativas parlamentarias conduce a que las razones esgrimidas por la Sala </w:t>
      </w:r>
      <w:r>
        <w:lastRenderedPageBreak/>
        <w:t>de lo Penal del Tribunal Supremo sean perfectamente acordes a las exigencias impuestas por el Texto constitucional. Y por ello mismo, no existiendo duda de que los hechos investigados no guardan relación con las funciones parlamentarias, la interpretación realizada por el órgano judicial es constitucionalmente impecable desde la perspectiva del art. 24.1 C.E. en relación con la interpretación de las previsiones del art. 71.3 C.E. Tampoco existe, a juicio del Ministerio Fiscal, vulneración de un proceso sin dilaciones indebidas (art. 24.2 C.E.), pues no existe en autos la mínima base fáctica que apoye las especulaciones del recurrente respecto del retraso doloso del Tribunal Supremo para evitar el enjuiciamiento hasta que acabase la legislatura. No ha existido la inactividad procesal que se denuncia y si el recurrente entendió que existía una pasividad jurisdiccional debió denunciarla, lo que no hizo. "Nos encontramos -alega el Ministerio Fiscal- ante una indiligencia de la parte, que parecía encontrarse personalmente satisfecha con la tardanza en resolver acerca de su posible delito de desobediencia a los mandatos judiciales del art. 237 del Código Penal.</w:t>
      </w:r>
    </w:p>
    <w:p w:rsidR="008107C7" w:rsidRDefault="008107C7" w:rsidP="008107C7">
      <w:pPr>
        <w:pStyle w:val="TextoNormal"/>
      </w:pPr>
    </w:p>
    <w:p w:rsidR="008107C7" w:rsidRDefault="008107C7" w:rsidP="008107C7">
      <w:pPr>
        <w:pStyle w:val="TextoNormal"/>
      </w:pPr>
      <w:r w:rsidRPr="008107C7">
        <w:rPr>
          <w:rStyle w:val="NumeroAFNegritaCaracter"/>
        </w:rPr>
        <w:t>8</w:t>
      </w:r>
      <w:r>
        <w:t>. Por providencia de 10 de febrero de 1997, se señaló para deliberación y votación de la presente Sentencia el día 11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Conviene, para la mejor comprensión de la presente demanda de amparo, resumir lo que en ella se dirime.</w:t>
      </w:r>
    </w:p>
    <w:p w:rsidR="008107C7" w:rsidRDefault="008107C7" w:rsidP="008107C7">
      <w:pPr>
        <w:pStyle w:val="TextoNormal"/>
      </w:pPr>
      <w:r>
        <w:t>a) Tras haber sido nombrado Diputado de las Cortes Generales, se instruyeron contra el hoy actor diligencias previas por la presunta comisión de un delito de desobediencia en el desempeño de sus funciones como Alcalde del Ayuntamiento de Andújar.  Manifestada su condición de aforado como miembro de las Cortes Generales, la causa fue remitida a la Sala Segunda del Tribunal Supremo que, una vez constatada su condición de aforado, declaró su competencia jurisdiccional para conocer del asunto y nombró Juez Delegado para que se practicase la oportuna instrucción.</w:t>
      </w:r>
    </w:p>
    <w:p w:rsidR="008107C7" w:rsidRDefault="008107C7" w:rsidP="008107C7">
      <w:pPr>
        <w:pStyle w:val="TextoNormal"/>
      </w:pPr>
      <w:r>
        <w:t>b) Concluida esta fase, y a la vista de las actuaciones remitidas, la Sala estimó que existían indicios razonables de culpabilidad por lo que, por conducto de la Presidencia, solicitó del Congreso de los Diputados la concesión del oportuno suplicatorio para procesar.</w:t>
      </w:r>
    </w:p>
    <w:p w:rsidR="008107C7" w:rsidRDefault="008107C7" w:rsidP="008107C7">
      <w:pPr>
        <w:pStyle w:val="TextoNormal"/>
      </w:pPr>
      <w:r>
        <w:t xml:space="preserve">c) Concedido éste, y acordándose la apertura definitiva de la causa con la práctica de alguna diligencia de carácter probatorio, se constató y así obra en autos, que el encausado había perdido su condición de miembro de las Cortes Generales, dictando la Sala Segunda el Auto cuya impugnación ahora se pretende (y que devino firme al desestimarse, por otro Auto posterior, el recurso de súplica promovido por el recurrente), y en el que se acordó declinar el conocimiento de los hechos y la devolución de la causa al Juez de instrucción de Andújar con apoyo, fundamentalmente, en el siguiente argumento: La interpretación restrictiva, que debe prevalecer en materia de fueros y privilegios, obliga a entender que la prerrogativa de aforamiento especial se circunscribe al período de ejercicio del mandato parlamentario, y que sólo extiende más allá sus efectos cuando los hechos presuntamente delictivos estuvieran en relación con el ejercicio de funciones inherentes al mandato parlamentario. A juicio de la Sala Segunda del Tribunal Supremo, aunque los hechos que dieron lugar a la apertura e instrucción de la causa pudieran guardar relación con su actividad política en el ámbito local, pues fueron cometidos en su condición de Alcalde, en modo alguno </w:t>
      </w:r>
      <w:r>
        <w:lastRenderedPageBreak/>
        <w:t>se relacionaban con su cometido como Diputado de las Cortes Generales, por lo que concurrían los presupuestos legales necesarios para acordar la remisión de los autos y declinar su competencia jurisdiccional.</w:t>
      </w:r>
    </w:p>
    <w:p w:rsidR="008107C7" w:rsidRDefault="008107C7" w:rsidP="008107C7">
      <w:pPr>
        <w:pStyle w:val="TextoNormal"/>
      </w:pPr>
      <w:r>
        <w:t>En su demanda de amparo aduce el recurrente que esa interpretación restrictiva de la prerrogativa de aforamiento es contraria al art. 71 C.E. y que vulnera su derecho a una tutela judicial efectiva y a un proceso sin dilaciones indebidas. Lo primero, aunque ciertamente se apunta de forma genérica, porque mediante esa interpretación se vacía de contenido la citada garantía constitucional que predetermina el Juez legal para el conocimiento de las causas seguidas contra Diputados y Senadores.  Lo segundo, porque la demora en la tramitación de la causa -cerca de dos años desde la apertura de las actuaciones- fue la que ocasionó la pérdida procesalmente sobrevenida de su condición de aforado, que es, precisamente, el criterio adoptado por la Sala Segunda del Tribunal Supremo para acordar la remisión de la causa al Juez de Instrucción.</w:t>
      </w:r>
    </w:p>
    <w:p w:rsidR="008107C7" w:rsidRDefault="008107C7" w:rsidP="008107C7">
      <w:pPr>
        <w:pStyle w:val="TextoNormal"/>
      </w:pPr>
      <w:r>
        <w:t>Contrariamente, el Ministerio Fiscal considera que la interpretación de la Sala Segunda del Tribunal Supremo fue ajustada a la Constitución y que, por ello mismo, no ha existido lesión alguna de los derechos fundamentales del actor.</w:t>
      </w:r>
    </w:p>
    <w:p w:rsidR="008107C7" w:rsidRDefault="008107C7" w:rsidP="008107C7">
      <w:pPr>
        <w:pStyle w:val="TextoNormal"/>
      </w:pPr>
    </w:p>
    <w:p w:rsidR="008107C7" w:rsidRDefault="008107C7" w:rsidP="008107C7">
      <w:pPr>
        <w:pStyle w:val="TextoNormal"/>
      </w:pPr>
      <w:r w:rsidRPr="008107C7">
        <w:rPr>
          <w:rStyle w:val="NumeroAFNegritaCaracter"/>
        </w:rPr>
        <w:t>2</w:t>
      </w:r>
      <w:r>
        <w:t>. Así centrados los términos del debate, la queja de amparo se fundamenta en una doble y sucesiva vulneración de derechos fundamentales: una, referida al derecho a un proceso sin dilaciones indebidas (art. 24.2 C.E.)  por la tardanza en la tramitación judicial del asunto; y, otra, de distinta connotación que afecta al derecho a una tutela judicial efectiva (art. 24.1 C.E.), y que se conecta por el demandante a las razones expuestas por la Sala Segunda del Tribunal Supremo en el Auto que ahora impugna por el que se acordó la devolución de los autos al Juez inicialmente competente para conocer del asunto. Si bien, como advierte el Ministerio Fiscal, de existir alguna tacha en la resolución judicial impugnada, ésta debería reconducirse al derecho al Juez ordinario predeterminado por la Ley del art. 24.2 C.E.</w:t>
      </w:r>
    </w:p>
    <w:p w:rsidR="008107C7" w:rsidRDefault="008107C7" w:rsidP="008107C7">
      <w:pPr>
        <w:pStyle w:val="TextoNormal"/>
      </w:pPr>
      <w:r>
        <w:t>Una precisión más es necesaria, todavía, respecto de los términos en que el recurrente plantea la cuestión en su demanda de amparo.</w:t>
      </w:r>
    </w:p>
    <w:p w:rsidR="008107C7" w:rsidRDefault="008107C7" w:rsidP="008107C7">
      <w:pPr>
        <w:pStyle w:val="TextoNormal"/>
      </w:pPr>
      <w:r>
        <w:t>Aunque el demandante de amparo se limita, del modo más escueto posible, a invocar el art.  24.1 C.E. "en relación con el art. 71.2" C.E.  (sólo puede querer decir 71.3), es claro que lo que con este alegato se expresa es su voluntad de incorporar al ámbito del recurso de amparo la garantía de aforamiento prevista en el art. 71.3 para Diputados y Senadores. Ciertamente, esta garantía parlamentaria, como las otras dos que le preceden en el art. 71 C.E., pueden ser reivindicadas a través de este proceso constitucional, en cuanto se incorporan sin mayor dificultad al contenido del derecho fundamental reconocido en el art. 23.2 C.E.; y así lo hemos hecho cada vez que en el amparo se nos han planteado supuestas constricciones o perturbaciones ilegítimas de los derechos y prerrogativas de los cargos representativos (SSTC 161/1988, fundamento jurídico 6º; 76/1989, fundamento jurídico 2º; 181/1989, fundamento jurídico 4º; 205/1990, fundamento jurídico 5º, entre otras).</w:t>
      </w:r>
    </w:p>
    <w:p w:rsidR="008107C7" w:rsidRDefault="008107C7" w:rsidP="008107C7">
      <w:pPr>
        <w:pStyle w:val="TextoNormal"/>
      </w:pPr>
      <w:r>
        <w:t>En esta ocasión el demandante de amparo invoca el art. 71 C.E.  en conexión, no con el 23.2, sino con el 24.1 C.E., posiblemente en virtud del específico carácter de esta garantía, dirigida a determinar el órgano judicial competente para el conocimiento de las causas seguidas contra Diputados y Senadores (lo que entronca más directamente, como hemos dicho, con el derecho al Juez ordinario predeterminado por la Ley del art. 24.2 C.E.). De ahí que, aun reiterando por nuestra parte, como hemos venido señalando invariablemente, que las garantías del art. 71 C.E. donde encuentran su acomodo natural es en el derecho fundamental reconocido en el art. 23.2 C.E. y en lo que respecta al instituto del aforamiento es</w:t>
      </w:r>
      <w:r>
        <w:lastRenderedPageBreak/>
        <w:t>pecial - dada su propia y específica autonomía-, también en el art. 24.2 C.E., debamos admitir la invocación que de la prerrogativa del aforamiento hace, de manera inequívoca, el recurrente con base en el art.  24.1 C.E. a fin de facilitar por nuestra parte una respuesta sobre el fondo de la pretensión; sin incurrir en rigorismos formalistas que no sirvan al fin del proceso constitucional cuando -como en el presente caso acontece- la demanda, no obstante su insuficiencia y errónea identificación del precepto constitucional vulnerado, permite, sin embargo, conocer a las claras las específicas vulneraciones aducidas de los derechos fundamentales cuyo amparo se solicita de este Tribunal (SSTC 167/1987, fundamento jurídico 1º; 184/1992, fundamento jurídico 2º; 80/1994, fundamento jurídico 2º; ATC 307/1986, de 9 de abril, entre otras muchas).</w:t>
      </w:r>
    </w:p>
    <w:p w:rsidR="008107C7" w:rsidRDefault="008107C7" w:rsidP="008107C7">
      <w:pPr>
        <w:pStyle w:val="TextoNormal"/>
      </w:pPr>
    </w:p>
    <w:p w:rsidR="008107C7" w:rsidRDefault="008107C7" w:rsidP="008107C7">
      <w:pPr>
        <w:pStyle w:val="TextoNormal"/>
      </w:pPr>
      <w:r w:rsidRPr="008107C7">
        <w:rPr>
          <w:rStyle w:val="NumeroAFNegritaCaracter"/>
        </w:rPr>
        <w:t>3</w:t>
      </w:r>
      <w:r>
        <w:t>. Respecto de la primera de las vulneraciones denunciadas, aduce el recurrente que existió una demora injustificada en la sustanciación del proceso penal, puesto que, desde el inicio de las diligencias previas a principios del año 1987 hasta el Auto de 15 de noviembre de 1990, transcurrieron más de tres años sin que se superase el trámite de la práctica de prueba para la conclusión del sumario. Demora ésta, carente de toda justificación y que ocasionó, como efecto adicional, que perdiese sobrevenidamente su condición de aforado a resultas de la disolución de las Cortes Generales y la convocatoria de nuevas elecciones.</w:t>
      </w:r>
    </w:p>
    <w:p w:rsidR="008107C7" w:rsidRDefault="008107C7" w:rsidP="008107C7">
      <w:pPr>
        <w:pStyle w:val="TextoNormal"/>
      </w:pPr>
      <w:r>
        <w:t>Ahora bien, ante esta eventualidad, siempre será necesario comprobar si el denunciado retraso en el proceso puede calificarse como dilación indebida en los términos requeridos por la jurisprudencia de este Tribunal, a los efectos de apreciar si la demora en el proceso ha supuesto una lesión real y efectiva del derecho fundamental que reconoce el art.  24.2 C.E.  Proceder obligado, toda vez que el derecho fundamental a un proceso sin dilaciones indebidas no se identifica con el mero incumplimiento de los plazos procesales, sino que comporta un concepto jurídico indeterminado que debe ser concretado en cada caso atendiendo a las circunstancias del proceso, su complejidad objetiva, la actuación de los órganos judiciales y la conducta del recurrente, a quien se exige la debida diligencia procesal, así como la denuncia previa ante el órgano judicial de la demora injustificada acaecida en la tramitación de la causa (SSTC 152/1987, 224/1991, 8/1994 y 144/1995, entre otras muchas).</w:t>
      </w:r>
    </w:p>
    <w:p w:rsidR="008107C7" w:rsidRDefault="008107C7" w:rsidP="008107C7">
      <w:pPr>
        <w:pStyle w:val="TextoNormal"/>
      </w:pPr>
      <w:r>
        <w:t>En este caso concreto y como se desprende de las actuaciones, no existió la "completa inactividad" del órgano judicial que denuncia el recurrente y resulta evidente que el proceso ofreció cierta complejidad en su tramitación derivada del hecho de tener que tramitarse el correspondiente suplicatorio por parte de las Cortes Generales (que se extendió desde el 27 de noviembre de 1987 al 18 de marzo de 1988) cuya concesión es requisito imprescindible de procedibilidad de la causa y cuya tardanza en ningún caso es imputable al órgano judicial. Pero además, como puede deducirse de las actuaciones remitidas a este Tribunal, en el proceso se plantearon otras cuestiones paralelas que debieron ser resueltas por el órgano judicial, como el incidente suscitado por el recurrente en escrito de 18 de marzo de 1988 y resuelto por el Auto del Tribunal Supremo de 13 de junio de 1988, sobre la validez del suplicatorio concedido, alegando defectos de forma en la tramitación del mismo por parte de la Cámara o requiriendo la incorporación a los autos de otras actuaciones penales paralelas al proceso; así como la querella presentada por el recurrente, rechazada por la Sala Especial del Tribunal Supremo, por Auto de 1 de marzo de 1988, cuya confirmación en súplica fue solicitada por última vez el 8 de mayo de 1989.</w:t>
      </w:r>
    </w:p>
    <w:p w:rsidR="008107C7" w:rsidRDefault="008107C7" w:rsidP="008107C7">
      <w:pPr>
        <w:pStyle w:val="TextoNormal"/>
      </w:pPr>
      <w:r>
        <w:t xml:space="preserve">Resulta así, que el proceso tuvo su complejidad - derivada de la sucesión de recursos producidos en un mismo proceso (STC 51/1985, fundamento jurídico 4º, in fine)- por lo que la demora de la causa no puede considerarse, en principio, carente de toda justificación, ni ajena al propio comportamiento procesal del recurrente. En todo caso, y con independencia </w:t>
      </w:r>
      <w:r>
        <w:lastRenderedPageBreak/>
        <w:t>de ello, es lo cierto que el actor no denunció en ningún momento ante el órgano jurisdiccional la tardanza en que ahora dice haber incurrido, asumiendo con su falta de diligencia procesal las consecuencias que de ello se pudieran derivar y no permitiendo al órgano jurisdiccional reparar la lesión que de su derecho fundamental a un proceso sin dilaciones indebidas dice haber padecido. Falta de invocación en la vía judicial previa [art. 44.1 c) LOTC] que ha de conducir a la desestimación de este particular motivo de la demanda de amparo (STC 51/1985, fundamento jurídico 4º).</w:t>
      </w:r>
    </w:p>
    <w:p w:rsidR="008107C7" w:rsidRDefault="008107C7" w:rsidP="008107C7">
      <w:pPr>
        <w:pStyle w:val="TextoNormal"/>
      </w:pPr>
      <w:r>
        <w:t>En razón de todo lo anteriormente expuesto, debe concluirse que los Autos de la Sala Segunda del Tribunal Supremo cuya impugnación ahora se pretende no han conculcado su derecho a un proceso sin dilaciones indebidas, previsto en el art. 24.2 C.E.</w:t>
      </w:r>
    </w:p>
    <w:p w:rsidR="008107C7" w:rsidRDefault="008107C7" w:rsidP="008107C7">
      <w:pPr>
        <w:pStyle w:val="TextoNormal"/>
      </w:pPr>
    </w:p>
    <w:p w:rsidR="008107C7" w:rsidRDefault="008107C7" w:rsidP="008107C7">
      <w:pPr>
        <w:pStyle w:val="TextoNormal"/>
      </w:pPr>
      <w:r w:rsidRPr="008107C7">
        <w:rPr>
          <w:rStyle w:val="NumeroAFNegritaCaracter"/>
        </w:rPr>
        <w:t>4</w:t>
      </w:r>
      <w:r>
        <w:t>. La segunda queja de amparo, la lesión del derecho a la tutela judicial efectiva y del derecho al Juez ordinario predeterminado por la Ley, tendría su origen directo en el Auto de 15 de noviembre de 1990, posteriormente confirmado por el de 18 de marzo de 1991, al resolver el recurso de súplica promovido por el actor.</w:t>
      </w:r>
    </w:p>
    <w:p w:rsidR="008107C7" w:rsidRDefault="008107C7" w:rsidP="008107C7">
      <w:pPr>
        <w:pStyle w:val="TextoNormal"/>
      </w:pPr>
      <w:r>
        <w:t>En las citadas resoluciones, la Sala Segunda del Tribunal Supremo, tras constatar fehacientemente que el imputado había perdido su condición de aforado, acordó declinar su competencia y remitir la causa al Juez de Instrucción de Andújar, por entender que la conducta pretendidamente delictiva que se imputaba al actor no se había cometido en el ejercicio de funciones parlamentarias y que, por tanto, no existía ya razón, ni legal ni constitucional, para continuar con el enjuiciamiento del asunto y perpetuar su jurisdicción tras desaparecer lo que constituía, por mandato constitucional, el presupuesto determinante de su competencia.</w:t>
      </w:r>
    </w:p>
    <w:p w:rsidR="008107C7" w:rsidRDefault="008107C7" w:rsidP="008107C7">
      <w:pPr>
        <w:pStyle w:val="TextoNormal"/>
      </w:pPr>
      <w:r>
        <w:t>A este respecto cumple señalar que la regulación legal de la prerrogativa de aforamiento de Diputados y Senadores se encuentra en un confuso marco normativo (Ley de 9 de febrero de 1912; arts. 303.5, 309 y 750 a 756 L.E.Crim.; arts. 20.2 y 21 del Reglamento del Congreso de los Diputados y art.  22 del Reglamento del Senado), integrado parcialmente por normas preconstitucionales y cuya persistencia al día de hoy sólo se explica por el olvido del Legislador, pese a nuestros llamamientos anteriores -que hemos de reiterar ahora- sobre la inseguridad jurídica que tal situación comporta (STC 206/1992, fundamento jurídico 3º). La inseguridad jurídica que genera la inadecuación de la vieja normativa hoy existente sobre la regla procesal del aforamiento de Diputados y Senadores exige, para una interpretación coherente y sistemática de este instituto, una pronta acción del Legislador.</w:t>
      </w:r>
    </w:p>
    <w:p w:rsidR="008107C7" w:rsidRDefault="008107C7" w:rsidP="008107C7">
      <w:pPr>
        <w:pStyle w:val="TextoNormal"/>
      </w:pPr>
    </w:p>
    <w:p w:rsidR="008107C7" w:rsidRDefault="008107C7" w:rsidP="008107C7">
      <w:pPr>
        <w:pStyle w:val="TextoNormal"/>
      </w:pPr>
      <w:r w:rsidRPr="008107C7">
        <w:rPr>
          <w:rStyle w:val="NumeroAFNegritaCaracter"/>
        </w:rPr>
        <w:t>5</w:t>
      </w:r>
      <w:r>
        <w:t>. Para una mejor comprensión de la cuestión que hemos de resolver aquí, que incide directamente sobre la naturaleza y alcance de la denominada prerrogativa de aforamiento especial que el art. 71.3 C.E.  reconoce de manera expresa a los miembros de las Cortes Generales, conviene examinarla a la luz de su relación con las de la inviolabilidad y la inmunidad también comprendidas en el estatuto de los parlamentarios.</w:t>
      </w:r>
    </w:p>
    <w:p w:rsidR="008107C7" w:rsidRDefault="008107C7" w:rsidP="008107C7">
      <w:pPr>
        <w:pStyle w:val="TextoNormal"/>
      </w:pPr>
      <w:r>
        <w:t xml:space="preserve">Mediante las prerrogativas constitucionales, entre las que se encuentran las que integran el estatuto de los Diputados y Senadores ex art. 71 C.E., la Constitución ha querido proteger de forma cualificada la libertad, autonomía e independencia de los órganos constitucionales, interés superior del ordenamiento de todo Estado Democrático de Derecho (art. 1.1 C.E.)  e instrumento imprescindible para garantizar la efectiva separación entre los distintos poderes del Estado. Esta protección jurídica cualificada se articula constitucionalmente, en el caso de las prerrogativas parlamentarias, mediante el tratamiento de situaciones subjetivas no parangonables con las ordinarias, puesto que se atribuyen a los miembros de las Cortes Generales no en atención a un interés privado de sus titulares, sino a causa de un interés general, </w:t>
      </w:r>
      <w:r>
        <w:lastRenderedPageBreak/>
        <w:t>cual es el de asegurar su libertad e independencia en tanto que reflejo de la que se garantiza al órgano constitucional al que pertenecen (vid. SSTC 90/1985, fundamento jurídico 6º y 206/1992, fundamento jurídico 3º).</w:t>
      </w:r>
    </w:p>
    <w:p w:rsidR="008107C7" w:rsidRDefault="008107C7" w:rsidP="008107C7">
      <w:pPr>
        <w:pStyle w:val="TextoNormal"/>
      </w:pPr>
      <w:r>
        <w:t>De este modo, las prerrogativas parlamentarias no se confunden con el privilegio, ni tampoco pueden considerarse como expresión de un pretendido ius singulare, pues en ellas no concurren las notas de la desigualdad y la excepcionalidad. Antes al contrario: ofrecen un tratamiento jurídico diferenciado a situaciones subjetivas cualitativa y funcionalmente diferenciadas por la propia Constitución, y resultan de obligada aplicación siempre que concurra el presupuesto de hecho por ellas contemplado.</w:t>
      </w:r>
    </w:p>
    <w:p w:rsidR="008107C7" w:rsidRDefault="008107C7" w:rsidP="008107C7">
      <w:pPr>
        <w:pStyle w:val="TextoNormal"/>
      </w:pPr>
      <w:r>
        <w:t>Por esta razón, y en tanto que «sustracciones al Derecho común conectadas a una función» (STC 51/1985, fundamento jurídico 6º), las prerrogativas parlamentarias son imprescriptibles e irrenunciables (STC 92/1985), y no es constitucionalmente legítima una extensión legislativa (STC 186/1989) o una interpretación analógica de las mismas (STC 51/1985).  Como garantías jurídicamente vinculadas a la satisfacción de un interés institucional y permanente del Ordenamiento, las prerrogativas parlamentarias son ius cogens y, por tanto, indisponibles para sus titulares, y sólo susceptibles de una interpretación estricta y vinculada a los supuestos expresamente contemplados en la Constitución.</w:t>
      </w:r>
    </w:p>
    <w:p w:rsidR="008107C7" w:rsidRDefault="008107C7" w:rsidP="008107C7">
      <w:pPr>
        <w:pStyle w:val="TextoNormal"/>
      </w:pPr>
    </w:p>
    <w:p w:rsidR="008107C7" w:rsidRDefault="008107C7" w:rsidP="008107C7">
      <w:pPr>
        <w:pStyle w:val="TextoNormal"/>
      </w:pPr>
      <w:r w:rsidRPr="008107C7">
        <w:rPr>
          <w:rStyle w:val="NumeroAFNegritaCaracter"/>
        </w:rPr>
        <w:t>6</w:t>
      </w:r>
      <w:r>
        <w:t>. A partir de estas premisas que han informado, desde su inicio, los distintos pronunciamientos de este Tribunal sobre el art. 71 C.E., debe configurarse también la prerrogativa de aforamiento especial que, teleológicamente, y en sede estrictamente procesal, opera como complemento y cierre -aunque con su propia y específica autonomía- de las de la inviolabilidad y la inmunidad, orientadas todas ellas hacia unos mismos objetivos comunes: proteger a los legítimos representantes del pueblo de acciones penales con las que se pretenda coartar su libertad de opinión (inviolabilidad), impedir indebida y fraudulentamente su participación en la formación de la voluntad de la Cámara, poniéndolos al abrigo de querellas insidiosas o políticas que, entre otras hipótesis, confunden, a través de la utilización inadecuada de los procesos judiciales, los planos de la responsabilidad política y la penal, cuya delimitación es uno de los mayores logros del Estado constitucional como forma de organización libre y plural de la vida colectiva (inmunidad) o, finalmente, proteger la independencia del órgano y el ejercicio de las funciones del cargo constitucionalmente relevantes (aforamiento).</w:t>
      </w:r>
    </w:p>
    <w:p w:rsidR="008107C7" w:rsidRDefault="008107C7" w:rsidP="008107C7">
      <w:pPr>
        <w:pStyle w:val="TextoNormal"/>
      </w:pPr>
      <w:r>
        <w:t>Aflora así, la finalidad cuya salvaguarda se persigue mediante la constitucionalización de la prerrogativa de aforamiento especial de Diputados y Senadores. Proteger la propia independencia y sosiego, tanto del órgano legislativo como del jurisdiccional, frente a potenciales presiones externas o las que pudiese ejercer el propio encausado por razón del cargo político e institucional que desempeña. La prerrogativa de aforamiento actúa, de este modo, como instrumento para la salvaguarda de la independencia institucional tanto de las Cortes Generales como del propio Poder Judicial; o dicho de otro modo, el aforamiento preserva un cierto equilibrio entre los poderes y, al propio tiempo, la resistencia más eficaz frente a la eventual trascendencia de la resolución judicial en la composición del Parlamento. Por ello, no es de extrañar que el constituyente atribuyese expresamente el conocimiento de tales causas a la Sala de lo Penal del Tribunal Supremo, en tanto que órgano jurisdiccional superior de los que integran aquel poder del Estado (art. 123.1 C.E.).</w:t>
      </w:r>
    </w:p>
    <w:p w:rsidR="008107C7" w:rsidRDefault="008107C7" w:rsidP="008107C7">
      <w:pPr>
        <w:pStyle w:val="TextoNormal"/>
      </w:pPr>
      <w:r>
        <w:t xml:space="preserve">Desde esta perspectiva, la Sala Segunda del Tribunal Supremo es, respecto de las acciones penales dirigidas contra Diputados y Senadores, "el Juez ordinario predeterminado por la Ley" a que se refiere el art. 24.2 C.E., esto es, aquél constituido con arreglo a las normas procesales de competencia preestablecidas, en este caso, por la Constitución misma en su </w:t>
      </w:r>
      <w:r>
        <w:lastRenderedPageBreak/>
        <w:t>art. 71.3.  Predeterminación constitucional del órgano jurisdiccional competente que comporta el seguimiento de una distinta tramitación procesal de las causas contra Diputados y Senadores, que no se configura con ventajas especiales, ya que en este proceso es viable, excepcionalmente, la inexistencia de "un segundo grado jurisdiccional" (STC 51/1985, fundamento jurídico 3º), proceso distinto exigido por ese interés superior del Ordenamiento que es la independencia y el prestigio de las instituciones, imprescindible en el funcionamiento de todo Estado democrático.</w:t>
      </w:r>
    </w:p>
    <w:p w:rsidR="008107C7" w:rsidRDefault="008107C7" w:rsidP="008107C7">
      <w:pPr>
        <w:pStyle w:val="TextoNormal"/>
      </w:pPr>
    </w:p>
    <w:p w:rsidR="008107C7" w:rsidRDefault="008107C7" w:rsidP="008107C7">
      <w:pPr>
        <w:pStyle w:val="TextoNormal"/>
      </w:pPr>
      <w:r w:rsidRPr="008107C7">
        <w:rPr>
          <w:rStyle w:val="NumeroAFNegritaCaracter"/>
        </w:rPr>
        <w:t>7</w:t>
      </w:r>
      <w:r>
        <w:t>. Pero además de los indicados condicionamientos materiales y hermenéuticos, comunes e inherentes a la naturaleza jurídica de las prerrogativas parlamentarias, el constituyente estableció expresamente y con carácter individualizado otros límites añadidos que acotan, singularizadamente, el alcance y contenido de cada prerrogativa parlamentaria en particular, de acuerdo con su propia naturaleza [STC 243/1988, fundamento jurídico, 3º, A) y B) y STC 9/1990, fundamento jurídico 3º]. Así, el reconocimiento constitucional de la inviolabilidad se circunscribe materialmente a las opiniones manifestadas «en el ejercicio de sus funciones», mientras que respecto de la prerrogativa de la inmunidad el art. 71.2 C.E. dispone una doble acotación: material («salvo en caso de flagrante delito») y temporal («durante el período de su mandato»).</w:t>
      </w:r>
    </w:p>
    <w:p w:rsidR="008107C7" w:rsidRDefault="008107C7" w:rsidP="008107C7">
      <w:pPr>
        <w:pStyle w:val="TextoNormal"/>
      </w:pPr>
      <w:r>
        <w:t>Aunque ninguna limitación específica se establece en el art.  71.3 C.E. en relación con el aforamiento de los miembros de las Cortes Generales, es indudable, sin embargo, que su interpretación no puede realizarse en términos absolutos y con desconocimiento de la finalidad a la que constitucionalmente sirve, junto con las demás prerrogativas parlamentarias, respecto de las que guarda íntima conexión.</w:t>
      </w:r>
    </w:p>
    <w:p w:rsidR="008107C7" w:rsidRDefault="008107C7" w:rsidP="008107C7">
      <w:pPr>
        <w:pStyle w:val="TextoNormal"/>
      </w:pPr>
      <w:r>
        <w:t>En efecto, los Senadores y Diputados, a diferencia de otros aforados, cuentan con la prerrogativa de la inmunidad que condiciona la viabilidad de la acción penal emprendida contra ellos y opera como requisito inexcusable de procedibilidad (exigencia de previa concesión del suplicatorio). Siendo ello así, es claro que las propias Cámaras parlamentarias, al pronunciarse sobre la pertinencia o no del suplicatorio interesado, han de tener presente la naturaleza de la acción penal y decidir motivadamente acerca de si, mediante su interposición, se pretende una utilización instrumental del proceso penal para alcanzar propósitos meramente políticos y tendentes a alterar la composición democrática de la Cámara. Este requisito de procedibilidad implica que la Cámara, al conceder el suplicatorio, ya ha deliberado y ponderado previamente la irrelevancia de la acción penal seguida contra uno o varios de sus miembros en relación con su autonomía e independencia institucional. Por ello mismo, el aforamiento de los miembros de las Cortes Generales y, en particular, su alcance temporal, no puede interpretarse al margen de los efectos que se vinculan a la prerrogativa de la inmunidad y la concesión, en su caso, del oportuno suplicatorio.</w:t>
      </w:r>
    </w:p>
    <w:p w:rsidR="008107C7" w:rsidRDefault="008107C7" w:rsidP="008107C7">
      <w:pPr>
        <w:pStyle w:val="TextoNormal"/>
      </w:pPr>
      <w:r>
        <w:t>Iniciada la causa contra un Diputado o Senador, y si éste, de forma sobrevenida, hubiese perdido su condición de aforado, la interpretación de la legalidad procesal aplicable (art. 7 de la Ley de 9 de febrero de 1912 y preceptos concordantes de la L.E.Crim. y de la L.O.P.J.)  a los efectos de determinar si la Sala de lo Penal del Tribunal Supremo debe mantener su competencia, continuando con el enjuiciamiento de la causa, o si, por el contrario, debe declinarla defiriendo la causa al Juzgado de Instrucción competente locus commissi delicti, es una cuestión de legalidad que incide, sin embargo, en el contenido de un precepto constitucional, el art. 71.3 C.E., y en la prerrogativa de aforamiento especial en él establecida, así como en el derecho fundamental al Juez ordinario predeterminado por la Ley.</w:t>
      </w:r>
    </w:p>
    <w:p w:rsidR="008107C7" w:rsidRDefault="008107C7" w:rsidP="008107C7">
      <w:pPr>
        <w:pStyle w:val="TextoNormal"/>
      </w:pPr>
      <w:r>
        <w:t xml:space="preserve">Por tanto, el control que corresponde a este Tribunal requiere la consideración de este problema, el de la perpetuatio iurisdictionis, a la luz de la doctrina anteriormente expuesta </w:t>
      </w:r>
      <w:r>
        <w:lastRenderedPageBreak/>
        <w:t>respecto de las prerrogativas que conforman el status de los parlamentarios, de forma que la observancia de dicho instituto procesal se cohoneste con la finalidad a que sirve la prerrogativa del aforamiento especial de Diputados y Senadores. Lo contrario supondría una extensión del ámbito temporal de la prerrogativa, innecesaria para salvaguardar su finalidad, que la convertiría en un mero privilegio personal. "La doctrina constitucional -se afirmó en la STC 90/1985, fundamento jurídico 6º- reviste un acentuado carácter finalista, pues implica la exigencia de que los recortes o limitaciones del derecho a la jurisdicción hayan de aparecer, en último término, justificados por la ratio de las distintas instituciones procesales en que dichos recortes o limitaciones se producen".</w:t>
      </w:r>
    </w:p>
    <w:p w:rsidR="008107C7" w:rsidRDefault="008107C7" w:rsidP="008107C7">
      <w:pPr>
        <w:pStyle w:val="TextoNormal"/>
      </w:pPr>
      <w:r>
        <w:t>Procede examinar, pues, la justificación constitucional de la resolución de la Sala Segunda del Tribunal Supremo aquí impugnada.</w:t>
      </w:r>
    </w:p>
    <w:p w:rsidR="008107C7" w:rsidRDefault="008107C7" w:rsidP="008107C7">
      <w:pPr>
        <w:pStyle w:val="TextoNormal"/>
      </w:pPr>
    </w:p>
    <w:p w:rsidR="008107C7" w:rsidRDefault="008107C7" w:rsidP="008107C7">
      <w:pPr>
        <w:pStyle w:val="TextoNormal"/>
      </w:pPr>
      <w:r w:rsidRPr="008107C7">
        <w:rPr>
          <w:rStyle w:val="NumeroAFNegritaCaracter"/>
        </w:rPr>
        <w:t>8</w:t>
      </w:r>
      <w:r>
        <w:t>. En el caso presente, el demandante de amparo gozaba de la condición de parlamentario al tiempo de iniciarse la acción penal. Se cumplía, así, el primer presupuesto para la aplicación de la prerrogativa de aforamiento. Ahora bien, constatada por la Sala Segunda del Tribunal Supremo la pérdida sobrevenida de esa condición, la devolución de la causa al Juzgado de Instrucción no supuso vulneración alguna del derecho fundamental a la tutela judicial efectiva (art. 24.1 C.E.)  y al Juez predeterminado por la Ley (art.  24.2 C.E.), toda vez que la cognición del Tribunal Supremo en este tipo de procesos sólo se justifica constitucionalmente por razón de la prerrogativa de aforamiento (art. 71.3 C.E.)  y en atención a la función institucional que le es propia, y no cuando -como ahora acontece- ésta queda privada de su razón de ser, por haber perdido el encausado su condición de miembro de las Cortes Generales.  Lo contrario supondría - como antes se ha dicho- una extensión del ámbito temporal de la prerrogativa, convirtiéndola predominantemente en privilegio personal, que redundaría en una desproporcionada e innecesaria alteración del régimen común del proceso penal.</w:t>
      </w:r>
    </w:p>
    <w:p w:rsidR="008107C7" w:rsidRDefault="008107C7" w:rsidP="008107C7">
      <w:pPr>
        <w:pStyle w:val="TextoNormal"/>
      </w:pPr>
      <w:r>
        <w:t>Esta prerrogativa ha de ser objeto -al igual que las restantes que conforman el estatuto del parlamentario- de una interpretación estricta en atención al interés que preserva, interés que decae cuando se pierde la condición de parlamentario y no cabe temer que el Juzgador se sienta cohibido por el peso institucional de la representación popular o abrumado por la trascendencia de su decisión en la composición de la Cámara.</w:t>
      </w:r>
    </w:p>
    <w:p w:rsidR="008107C7" w:rsidRDefault="008107C7" w:rsidP="008107C7">
      <w:pPr>
        <w:pStyle w:val="TextoNormal"/>
      </w:pPr>
      <w:r>
        <w:t>La Sala de lo Penal del Tribunal Supremo, ante la precaria regulación legal y, en particular, el art. 7 de la preconstitucional Ley de 9 de febrero de 1912, entendió -en una interpretación restrictiva de la prerrogativa de aforamiento basada en primar teleológicamente la dimensión funcional y objetiva de la prerrogativa respecto de la vertiente meramente personal y subjetiva- que "durante el período de su mandato los Diputados y Senadores no podrán ser inculpados ni procesados sin la previa autorización de la Cámara. Fuera del período de su mandato, la competencia de la Sala Segunda del Tribunal Supremo sólo se extiende a los Diputados y Senadores electos o cuando, al finalizar su mandato, estuviera concedida y vigente la autorización de la Cámara para proceder, pero siempre que los hechos cometidos estuvieran directamente relacionados con el ejercicio de la función pública inherente al cargo representativo".  Esta interpretación, ciertamente, no se ajusta al tenor literal de la Ley de 9 de febrero de 1912, pero tratándose de una norma preconstitucional nada impide al Tribunal Supremo modularla a las circunstancias del caso, deduciendo de la Constitución y de las normas procesales la pauta interpretativa a seguir.</w:t>
      </w:r>
    </w:p>
    <w:p w:rsidR="008107C7" w:rsidRDefault="008107C7" w:rsidP="008107C7">
      <w:pPr>
        <w:pStyle w:val="TextoNormal"/>
      </w:pPr>
      <w:r>
        <w:t xml:space="preserve">Cuando la Constitución proclama en su art. 71.3 que "en las causas contra Diputados y Senadores será competente la Sala de lo Penal del Tribunal Supremo", está estableciendo un contenido absolutamente indisponible de esta prerrogativa, de tal manera que, cualquiera </w:t>
      </w:r>
      <w:r>
        <w:lastRenderedPageBreak/>
        <w:t>que sea la causa, ésta pasará al Tribunal Supremo desde el momento en que la misma afecte a un Diputado o Senador, y mientras no se pierda la condición de miembro de las Cortes Generales. Más allá de este contenido indisponible, las leyes procesales o el Tribunal Supremo en su función de intérprete de la preconstitucional ley de 1912 pueden resolver de distinta manera acerca de la perpetuatio iurisdictionis, sin que, en principio, quepa considerar por ello afectados los derechos fundamentales reconocidos en los arts. 23.2 y 24.2 C.E.</w:t>
      </w:r>
    </w:p>
    <w:p w:rsidR="008107C7" w:rsidRDefault="008107C7" w:rsidP="008107C7">
      <w:pPr>
        <w:pStyle w:val="TextoNormal"/>
      </w:pPr>
      <w:r>
        <w:t>Por todo lo anteriormente expuesto, la resolución de la Sala de lo Penal del Tribunal Supremo es conforme con la Constitución (art. 71.3) sin que quepa apreciar vulneración de los derechos fundamentales en presencia, lo que lleva derechamente a la desestimación del amparo.</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Denegar el amparo solicitado por don Andrés Calero Baena.</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once de febrero de mil novecientos noventa y siete.</w:t>
      </w:r>
    </w:p>
    <w:p w:rsidR="008107C7" w:rsidRDefault="008107C7" w:rsidP="008107C7">
      <w:pPr>
        <w:pStyle w:val="ParrafoNormal"/>
      </w:pPr>
    </w:p>
    <w:p w:rsidR="008107C7" w:rsidRDefault="008107C7" w:rsidP="008107C7">
      <w:pPr>
        <w:pStyle w:val="TextoNormalNegritaCentrado"/>
        <w:keepNext/>
      </w:pPr>
      <w:r>
        <w:t>Voto particular que formulan conjuntamente los Magistrados, Sres.  D. VICENTE GIMENO SENDRA y D. PABLO GARCÍA MANZANO a la Sentencia dictada en el R.A.  1.084/91.</w:t>
      </w:r>
    </w:p>
    <w:p w:rsidR="008107C7" w:rsidRDefault="008107C7" w:rsidP="008107C7">
      <w:pPr>
        <w:pStyle w:val="TextoNormalNegritaCentrado"/>
        <w:keepNext/>
      </w:pPr>
    </w:p>
    <w:p w:rsidR="008107C7" w:rsidRDefault="008107C7" w:rsidP="008107C7">
      <w:pPr>
        <w:pStyle w:val="TextoNormal"/>
      </w:pPr>
      <w:r>
        <w:t>1. La razón de nuestra discrepancia no lo es a la jurisprudencia, que se plasma en la Sentencia, la cual es fiel reproducción de la de este Tribunal, sino con su aplicación al presente caso, que, dicho sea con el máximo respeto a esta Sala, reputamos inadecuada.</w:t>
      </w:r>
    </w:p>
    <w:p w:rsidR="008107C7" w:rsidRDefault="008107C7" w:rsidP="008107C7">
      <w:pPr>
        <w:pStyle w:val="TextoNormal"/>
      </w:pPr>
      <w:r>
        <w:t>De este modo, coincidimos con la mayoría en que las prerrogativas parlamentarias no constituyen un privilegio subjetivo de los miembros de las Cámaras, sino que se erigen en garantía “objetiva” de su independencia y regular funcionamiento (SSTC 90/1985 y 206/1992). También estamos de acuerdo en que la garantía procesal del “aforamiento” de Diputados y Senadores a la Sala de lo Penal del T.S. (art. 71.3 C.E.)  conforma, junto con la inviolabilidad y la inmunidad, el estatuto de los parlamentarios.</w:t>
      </w:r>
    </w:p>
    <w:p w:rsidR="008107C7" w:rsidRDefault="008107C7" w:rsidP="008107C7">
      <w:pPr>
        <w:pStyle w:val="TextoNormal"/>
      </w:pPr>
      <w:r>
        <w:t>2. Nuestro disentimiento con la mayoría se circunscribe al fundamento jurídico 8º de esta Sentencia, en el que, sin mayor razonamiento, se afirma que la competencia del T.S.” “queda privada de su razón de ser, por haber perdido el encausado su condición de miembro de las Cortes Generales”, viniendo a confirmar (y, por tanto, a elevar a rango constitucional) la doctrina del T.S., plasmada en la Sentencia impugnada, según la cual “...fuera de su mandato, la competencia de la Sala Segunda del T.S. sólo se extiende a los Diputados y Senadores electos o, cuando, al finalizar su mandato, estuviera concedida y vigente la autorización de la Cámara para proceder, pero siempre que los hechos cometidos estuvieran directamente relacionados con el ejercicio de la función pública inherente al cargo representativo”.</w:t>
      </w:r>
    </w:p>
    <w:p w:rsidR="008107C7" w:rsidRDefault="008107C7" w:rsidP="008107C7">
      <w:pPr>
        <w:pStyle w:val="TextoNormal"/>
      </w:pPr>
      <w:r>
        <w:lastRenderedPageBreak/>
        <w:t>Esta última interpretación -tal y como, por otra parte, tampoco se le oculta a la mayoría-, no sólo contraviene el tenor del inciso segundo del art. 7 de la Ley de 9 de febrero de 1912 (“si la autorización fuese concedida, continuará el procedimiento hasta que recaiga resolución o sentencia firme, aun cuando antes de dictarla fueren disueltas las Cortes...”), sino que infringe también, a nuestro parecer, el núm. 3 del art. 71 C.E. que, a diferencia de sus párrafos anteriores, no somete el aforamiento a los mismos requisitos, material y temporal, que la inviolabilidad e inmunidad parlamentarias.</w:t>
      </w:r>
    </w:p>
    <w:p w:rsidR="008107C7" w:rsidRDefault="008107C7" w:rsidP="008107C7">
      <w:pPr>
        <w:pStyle w:val="TextoNormal"/>
      </w:pPr>
      <w:r>
        <w:t>No somete el aforamiento a idénticos requisitos, porque la función consistente en determinar si el hecho punible ha sido cometido por el parlamentario con ocasión del ejercicio de su función pública ha de quedar reservada exclusivamente al presupuesto procesal del suplicatorio o, dicho en otras palabras, corresponde exclusivamente a las Cámaras (sin perjuicio del último control de este Tribunal) examinar, de un lado, si el delito se ha cometido durante el mandato y, de otro, si trae causa del ejercicio de las funciones parlamentarias, debiendo el Poder Legislativo denegar el suplicatorio cuando concurran plenamente ambas circunstancias y concederlo, en caso contrario, esto es, si falta alguna de ellas.</w:t>
      </w:r>
    </w:p>
    <w:p w:rsidR="008107C7" w:rsidRDefault="008107C7" w:rsidP="008107C7">
      <w:pPr>
        <w:pStyle w:val="TextoNormal"/>
      </w:pPr>
      <w:r>
        <w:t>3. Esto afirmado, es claro que, si el suplicatorio ha sido concedido, lo ha sido precisamente porque las Cámaras han estimado, bien que su destinatario no es miembro del Parlamento, bien que ha cometido un delito fuera del ejercicio de las funciones parlamentarias, o bien por ambas razones a la vez, por lo que ha de resultar procedente su enjuiciamiento por la Sala Segunda del T.S., sin que dicho acto, el del suplicatorio, tenga naturaleza discrecional, pues, con posterioridad a nuestra STC 206/1992, ha de ser motivado o fundado necesariamente en aquellos requisitos.</w:t>
      </w:r>
    </w:p>
    <w:p w:rsidR="008107C7" w:rsidRDefault="008107C7" w:rsidP="008107C7">
      <w:pPr>
        <w:pStyle w:val="TextoNormal"/>
      </w:pPr>
      <w:r>
        <w:t>4. Así, pues, al trasladar el T.S. y ahora a este Tribunal (con todos los riesgos de congelación jurisprudencial) tales exigencias contenidas en las garantías materiales de la inmunidad e inviolabilidad al presupuesto procesal del aforamiento, permite a la Sala de lo Penal del T.S. que pueda revisar el contenido del suplicatorio, con una particularidad y es la de que el cumplimiento de una regla de “orden público”, como lo es la competencia objetiva, va a depender de un factor externo e incontrolable por las Cámaras, cual es el tiempo en el que se produzca el hecho punible (así, si el supuesto delito se comete al principio del mandato parlamentario, es probable que, de ese hecho, conozca el T.S., en tanto que si sucede durante los últimos meses de dicho mandato entenderá el Juez natural) o que el T.S., no obstante el suplicatorio, entienda, una vez expirado el mandato, que el hecho está o no “directamente relacionado con el ejercicio de la función pública inherente al cargo representativo”, lo que no debiera suceder nunca, pues, en tal caso, el T.S. se arrogaría funciones parlamentarias, al tener que decidir sobre el contenido del suplicatorio, pudiendo originar un conflicto constitucional entre ambos Poderes del Estado.</w:t>
      </w:r>
    </w:p>
    <w:p w:rsidR="008107C7" w:rsidRDefault="008107C7" w:rsidP="008107C7">
      <w:pPr>
        <w:pStyle w:val="TextoNormal"/>
      </w:pPr>
      <w:r>
        <w:t>5. No debemos desdeñar, en último lugar, y al margen de las razones teóricas expuestas, los datos que pone de manifiesto la praxis judicial, tanto por lo que se refiere al todavía elevado número de causas penales seguidas contra aforados (concretamente 102 durante el año 1996), como en lo que concierne al previsible sustancial aumento de la competencia objetiva de la mencionada Sala, derivado de la vigencia y aplicación del nuevo Código Penal (cuyas previsiones más optimistas la han situado en un 35 por 100 de incremento), por cuanto tales datos empíricos permiten inferir razonablemente la posibilidad de que se produzcan ciertos retrasos o dilaciones procesales, con el consiguiente riesgo de que la prerrogativa del aforamiento de los miembros de las Cámaras legislativas, garantizada por el art. 71.3 C.E., quede vacía de contenido.</w:t>
      </w:r>
    </w:p>
    <w:p w:rsidR="008107C7" w:rsidRDefault="008107C7" w:rsidP="008107C7">
      <w:pPr>
        <w:pStyle w:val="TextoNormal"/>
      </w:pPr>
      <w:r>
        <w:t xml:space="preserve">6. Por tales razones, y porque estamos persuadidos de que la independencia y el regular funcionamiento de las Cámaras frente a las “querellas políticas”, potenciadas en nuestro </w:t>
      </w:r>
      <w:r>
        <w:lastRenderedPageBreak/>
        <w:t>país por la existencia de un régimen de acción penal popular y privada, no pueden quedar a merced de las dilaciones, aunque no siempre estas sean indebidas, creemos que la propia invocación que efectúa esta sentencia de la doctrina jurisprudencial debió de haber conducido a un fallo estimatorio en el presente recurso de amparo.</w:t>
      </w:r>
    </w:p>
    <w:p w:rsidR="008107C7" w:rsidRDefault="008107C7" w:rsidP="008107C7">
      <w:pPr>
        <w:pStyle w:val="TextoNormal"/>
      </w:pPr>
      <w:r>
        <w:t>Madrid, a dieciocho de febrero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26" w:name="SENTENCIA_1997_23"/>
      <w:r>
        <w:lastRenderedPageBreak/>
        <w:t>SENTENCIA 23/1997, de 11 de febrero de 1997</w:t>
      </w:r>
    </w:p>
    <w:bookmarkEnd w:id="26"/>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63, de 14 de marzo de 1997)</w:t>
      </w:r>
    </w:p>
    <w:p w:rsidR="008107C7" w:rsidRDefault="008107C7" w:rsidP="008107C7">
      <w:pPr>
        <w:pStyle w:val="TtuloBOE"/>
      </w:pPr>
    </w:p>
    <w:p w:rsidR="008107C7" w:rsidRDefault="008107C7" w:rsidP="008107C7">
      <w:pPr>
        <w:pStyle w:val="SntesisDescriptiva"/>
      </w:pPr>
      <w:r>
        <w:t>ECLI:ES:TC:1997:23</w:t>
      </w:r>
    </w:p>
    <w:p w:rsidR="008107C7" w:rsidRDefault="008107C7" w:rsidP="008107C7">
      <w:pPr>
        <w:pStyle w:val="SntesisDescriptiva"/>
      </w:pPr>
    </w:p>
    <w:p w:rsidR="008107C7" w:rsidRDefault="008107C7" w:rsidP="008107C7">
      <w:pPr>
        <w:pStyle w:val="SntesisDescriptiva"/>
      </w:pPr>
      <w:r>
        <w:t>Recurso de amparo 1.830/1992. Contra Sentencia de la Sala de lo Contencioso-Administrativo del T.S.J. de Cataluña, que estimó en parte el recurso promovido por la entidad actora contra las resoluciones del Tribunal Económico Administrativo Regional de Cataluña sobre retenciones del Impuesto General sobre el Tráfico de Empresas.</w:t>
      </w:r>
    </w:p>
    <w:p w:rsidR="008107C7" w:rsidRDefault="008107C7" w:rsidP="008107C7">
      <w:pPr>
        <w:pStyle w:val="SntesisDescriptiva"/>
      </w:pPr>
    </w:p>
    <w:p w:rsidR="008107C7" w:rsidRDefault="008107C7" w:rsidP="008107C7">
      <w:pPr>
        <w:pStyle w:val="SntesisAnaltica"/>
      </w:pPr>
      <w:r>
        <w:t>Vulneración del derecho a la igualdad ante la ley: denegación de intereses de demora al contribuyente lesiva del derecho.</w:t>
      </w:r>
    </w:p>
    <w:p w:rsidR="008107C7" w:rsidRDefault="008107C7" w:rsidP="008107C7">
      <w:pPr>
        <w:pStyle w:val="SntesisAnaltica"/>
      </w:pPr>
    </w:p>
    <w:p w:rsidR="008107C7" w:rsidRDefault="008107C7" w:rsidP="008107C7">
      <w:pPr>
        <w:pStyle w:val="Extracto"/>
      </w:pPr>
      <w:r>
        <w:t>1.</w:t>
      </w:r>
      <w:r>
        <w:tab/>
        <w:t>Lo que aquí se enjuicia no es el otorgamiento a la Hacienda Pública de un plazo de tres meses para proceder al cumplimiento de la Sentencia desde la fecha de su notificación, fácilmente justificable por su sometimiento a un estricto régimen presupuestario. Lo que hemos de resolver es si puede admitirse, como compatible con el art. 14 C.E., un entendimiento del art. 45 L.G.P., como el contenido en la Sentencia impugnada, conforme al cual, la Administración no incurre en mora «ínterin no hayan transcurrido los plazos que establece el art. 45 de la Ley General Presupuestaria, que exige que transcurran tres meses desde la notificación de la Sentencia o reconocimiento de la obligación de pago, y la posterior reclamación del interesado» . [F.J. 5]</w:t>
      </w:r>
    </w:p>
    <w:p w:rsidR="008107C7" w:rsidRDefault="008107C7" w:rsidP="008107C7">
      <w:pPr>
        <w:pStyle w:val="Extracto"/>
      </w:pPr>
    </w:p>
    <w:p w:rsidR="008107C7" w:rsidRDefault="008107C7" w:rsidP="008107C7">
      <w:pPr>
        <w:pStyle w:val="Extracto"/>
      </w:pPr>
      <w:r>
        <w:t>2.</w:t>
      </w:r>
      <w:r>
        <w:tab/>
        <w:t>Este Tribunal ha declarado, desde luego, la constitucionalidad de diversas prerrogativas o de situaciones de superioridad, en general, a las Administraciones públicas, pero siempre a partir de la existencia de algún bien o principio constitucional cuya preservación justificara su reconocimiento. Así, respecto de la autotutela, con fundamento en el principio de eficacia (SSTC 22/1984, 148/1993 y 78/1996); o de los intereses en favor de la Hacienda por el impago de los tributos, para evitar riesgos en el funcionamiento del sistema tributario (STC 76/1990); del mismo modo, ha atendido a la demora inercial o institucional de la Hacienda para justificar una menor cuantía de los intereses procesales que ha de satisfacer (STC 206/1993). Ahora bien, el privilegio derivado de la Sentencia recurrida no sólo carece de justificación en orden a satisfacer algún bien constitucionalmente relevante, sino que compromete gravemente otros, toda vez que el particular que sufrió el impago parcial de lo facturado en ejecución de un contrato, para conseguir el pago de lo debido, ha tenido que acudir a los procedimientos administrativo y judicial oportunos para que se declare la ilegalidad de la causa en que se pretendió justificar la minoración del precio, una pretendida retención tributaria, y la consiguiente condena a que se le entreguen tales sumas. Si se le niegan los intereses devengados durante este período, en modo alguno conseguirá la plena satisfacción de su derecho, pues al tener que acudir al proceso para lograr su reconocimiento, el tiempo empleado para ello generará de suyo unos perjuicios que quedarán sin resarcir . [F.J. 5]</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1.830/92 promovido por Quinta de Salud La Alianza, representada por el Procurador de los Tribunales don José Manuel Dorremochea Aramburu, bajo la dirección del Letrado don Alfonso Cardelús Barcons, contra la Sentencia de la Sección Cuarta de la Sala de lo Contencioso-Administrativo del Tribunal Superior de Justicia de Cataluña de 4 de junio de 1992, que estimó en parte el recurso promovido por la entidad actora contra las resoluciones del Tribunal Económico Administrativo Regional de Cataluña, de 30 de octubre y 27 de noviembre de 1990, sobre retenciones del Impuesto General sobre el tráfico de las Empresas. Han comparecido el Abogado del Estado y el Ministerio Fiscal. Ha sido Ponente el Magistrado don Pedro Cruz Villalón,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presentado en el Registro de este Tribunal el 10 de julio de 1992, Quinta de Salud La Alianza, interpuso recurso de amparo contra la Sentencia dictada por el Tribunal Superior de Justicia de Cataluña, de 4 de junio de 1992, que estimó en parte la demanda formulada por la actora y ordenó que se le devolvieran las sumas indebidamente retenidas en concepto de Impuesto General de Tráfico de Empresas (en adelante, ITE), pero desestimó la solicitud relativa al abono de intereses.</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La demanda se basa, en síntesis, en los siguientes hechos: </w:t>
      </w:r>
    </w:p>
    <w:p w:rsidR="008107C7" w:rsidRDefault="008107C7" w:rsidP="008107C7">
      <w:pPr>
        <w:pStyle w:val="TextoNormal"/>
      </w:pPr>
      <w:r>
        <w:t xml:space="preserve">a) La Quinta de Salud La Alianza es una mutualidad de previsión social que, en virtud de conciertos celebrados con el Instituto Catalán de la Salud, Entidad Gestora de la Seguridad Social, creada por Ley de la Generalidad de Cataluña de 14 de julio de 1983, presta asistencia en sus centros sanitarios a beneficiarios de la Seguridad Social. Tales prestaciones le son retribuidas mediante transferencias bancarias por los importes de las facturas mensuales que presenta. </w:t>
      </w:r>
    </w:p>
    <w:p w:rsidR="008107C7" w:rsidRDefault="008107C7" w:rsidP="008107C7">
      <w:pPr>
        <w:pStyle w:val="TextoNormal"/>
      </w:pPr>
      <w:r>
        <w:t xml:space="preserve">Desde noviembre de 1981 a diciembre de 1985, los importes de las facturas mensuales fueron transferidos por el Instituto Catalán de la Salud con una retención, que resultó ser el importe de una cuota del ITE, supuestamente repercutida en factura. </w:t>
      </w:r>
    </w:p>
    <w:p w:rsidR="008107C7" w:rsidRDefault="008107C7" w:rsidP="008107C7">
      <w:pPr>
        <w:pStyle w:val="TextoNormal"/>
      </w:pPr>
      <w:r>
        <w:t xml:space="preserve">b) La mutualidad interpuso reclamaciones económico-administrativas, en primer lugar, y luego recurso contencioso-administrativo, contra los actos de retención practicados el 2 de abril y el 28 de junio de 1986, por importe de 979.878 pts. y 24.919 pts., respectivamente. </w:t>
      </w:r>
      <w:r>
        <w:lastRenderedPageBreak/>
        <w:t xml:space="preserve">En su demanda solicitó la devolución de las cantidades retenidas, por corresponder a parte del precio de unas prestaciones que se encontraban exentas de ITE, en cuyas facturas no se había repercutido, por tanto, la cuota de dicho impuesto, denunciando, por otra parte, que ni se le había entregado la correspondiente carta de pago, ni estaba acreditado que, efectivamente, esas pretendidas retenciones hubiesen dado lugar a los correspondientes ingresos en la Hacienda del Estado, titular del tributo en cuestión. Igualmente solicitó el abono del interés legal de las cantidades reclamadas, desde las fechas de su ingreso en el Tesoro o, en su defecto, desde las citadas retenciones. </w:t>
      </w:r>
    </w:p>
    <w:p w:rsidR="008107C7" w:rsidRDefault="008107C7" w:rsidP="008107C7">
      <w:pPr>
        <w:pStyle w:val="TextoNormal"/>
      </w:pPr>
      <w:r>
        <w:t xml:space="preserve">c) El Tribunal Superior de Justicia, mediante la Sentencia impugnada de 4 de junio de 1992, estimó la pretensión principal de la demanda, anulando las retenciones efectuadas por el Instituto Catalán de la Salud, y condenando a éste a que devolviera las sumas indebidamente retenidas. </w:t>
      </w:r>
    </w:p>
    <w:p w:rsidR="008107C7" w:rsidRDefault="008107C7" w:rsidP="008107C7">
      <w:pPr>
        <w:pStyle w:val="TextoNormal"/>
      </w:pPr>
      <w:r>
        <w:t xml:space="preserve">No obstante desestimó la petición relativa al abono del interés legal de dichas cantidades. Razonó que para condenar al pago de intereses es necesario que la Administración o sus organismos autónomos incurran en mora, y esta situación no se produce mientras no hayan transcurrido los plazos establecidos por el art. 45 de la Ley General Presupuestaria, que exige que transcurran tres meses desde la notificación de la Sentencia o reconocimiento de la obligación de pago, y la posterior reclamación del interesado (citando la STS 23 mayo 1991). </w:t>
      </w:r>
    </w:p>
    <w:p w:rsidR="008107C7" w:rsidRDefault="008107C7" w:rsidP="008107C7">
      <w:pPr>
        <w:pStyle w:val="TextoNormal"/>
      </w:pPr>
      <w:r>
        <w:t xml:space="preserve">2. En la demanda se argumenta que la denegación de todo interés de demora vulnera el art. 14 C.E., en cuanto establece que los españoles son iguales ante la ley, sin que pueda prevalecer discriminación alguna por razón de cualquier condición o circunstancia personal o social. </w:t>
      </w:r>
    </w:p>
    <w:p w:rsidR="008107C7" w:rsidRDefault="008107C7" w:rsidP="008107C7">
      <w:pPr>
        <w:pStyle w:val="TextoNormal"/>
      </w:pPr>
      <w:r>
        <w:t xml:space="preserve">El actor contrasta el régimen legal que le ha sido aplicado con el que rige los derechos de la Hacienda Pública, y también el de las deudas de carácter tributario. Los derechos de la Hacienda Pública devengan interés de demora desde el día siguiente a su vencimiento, que se cifra en el interés legal del dinero que, en el caso de derechos de carácter tributario, se incrementa en un 25 por 100 (art. 36 Ley General Presupuestaria [L.G.P., Real Decreto Legislativo 1.091/1988, de 23 de septiembre], y art. 58.2 b) de la Ley General Tributaria [L.G.T., Ley 230/1963, de 28 de diciembre, modificada por la Ley 10/1985, de 26 de abril]); las deudas de la Hacienda Pública, en cambio, tienen un régimen completamente distinto, aunque con una excepción. Por regla general, el art. 45 L.G.P. prescribe que las obligaciones de la Hacienda Pública sólo devengan interés cuando transcurren tres meses desde el día en que se le notifica la resolución judicial o el reconocimiento de la obligación, y además cuando el acreedor haya reclamado por escrito el cumplimiento de la obligación. </w:t>
      </w:r>
    </w:p>
    <w:p w:rsidR="008107C7" w:rsidRDefault="008107C7" w:rsidP="008107C7">
      <w:pPr>
        <w:pStyle w:val="TextoNormal"/>
      </w:pPr>
      <w:r>
        <w:t>En la demanda se afirma que este precepto proviene de la legislación preconstitucional (la Ley General Presupuestaria fue aprobada por Ley 11/1977, de 4 de enero), y que el texto refundido de 1988 fue aprobado por Real Decreto Legislativo, el cual dejó intacto el precepto a pesar de las facultades de adaptación que le había otorgado la ley de delegación (Disposición final 1ª Ley 33/1987, de 23 de diciembre). Y se subraya que la Ley de Bases del Procedimiento Económico-Administrativo (L.B.P.E.A., Ley 39/1980, de 5 de julio), que es una ley postconstitucional, adoptada por las Cortes, ha derogado el privilegio de la Hacienda Pública en relación con sus obligaciones de carácter tributario: y ha establecido que si, como consecuencia de la estimación de una reclamación, hubiese que devolver cantidades ingresadas, el interesado tendrá derecho al interés de demora desde la fecha del ingreso [Base 3 b) de la L.B.P.E.A., art. 36 del texto articulado -aprobado por Real Decreto Legis</w:t>
      </w:r>
      <w:r>
        <w:lastRenderedPageBreak/>
        <w:t xml:space="preserve">lativo 2.795/1980, de 12 de diciembre-, y art. 115.4 del Reglamento de Procedimiento Económico-Administrativo -aprobado por Real Decreto 1.999/1981, de 20 de agosto, modificado por Real Decreto 2.631/1985, de 18 de diciembre-]. </w:t>
      </w:r>
    </w:p>
    <w:p w:rsidR="008107C7" w:rsidRDefault="008107C7" w:rsidP="008107C7">
      <w:pPr>
        <w:pStyle w:val="TextoNormal"/>
      </w:pPr>
      <w:r>
        <w:t xml:space="preserve">Una vez expuesta la situación legal, la recurrente en amparo alega que el privilegio de la Hacienda Pública vulnera el art. 14 C.E. Se apoya, para ello, en la doctrina de la STC 76/1990, tras observar que la cuestión que allí fue resuelta es distinta a la que se plantea en este asunto; pues allí se trató del quantum del interés de demora (el recargo del 25 por 100), y ahora se trata de la fecha de devengo del interés legal. Afirma que la desigualdad introducida por el art. 45 L.G.P., al impedir que se generen intereses de demora desde el momento en que un órgano de la Administración retuvo indebidamente una cuota tributaria hasta el momento en que la devuelve obligado por Sentencia judicial, supone una grave diferencia de trato que carece de toda justificación; no obedece a fin lógico alguno, y conduce a consecuencias jurídicas inadecuadas y que desnaturalizan la finalidad de indemnizar los perjuicios sufridos por el acreedor, que sufre tanto el retraso del pronunciamiento judicial como la desvalorización monetaria (en su caso seis años). Como apuntó la STS de 4 de junio de 1991, el tratamiento discriminatorio impuesto por el art. 45 L.G.P. viene a consolidar un incentivo para que el Fisco exagere sus prácticas dilatorias, administrativas y procesales, a fin de demorar al máximo los pronunciamientos de Sentencias firmes que sospeche le irán a ser desfavorables, y a la vez disuadir al contribuyente de ejercitar su derecho fundamental a la tutela judicial, propiciándose así la arbitrariedad de los poderes públicos prohibida por el art. 9.3 C.E. </w:t>
      </w:r>
    </w:p>
    <w:p w:rsidR="008107C7" w:rsidRDefault="008107C7" w:rsidP="008107C7">
      <w:pPr>
        <w:pStyle w:val="TextoNormal"/>
      </w:pPr>
      <w:r>
        <w:t xml:space="preserve">Finalmente se invoca el art. 14 C.E. (en su vertiente de igualdad en la aplicación de la ley), y, asimismo, el derecho a la tutela judicial efectiva toda vez que la Sentencia impugnada ignora que el Tribunal Supremo mantiene el criterio de que en las reclamaciones económico-administrativas es de aplicación preferente su legislación propia, que hubiera conducido al reconocimiento de intereses desde el ingreso indebido (art. 36 L.P.E.A.), y no el art. 45 L.G.P. en que se fundó el Tribunal Superior de Justicia para retrasar drásticamente el momento de devengo de los intereses de demora. </w:t>
      </w:r>
    </w:p>
    <w:p w:rsidR="008107C7" w:rsidRDefault="008107C7" w:rsidP="008107C7">
      <w:pPr>
        <w:pStyle w:val="TextoNormal"/>
      </w:pPr>
      <w:r>
        <w:t xml:space="preserve">Termina suplicando a este Tribunal que dicte Sentencia por la que se otorgue el amparo solicitado, y se restablezca el derecho al interés legal de las cantidades retenidas desde las fechas en que indebidamente lo fueron. </w:t>
      </w:r>
    </w:p>
    <w:p w:rsidR="008107C7" w:rsidRDefault="008107C7" w:rsidP="008107C7">
      <w:pPr>
        <w:pStyle w:val="TextoNormal"/>
      </w:pPr>
      <w:r>
        <w:t xml:space="preserve">4. Por providencia de 13 de octubre de 1992, la Sección acordó admitir a trámite la demanda de amparo y tener por personado y parte al Procurador de los Tribunales Sr. Dorremochea Aramburu y, a tenor de lo dispuesto en el art. 51 LOTC, requerir a la Sala de lo Contencioso-Administrativo del Tribunal Superior de Justicia de Cataluña para que, en el plazo de diez días, remitiera testimonio de las actuaciones y el emplazamiento de cuantos fueron parte en el procedimiento para que, también en el plazo de diez días, pudieran comparecer en este proceso constitucional. Mediante oficio de 4 de noviembre de 1992, la Sala de lo Contencioso- administrativo comunicó que había dado cumplimiento a lo requerido. Había sido emplazado, pues la Administración del Estado, toda vez que el Instituto Catalán de la Salud no llego a constituirse como parte, pues, a pesar de haber sido emplazado personalmente por el órgano judicial, no se personó en el recurso. </w:t>
      </w:r>
    </w:p>
    <w:p w:rsidR="008107C7" w:rsidRDefault="008107C7" w:rsidP="008107C7">
      <w:pPr>
        <w:pStyle w:val="TextoNormal"/>
      </w:pPr>
      <w:r>
        <w:t xml:space="preserve">5. Mediante escrito registrado en este Tribunal el 12 de noviembre de 1992, el Abogado del Estado se personó en las actuaciones y, por providencia de 23 de noviembre de 1992, la Sección acordó tener por reunidas las actuaciones judiciales remitidas, y por personado y parte al Abogado del Estado; asimismo, a tenor de lo dispuesto en el art. 52 LOTC, se acordó dar vista de las actuaciones al Ministerio Fiscal, al Abogado del Estado y a la solicitante de </w:t>
      </w:r>
      <w:r>
        <w:lastRenderedPageBreak/>
        <w:t xml:space="preserve">amparo, para que dentro de dicho término pudieran presentar las alegaciones que a su derecho conviniera. </w:t>
      </w:r>
    </w:p>
    <w:p w:rsidR="008107C7" w:rsidRDefault="008107C7" w:rsidP="008107C7">
      <w:pPr>
        <w:pStyle w:val="TextoNormal"/>
      </w:pPr>
      <w:r>
        <w:t xml:space="preserve">6. En fecha 11 de diciembre de 1992 se recibe el escrito de alegaciones del Ministerio Fiscal. En él, tras resumir los antecedentes de hecho de la demanda de amparo, analiza la pretensión formulada por la actora, comenzando por señalar que la alegada desigualdad ofrece una doble perspectiva. En primer lugar, ante la Ley, porque el tratamiento que la L.G.P. da a los débitos es distinto según sean en favor de la Hacienda Pública o de los contribuyentes: en el primer caso, los intereses sólo se originan desde la notificación de la resolución firme o del reconocimiento de la obligación, una vez transcurridos tres meses y previa reclamación del interesado (art. 45 L.G.P.); por el contrario, las cantidades adeudadas a Hacienda devengaron intereses de demora desde el día siguiente a su vencimiento (art. 36). La segunda dimensión de la desigualdad está en que la Sala actuante ha aplicado una doctrina jurisprudencial que contradice el criterio del Tribunal Supremo representado por las SSTS de 4 de junio de 1991 y 20 de enero de 1992. </w:t>
      </w:r>
    </w:p>
    <w:p w:rsidR="008107C7" w:rsidRDefault="008107C7" w:rsidP="008107C7">
      <w:pPr>
        <w:pStyle w:val="TextoNormal"/>
      </w:pPr>
      <w:r>
        <w:t xml:space="preserve">Por lo que se refiere a la primera versión de la desigualdad, entiende el Ministerio Público que la situación de partida de la Hacienda Pública y de los particulares deudores a la Administración es diferente como ya se manifestó en la STC 76/1990 y en las distintas impugnaciones del art. 921 L.E.C.; del principio de igualdad no cabe derivar sin más que la Administración y los particulares hayan de ser objeto de un mismo trato, de tal modo que, los intereses que puedan generar sus respectivas deudas surgidas en el ámbito tributario reclamen un idéntico régimen. Respecto a la otra perspectiva de la desigualdad, que consiste en la aplicación por la Sentencia del art. 45 L.G.P. y no del art. 36 de la Ley de Procedimiento Económico-Administrativo, que sería el correcto conforme a las SSTS de 4 de junio de 1991 y 20 de enero de 1992, señala que para que la desigualdad en la aplicación judicial del Derecho tenga dimensión constitucional es necesario que los fallos emanen del mismo órgano judicial, circunstancia no acreditada; y además esta desigualdad tiene un cauce específico de reparación en las leyes procesales, cual es el recurso de casación para unificación de doctrina regulado en el art. 102.2 L.J.C.A.). Sobre la tutela judicial efectiva, argumenta que la demanda la sitúa, no en el criterio en la aplicación de la ley, sino en la imposibilidad de denunciar que el art. 45 L.G.P "sobrepasó los límites de la habilitación de la ley delegante" y que esta objeción es inadmisible porque en aquellos casos en que la acción judicial no puede ejercitarse por la ausencia de condiciones procesales no es imputable al órgano judicial. Concluye esta representación considerando que procede la desestimación del recurso de amparo. </w:t>
      </w:r>
    </w:p>
    <w:p w:rsidR="008107C7" w:rsidRDefault="008107C7" w:rsidP="008107C7">
      <w:pPr>
        <w:pStyle w:val="TextoNormal"/>
      </w:pPr>
      <w:r>
        <w:t xml:space="preserve">7. En fecha 17 de diciembre de 1992, se recibe el escrito de alegaciones formulado por la representación de la demandante de amparo. En ellas reitera que se ha producido la vulneración del art. 14 de la Constitución, por cuanto el tratamiento dado a la Hacienda Pública como deudora respecto de los particulares consagra un privilegio para el Fisco, ya que convalidaría el goce gratuito de la cantidad recaudada durante el tiempo que estuvo indebidamente retenida; de esta manera se lesionan los derechos fundamentales a la efectividad de la tutela judicial, en relación también con el art. 33 C.E., siendo necesario que se restablezca la situación existente, con devolución de la cantidad indebidamente descontada y abono de la oportuna indemnización. Añade que existe una múltiple jurisprudencia que señala la obligación del Fisco de pagar los intereses legales desde la retención y que la Sentencia impugnada debía haber tomado en consideración la necesidad de aplicar en el fallo estimatorio lo dispuesto en el art. 36 de la Ley Reguladora del Procedimiento Económico-Administrativo; finalmente aduce la demandante que la tesis de la Sentencia recurrida lesiona el derecho a la igualdad ante la ley, ya que este derecho fundamental exigía que la Sentencia recurrida </w:t>
      </w:r>
      <w:r>
        <w:lastRenderedPageBreak/>
        <w:t xml:space="preserve">declarase el derecho del actor al abono del interés legal de las cuotas indebidamente retenidas. </w:t>
      </w:r>
    </w:p>
    <w:p w:rsidR="008107C7" w:rsidRDefault="008107C7" w:rsidP="008107C7">
      <w:pPr>
        <w:pStyle w:val="TextoNormal"/>
      </w:pPr>
      <w:r>
        <w:t xml:space="preserve">8. El Abogado del Estado presentó su escrito de alegaciones el 17 de diciembre de 1992. Entiende que la demanda, tras la pretendida lesión del derecho a la igualdad, versa únicamente sobre la aplicación e interpretación de determinados preceptos legales y reglamentarios, por lo que el recurso debió ser inadmitido en virtud del art. 50.1 c) LOTC. Tras exponer el régimen de exenciones del Impuesto General sobre el Tráfico de las Empresas, y de las retenciones procedentes sobre el mismo, concluye que la cuestión de si procede aplicar en este caso el art. 155.1 L.G.T., el art. 36 L.P.E.A., o el art. 45 L.G.P., es de mera legalidad, por lo que no ha de ser resuelta por este Tribunal. Señala, al respecto, que la cita del art. 45 L.G.P. es errónea y que el precepto pertinente era el art. 25 de la Ley de Cataluña 10/1982, y que la invocación del art. 45 L.G.P. es irrelevante, pues la Sentencia deniega los intereses, que igualmente deberían ser denegados si se hubiera aplicado el art. 25 de la citada Ley catalana 10/1982. Tampoco existe vulneración del derecho a la tutela judicial efectiva toda vez que se han examinado las cuestiones planteadas, habiéndose dado respuesta a las mismas. </w:t>
      </w:r>
    </w:p>
    <w:p w:rsidR="008107C7" w:rsidRDefault="008107C7" w:rsidP="008107C7">
      <w:pPr>
        <w:pStyle w:val="TextoNormal"/>
      </w:pPr>
      <w:r>
        <w:t xml:space="preserve">Subsidiariamente, esta representación procesal procede a examinar el art. 45 L.G.P. cuestionado en la demanda, y señala que en los fundamentos de la demanda no se desarrolla ningún argumento de inconstitucionalidad. En primer lugar, el problema sobre la falta de ajuste entre la ley de delegación y el texto refundido de la L.G.P. no puede examinarse en este recurso, pues esta hipotética infracción no entrañaría por sí misma vulneración de un derecho fundamental. En segundo lugar, no existió tratamiento discriminatorio que implique un quebrantamiento del art. 14 C.E., pues en otro caso había sido planteada cuestión de inconstitucionalidad por la Sala. El único argumento de inconstitucionalidad del art. 45 L.G.P. es el relativo al distinto régimen indemnizatorio de la Hacienda Pública y los contribuyentes, y este motivo resulta inaceptable, ya que las situaciones de ambos no son iguales a efectos del art. 14 C.E., y así se ha declarado en el fundamento jurídico 9º de la STC 76/1990. Por exigencia constitucional, la Hacienda está sujeta a un régimen de derecho público en sus gastos y pagos en ejecución del presupuesto y ésta es la razón fundamental del régimen general de las obligaciones de Hacienda. Señala que el resarcimiento a los acreedores es una de las finalidades que debe tenerse en cuenta para regular los intereses a cargo de la Hacienda, pero también es preciso ponderar el buen orden administrativo y la necesidad de sujetarse a la legalidad presupuestaria de ingresos y gastos. Por último, los distintos criterios mantenidos en algunas resoluciones del Tribunal Supremo no guardan relación con la igualdad constitucional, que en todo caso exige que las resoluciones procesales provengan del mismo órgano jurisdiccional, identidad que falta en la comparación propuesta por el demandante. </w:t>
      </w:r>
    </w:p>
    <w:p w:rsidR="008107C7" w:rsidRDefault="008107C7" w:rsidP="008107C7">
      <w:pPr>
        <w:pStyle w:val="TextoNormal"/>
      </w:pPr>
      <w:r>
        <w:t xml:space="preserve">9. Por providencia de fecha 20 de abril de 1994 se acordó señalar para la deliberación y votación de esta Sentencia el día 25 del mismo mes. </w:t>
      </w:r>
    </w:p>
    <w:p w:rsidR="008107C7" w:rsidRDefault="008107C7" w:rsidP="008107C7">
      <w:pPr>
        <w:pStyle w:val="TextoNormal"/>
      </w:pPr>
      <w:r>
        <w:t xml:space="preserve">Con fecha 25 de abril de 1994 la Sala acordó suspender la deliberación y votación del presente recurso de amparo al estar pendiente de resolución la cuestión de inconstitucionalidad 872/92 ante el Pleno de este Tribunal, cuyo objeto coincide con el de este recurso. </w:t>
      </w:r>
    </w:p>
    <w:p w:rsidR="008107C7" w:rsidRDefault="008107C7" w:rsidP="008107C7">
      <w:pPr>
        <w:pStyle w:val="TextoNormal"/>
      </w:pPr>
      <w:r>
        <w:t>10. Por providencia de 10 de febrero de 1997, la Sala acordó levantar la suspensión decretada por providencia de 25 de abril de 1994 y señalar para deliberación y votación del citado recurso el próximo día 11 de los corrientes.</w:t>
      </w:r>
    </w:p>
    <w:p w:rsidR="008107C7" w:rsidRDefault="008107C7" w:rsidP="008107C7">
      <w:pPr>
        <w:pStyle w:val="TextoNormal"/>
      </w:pPr>
    </w:p>
    <w:p w:rsidR="008107C7" w:rsidRDefault="008107C7" w:rsidP="008107C7">
      <w:pPr>
        <w:pStyle w:val="TextoNormalNegritaCentrado"/>
        <w:keepNext/>
      </w:pPr>
      <w:r>
        <w:lastRenderedPageBreak/>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La demandante de amparo manifiesta haber sufrido una vulneración de su derecho fundamental a la igualdad ante la ley (art. 14 C.E.)  a través de la resolución judicial impugnada por cuanto la misma le niega el derecho a que se le abone el interés legal de las cantidades líquidas que indebidamente se le retuvieron en concepto de ITE razonando que tal interés se devenga exclusivamente a partir del transcurso de tres meses desde la notificación de la Sentencia, y una vez haya reclamado su abono, todo ello en virtud de lo previsto en el art. 45 de la Ley General Presupuestaria. Invoca como término de comparación la posición del Fisco resultante del art. 36 de la antedicha Ley, con arreglo al cual, cuando el acreedor es la Hacienda Pública el devengo del interés de demora en el pago de cantidades líquidas se produce desde las fechas de vencimiento de las deudas tributarias. En el petitum de la demanda se reitera que la Sentencia impugnada ha vulnerado el art. 14 CE al negar a la demandante de amparo el derecho al interés legal de las cuotas tributarias indebidamente retenidas para el período de tiempo que media desde las fechas de dichas retenciones hasta el día en que hayan transcurrido los tres meses siguientes a la notificación de dicha sentencia.  Concluye, así, reclamando el derecho al interés legal de las cantidades retenidas desde la fecha en que indebidamente lo fueron.</w:t>
      </w:r>
    </w:p>
    <w:p w:rsidR="008107C7" w:rsidRDefault="008107C7" w:rsidP="008107C7">
      <w:pPr>
        <w:pStyle w:val="TextoNormal"/>
      </w:pPr>
      <w:r>
        <w:t>El Ministerio Fiscal, por su parte, entiende que no procede la concesión del amparo, pues, por lo que se refiere a la igualdad ante la Ley, la situación de partida de la Hacienda Pública y los particulares es diferente, como ya se manifestó en la STC 76/1990, de manera que no cabe derivar sin más que la Administración y los particulares deban ser objeto de un mismo trato, de modo que los intereses que puedan generar sus respectivas deudas surgidas en el ámbito tributario no reclaman un idéntico régimen. Asimismo considera que no se ha infringido la igualdad en la aplicación de la Ley al no haberse aportado un término idóneo de comparación exigido para su apreciación.</w:t>
      </w:r>
    </w:p>
    <w:p w:rsidR="008107C7" w:rsidRDefault="008107C7" w:rsidP="008107C7">
      <w:pPr>
        <w:pStyle w:val="TextoNormal"/>
      </w:pPr>
      <w:r>
        <w:t>El Abogado del Estado, finalmente, considera que nos hallamos ante un supuesto de aplicación errónea e indebida del art. 45 L.G.P., en orden a la determinación del dies a quo del cómputo de intereses, si bien de la selección y aplicación indebida de la norma no cabe inferir vulneración constitucional alguna.</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A efectos de determinar el contenido de la demanda conviene inicialmente precisar que si bien la resolución recurrida, de manera literal, únicamente se niega a reconocer (fundamento de Derecho cuarto) el "pago" de los intereses de demora, se añade que no cabe acceder a dicha petición por cuanto la mora no se ha producido, con arreglo a lo establecido en el art. 45 de la L.G.P.  De ello cabe deducir sin dificultad que la resolución judicial impugnada está negando ya la posibilidad de obtener los intereses materiales correspondientes a la cantidad indebidamente retenida por el Instituto Catalán de la Salud.  Planteada en estos términos, la demanda de amparo exige ante todo, pues a ello se reconduce su queja, comprobar si la Sentencia recurrida ha reconocido un privilegio en favor de la Entidad pública implicada, para, a partir de ahí, determinar si la presencia de este privilegio, como excepción a la igualdad, está justificada por la preservación de otros bienes constitucionales y su extensión es proporcionada, debiendo finalmente concluirse con el examen de cuál sea la relación de tal privilegio, caso de existir, con la ley. En caso de que, efectivamente, el privilegio exista y se comprobase que no responde a los canones de constitucionalidad antes expuestos, la conclusión habría de ser la apreciación de una vulneración del derecho reconocido en el art. 14 C.E., con la consiguiente estimación del recurso, al igual que se ha hecho </w:t>
      </w:r>
      <w:r>
        <w:lastRenderedPageBreak/>
        <w:t>en la SSTC 110/1996 y 113/1996, que, en relación con una cuestión ciertamente próxima a la aquí planteada, han estimado sendos recursos de amparo frente a denegaciones de intereses procesales fundadas en una interpretación de la legalidad que, como declaró la STC 110/1996, fundamento jurídico 3º. reconocía un injustificado "tratamiento privilegiado para la Administración".</w:t>
      </w:r>
    </w:p>
    <w:p w:rsidR="008107C7" w:rsidRDefault="008107C7" w:rsidP="008107C7">
      <w:pPr>
        <w:pStyle w:val="TextoNormal"/>
      </w:pPr>
    </w:p>
    <w:p w:rsidR="008107C7" w:rsidRDefault="008107C7" w:rsidP="008107C7">
      <w:pPr>
        <w:pStyle w:val="TextoNormal"/>
      </w:pPr>
      <w:r w:rsidRPr="008107C7">
        <w:rPr>
          <w:rStyle w:val="NumeroAFNegritaCaracter"/>
        </w:rPr>
        <w:t>3</w:t>
      </w:r>
      <w:r>
        <w:t>. Ante todo, conviene precisar que no nos corresponde determinar si el art.  45 L.G.P. ha sido bien o mal aplicado, ya sea en función de la relación jurídica en el seno de la cual surgieron los intereses que se entiende debieron devengarse, ya sea a partir de la propia naturaleza del Ente al que se reclaman. No denunciándose en la demanda una selección arbitraria de la norma aplicable vulneradora del art. 24 CE, hemos de tomar como punto de partida el dato de la aplicación al caso del referido precepto, para, a partir de aquí apreciar la existencia de alguna vulneración del derecho fundamental a la igualdad, no como consecuencia de una errónea selección de la norma, sino, tal como se nos ha planteado, por el reconocimiento de un privilegio injustificado que se hace derivar indebidamente del precepto aplicado.</w:t>
      </w:r>
    </w:p>
    <w:p w:rsidR="008107C7" w:rsidRDefault="008107C7" w:rsidP="008107C7">
      <w:pPr>
        <w:pStyle w:val="TextoNormal"/>
      </w:pPr>
    </w:p>
    <w:p w:rsidR="008107C7" w:rsidRDefault="008107C7" w:rsidP="008107C7">
      <w:pPr>
        <w:pStyle w:val="TextoNormal"/>
      </w:pPr>
      <w:r w:rsidRPr="008107C7">
        <w:rPr>
          <w:rStyle w:val="NumeroAFNegritaCaracter"/>
        </w:rPr>
        <w:t>4</w:t>
      </w:r>
      <w:r>
        <w:t>. La Sentencia recurrida ha otorgado un trato privilegiado al Instituto Catalán de la Salud al eximirle del pago de los intereses en virtud de un régimen especial aplicable en razón de un estatuto personal en el que se integraría el art. 45 L.G.P.  La excepcionalidad, en efecto, de este régimen, en tal interpretación, se manifiestaría inmediatamente, tanto a partir de la comparación del precepto aplicado con el art. 36 L.G.P. -que establece un criterio de devengo de intereses automático desde el día siguiente al incumplimiento de la obligación-, como a resultas de su contraste con las reglas establecidas para los intereses moratorios tanto por el Derecho Civil (art. 1.100 C.C.), como por la legislación de contratos administrativos, así como por la legislación tributaria en relación con la devolución de los ingresos indebidos (art. 155 L.G.T. y 36 L.P.E.A.). Es regla general, pues, en nuestro ordenamiento que la obligación de pago de una cantidad líquida como la reclamada, debida como cumplimiento de una obligación contractual, genera intereses, con algunas variaciones sobre el dies a quo del devengo que no son especialmente significativas. De igual modo, atendiendo a la otra perspectiva desde la que puede contemplarse la cuestión planteada en el proceso contencioso-administrativo, genera igualmente intereses la realización de un ingreso indebido producido con ocasión del pago de un tributo.</w:t>
      </w:r>
    </w:p>
    <w:p w:rsidR="008107C7" w:rsidRDefault="008107C7" w:rsidP="008107C7">
      <w:pPr>
        <w:pStyle w:val="TextoNormal"/>
      </w:pPr>
    </w:p>
    <w:p w:rsidR="008107C7" w:rsidRDefault="008107C7" w:rsidP="008107C7">
      <w:pPr>
        <w:pStyle w:val="TextoNormal"/>
      </w:pPr>
      <w:r w:rsidRPr="008107C7">
        <w:rPr>
          <w:rStyle w:val="NumeroAFNegritaCaracter"/>
        </w:rPr>
        <w:t>5</w:t>
      </w:r>
      <w:r>
        <w:t>. La resolución judicial impugnada ha vulnerado el derecho fundamental de los españoles ante la ley (art. 14 C.E.)  al otorgar al Instituto Catalán de la Salud un trato privilegiado que es constitucionalmente infundado, al carecer de un fundamento objetivo y razonable, con perjuicio en este caso de la entidad demandante de amparo.</w:t>
      </w:r>
    </w:p>
    <w:p w:rsidR="008107C7" w:rsidRDefault="008107C7" w:rsidP="008107C7">
      <w:pPr>
        <w:pStyle w:val="TextoNormal"/>
      </w:pPr>
      <w:r>
        <w:t xml:space="preserve">El reconocimiento, en efecto, a determinados entes públicos de un estatuto personal en cuanto al devengo de intereses por el impago de sus deudas que, sin atender a la naturaleza de la obligación de que se trate o de la relación jurídica en cuyo seno se haya producido, tenga una extensión tal que prácticamente equivalga a la exoneración del pago de los mismos, al condicionarlos al reconocimiento de la deuda por la Administración, vulnera el art. 14 C.E. En este sentido, debe tenerse en cuenta que lo que aquí se enjuicia no es el otorgamiento a la Hacienda Pública de un plazo de tres meses para proceder al cumplimiento de la Sentencia desde la fecha de su notificación, facilmente justificable por su sometimiento a un estricto régimen presupuestario.  Lo que hemos de resolver es si puede admitirse, como </w:t>
      </w:r>
      <w:r>
        <w:lastRenderedPageBreak/>
        <w:t>compatible con el art. 14 C.E., un entendimiento del art. 45 L.G.P., como el contenido en la Sentencia impugnada, conforme al cual, la Administración no incurre en mora "ínterin no hayan transcurrido los plazos que establece el art. 45 de la Ley General Presupuestaria, que exige que transcurran tres meses desde la notificación de la Sentencia o reconocimiento de la obligación de pago, y la posterior reclamación del interesado" (fundamento de Derecho cuarto).</w:t>
      </w:r>
    </w:p>
    <w:p w:rsidR="008107C7" w:rsidRDefault="008107C7" w:rsidP="008107C7">
      <w:pPr>
        <w:pStyle w:val="TextoNormal"/>
      </w:pPr>
      <w:r>
        <w:t>Este Tribunal ha declarado, desde luego, la constitucionalidad de diversas prerrogativas o de situaciones de superioridad, en general, a las Administraciones públicas, pero siempre a partir de la existencia de algún bien o principio constitucional cuya preservación justificara su reconocimiento. Así, respecto de la autotutela, con fundamento en el principio de eficacia (SSTC 22/1984, 148/1993 y 78/1996); o de los intereses en favor de la Hacienda por el impago de los tributos, para evitar riesgos en el funcionamiento del sistema tributario (STC 76/1990); del mismo modo, ha atendido a la demora inercial o institucional de la Hacienda para justificar una menor cuantía de los intereses procesales que ha de satisfacer (STC 206/1993).</w:t>
      </w:r>
    </w:p>
    <w:p w:rsidR="008107C7" w:rsidRDefault="008107C7" w:rsidP="008107C7">
      <w:pPr>
        <w:pStyle w:val="TextoNormal"/>
      </w:pPr>
      <w:r>
        <w:t>Ahora bien, en el caso que nos ocupa no es posible encontrar ningún bien o principio constitucional cuya protección exija el trato privilegiado otorgado.  Es de tener, a estos efectos, en cuenta cómo en la satisfacción de los intereses de demora, con su función indemnizatoria, se plasma una exigencia de la igualdad, pues cuando un particular es acreedor de una Entidad de Derecho público, como aquí ocurre, "una vez perfeccionada la relación jurídica cualesquiera que fueren su naturaleza pública o privada y su origen o fuente [..] la Hacienda es ya uno de sus sujetos [..], sin una posición preeminente" (STC 69/1996, fundamento jurídico 5º).  Por otra parte, partiendo de la función indemnizatoria que cumplen estos intereses, debe recordarse cómo ya en las SSTC 206/1993 (fundamento jurídico 2º) y 69/1996 (fundamento jurídico 4º) afirmamos que "la efectividad de la tutela judicial, garantizada constitucionalmente, exige no sólo que se cumpla el fallo [..] sino que el ganador consiga el restablecimiento pleno de su derecho hasta la restitutio in integrum [..]. En este sentido actúa el interés de demora, cuya función exclusiva es ésa". Resulta, pues, que el privilegio derivado de la Sentencia recurrida, no sólo carece de justificación en orden a satisfacer algún bien constitucionalmente relevante, sino que compromete gravemente otros, toda vez que el particular que sufrió el impago parcial de lo facturado en ejecución de un contrato, para conseguir el pago de lo debido, ha tenido que acudir a los procedimientos administrativo y judicial oportunos para que se declare la ilegalidad de la causa en que se pretendió justificar la minoración del precio, una pretendida retención tributaria, y la consiguiente condena a que se le entreguen tales sumas.  Si se le niegan los intereses devengados durante este período, en modo alguno conseguirá la plena satisfacción de su derecho pues, al tener que acudir al proceso para lograr su reconocimiento, el tiempo empleado para ello generará de suyo unos perjuicios que quedarán sin resarcir.</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En contra de lo que parece dar a entender la entidad recurrente en amparo, la constatada vulneración del principio de igualdad no trae necesariamente causa de lo dispuesto en el precepto legal aplicado, el art. 45 L.G.P., de tal modo que nos encontrásemos en el supuesto previsto en el art. 55.2 LOTC.  Ciertamente, no cabría afirmar que la interpretación que del citado precepto hace la Sentencia impugnada sea infundada o arbitraria, o que careciera de toda apoyatura a partir de su tenor literal. Ahora bien, como se declaró en la ya citada STC 69/1996, en el mencionado precepto "se manejan dos situaciones diferentes que originan otras tantas clases de intereses. Una comprende el que, con carácter indemnizatorio, compensa la mora o retraso en el pago, como complemento de una prestación de dar </w:t>
      </w:r>
      <w:r>
        <w:lastRenderedPageBreak/>
        <w:t>una cantidad de dinero (art. 1.100 C.C.)  y su devengo se produce, con o sin sentencia, cuando se perfecciona la obligación que los origina.  Otra el llamado interés procesal" (fundamento jurídico 1º).  Siendo ello así, es claro que, por más que sean factibles interpretaciones del precepto contemplado, como la que aquí se ha hecho, que serían contrarias al art. 14 C.E., su mera posibilidad no llega en modo alguno a excluir, antes al contrario, otras interpretaciones acordes con el derecho fundamental a la igualdad, de tal modo que no cabe imputar al legislador el resultado discriminatorio producido.</w:t>
      </w:r>
    </w:p>
    <w:p w:rsidR="008107C7" w:rsidRDefault="008107C7" w:rsidP="008107C7">
      <w:pPr>
        <w:pStyle w:val="TextoNormal"/>
      </w:pPr>
    </w:p>
    <w:p w:rsidR="008107C7" w:rsidRDefault="008107C7" w:rsidP="008107C7">
      <w:pPr>
        <w:pStyle w:val="TextoNormal"/>
      </w:pPr>
      <w:r w:rsidRPr="008107C7">
        <w:rPr>
          <w:rStyle w:val="NumeroAFNegritaCaracter"/>
        </w:rPr>
        <w:t>7</w:t>
      </w:r>
      <w:r>
        <w:t>. La estimación del amparo debe llevar a la revocación parcial de la Sentencia recurrida y al reconocimiento del derecho del recurrente al cobro de intereses en los términos señalados, cuya concreta determinación, sin embargo, debe dejarse al Tribunal Contencioso- administrativo. Ello ha de ser así habida cuenta que tal determinación, como certeramente señala el Abogado del Estado en sus alegaciones, plantea algunas cuestiones de legalidad, susceptibles de diversas soluciones, que, en cuanto sean constitucionalmente indiferentes por suponer el reconocimiento del derecho al percibo de los intereses sin establecer privilegios injustificados, no deben ser resueltas por este Tribunal.</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Estimar parcialmente el recurso de amparo y, en consecuencia:</w:t>
      </w:r>
    </w:p>
    <w:p w:rsidR="008107C7" w:rsidRDefault="008107C7" w:rsidP="008107C7">
      <w:pPr>
        <w:pStyle w:val="TextoNormal"/>
      </w:pPr>
      <w:r>
        <w:t>1º Reconocer a la demandante de amparo el derecho fundamental a la igualdad.</w:t>
      </w:r>
    </w:p>
    <w:p w:rsidR="008107C7" w:rsidRDefault="008107C7" w:rsidP="008107C7">
      <w:pPr>
        <w:pStyle w:val="TextoNormal"/>
      </w:pPr>
      <w:r>
        <w:t>2. Anular parcialmente la Sentencia de 4 de junio de 1992 de la Sección Cuarta de la Sala de lo Contencioso-Administratrivo del Tribunal Superior de Justicia de Cataluña, recaída en el recurso 145/91, en cuanto al pronunciamiento desestimatorio de la pretensión relativa al reconocimiento de los intereses de demora.</w:t>
      </w:r>
    </w:p>
    <w:p w:rsidR="008107C7" w:rsidRDefault="008107C7" w:rsidP="008107C7">
      <w:pPr>
        <w:pStyle w:val="TextoNormal"/>
      </w:pPr>
      <w:r>
        <w:t>3. Retrotraer las actuaciones a efectos de posibilitar el concreto pronunciamiento de la Sala respecto de dichos intereses para que dicte nueva Sentencia que contenga el concreto pronunciamiento de la Sala respecto de los mencionados intereses.</w:t>
      </w:r>
    </w:p>
    <w:p w:rsidR="008107C7" w:rsidRDefault="008107C7" w:rsidP="008107C7">
      <w:pPr>
        <w:pStyle w:val="TextoNormal"/>
      </w:pPr>
    </w:p>
    <w:p w:rsidR="008107C7" w:rsidRDefault="008107C7" w:rsidP="008107C7">
      <w:pPr>
        <w:pStyle w:val="TextoNormal"/>
      </w:pPr>
      <w:r>
        <w:t>Publiquese esta Sentencia en el "Boletín Oficial del Estado".</w:t>
      </w:r>
    </w:p>
    <w:p w:rsidR="008107C7" w:rsidRDefault="008107C7" w:rsidP="008107C7">
      <w:pPr>
        <w:pStyle w:val="TextoNormal"/>
      </w:pPr>
      <w:r>
        <w:t>Dada en Madrid, a once de febrero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27" w:name="SENTENCIA_1997_24"/>
      <w:r>
        <w:lastRenderedPageBreak/>
        <w:t>SENTENCIA 24/1997, de 11 de febrero de 1997</w:t>
      </w:r>
    </w:p>
    <w:bookmarkEnd w:id="27"/>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63, de 14 de marzo de 1997)</w:t>
      </w:r>
    </w:p>
    <w:p w:rsidR="008107C7" w:rsidRDefault="008107C7" w:rsidP="008107C7">
      <w:pPr>
        <w:pStyle w:val="TtuloBOE"/>
      </w:pPr>
    </w:p>
    <w:p w:rsidR="008107C7" w:rsidRDefault="008107C7" w:rsidP="008107C7">
      <w:pPr>
        <w:pStyle w:val="SntesisDescriptiva"/>
      </w:pPr>
      <w:r>
        <w:t>ECLI:ES:TC:1997:24</w:t>
      </w:r>
    </w:p>
    <w:p w:rsidR="008107C7" w:rsidRDefault="008107C7" w:rsidP="008107C7">
      <w:pPr>
        <w:pStyle w:val="SntesisDescriptiva"/>
      </w:pPr>
    </w:p>
    <w:p w:rsidR="008107C7" w:rsidRDefault="008107C7" w:rsidP="008107C7">
      <w:pPr>
        <w:pStyle w:val="SntesisDescriptiva"/>
      </w:pPr>
      <w:r>
        <w:t>Recurso de amparo 314/1995. Contra Sentencia dictada, en grado de apelación, por la Audiencia Provincial de Huelva en procedimiento abreviado.</w:t>
      </w:r>
    </w:p>
    <w:p w:rsidR="008107C7" w:rsidRDefault="008107C7" w:rsidP="008107C7">
      <w:pPr>
        <w:pStyle w:val="SntesisDescriptiva"/>
      </w:pPr>
    </w:p>
    <w:p w:rsidR="008107C7" w:rsidRDefault="008107C7" w:rsidP="008107C7">
      <w:pPr>
        <w:pStyle w:val="SntesisAnaltica"/>
      </w:pPr>
      <w:r>
        <w:t>Vulneración del derecho a la presunción de inocencia: prueba de cargo insuficiente.</w:t>
      </w:r>
    </w:p>
    <w:p w:rsidR="008107C7" w:rsidRDefault="008107C7" w:rsidP="008107C7">
      <w:pPr>
        <w:pStyle w:val="SntesisAnaltica"/>
      </w:pPr>
    </w:p>
    <w:p w:rsidR="008107C7" w:rsidRDefault="008107C7" w:rsidP="008107C7">
      <w:pPr>
        <w:pStyle w:val="Extracto"/>
      </w:pPr>
      <w:r>
        <w:t>1.</w:t>
      </w:r>
      <w:r>
        <w:tab/>
        <w:t>Este Tribunal tiene establecido que los criterios para distinguir entre pruebas indiciarias capaces de desvirtuar la presunción de inocencia y las simples sospechas se apoyan en que: a) la prueba indiciaria ha de partir de hechos plenamente probados; b) los hechos constitutivos de delito deben deducirse de esos indicios (hechos completamente probados) a través de un proceso mental razonado y acorde con las reglas del criterio humano, explicitado en la Sentencia condenatoria (SSTC 174/1985, 175/1985, 229/1988, 107/1989, 384/1993, 206/1994, entre otras). [F.J. 2]</w:t>
      </w:r>
    </w:p>
    <w:p w:rsidR="008107C7" w:rsidRDefault="008107C7" w:rsidP="008107C7">
      <w:pPr>
        <w:pStyle w:val="Extracto"/>
      </w:pPr>
    </w:p>
    <w:p w:rsidR="008107C7" w:rsidRDefault="008107C7" w:rsidP="008107C7">
      <w:pPr>
        <w:pStyle w:val="Extracto"/>
      </w:pPr>
      <w:r>
        <w:t>2.</w:t>
      </w:r>
      <w:r>
        <w:tab/>
        <w:t>En el caso que ahora enjuiciamos, el mismo material probatorio que sirvió a la Audiencia para condenar al actor fue declarado insuficiente a tales efectos por el órgano judicial de instancia. Nuestro pronunciamiento ha de versar sobre la existencia de una prueba indiciaria suficiente para destruir la presunción de inocencia, de acuerdo con la jurisprudencia de este Tribunal. La destrucción de la presunción de inocencia, que es una presunción «iuris tantum», ha de venir referida a un determinado hecho configurador de un tipo penal en el que deben incluirse las circunstancias que por mandato legal tienen que concurrir en el mismo. Probada, por ejemplo, una sustracción simple, la presunción de inocencia cede frente al delito de hurto, pero si no se ha probado la fuerza capaz de transformar ese ilícito en robo, la presunción debe actuar respecto de este último delito. De acuerdo con lo que se dijo en la STC 175/1985, «en la operación deductiva deberán señalarse, en primer lugar, cuáles son los indicios probados, y, en segundo término, cómo se deduce de ellos la participación del acusado en el tipo penal». Participación en un determinado delito, objeto de la acusación, y no en cualquier otro . [F.J. 4]</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lastRenderedPageBreak/>
        <w:t>SENTENCIA</w:t>
      </w:r>
    </w:p>
    <w:p w:rsidR="008107C7" w:rsidRDefault="008107C7" w:rsidP="008107C7">
      <w:pPr>
        <w:pStyle w:val="TextoNormalCentrado"/>
        <w:keepNext/>
      </w:pPr>
    </w:p>
    <w:p w:rsidR="008107C7" w:rsidRDefault="008107C7" w:rsidP="008107C7">
      <w:pPr>
        <w:pStyle w:val="TextoNormal"/>
      </w:pPr>
      <w:r>
        <w:t>En el recurso de amparo núm. 314/95, promovido por don Juan Manuel Gómez Fernández, representado por la Procuradora de los Tribunales doña Montserrat Gómez Hernández y asistido por el Letrado don Gabriel Cruz Santana, contra la Sentencia de 29 de diciembre de 1994, dictada, en grado de apelación, por la Audiencia Provincial de Huelva en el procedimiento abreviado núm. 65/94. Ha intervenido el Ministerio Fiscal. Ha sido Ponente el Magistrado don Manuel Jiménez de Parga y Cabrera,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con fecha de entrada en el Registro General de este Tribunal de 31 de enero de 1995, don Juan Manuel Gómez Fernández solicitó el derecho a la justicia gratuita para formalizar demanda de amparo contra la Sentencia dictada en grado de apelación por la Audiencia Provincial de Huelva, de fecha 29 de diciembre de 1994, recaída en el procedimiento abreviado núm. 65/1994.</w:t>
      </w:r>
    </w:p>
    <w:p w:rsidR="008107C7" w:rsidRDefault="008107C7" w:rsidP="008107C7">
      <w:pPr>
        <w:pStyle w:val="TextoNormal"/>
      </w:pPr>
    </w:p>
    <w:p w:rsidR="008107C7" w:rsidRDefault="008107C7" w:rsidP="008107C7">
      <w:pPr>
        <w:pStyle w:val="TextoNormal"/>
      </w:pPr>
      <w:r w:rsidRPr="008107C7">
        <w:rPr>
          <w:rStyle w:val="NumeroAFNegritaCaracter"/>
        </w:rPr>
        <w:t>2</w:t>
      </w:r>
      <w:r>
        <w:t>. Por providencia de 16 de mayo de 1995, se tuvo por designado Abogado y Procurador de los Tribunales del turno de oficio, y se requirió a la representación del recurrente para que en el plazo de veinte días formalizara la demanda de amparo, con los requisitos prevenidos en el art. 49 LOTC.</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Mediante escrito de 9 de junio de 1995 se formuló la demanda de amparo, que quedó apoyada en los siguientes hechos: </w:t>
      </w:r>
    </w:p>
    <w:p w:rsidR="008107C7" w:rsidRDefault="008107C7" w:rsidP="008107C7">
      <w:pPr>
        <w:pStyle w:val="TextoNormal"/>
      </w:pPr>
      <w:r>
        <w:t xml:space="preserve">A) El solicitante de amparo fue absuelto por el Juzgado de lo Penal núm. 1 de Huelva (Sentencia de 26 de octubre de 1994), del delito de robo con fuerza en las cosas del que era acusado, al considerar que no existía prueba de cargo suficiente para destruir la presunción de inocencia. </w:t>
      </w:r>
    </w:p>
    <w:p w:rsidR="008107C7" w:rsidRDefault="008107C7" w:rsidP="008107C7">
      <w:pPr>
        <w:pStyle w:val="TextoNormal"/>
      </w:pPr>
      <w:r>
        <w:t xml:space="preserve">El procedimiento judicial se había incoado como consecuencia de esta imputación efectuada al recurrente: que el día 25 de agosto de 1992, entre sus 15,30 y sus 16,00 horas, el mismo había procedido a saltar sucesivamente dos tapias, accediendo al interior de un garaje situado en la Calle del Santo Ángel núm. 10 de Huelva, donde se guardaban por don Antonio González Ortega cuatro perdices, dos de ellas de su propiedad y otras dos de un amigo suyo no identificado, que habían sido valoradas en 120.000 pesetas, apoderándose de tales animales. </w:t>
      </w:r>
    </w:p>
    <w:p w:rsidR="008107C7" w:rsidRDefault="008107C7" w:rsidP="008107C7">
      <w:pPr>
        <w:pStyle w:val="TextoNormal"/>
      </w:pPr>
      <w:r>
        <w:t xml:space="preserve">B) Contra la resolución absolutoria del Juzgado el Ministerio Fiscal interpuso recurso de apelación, que fue finalmente estimado por la Audiencia Provincial de Huelva (Sentencia de 29 de diciembre de 1994). Se condenaba en ella al ahora quejoso, como autor penalmente responsable de un delito consumado de robo con fuerza en las cosas, con la concurrencia de la agravante de reincidencia, a la pena de privación de libertad por el tiempo de dos años y cinco meses de prisión menor, así como se le impusieron las penas accesorias legales, el pago de la indemnización al perjudicado y de las costas procesales. </w:t>
      </w:r>
    </w:p>
    <w:p w:rsidR="008107C7" w:rsidRDefault="008107C7" w:rsidP="008107C7">
      <w:pPr>
        <w:pStyle w:val="TextoNormal"/>
      </w:pPr>
      <w:r>
        <w:t xml:space="preserve">Hay que reseñar que el Fiscal, tanto en su escrito de acusación (11 de agosto de 1993) como en sus conclusiones definitivas en el acto del juicio oral (26 de octubre de 1994), califica los hechos como constitutivos de un delito de robo con fuerza en las cosas por cuantía superior de 30.000 pts., sin calificación alternativa alguna. </w:t>
      </w:r>
    </w:p>
    <w:p w:rsidR="008107C7" w:rsidRDefault="008107C7" w:rsidP="008107C7">
      <w:pPr>
        <w:pStyle w:val="TextoNormal"/>
      </w:pPr>
      <w:r>
        <w:lastRenderedPageBreak/>
        <w:t>C) Es, precisamente, contra la Sentencia de la Audiencia Provincial de Huelva, de 29 de diciembre de 1994, contra la que el solicitante formula el presente recurso de amparo constitucional.</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En cuanto a la fundamentación jurídica de la demanda, el recurrente invoca como vulnerados los derechos a la presunción de inocencia, a no confesarse culpable (art. 24.2 C.E.) y a la tutela judicial efectiva (art. 24.1 C.E.), formulando al respecto las siguientes alegaciones: </w:t>
      </w:r>
    </w:p>
    <w:p w:rsidR="008107C7" w:rsidRDefault="008107C7" w:rsidP="008107C7">
      <w:pPr>
        <w:pStyle w:val="TextoNormal"/>
      </w:pPr>
      <w:r>
        <w:t xml:space="preserve">A) El derecho a la presunción de inocencia habría resultado lesionado al fundamentar la Audiencia Provincial el fallo condenatorio, de manera exclusiva, en una prueba de carácter indiciario, que no es eficaz -afirma el recurrente-, según la doctrina elaborada por el Tribunal Constitucional para desvirtuar la mencionada presunción. Y ello por estas razones: </w:t>
      </w:r>
    </w:p>
    <w:p w:rsidR="008107C7" w:rsidRDefault="008107C7" w:rsidP="008107C7">
      <w:pPr>
        <w:pStyle w:val="TextoNormal"/>
      </w:pPr>
      <w:r>
        <w:t xml:space="preserve">a) Porque, en primer lugar, lejos de concurrir múltiples indicios en dicho caso, tan sólo existió uno, el cual queda concretado en el hecho de la posesión de los pájaros; este hecho se ha acreditado mediante la declaración de la persona a quien el recurrente vendió los pájaros. </w:t>
      </w:r>
    </w:p>
    <w:p w:rsidR="008107C7" w:rsidRDefault="008107C7" w:rsidP="008107C7">
      <w:pPr>
        <w:pStyle w:val="TextoNormal"/>
      </w:pPr>
      <w:r>
        <w:t xml:space="preserve">b) Por el contrario, frente a lo afirmado por la Audiencia Provincial, no merecería la consideración de tal prueba indiciaria la afirmación falsa del recurrente, con su negativa a la venta de dichos pájaros. En este caso, tal y como indica el Juzgado de lo Penal en su Sentencia absolutoria, la negación de la venta no sólo puede interpretarse como indicio de la participación en el robo, sino también como el intento de impedir la incriminación por un delito de receptación. La consideración, por parte de la Audiencia Provincial, de tal negativa como una prueba de carácter indiciario implicaría, además, la vulneración de su derecho a no confesarse culpable (art. 24.2 C.E.). </w:t>
      </w:r>
    </w:p>
    <w:p w:rsidR="008107C7" w:rsidRDefault="008107C7" w:rsidP="008107C7">
      <w:pPr>
        <w:pStyle w:val="TextoNormal"/>
      </w:pPr>
      <w:r>
        <w:t xml:space="preserve">c) La multiplicidad o pluralidad de indicios que a tal efecto exige la jurisprudencia debe estar constituída por algo más que por la existencia de dos de ellos, sobre todo, cuando uno está basado en la negativa del recurrente a reconocer su participación en la comisión de los hechos que se le imputan. </w:t>
      </w:r>
    </w:p>
    <w:p w:rsidR="008107C7" w:rsidRDefault="008107C7" w:rsidP="008107C7">
      <w:pPr>
        <w:pStyle w:val="TextoNormal"/>
      </w:pPr>
      <w:r>
        <w:t>B) Por otra parte, la Audiencia Provincial deriva de los mencionados indicios la autoría del recurrente en el robo de los pájaros, sin que se exteriorice en la Sentencia el razonamiento lógico por el que, a partir de ellos, se llega a la convicción acerca de la culpabilidad del acusado. No quedan excluidas otras posibilidades alternativas también compatibles con la existencia de los mencionados indicios. Esta falta de motivación, además de una lesión de su derecho a la presunción de inocencia, supondría una vulneración de la tutela judicial efectiva (art. 24.1 C.E.).</w:t>
      </w:r>
    </w:p>
    <w:p w:rsidR="008107C7" w:rsidRDefault="008107C7" w:rsidP="008107C7">
      <w:pPr>
        <w:pStyle w:val="TextoNormal"/>
      </w:pPr>
    </w:p>
    <w:p w:rsidR="008107C7" w:rsidRDefault="008107C7" w:rsidP="008107C7">
      <w:pPr>
        <w:pStyle w:val="TextoNormal"/>
      </w:pPr>
      <w:r w:rsidRPr="008107C7">
        <w:rPr>
          <w:rStyle w:val="NumeroAFNegritaCaracter"/>
        </w:rPr>
        <w:t>5</w:t>
      </w:r>
      <w:r>
        <w:t>. Por providencia de 15 de enero de 1996, como trámite previo a la admisión del recurso, se acordó requerir, a tenor de lo dispuesto en el art. 50.3 LOTC, al Ministerio Fiscal y al recurrente en amparo a los efectos de que, en el plazo máximo e improrrogable de diez días, manifestaran lo que tuvieran por conveniente con relación a la posible concurrencia del motivo de inadmisión, previsto en el art. 50.1 c) LOTC.</w:t>
      </w:r>
    </w:p>
    <w:p w:rsidR="008107C7" w:rsidRDefault="008107C7" w:rsidP="008107C7">
      <w:pPr>
        <w:pStyle w:val="TextoNormal"/>
      </w:pPr>
    </w:p>
    <w:p w:rsidR="008107C7" w:rsidRDefault="008107C7" w:rsidP="008107C7">
      <w:pPr>
        <w:pStyle w:val="TextoNormal"/>
      </w:pPr>
      <w:r w:rsidRPr="008107C7">
        <w:rPr>
          <w:rStyle w:val="NumeroAFNegritaCaracter"/>
        </w:rPr>
        <w:t>6</w:t>
      </w:r>
      <w:r>
        <w:t>. El recurrente, por escrito registrado el día 31 de enero de 1996, reiteró los argumentos contenidos en su demanda de amparo.</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7</w:t>
      </w:r>
      <w:r>
        <w:t>. El Ministerio Fiscal (escrito registrado el día 31 de abril de 1995) alegó que la demanda, y sin perjuicio de la conclusión definitiva a que sobre ella se llegue, no carecía de contenido constitucional.</w:t>
      </w:r>
    </w:p>
    <w:p w:rsidR="008107C7" w:rsidRDefault="008107C7" w:rsidP="008107C7">
      <w:pPr>
        <w:pStyle w:val="TextoNormal"/>
      </w:pPr>
    </w:p>
    <w:p w:rsidR="008107C7" w:rsidRDefault="008107C7" w:rsidP="008107C7">
      <w:pPr>
        <w:pStyle w:val="TextoNormal"/>
      </w:pPr>
      <w:r w:rsidRPr="008107C7">
        <w:rPr>
          <w:rStyle w:val="NumeroAFNegritaCaracter"/>
        </w:rPr>
        <w:t>8</w:t>
      </w:r>
      <w:r>
        <w:t>. Por providencia de 26 de febrero de 1995 se acordó admitir a trámite la presente demanda de amparo, requerir a la Audiencia Provincial de Huelva y al Juzgado de lo Penal núm. 1 de dicha localidad, para que remitieran testimonio de las actuaciones, con emplazamiento de cuantas personas fueron parte, a los efectos de que comparecieran en el presente recurso de amparo constitucional, en el plazo máximo e improrrogable de diez días.</w:t>
      </w:r>
    </w:p>
    <w:p w:rsidR="008107C7" w:rsidRDefault="008107C7" w:rsidP="008107C7">
      <w:pPr>
        <w:pStyle w:val="TextoNormal"/>
      </w:pPr>
    </w:p>
    <w:p w:rsidR="008107C7" w:rsidRDefault="008107C7" w:rsidP="008107C7">
      <w:pPr>
        <w:pStyle w:val="TextoNormal"/>
      </w:pPr>
      <w:r w:rsidRPr="008107C7">
        <w:rPr>
          <w:rStyle w:val="NumeroAFNegritaCaracter"/>
        </w:rPr>
        <w:t>9</w:t>
      </w:r>
      <w:r>
        <w:t xml:space="preserve">. Por el Ministerio Fiscal, mediante escrito de 27 de mayo de 1996, se efectuaron las siguientes alegaciones : </w:t>
      </w:r>
    </w:p>
    <w:p w:rsidR="008107C7" w:rsidRDefault="008107C7" w:rsidP="008107C7">
      <w:pPr>
        <w:pStyle w:val="TextoNormal"/>
      </w:pPr>
      <w:r>
        <w:t xml:space="preserve">A) La demanda de amparo se presenta contra la Sentencia dictada por la Audiencia Provincial de Huelva, el día 29 de diciembre de 1994, que condena al recurrente, como autor de un delito de robo con fuerza en las cosas y la concurrencia de la agravante de reincidencia, a la pena de dos años y cinco meses de prisión menor. </w:t>
      </w:r>
    </w:p>
    <w:p w:rsidR="008107C7" w:rsidRDefault="008107C7" w:rsidP="008107C7">
      <w:pPr>
        <w:pStyle w:val="TextoNormal"/>
      </w:pPr>
      <w:r>
        <w:t xml:space="preserve">Examinadas las actuaciones, de las mismas se desprende que el propietario de los pájaros, Sr. González Orta, denunció la sustracción de los mismos el día 26 de agosto de 1992, e indicó que el Sr. Barrios era la persona que los compró a unos individuos y que, posteriormente, se los devolvió. Se procedió a identificar a los dos individuos que vendieron los pájaros, uno de los cuales resultó ser quien ahora recurre en amparo, y se ratificó dicha identificación en el Juzgado, reiterándola, también, en el acto del juicio oral. </w:t>
      </w:r>
    </w:p>
    <w:p w:rsidR="008107C7" w:rsidRDefault="008107C7" w:rsidP="008107C7">
      <w:pPr>
        <w:pStyle w:val="TextoNormal"/>
      </w:pPr>
      <w:r>
        <w:t xml:space="preserve">Por el contrario, los acusados -que lo fueron como autores de un delito de robo con fuerza en las cosas- negaron en todo momento, no sólo el hecho del robo que se les imputaba, sino también la posesión material de los pájaros y la venta de los mismos. </w:t>
      </w:r>
    </w:p>
    <w:p w:rsidR="008107C7" w:rsidRDefault="008107C7" w:rsidP="008107C7">
      <w:pPr>
        <w:pStyle w:val="TextoNormal"/>
      </w:pPr>
      <w:r>
        <w:t xml:space="preserve">El informe policial indica que para realizarse la aludida sustracción se necesitó la producción de escalamiento con el ocasionamiento de daños. </w:t>
      </w:r>
    </w:p>
    <w:p w:rsidR="008107C7" w:rsidRDefault="008107C7" w:rsidP="008107C7">
      <w:pPr>
        <w:pStyle w:val="TextoNormal"/>
      </w:pPr>
      <w:r>
        <w:t xml:space="preserve">En las declaraciones de los acusados -continua el Ministerio Fiscal- existe una cierta contradicción: mientras Eulogio niega conocer al otro acusado, éste afirma que conoce a Eulogio solo de vista. </w:t>
      </w:r>
    </w:p>
    <w:p w:rsidR="008107C7" w:rsidRDefault="008107C7" w:rsidP="008107C7">
      <w:pPr>
        <w:pStyle w:val="TextoNormal"/>
      </w:pPr>
      <w:r>
        <w:t xml:space="preserve">B) La prueba se asienta en el hecho de que a través de un testimonio prestado en el juicio oral se acredita que el ahora recurrente no solo tenía en su poder, sino que vendió, los pájaros sustraídos a determinada persona; también se apoya en la declaración prestada por este acusado, negando la posesión de tales pájaros. Esta última afirmación ha sido considerada por el Tribunal como un "contraindicio": ha valorado como prueba de la comisión del delito de robo con fuerza en las cosas, "la persistente negativa de los acusados a reconocer un hecho suficientemente probado, como es su participación en la venta de las aves, sin dar explicación satisfactoria, lógica y racional alguna de la forma en que las adquirieron y llegaron a su poder". </w:t>
      </w:r>
    </w:p>
    <w:p w:rsidR="008107C7" w:rsidRDefault="008107C7" w:rsidP="008107C7">
      <w:pPr>
        <w:pStyle w:val="TextoNormal"/>
      </w:pPr>
      <w:r>
        <w:t xml:space="preserve">C) Conforme a reiterada jurisprudencia de este Tribunal (SSTC 174/1985, 175/1985, 229/1988, 94/1990 y 111/1990) y STS 244/1994, de 15 de septiembre, entre otras, el derecho a la presunción de inocencia no se opone a que la convicción judicial en un proceso penal pueda formarse sobre la base de una prueba indiciaria, pero para que ésta pueda desvirtuar dicha presunción debe satisfacer las siguientes exigencias constitucionales: los indicios han de estar plenamente probados -no puede tratarse de meras sospechas- y el órgano judicial debe explicitar el razonamiento en virtud del cual, partiendo de los indicios probados, ha llegado a la conclusión de que el procesado realizó la conducta tipificada como </w:t>
      </w:r>
      <w:r>
        <w:lastRenderedPageBreak/>
        <w:t xml:space="preserve">delito. Exigencia esta última que deriva también del art. 120.3 C.E., según el cual las Sentencias deberán ser siempre motivadas, así como del art. 24.1 C.E., pues, de otro modo, ni la subsunción estaría fundada en Derecho, ni habría manera de determinar si el proceso deductivo es arbitrario, irrazonable o absurdo. </w:t>
      </w:r>
    </w:p>
    <w:p w:rsidR="008107C7" w:rsidRDefault="008107C7" w:rsidP="008107C7">
      <w:pPr>
        <w:pStyle w:val="TextoNormal"/>
      </w:pPr>
      <w:r>
        <w:t xml:space="preserve">D) La lectura de la Sentencia de la Audiencia Provincial ahora impugnada, en relación con las actuaciones producidas en dicho procedimiento judicial, permite entender que la condena del acusado -por delito de robo con fuerza en las cosas- se asienta en una prueba indiciaria, consistente ésta en el hecho acreditado de que el acusado tenía en su poder los pájaros sustraídos, y también en la negativa de dicha posesión por el mismo, quién no explicó ni justificó tal tenencia, a pesar de encontrarse esta suficientemente acreditada en autos; constando del mismo modo que vendió dichos animales a bajo precio, esto es, por 3.500 ptas., cuando su valor era de 120.000 ptas., según tasación pericial practicada al efecto. </w:t>
      </w:r>
    </w:p>
    <w:p w:rsidR="008107C7" w:rsidRDefault="008107C7" w:rsidP="008107C7">
      <w:pPr>
        <w:pStyle w:val="TextoNormal"/>
      </w:pPr>
      <w:r>
        <w:t xml:space="preserve">En la Sentencia de apelación, en opinión del Fiscal, se explica el razonamiento gracias al cual, partiendo de los indicios probados, se llega a la conclusión de la participación del acusado en los hechos objeto de la imputación penal, del modo que exigen las SSTC 244/1994 y 283/1994, entre otras. Que la negación del acusado sobre la posesión de los pájaros, aunque formaba parte de su derecho a no declarar, no se encuentra la interpretación de tal hecho alejada del llamado "contraindicio", ya que, no se trataba de negar su participación en los hechos in genere, sino de contradecir una prueba sólida, consistente en que existía un testigo que aseguraba haberle comprado los pájaros. La negativa era desde luego posible, pero también debía estimarse admisible que de ella el Tribunal de Justicia dedujera, en conjunción con el hecho probado, sus conclusiones; en este caso cabe pensar que las mismas eran perfectamente lícitas (STC 174/1985). </w:t>
      </w:r>
    </w:p>
    <w:p w:rsidR="008107C7" w:rsidRDefault="008107C7" w:rsidP="008107C7">
      <w:pPr>
        <w:pStyle w:val="TextoNormal"/>
      </w:pPr>
      <w:r>
        <w:t>En consecuencia, el Ministerio Fiscal interesa del Tribunal Constitucional que se dicte Sentencia denegando el amparo solicitado.</w:t>
      </w:r>
    </w:p>
    <w:p w:rsidR="008107C7" w:rsidRDefault="008107C7" w:rsidP="008107C7">
      <w:pPr>
        <w:pStyle w:val="TextoNormal"/>
      </w:pPr>
    </w:p>
    <w:p w:rsidR="008107C7" w:rsidRDefault="008107C7" w:rsidP="008107C7">
      <w:pPr>
        <w:pStyle w:val="TextoNormal"/>
      </w:pPr>
      <w:r w:rsidRPr="008107C7">
        <w:rPr>
          <w:rStyle w:val="NumeroAFNegritaCaracter"/>
        </w:rPr>
        <w:t>10</w:t>
      </w:r>
      <w:r>
        <w:t>. La representación procesal del recurrente en amparo, mediante escrito registrado el día 27 de mayo de 1996, se ratificó en las manifestaciones contenidas tanto en su demanda como en las efectuadas mediante escrito de 31 de enero de 1996.</w:t>
      </w:r>
    </w:p>
    <w:p w:rsidR="008107C7" w:rsidRDefault="008107C7" w:rsidP="008107C7">
      <w:pPr>
        <w:pStyle w:val="TextoNormal"/>
      </w:pPr>
    </w:p>
    <w:p w:rsidR="008107C7" w:rsidRDefault="008107C7" w:rsidP="008107C7">
      <w:pPr>
        <w:pStyle w:val="TextoNormal"/>
      </w:pPr>
      <w:r w:rsidRPr="008107C7">
        <w:rPr>
          <w:rStyle w:val="NumeroAFNegritaCaracter"/>
        </w:rPr>
        <w:t>11</w:t>
      </w:r>
      <w:r>
        <w:t>. Por providencia de 10 de febrero de 1997, se señaló para la deliberación y votación de la presente Sentencia el día 11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La cuestión de transcendencia constitucional, que el recurrente formula en su demanda de amparo, es la relativa a la presunta vulneración de su derecho a la presunción de inocencia, como consecuencia de la Sentencia de la Audiencia Provincial de Huelva de 29 de diciembre de 1994. En dicha resolución, el pronunciamiento condenatorio se habría fundamentado exclusivamente -según el quejoso- en la práctica de una prueba de carácter indiciario. El único indicio existente -dice- fue la posesión de los pájaros cuyo robo se le atribuye, posesión probada mediante la declaración de la persona a quien el recurrente vendió los pájaros.</w:t>
      </w:r>
    </w:p>
    <w:p w:rsidR="008107C7" w:rsidRDefault="008107C7" w:rsidP="008107C7">
      <w:pPr>
        <w:pStyle w:val="TextoNormal"/>
      </w:pPr>
      <w:r>
        <w:t xml:space="preserve">El demandante de amparo afirma que la Audiencia Provincial ha extraído como consecuencia del mencionado indicio la atribución de su autoría en el robo de los pájaros, sin haber procedido a exteriorizar en su resolución los razonamientos lógicos por medio de los cuales ha llegado a la convicción acerca de su culpabilidad. La demanda atribuye a esta falta </w:t>
      </w:r>
      <w:r>
        <w:lastRenderedPageBreak/>
        <w:t>de motivación, además de la lesión de su derecho a la presunción de inocencia (art.24.2 C.E.), la vulneración de la tutela judicial efectiva (art.  24.1 C.E.).</w:t>
      </w:r>
    </w:p>
    <w:p w:rsidR="008107C7" w:rsidRDefault="008107C7" w:rsidP="008107C7">
      <w:pPr>
        <w:pStyle w:val="TextoNormal"/>
      </w:pPr>
    </w:p>
    <w:p w:rsidR="008107C7" w:rsidRDefault="008107C7" w:rsidP="008107C7">
      <w:pPr>
        <w:pStyle w:val="TextoNormal"/>
      </w:pPr>
      <w:r w:rsidRPr="008107C7">
        <w:rPr>
          <w:rStyle w:val="NumeroAFNegritaCaracter"/>
        </w:rPr>
        <w:t>2</w:t>
      </w:r>
      <w:r>
        <w:t>. Hemos de considerar, por tanto, si, según la doctrina elaborada por este Tribunal, puede considerarse que ha quedado válidamente destruida la presunción de inocencia del recurrente, como consecuencia de los hechos que le han sido imputados en el procedimiento judicial.</w:t>
      </w:r>
    </w:p>
    <w:p w:rsidR="008107C7" w:rsidRDefault="008107C7" w:rsidP="008107C7">
      <w:pPr>
        <w:pStyle w:val="TextoNormal"/>
      </w:pPr>
      <w:r>
        <w:t>Este Tribunal tiene establecido que los criterios para distinguir entre pruebas indiciarias capaces de desvirtuar la presunción de inocencia y las simples sospechas se apoyan en que:</w:t>
      </w:r>
    </w:p>
    <w:p w:rsidR="008107C7" w:rsidRDefault="008107C7" w:rsidP="008107C7">
      <w:pPr>
        <w:pStyle w:val="TextoNormal"/>
      </w:pPr>
      <w:r>
        <w:t>a) La prueba indiciaria ha de partir de hechos plenamente probados.</w:t>
      </w:r>
    </w:p>
    <w:p w:rsidR="008107C7" w:rsidRDefault="008107C7" w:rsidP="008107C7">
      <w:pPr>
        <w:pStyle w:val="TextoNormal"/>
      </w:pPr>
      <w:r>
        <w:t>b) Los hechos constitutivos de delito deben deducirse de esos indicios (hechos completamente probados) a través de un proceso mental razonado y acorde con las reglas del criterio humano, explicitado en la Sentencia condenatoria (SSTC 174/1985, 175/1985, 229/1988, 107/1989, 384/1993, 206/1994, entre otras).</w:t>
      </w:r>
    </w:p>
    <w:p w:rsidR="008107C7" w:rsidRDefault="008107C7" w:rsidP="008107C7">
      <w:pPr>
        <w:pStyle w:val="TextoNormal"/>
      </w:pPr>
    </w:p>
    <w:p w:rsidR="008107C7" w:rsidRDefault="008107C7" w:rsidP="008107C7">
      <w:pPr>
        <w:pStyle w:val="TextoNormal"/>
      </w:pPr>
      <w:r w:rsidRPr="008107C7">
        <w:rPr>
          <w:rStyle w:val="NumeroAFNegritaCaracter"/>
        </w:rPr>
        <w:t>3</w:t>
      </w:r>
      <w:r>
        <w:t>. En el presente recurso se suscita específicamente el problema relativo a la determinación de la eficacia que constitucionalmente debe atribuirse a los denominados "contraindicios", como, por ejemplo, pueden serlo las declaraciones falsas o las coartadas poco convincentes. Este Tribunal ha precisado que "la versión que de los hechos ofrece el acusado constituye un dato que el juzgador ha de tener en cuenta, pero ni aquél tiene que demostrar su inocencia, ni el hecho de que su versión de lo ocurrido no resulte convincente o resulte contradicha por la prueba, debe servir para considerarlo culpable" (STC 229/1988); "ciertamente el acusado no tiene que demostrar su inocencia, e incluso el hecho de que su versión de lo ocurrido no sea convincente, o resulte contradicha por la prueba no debe servir para considerarlo culpable.  Pero su versión constituye un dato que el juzgador deberá aceptar o rechazar razonadamente" (STC 174/1985).</w:t>
      </w:r>
    </w:p>
    <w:p w:rsidR="008107C7" w:rsidRDefault="008107C7" w:rsidP="008107C7">
      <w:pPr>
        <w:pStyle w:val="TextoNormal"/>
      </w:pPr>
    </w:p>
    <w:p w:rsidR="008107C7" w:rsidRDefault="008107C7" w:rsidP="008107C7">
      <w:pPr>
        <w:pStyle w:val="TextoNormal"/>
      </w:pPr>
      <w:r w:rsidRPr="008107C7">
        <w:rPr>
          <w:rStyle w:val="NumeroAFNegritaCaracter"/>
        </w:rPr>
        <w:t>4</w:t>
      </w:r>
      <w:r>
        <w:t>. En el caso que ahora enjuiciamos, el mismo material probatorio que sirvió a la Audiencia para condenar al actor fue declarado insuficiente a tales efectos por el órgano judicial de instancia. Nuestro pronunciamiento ha de versar sobre la existencia de una prueba indiciaria suficiente para destruir la presunción de inocencia, de acuerdo con la jurisprudencia de este Tribunal expuesta en el fundamento jurídico 2º. La destrucción de la presunción de inocencia, que es una presunción iuris tantum, ha de venir referida a un determinado hecho configurador de un tipo penal en el que deben incluirse las circunstancias que por mandato legal tienen que concurrir en el mismo.  Probada, por ejemplo, una sustracción simple, la presunción de inocencia cede frente al delito de hurto, pero si no se ha probado la fuerza capaz de transformar ese ilícito en robo, la presunción debe actuar respecto de este último delito. De acuerdo con lo que se dijo en la STC 175/1985, fundamento jurídico 5º, "en la operación deductiva deberán señalarse, en primer lugar, cuáles son los indicios probados, y, en segundo término, cómo se deduce de ellos la participación del acusado en el tipo penal". Participación en un determinado delito, objeto de la acusación, y no en cualquier otro.</w:t>
      </w:r>
    </w:p>
    <w:p w:rsidR="008107C7" w:rsidRDefault="008107C7" w:rsidP="008107C7">
      <w:pPr>
        <w:pStyle w:val="TextoNormal"/>
      </w:pPr>
      <w:r>
        <w:t xml:space="preserve">La Audiencia Provincial no lo entiende así, señalando como constitutivos de la prueba indiciaria del robo con escalamiento la posesión de los pájaros robados por el actor (extremo éste que quedó probado en el juicio oral mediante la declaración del comprador de los animales, en el sentido de que le fueron vendidos por el recurrente) y la ausencia de una mínima </w:t>
      </w:r>
      <w:r>
        <w:lastRenderedPageBreak/>
        <w:t>explicación sobre la manera en que los pájaros llegaron a su poder.  Es el contraindicio (negativa inconsistente del acusado) convertido en componente de la prueba indiciaria.</w:t>
      </w:r>
    </w:p>
    <w:p w:rsidR="008107C7" w:rsidRDefault="008107C7" w:rsidP="008107C7">
      <w:pPr>
        <w:pStyle w:val="TextoNormal"/>
      </w:pPr>
      <w:r>
        <w:t>Ahora bien, la prueba indiciaria que utiliza la Audiencia Provincial sólo sirve para demostrar la posesión de los pájaros por el recurrente en amparo.  No es posible deducir de ese hecho, a través de un proceso mental razonado y acorde con las reglas del criterio humano, la participación del poseedor de los pájaros en el robo de los mismos, con escalamiento de dos tapias y acceso al interior de un garaje.</w:t>
      </w:r>
    </w:p>
    <w:p w:rsidR="008107C7" w:rsidRDefault="008107C7" w:rsidP="008107C7">
      <w:pPr>
        <w:pStyle w:val="TextoNormal"/>
      </w:pPr>
      <w:r>
        <w:t>Como se dice en la STC 229/1989, precisando la doctrina que estamos exponiendo, la Sentencia ha de contener "no sólo las conclusiones obtenidas, sino también los elementos de prueba que conducen a las mismas, y el iter mental que ha llevado a entender probados los hechos constitutivos de delito, a fin de que pueda enjuiciarse la racionalidad y coherencia del proceso mental seguido".</w:t>
      </w:r>
    </w:p>
    <w:p w:rsidR="008107C7" w:rsidRDefault="008107C7" w:rsidP="008107C7">
      <w:pPr>
        <w:pStyle w:val="TextoNormal"/>
      </w:pPr>
      <w:r>
        <w:t>La Sentencia de la Audiencia Provincial de Huelva, en suma, se apoya en un razonamiento que no cumple las exigencias constitucionales que deben respetarse en la prueba indiciaria. El proceso mental seguido se quiebra al pasar de la posesión de los pájaros al robo de ellos. Vista la forma en que fue configurado el proceso penal, sin calificación alternativa del Ministerio Fiscal, llegamos a la conclusión de que el derecho a la presunción de inocencia fue conculcado.</w:t>
      </w:r>
    </w:p>
    <w:p w:rsidR="008107C7" w:rsidRDefault="008107C7" w:rsidP="008107C7">
      <w:pPr>
        <w:pStyle w:val="TextoNormal"/>
      </w:pPr>
    </w:p>
    <w:p w:rsidR="008107C7" w:rsidRDefault="008107C7" w:rsidP="008107C7">
      <w:pPr>
        <w:pStyle w:val="TextoNormal"/>
      </w:pPr>
      <w:r w:rsidRPr="008107C7">
        <w:rPr>
          <w:rStyle w:val="NumeroAFNegritaCaracter"/>
        </w:rPr>
        <w:t>5</w:t>
      </w:r>
      <w:r>
        <w:t>. Apreciada la violación del derecho a la presunción de inocencia (art. 24.2 C.E.), que nos lleva derechamente al otorgamiento del amparo, no hay que considerar las otras infracciones de derechos fundamentales denunciadas por el quejoso.</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CONCEDE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Otorgar el amparo a don Juan Manuel Gómez Fernández, y en consecuencia:</w:t>
      </w:r>
    </w:p>
    <w:p w:rsidR="008107C7" w:rsidRDefault="008107C7" w:rsidP="008107C7">
      <w:pPr>
        <w:pStyle w:val="TextoNormal"/>
      </w:pPr>
      <w:r>
        <w:t>1º. Reconocerle su derecho a la presunción de inocencia (art. 24.2).</w:t>
      </w:r>
    </w:p>
    <w:p w:rsidR="008107C7" w:rsidRDefault="008107C7" w:rsidP="008107C7">
      <w:pPr>
        <w:pStyle w:val="TextoNormal"/>
      </w:pPr>
      <w:r>
        <w:t>2º. Anular la Sentencia de 29 de diciembre de 1994, dictada, en grado de apelación, por la Audiencia Provincial de Huelva en el procedimiento abreviado núm. 65/94.</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once de febrero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28" w:name="SENTENCIA_1997_25"/>
      <w:r>
        <w:lastRenderedPageBreak/>
        <w:t>SENTENCIA 25/1997, de 11 de febrero de 1997</w:t>
      </w:r>
    </w:p>
    <w:bookmarkEnd w:id="28"/>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63, de 14 de marzo de 1997)</w:t>
      </w:r>
    </w:p>
    <w:p w:rsidR="008107C7" w:rsidRDefault="008107C7" w:rsidP="008107C7">
      <w:pPr>
        <w:pStyle w:val="TtuloBOE"/>
      </w:pPr>
    </w:p>
    <w:p w:rsidR="008107C7" w:rsidRDefault="008107C7" w:rsidP="008107C7">
      <w:pPr>
        <w:pStyle w:val="SntesisDescriptiva"/>
      </w:pPr>
      <w:r>
        <w:t>ECLI:ES:TC:1997:25</w:t>
      </w:r>
    </w:p>
    <w:p w:rsidR="008107C7" w:rsidRDefault="008107C7" w:rsidP="008107C7">
      <w:pPr>
        <w:pStyle w:val="SntesisDescriptiva"/>
      </w:pPr>
    </w:p>
    <w:p w:rsidR="008107C7" w:rsidRDefault="008107C7" w:rsidP="008107C7">
      <w:pPr>
        <w:pStyle w:val="SntesisDescriptiva"/>
      </w:pPr>
      <w:r>
        <w:t>Recurso de amparo 407/1995. Contra Sentencia de la Audiencia Provincial de Valencia dictada en grado de apelación en procedimiento de juicio de faltas seguido ante el Juzgado de Instrucción núm. 2 de Liria (Valencia).</w:t>
      </w:r>
    </w:p>
    <w:p w:rsidR="008107C7" w:rsidRDefault="008107C7" w:rsidP="008107C7">
      <w:pPr>
        <w:pStyle w:val="SntesisDescriptiva"/>
      </w:pPr>
    </w:p>
    <w:p w:rsidR="008107C7" w:rsidRDefault="008107C7" w:rsidP="008107C7">
      <w:pPr>
        <w:pStyle w:val="SntesisAnaltica"/>
      </w:pPr>
      <w:r>
        <w:t>Vulneración del derecho a utilizar los medios de prueba pertinentes: denegación inmotivada.</w:t>
      </w:r>
    </w:p>
    <w:p w:rsidR="008107C7" w:rsidRDefault="008107C7" w:rsidP="008107C7">
      <w:pPr>
        <w:pStyle w:val="SntesisAnaltica"/>
      </w:pPr>
    </w:p>
    <w:p w:rsidR="008107C7" w:rsidRDefault="008107C7" w:rsidP="008107C7">
      <w:pPr>
        <w:pStyle w:val="Extracto"/>
      </w:pPr>
      <w:r>
        <w:t>1.</w:t>
      </w:r>
      <w:r>
        <w:tab/>
        <w:t>Nuestra Ley procesal penal permite la celebración del juicio de faltas en ausencia del acusado bajo ciertas condiciones. Así, en el art. 971 L.E. Crim. se establece que «la ausencia del acusado no suspenderá la celebración ni la resolución del juicio, siempre que conste habérsele citado con las formalidades prescritas en esta Ley y con los requisitos del art. 965, a no ser que el Juez, de oficio o a instancia de parte, crea necesaria la declaración de aquél». [F.J. 2]</w:t>
      </w:r>
    </w:p>
    <w:p w:rsidR="008107C7" w:rsidRDefault="008107C7" w:rsidP="008107C7">
      <w:pPr>
        <w:pStyle w:val="Extracto"/>
      </w:pPr>
    </w:p>
    <w:p w:rsidR="008107C7" w:rsidRDefault="008107C7" w:rsidP="008107C7">
      <w:pPr>
        <w:pStyle w:val="Extracto"/>
      </w:pPr>
      <w:r>
        <w:t>2.</w:t>
      </w:r>
      <w:r>
        <w:tab/>
        <w:t>Este Tribunal ha declarado que el derecho fundamental a obtener la tutela judicial efectiva reconocido en el art. 24.1 de la Constitución comporta la exigencia de que en ningún momento pueda producirse indefensión, lo que significa que en todo proceso judicial debe respetarse el derecho de defensa contradictoria de las partes contendientes, mediante la oportunidad de alegar y probar procesalmente sus derechos o intereses, sin que pueda justificarse la resolución judicial «inaudita parte», más que en el caso de incomparecencia por voluntad expresa o tácita, o por negligencia imputable a la parte (SSTC 112/1987, 151/1987 y 237/1988, entre otras). [F.J. 3]</w:t>
      </w:r>
    </w:p>
    <w:p w:rsidR="008107C7" w:rsidRDefault="008107C7" w:rsidP="008107C7">
      <w:pPr>
        <w:pStyle w:val="Extracto"/>
      </w:pPr>
    </w:p>
    <w:p w:rsidR="008107C7" w:rsidRDefault="008107C7" w:rsidP="008107C7">
      <w:pPr>
        <w:pStyle w:val="Extracto"/>
      </w:pPr>
      <w:r>
        <w:t>3.</w:t>
      </w:r>
      <w:r>
        <w:tab/>
        <w:t>Aunque el dilucidar la existencia de una verdadera indefensión debe pasar por verificar la certeza de lo manifestado por el recurrente, este Tribunal no puede entrar a enjuiciar si la defensa del actor compareció una vez finalizado el juicio oral o durante la celebración de éste ni consiguientemente admitir la prueba propuesta por el recurrente a tales efectos. [F.J. 3]</w:t>
      </w:r>
    </w:p>
    <w:p w:rsidR="008107C7" w:rsidRDefault="008107C7" w:rsidP="008107C7">
      <w:pPr>
        <w:pStyle w:val="Extracto"/>
      </w:pPr>
    </w:p>
    <w:p w:rsidR="008107C7" w:rsidRDefault="008107C7" w:rsidP="008107C7">
      <w:pPr>
        <w:pStyle w:val="Extracto"/>
      </w:pPr>
      <w:r>
        <w:t>4.</w:t>
      </w:r>
      <w:r>
        <w:tab/>
        <w:t>Si la demostración de la indefensión sufrida pasa por los hechos inequívocamente declarados en la Sentencia recurrida, y en la diligencia del Secretario judicial, el recurrente, antes de acudir a la vía de amparo constitucional, debería haber entablado las acciones pertinentes para que los órganos judiciales competentes se pronuncien acerca de la veracidad o inexactitud de las afirmaciones combatidas en esta sede. [F.J. 3]</w:t>
      </w:r>
    </w:p>
    <w:p w:rsidR="008107C7" w:rsidRDefault="008107C7" w:rsidP="008107C7">
      <w:pPr>
        <w:pStyle w:val="Extracto"/>
      </w:pPr>
    </w:p>
    <w:p w:rsidR="008107C7" w:rsidRDefault="008107C7" w:rsidP="008107C7">
      <w:pPr>
        <w:pStyle w:val="Extracto"/>
      </w:pPr>
      <w:r>
        <w:t>5.</w:t>
      </w:r>
      <w:r>
        <w:tab/>
        <w:t>Es doctrina muy reiterada de este Tribunal (entre otras la STC 181/1995) que el art. 24.2 C.E. permite que un órgano judicial inadmita un medio probatorio propuesto sin que ello lesione el referido derecho fundamental sin obligar, por consi</w:t>
      </w:r>
      <w:r>
        <w:lastRenderedPageBreak/>
        <w:t>guiente, al Juez a admitir todos los medios probatorios que la parte estime pertinentes, sino únicamente aquellos que el juzgador valore libre y razonadamente como tales (vid. SSTC 52/1989, 65/1992, 233/1992 y 206/1994), pero con toda evidencia tal doctrina declara inaceptable la posibilidad de que el Juez, sin motivación, rechace las pruebas interesadas, teniendo en cuenta que en este caso la no audiencia de la testigo propuesta no fue imputable a la parte proponente, según los datos que obran en las actuaciones, a pesar de lo cual no se practicó esta prueba en la Audiencia Provincial . [F.J. 5]</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407/95, promovido por don José Tronchoni Ayala, representado por el Procurador de los Tribunales, don Eduardo Codes Feijoo, y asistido por el Letrado don José María Lozano Martín contra la Sentencia de la Audiencia Provincial de Valencia, de 27 de diciembre de 1994, dictada en grado de apelación en el procedimiento de juicio de faltas núm. 112/94, seguido ante el Juzgado de Instrucción núm.2 de Liria (Valencia). Ha intervenido el Ministerio Fiscal. Ha sido Ponente el Magistrado don Enrique Ruiz Vadillo,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Por escrito registrado en este Tribunal el 8 de febrero de 1995, don Eduardo Codes Feijoo, Procurador de los Tribunales en nombre y representación de don José Tronchoni Ayala interpone recurso de amparo contra la Sentencia en grado de apelación dictada por la Audiencia Provincial de Valencia, el día 27 de diciembre de 1994, en el procedimiento de juicio de faltas núm. 112/94, seguido ante el Juzgado de Instrucción núm. 2 de Liria (Valencia).</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hechos en los que se fundamenta la demanda son, sucintamente expuestos, los siguientes : </w:t>
      </w:r>
    </w:p>
    <w:p w:rsidR="008107C7" w:rsidRDefault="008107C7" w:rsidP="008107C7">
      <w:pPr>
        <w:pStyle w:val="TextoNormal"/>
      </w:pPr>
      <w:r>
        <w:t xml:space="preserve">A) En fecha 23 de junio de 1994 tuvo lugar la vista oral del juicio de faltas núm. 112/94 del Juzgado de Instrucción núm. 2 de Liria (Valencia), siendo denunciados don José, don Salvador y doña Concepción Tronchoni Ayala. </w:t>
      </w:r>
    </w:p>
    <w:p w:rsidR="008107C7" w:rsidRDefault="008107C7" w:rsidP="008107C7">
      <w:pPr>
        <w:pStyle w:val="TextoNormal"/>
      </w:pPr>
      <w:r>
        <w:lastRenderedPageBreak/>
        <w:t xml:space="preserve">B) El juicio de faltas estaba señalado para su celebración a las 10,10 horas. Como consecuencia de un accidente ocurrido en la pista de Ademuz, dirección a Liria, doña Concepción Tronchoni Ayala, doña Luisa Castillo Domenech (que iba a ser propuesta como testigo en el acto del juicio) y la Letrada doña Teresa Gimeno Zorrilla que iban en el mismo vehículo, sufrieron una retención en la carretera, por lo que llegaron al Juzgado a las 10,15 horas. </w:t>
      </w:r>
    </w:p>
    <w:p w:rsidR="008107C7" w:rsidRDefault="008107C7" w:rsidP="008107C7">
      <w:pPr>
        <w:pStyle w:val="TextoNormal"/>
      </w:pPr>
      <w:r>
        <w:t xml:space="preserve">C) Al llegar doña Concepción Tronchoni y sus acompañantes a la sede judicial, les comunicaron que el juicio ya se había iniciado, por lo que inmediatamente intentaron entrar en la Sala no pudiendo hacerlo, por encontrarse cerrada por dentro. En el momento que la Agente judicial abrió la puerta para llamar a una testigo de la denunciante, se le comunicó que estaban presentes para asistir al juicio, contestándoles la Agente que debía consultar con el Juez si podían entrar o no. </w:t>
      </w:r>
    </w:p>
    <w:p w:rsidR="008107C7" w:rsidRDefault="008107C7" w:rsidP="008107C7">
      <w:pPr>
        <w:pStyle w:val="TextoNormal"/>
      </w:pPr>
      <w:r>
        <w:t xml:space="preserve">D) Inmediatamente, salió de la Sala de Audiencias de dicho órgano judicial la citada Agente judicial, y solicitó que se le entregasen los documentos de identidad de los que iban a comparecer, haciéndolo así, doña Concepción Tronchoni y, por parte de doña Teresa Gimeno se le hizo entrega de los poderes de representación procesal otorgados por el otro denunciado, don José Tronchoni. La Agente Judicial entró a la Sala con los documentos que se le habían entregado, y al momento salió, indicando que no podían, según había dicho el Juez, comparecer en el juicio puesto que ya estaba iniciado, llamando a continuación a la segunda testigo propuesta por la denunciante. </w:t>
      </w:r>
    </w:p>
    <w:p w:rsidR="008107C7" w:rsidRDefault="008107C7" w:rsidP="008107C7">
      <w:pPr>
        <w:pStyle w:val="TextoNormal"/>
      </w:pPr>
      <w:r>
        <w:t xml:space="preserve">E) Finalizado el juicio, antes de iniciarse el siguiente, la Letrado pudo entrar en la Sala y le expresó al Juez su malestar por haberle impedido participar en el juicio, y defender los intereses de sus clientes. Se hizo saber al Juez que a pesar del riguroso cumplimiento del horario establecido, no se pretendía en ningún momento que se comenzara el juicio de nuevo sino continuar el mismo desde el momento de la incorporación de denunciada y su Letrada. El recurrente en amparo hace constar que cuando pretendía su Letrada comparecer en la indicada vista oral, se encontraba aquél en momento procesal hábil para la proposición y práctica de prueba del denunciado. </w:t>
      </w:r>
    </w:p>
    <w:p w:rsidR="008107C7" w:rsidRDefault="008107C7" w:rsidP="008107C7">
      <w:pPr>
        <w:pStyle w:val="TextoNormal"/>
      </w:pPr>
      <w:r>
        <w:t xml:space="preserve">F) La testigo doña Soledad Montaner Sánchez, propuesta por el denunciado Sr. Tronchoni, citada judicialmente y que se encontraba con anterioridad al inicio del juicio y a lo largo de todo su desarrollo en la antesala de la Sala de Vistas, no fue llamada para declarar. </w:t>
      </w:r>
    </w:p>
    <w:p w:rsidR="008107C7" w:rsidRDefault="008107C7" w:rsidP="008107C7">
      <w:pPr>
        <w:pStyle w:val="TextoNormal"/>
      </w:pPr>
      <w:r>
        <w:t xml:space="preserve">G) Mediante escrito presentado el mismo día del juicio oral por la Letrado Teresa Gimeno Zorrilla, en nombre de José Tronchoni Ayala, se solicitó la nulidad del juicio realizado al haberse producido indefensión, invocando en dicho escrito la infracción del art. 24 de la Constitución a los efectos del recurso de amparo. </w:t>
      </w:r>
    </w:p>
    <w:p w:rsidR="008107C7" w:rsidRDefault="008107C7" w:rsidP="008107C7">
      <w:pPr>
        <w:pStyle w:val="TextoNormal"/>
      </w:pPr>
      <w:r>
        <w:t xml:space="preserve">H) En fecha 27 de junio de 1994, recayó Sentencia del Juzgado de Instrucción núm. 2 de Liria (Valencia), condenando a doña Concepción, don José y don Salvador Tronchoni Ayala, como autores de una falta prevista y penada en el art. 585.5 del Código Penal, a la pena de 20.000 pesetas de multa, con cuatro días de arresto sustitutorio, en caso de impago para cada uno de ellos, y al pago de las costas del juicio. </w:t>
      </w:r>
    </w:p>
    <w:p w:rsidR="008107C7" w:rsidRDefault="008107C7" w:rsidP="008107C7">
      <w:pPr>
        <w:pStyle w:val="TextoNormal"/>
      </w:pPr>
      <w:r>
        <w:t xml:space="preserve">I) Contra la Sentencia dictada por el Juzgado de Instrucción de Liria, se interpuso en tiempo y forma recurso de apelación, para ante la Audiencia Provincial de Valencia, en el que se alegaba el quebrantamiento de las normas y garantías procesales, y se solicitaba la nulidad de actuaciones, en concreto del juicio oral, invocando nuevamente como infringido, además de otras normas procesales, el art.24 de la Constitución a los efectos del recurso de amparo. </w:t>
      </w:r>
    </w:p>
    <w:p w:rsidR="008107C7" w:rsidRDefault="008107C7" w:rsidP="008107C7">
      <w:pPr>
        <w:pStyle w:val="TextoNormal"/>
      </w:pPr>
      <w:r>
        <w:lastRenderedPageBreak/>
        <w:t xml:space="preserve">J) En el citado recurso de apelación se propuso prueba testifical, para acreditar los hechos que habían producido la indefensión. La Sección Tercera de la Audiencia Provincial de Valencia, mediante Auto de 15 de octubre de 1994, denegó la prueba propuesta, por no cumplirse los requisitos exigidos en los arts. 795 y siguientes de la Ley de Enjuiciamiento Criminal. </w:t>
      </w:r>
    </w:p>
    <w:p w:rsidR="008107C7" w:rsidRDefault="008107C7" w:rsidP="008107C7">
      <w:pPr>
        <w:pStyle w:val="TextoNormal"/>
      </w:pPr>
      <w:r>
        <w:t>K) En fecha 27 de diciembre de 1994, por la Audiencia Provincial de Valencia se dictó Sentencia desestimando el recurso de apelación interpuesto, confirmando íntegramente la Sentencia del Juzgado de Instrucción núm. 2 de Liria.</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Ante el estado que presenta este procedimiento judicial se interpone por la recurrente recurso de amparo, alegándose la vulneración en el procedimiento judicial seguido ante la Audiencia Provincial y el Juzgado de Instrucción, de su derecho a la tutela judicial efectiva (art.24.1 C.E.), de su derecho de defensa (art.24.2 C.E.), a la asistencia letrada (art.24.2 C.E.), a un proceso público con todas las garantías (art.24.2 C.E.), y a utilizar los medios de prueba pertinentes para su defensa (art.24.2 C.E.). </w:t>
      </w:r>
    </w:p>
    <w:p w:rsidR="008107C7" w:rsidRDefault="008107C7" w:rsidP="008107C7">
      <w:pPr>
        <w:pStyle w:val="TextoNormal"/>
      </w:pPr>
      <w:r>
        <w:t>Afirma que los órganos judiciales han vulnerado tales derechos fundamentales al impedir el ejercicio efectivo del derecho de defensa, prohibiendo la comparecencia de su dirección letrada, cuando el juicio todavía se encontraba en una fase no precluyente impidiendo, así, el empleo de los medios de prueba de que intentaba valerse, lo que le ha originado indefensión. Se denuncia, asimismo, la falta de adecuación a la realidad del acta del juicio celebrado, así como del fundamento de derecho segundo de la Sentencia dictada en la instancia.</w:t>
      </w:r>
    </w:p>
    <w:p w:rsidR="008107C7" w:rsidRDefault="008107C7" w:rsidP="008107C7">
      <w:pPr>
        <w:pStyle w:val="TextoNormal"/>
      </w:pPr>
    </w:p>
    <w:p w:rsidR="008107C7" w:rsidRDefault="008107C7" w:rsidP="008107C7">
      <w:pPr>
        <w:pStyle w:val="TextoNormal"/>
      </w:pPr>
      <w:r w:rsidRPr="008107C7">
        <w:rPr>
          <w:rStyle w:val="NumeroAFNegritaCaracter"/>
        </w:rPr>
        <w:t>4</w:t>
      </w:r>
      <w:r>
        <w:t>. Por providencia de 9 de mayo de 1996, la Sección Primera de este Tribunal acordó de acuerdo con el art. 50.3 LOTC, dar traslado del estado del presente expediente al Ministerio Fiscal, y al recurrente en amparo, para que en el plazo máximo e improrrogable de diez días alegaran lo que estimaran pertinente con relación a la posible carencia de contenido constitucional de la demanda de amparo tal como se determina en el art. 50.1 c) LOTC.</w:t>
      </w:r>
    </w:p>
    <w:p w:rsidR="008107C7" w:rsidRDefault="008107C7" w:rsidP="008107C7">
      <w:pPr>
        <w:pStyle w:val="TextoNormal"/>
      </w:pPr>
    </w:p>
    <w:p w:rsidR="008107C7" w:rsidRDefault="008107C7" w:rsidP="008107C7">
      <w:pPr>
        <w:pStyle w:val="TextoNormal"/>
      </w:pPr>
      <w:r w:rsidRPr="008107C7">
        <w:rPr>
          <w:rStyle w:val="NumeroAFNegritaCaracter"/>
        </w:rPr>
        <w:t>5</w:t>
      </w:r>
      <w:r>
        <w:t>. El Ministerio Fiscal mediante escrito registrado el día 23 de mayo de 1996, solicitó la inadmisión de la presente demanda de amparo de acuerdo con el citado art. 50.3 LOTC, por falta de contenido constitucional de la demanda de amparo, de la que le ha sido conferido el correspondiente traslado</w:t>
      </w:r>
    </w:p>
    <w:p w:rsidR="008107C7" w:rsidRDefault="008107C7" w:rsidP="008107C7">
      <w:pPr>
        <w:pStyle w:val="TextoNormal"/>
      </w:pPr>
    </w:p>
    <w:p w:rsidR="008107C7" w:rsidRDefault="008107C7" w:rsidP="008107C7">
      <w:pPr>
        <w:pStyle w:val="TextoNormal"/>
      </w:pPr>
      <w:r w:rsidRPr="008107C7">
        <w:rPr>
          <w:rStyle w:val="NumeroAFNegritaCaracter"/>
        </w:rPr>
        <w:t>6</w:t>
      </w:r>
      <w:r>
        <w:t>. El solicitante, mediante escrito de 24 de mayo de 1996, se ratificó en lo ya manifestado, ratificando el contenido constitucional de su demanda de amparo.</w:t>
      </w:r>
    </w:p>
    <w:p w:rsidR="008107C7" w:rsidRDefault="008107C7" w:rsidP="008107C7">
      <w:pPr>
        <w:pStyle w:val="TextoNormal"/>
      </w:pPr>
    </w:p>
    <w:p w:rsidR="008107C7" w:rsidRDefault="008107C7" w:rsidP="008107C7">
      <w:pPr>
        <w:pStyle w:val="TextoNormal"/>
      </w:pPr>
      <w:r w:rsidRPr="008107C7">
        <w:rPr>
          <w:rStyle w:val="NumeroAFNegritaCaracter"/>
        </w:rPr>
        <w:t>7</w:t>
      </w:r>
      <w:r>
        <w:t>. Por providencia de 4 de julio de 1996, la Sección acordó admitir a trámite la demanda, y a tenor de lo dispuesto en el art.51 LOTC, requerir al Juzgado de Instrucción núm. 2 de Liria (Valencia), y a la Audiencia Provincial de Valencia, para que en el término de diez días remitieran testimonio de todas las actuaciones, y procediera el primero, al emplazamiento ante este Tribunal, de cuantos hubieran sido parte en el procedimiento judicial antecedente.</w:t>
      </w:r>
    </w:p>
    <w:p w:rsidR="008107C7" w:rsidRDefault="008107C7" w:rsidP="008107C7">
      <w:pPr>
        <w:pStyle w:val="TextoNormal"/>
      </w:pPr>
    </w:p>
    <w:p w:rsidR="008107C7" w:rsidRDefault="008107C7" w:rsidP="008107C7">
      <w:pPr>
        <w:pStyle w:val="TextoNormal"/>
      </w:pPr>
      <w:r w:rsidRPr="008107C7">
        <w:rPr>
          <w:rStyle w:val="NumeroAFNegritaCaracter"/>
        </w:rPr>
        <w:t>8</w:t>
      </w:r>
      <w:r>
        <w:t>. Por providencia de 7 de octubre de 1996, se acordó dar vista de los testimonios recibidos, por plazo común de veinte días, al Ministerio Fiscal y al recurrente, para que dentro del expresado término, formularan las alegaciones que a su derecho convinieran.</w:t>
      </w:r>
    </w:p>
    <w:p w:rsidR="008107C7" w:rsidRDefault="008107C7" w:rsidP="008107C7">
      <w:pPr>
        <w:pStyle w:val="TextoNormal"/>
      </w:pPr>
    </w:p>
    <w:p w:rsidR="008107C7" w:rsidRDefault="008107C7" w:rsidP="008107C7">
      <w:pPr>
        <w:pStyle w:val="TextoNormal"/>
      </w:pPr>
      <w:r w:rsidRPr="008107C7">
        <w:rPr>
          <w:rStyle w:val="NumeroAFNegritaCaracter"/>
        </w:rPr>
        <w:t>9</w:t>
      </w:r>
      <w:r>
        <w:t xml:space="preserve">. El Ministerio Fiscal presentó su escrito ante este Tribunal el día 11 de noviembre de 1996, conteniendo en síntesis las siguientes manifestaciones : </w:t>
      </w:r>
    </w:p>
    <w:p w:rsidR="008107C7" w:rsidRDefault="008107C7" w:rsidP="008107C7">
      <w:pPr>
        <w:pStyle w:val="TextoNormal"/>
      </w:pPr>
      <w:r>
        <w:t xml:space="preserve">A) Como es sabido, este Tribunal, que ha definido las características del juicio de faltas afirmando su naturaleza concisa y simple, sin solemnidades y carente de fases de instrucción e intermedia (vid. STC 54/1985, entre otras), ha proclamado cuidadosamente la vigencia en él de las garantías constitucionales que caracterizan al proceso penal en general, -(vid. la propia STC 54/1985, por ejemplo). En esta línea ha declarado lesiva del derecho a la tutela judicial -art. 24.1 C.E.- la condena pronunciada inaudita parte, por falta de citación (vid. STC 308/1993) y la que se decidió en circunstancias que impidieron a la parte la preparación del juicio, porque la citación se llevó a cabo de modo irregular (vid. STC 154/1991). </w:t>
      </w:r>
    </w:p>
    <w:p w:rsidR="008107C7" w:rsidRDefault="008107C7" w:rsidP="008107C7">
      <w:pPr>
        <w:pStyle w:val="TextoNormal"/>
      </w:pPr>
      <w:r>
        <w:t xml:space="preserve">B) El propio Tribunal ha proclamado, en congruencia con las características propias del juicio de faltas, el valor que corresponde al acta del juicio como medio de acreditar las incidencias de éste y, en definitiva, el cumplimiento e incumplimiento de las garantías constitucionales que le son propias (vid. STC 307/1993, fundamento jurídico 2º). Examinada el acta del juicio oral, no aparece en ella que la recurrente efectuase especial alegación o distinta a aquella que tenía por objeto obtener la absolución de su cliente. Se intenta salvar tal obstáculo con la justificación de que el acta no refleja fielmente lo acontecido y dicho en el juicio oral. Pero este Tribunal no puede partir de conjeturas o suposiciones que tengan como única base las afirmaciones de las partes. </w:t>
      </w:r>
    </w:p>
    <w:p w:rsidR="008107C7" w:rsidRDefault="008107C7" w:rsidP="008107C7">
      <w:pPr>
        <w:pStyle w:val="TextoNormal"/>
      </w:pPr>
      <w:r>
        <w:t xml:space="preserve">C) La exactitud o inexactitud del acta levantada por el Secretario Judicial es un dato respecto del cual ninguna consideración puede realizar este Tribunal, salvo para constatar la existencia de un documento expedido por un fedatario público al que debe extenderse, por tanto, la fe pública que su intervención concede (vid. ATC 11/1993). En el caso que nos ocupa el acta de la vista oral, según resulta del estudio de las actuaciones, pone de manifiesto, que el acto dio comienzo a la hora señala por el Juzgado; que el recurrente en amparo no se hallaba entre los presentes, cuyo nombre se consigna -"ha de estarse a lo que el acta dice y a lo que no dice, consigna la STC 118/1991-; que la Letrada del recurrente compareció cuando el juicio había terminado, según señala la diligencia final que en el acta consta y que los testigos comparecientes declararon en los términos que se consignan. </w:t>
      </w:r>
    </w:p>
    <w:p w:rsidR="008107C7" w:rsidRDefault="008107C7" w:rsidP="008107C7">
      <w:pPr>
        <w:pStyle w:val="TextoNormal"/>
      </w:pPr>
      <w:r>
        <w:t xml:space="preserve">Efectivamente, el acta de la vista recoge en su encabezamiento "siendo la hora señalada" - 10.10, del día 24 de junio de 1994, aclaramos- e indica por sus nombres a los asistentes al acto: Letrada doña Amparo Lluch Pla, doña Inmaculada Amo, y don Salvador Tronchoni, de lo que cabe concluir que, al iniciarse el acto, no estaban presentes el recurrente en amparo ni su Letrada, extremo que, por otra parte, no se contradice en el recurso. En la diligencia final se hace constar que la Letrada doña Teresa Gimeno comparece al acto "cuando ya había finalizado". Y en su cuerpo se hacen constar las declaraciones de don Salvador Tronchoni, doña Blanca Rosas Pironello y doña María Antonia Rubiana e igualmente se consigna que hacen uso de la palabra la Letrada Sra. Lluch Pla, que interesa la condena y don Salvador Tronchoni, quien manifiesta no estar de acuerdo. Nada se dice en el acta respecto de los incidentes que el recurrente narra en la demanda de amparo. Así, pues, del acta no resultan las pretendidas irregularidades que el recurrente denuncia y sí, por el contrario, que en el juicio se cumplieron las garantías constitucionales de inexcusable observancia, según la doctrina de este Tribunal. </w:t>
      </w:r>
    </w:p>
    <w:p w:rsidR="008107C7" w:rsidRDefault="008107C7" w:rsidP="008107C7">
      <w:pPr>
        <w:pStyle w:val="TextoNormal"/>
      </w:pPr>
      <w:r>
        <w:t xml:space="preserve">A ello debe añadirse que, como consta en los antecedentes reclamados por el Tribunal, el recurrente había sido citado y compareció en el Juzgado, lo que evidencia que tenía conocimiento de la celebración de la vista. En efecto, con independencia de la declaración que ante el Juzgado de Paz de Ribarroja del Turia, prestara el día 21 de enero de 1994, figura en </w:t>
      </w:r>
      <w:r>
        <w:lastRenderedPageBreak/>
        <w:t xml:space="preserve">las actuaciones una diligencia de comparecencia ante el Instructor de Liria, el día 9 de junio de 1994, en la que se hace constar que el ahora demandante sabe haber sido citado para el juicio de faltas núm. 112/94 y propone cierta prueba testifical. Mal podría, en consecuencia, alegarse ahora desconocimiento alguno del día y hora en que el acto habría de celebrarse. De todo ello resulta que su tardía presencia en el Juzgado, admitida por el recurrente, no es atribuible a la actuación del Juzgado, sino a su propio comportamiento manifiestamente negligente porque, aunque lo determinara una congestión del tráfico rodado, lo es quien, con conocimiento por experiencia de la posibilidad de tal evento, no adelanta el traslado de modo que pueda conjurarse el riesgo. </w:t>
      </w:r>
    </w:p>
    <w:p w:rsidR="008107C7" w:rsidRDefault="008107C7" w:rsidP="008107C7">
      <w:pPr>
        <w:pStyle w:val="TextoNormal"/>
      </w:pPr>
      <w:r>
        <w:t>D) Conocida es la doctrina de este Tribunal que niega la indefensión con trascendencia constitucional cuando su causa es la negligencia del que la sufre (vid STC 48/1984). Por lo demás, parece obvio que la exigencia por parte del Juzgado, de la presencia de las partes y sus testigos al comenzar la sesión, no entraña un rigor desproporcionado, tanto mas si se tiene en cuenta la concentración y celeridad que caracterizan a este tipo de procesos y, en cambio, que la intervención pretendida por el recurrente, cuando la vista estaba avanzada -en su criterio-, hubiera sido, al menos, de dudosa corrección procesal.</w:t>
      </w:r>
    </w:p>
    <w:p w:rsidR="008107C7" w:rsidRDefault="008107C7" w:rsidP="008107C7">
      <w:pPr>
        <w:pStyle w:val="TextoNormal"/>
      </w:pPr>
    </w:p>
    <w:p w:rsidR="008107C7" w:rsidRDefault="008107C7" w:rsidP="008107C7">
      <w:pPr>
        <w:pStyle w:val="TextoNormal"/>
      </w:pPr>
      <w:r w:rsidRPr="008107C7">
        <w:rPr>
          <w:rStyle w:val="NumeroAFNegritaCaracter"/>
        </w:rPr>
        <w:t>10</w:t>
      </w:r>
      <w:r>
        <w:t>. Por la representación de la solicitante de amparo se ratificó en las manifestaciones contenidas en el escrito de demanda.</w:t>
      </w:r>
    </w:p>
    <w:p w:rsidR="008107C7" w:rsidRDefault="008107C7" w:rsidP="008107C7">
      <w:pPr>
        <w:pStyle w:val="TextoNormal"/>
      </w:pPr>
    </w:p>
    <w:p w:rsidR="008107C7" w:rsidRDefault="008107C7" w:rsidP="008107C7">
      <w:pPr>
        <w:pStyle w:val="TextoNormal"/>
      </w:pPr>
      <w:r w:rsidRPr="008107C7">
        <w:rPr>
          <w:rStyle w:val="NumeroAFNegritaCaracter"/>
        </w:rPr>
        <w:t>11</w:t>
      </w:r>
      <w:r>
        <w:t>. Por providencia de 10 de febrero de 1997, se señaló para la deliberación y votación de la presente Sentencia el día 11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El recurrente en su demanda de amparo toma especialmente en consideración la denuncia de la vulneración producida de su derecho a la tutela judicial efectiva (art.24.1 C.E.), a la que vincula con otros quebrantamientos constitucionales llevados a cabo en las resoluciones ahora impugnadas, cuales son los referentes al derecho de defensa (art.24.2 C.E.), a la asistencia letrada (art.24.2 C.E.), y a un proceso público con todas las garantías (art.24.2 C.E.). Ello se produjo, a juicio del demandante como consecuencia de la negativa del órgano judicial de instancia a dejar intervenir en el procedimiento a la Letrada que le representaba y defendía, por haber llegado tarde al acto de la vista del juicio de faltas, en el que el recurrente ostentaba la condición de denunciado, a pesar de que, en contra de lo afirmado en la Sentencia de instancia y en una diligencia del Secretario, el juicio todavía no había concluido, hallándose en momento hábil para el ejercicio de la correspondiente defensa.</w:t>
      </w:r>
    </w:p>
    <w:p w:rsidR="008107C7" w:rsidRDefault="008107C7" w:rsidP="008107C7">
      <w:pPr>
        <w:pStyle w:val="TextoNormal"/>
      </w:pPr>
    </w:p>
    <w:p w:rsidR="008107C7" w:rsidRDefault="008107C7" w:rsidP="008107C7">
      <w:pPr>
        <w:pStyle w:val="TextoNormal"/>
      </w:pPr>
      <w:r w:rsidRPr="008107C7">
        <w:rPr>
          <w:rStyle w:val="NumeroAFNegritaCaracter"/>
        </w:rPr>
        <w:t>2</w:t>
      </w:r>
      <w:r>
        <w:t>. Por tanto, la cuestión fundamental que se plantea en el presente recurso de amparo consiste en dilucidar si al recurrente se le produjo la indefensión alegada, la cual se encuentra prohibida por el art. 24.1 C.E., por la razón de haberse celebrado el juicio de faltas objeto de las presentes actuaciones en su ausencia, en el que finalmente resultó condenado, lo que le habría impedido llevar a cabo y de manera debida su defensa, mediante la aportación de los alegatos defensivos que hubiera tenido por conveniente, así como por la realización de aquellas diligencias de prueba precisas, que corroboraran y acreditaran las argumentaciones efectuadas en su descargo, y todo ello, a la vista de las demás circunstancias concurrentes en el caso.</w:t>
      </w:r>
    </w:p>
    <w:p w:rsidR="008107C7" w:rsidRDefault="008107C7" w:rsidP="008107C7">
      <w:pPr>
        <w:pStyle w:val="TextoNormal"/>
      </w:pPr>
      <w:r>
        <w:lastRenderedPageBreak/>
        <w:t>En primer lugar, hay que tener en cuenta que nuestra Ley procesal penal permite la celebración del juicio de faltas en ausencia del acusado bajo ciertas condiciones.  Así, en el art. 971 L.E.Crim.  se establece que «la ausencia del acusado no suspenderá la celebración ni la resolución del juicio, siempre que conste habérsele citado con las formalidades prescritas en esta Ley y con los requisitos del art.965, a no ser que el Juez, de oficio o a instancia de parte, crea necesaria la declaración de aquél».  También parece conveniente considerar que no resulta aplicable al caso que nos ocupa la doctrina establecida por este Tribunal en relación con este precepto, para los supuestos de citación por edictos (SSTC 196/1989 y 123/1991), por cuanto consta que el recurrente fue citado personalmente y en debida forma, así como que recibió la citación para el juicio, por lo que, sin lugar a dudas, quedó salvaguardado su derecho a conocer la fecha exacta en que aquél se iba a celebrar.</w:t>
      </w:r>
    </w:p>
    <w:p w:rsidR="008107C7" w:rsidRDefault="008107C7" w:rsidP="008107C7">
      <w:pPr>
        <w:pStyle w:val="TextoNormal"/>
      </w:pPr>
      <w:r>
        <w:t>Por ello, y para dar respuesta a las quejas constitucionales formuladas por el recurrente, se hace preciso acudir a la doctrina sentada por este Tribunal, a propósito de la situación de indefensión producida con carácter general, y, muy en particular, en los supuestos de falta de audiencia, de acuerdo con la cual, uno de los requisitos para poder apreciar la existencia de una indefensión prohibida constitucionalmente lo constituye el hecho de que la misma no sea imputable al justiciable.  Así, este Tribunal ha declarado que el derecho fundamental a obtener la tutela judicial efectiva reconocido en el art. 24.1 de la Constitución comporta la exigencia de que en ningún momento pueda producirse indefensión, lo que significa que en todo proceso judicial, debe respetarse el derecho de defensa contradictoria de las partes contendientes, mediante la oportunidad de alegar y probar procesalmente sus derechos o intereses, sin que pueda justificarse la resolución judicial inaudita parte, más que en el caso de incomparecencia por voluntad expresa o tácita, o por negligencia imputable a la parte (SSTC 112/1987, 151/1987 y 237/1988, entre otras).</w:t>
      </w:r>
    </w:p>
    <w:p w:rsidR="008107C7" w:rsidRDefault="008107C7" w:rsidP="008107C7">
      <w:pPr>
        <w:pStyle w:val="TextoNormal"/>
      </w:pPr>
      <w:r>
        <w:t>La cuestión se centra, pues, en determinar si la incomparecencia del recurrente o de su defensa al juicio de faltas se debió o no, cuando menos, a una negligencia imputable al mismo.  A este respecto, el recurrente alega que el retraso operado por la Letrada que le iba a defender, fue tan solo de unos minutos respecto al comienzo del juicio, que todavía estaba teniendo lugar cuando llegó a la sede del Juzgado, y que ese retraso tuvo su origen, en un accidente de tráfico sufrido por la misma, lo que le impidió estar presente en el Juzgado, donde el juicio se iba a celebrar, con la necesaria puntualidad.</w:t>
      </w:r>
    </w:p>
    <w:p w:rsidR="008107C7" w:rsidRDefault="008107C7" w:rsidP="008107C7">
      <w:pPr>
        <w:pStyle w:val="TextoNormal"/>
      </w:pPr>
    </w:p>
    <w:p w:rsidR="008107C7" w:rsidRDefault="008107C7" w:rsidP="008107C7">
      <w:pPr>
        <w:pStyle w:val="TextoNormal"/>
      </w:pPr>
      <w:r w:rsidRPr="008107C7">
        <w:rPr>
          <w:rStyle w:val="NumeroAFNegritaCaracter"/>
        </w:rPr>
        <w:t>3</w:t>
      </w:r>
      <w:r>
        <w:t>. En el presente caso, del examen de las actuaciones no se evidencia necesariamente que lo manifestado por el recurrente, implique, respecto de la no presencia de la Letrada al juicio que se estaba celebrando la vulneración constitucional denunciada.  Por el solicitante no sólo se afirma que su Abogada llegó en un momento hábil para su defensa, sino que pretendió acreditarlo ante el Juez ad quem, e intenta ahora hacerlo en el presente proceso constitucional, mediante la proposición de prueba testifical de la Agente Judicial y de varias de las personas que se hallaban presentes en la antesala del lugar donde el juicio se estaba celebrando. Aunque el dilucidar la existencia de una verdadera indefensión debe pasar por verificar la certeza de lo manifestado por el recurrente, este Tribunal no puede entrar a enjuiciar si la defensa del actor compareció una vez finalizado el juicio oral, o durante la celebración de éste, ni consiguientemente admitir la prueba propuesta por el recurrente a tales efectos.</w:t>
      </w:r>
    </w:p>
    <w:p w:rsidR="008107C7" w:rsidRDefault="008107C7" w:rsidP="008107C7">
      <w:pPr>
        <w:pStyle w:val="TextoNormal"/>
      </w:pPr>
      <w:r>
        <w:t xml:space="preserve">Del mismo modo, en el presente caso, ha de tomarse como punto de partida de las consideraciones que luego se harán sobre los hechos acaecidos, el de la exactitud de las afirmaciones vertidas tanto en la Sentencia de instancia, como en la diligencia extendida por el Secretario Judicial, al encontrarse esta última amparada por la fe pública judicial, ya que </w:t>
      </w:r>
      <w:r>
        <w:lastRenderedPageBreak/>
        <w:t>como se ha afirmado en varias ocasiones por este Tribunal (vid. STC 276/1993, ATC 11/1993, por todas), tales resoluciones judiciales en sentido amplio, se encuentran avaladas por el fedatario público correspondiente, al que debe concedérsele la presunción de veracidad que la fe pública de su intervención otorga (arts. 281, 473.1 y concordantes de la L.O.P.J). Asimismo ninguna consideración puede realizar este Tribunal al respecto, salvo aquellas que sirvan para constatar la existencia de un documento expedido por tal fedatario público. Por tanto, si la demostración de la indefensión sufrida pasa por los hechos inequívocamente declarados en la Sentencia recurrida, y en la diligencia del Secretario judicial, el recurrente, antes de acudir a la vía de amparo constitucional, debería haber entablado las acciones pertinentes para que los órganos judiciales competentes se pronuncien acerca de la veracidad o inexactitud de las afirmaciones combatidas en esta sede.</w:t>
      </w:r>
    </w:p>
    <w:p w:rsidR="008107C7" w:rsidRDefault="008107C7" w:rsidP="008107C7">
      <w:pPr>
        <w:pStyle w:val="TextoNormal"/>
      </w:pPr>
    </w:p>
    <w:p w:rsidR="008107C7" w:rsidRDefault="008107C7" w:rsidP="008107C7">
      <w:pPr>
        <w:pStyle w:val="TextoNormal"/>
      </w:pPr>
      <w:r w:rsidRPr="008107C7">
        <w:rPr>
          <w:rStyle w:val="NumeroAFNegritaCaracter"/>
        </w:rPr>
        <w:t>4</w:t>
      </w:r>
      <w:r>
        <w:t>. También invoca el recurrente el derecho a la tutela judicial efectiva (art.  24.1 C.E.)  , que habría resultado lesionado por la falta de tramitación de la denuncia, supuestamente interpuesta por su hermana doña Concepción Tronchoni, contra la, a su vez, denunciante en el juicio de faltas, cuyas irregularidades estamos examinando.</w:t>
      </w:r>
    </w:p>
    <w:p w:rsidR="008107C7" w:rsidRDefault="008107C7" w:rsidP="008107C7">
      <w:pPr>
        <w:pStyle w:val="TextoNormal"/>
      </w:pPr>
      <w:r>
        <w:t>Parece evidente que esta queja constitucional no puede ser atendida, pues el recurrente en amparo carece de legitimación para efectuarla, de conformidad con lo dispuesto en el art.46.1 LOTC, ya que no puede invocar la quiebra de su derecho al acceso a la jurisdicción y al ejercicio de la acción penal, quien no se encuentra directamente afectado por la inadmisión de una denuncia, que finalmente el solicitante de amparo constitucional no interpuso.</w:t>
      </w:r>
    </w:p>
    <w:p w:rsidR="008107C7" w:rsidRDefault="008107C7" w:rsidP="008107C7">
      <w:pPr>
        <w:pStyle w:val="TextoNormal"/>
      </w:pPr>
    </w:p>
    <w:p w:rsidR="008107C7" w:rsidRDefault="008107C7" w:rsidP="008107C7">
      <w:pPr>
        <w:pStyle w:val="TextoNormal"/>
      </w:pPr>
      <w:r w:rsidRPr="008107C7">
        <w:rPr>
          <w:rStyle w:val="NumeroAFNegritaCaracter"/>
        </w:rPr>
        <w:t>5</w:t>
      </w:r>
      <w:r>
        <w:t>. El recurrente en amparo se queja finalmente en orden a la vulneración del derecho a la utilización de los medios de prueba pertinentes para la defensa (art. 24.2 C.E.)  , lesión que el actor vincula y asocia con el hecho de que la testigo de la defensa, doña Soledad Montaner, fue citada por el propio órgano judicial, compareció al juicio y, no obstante, permaneció en la antesala durante toda su celebración, sin que fuera llamada finalmente a declarar.</w:t>
      </w:r>
    </w:p>
    <w:p w:rsidR="008107C7" w:rsidRDefault="008107C7" w:rsidP="008107C7">
      <w:pPr>
        <w:pStyle w:val="TextoNormal"/>
      </w:pPr>
      <w:r>
        <w:t>Es cierto que en el juicio celebrado en la instancia dicha prueba no se celebró, como lo es también que por dicha parte recurrente, se procedió a reproducir la petición de la práctica de esta prueba en la segunda instancia de la causa, en virtud del recurso de apelación interpuesto al efecto, el día 22 de julio de 1994, contra la Sentencia dictada por el Juzgado de Instrucción, al considerar fundamental para sus posiciones de defensa, la práctica de la mencionada prueba, petición que estaba amparada por lo dispuesto en los arts. 976, en relación con el 795.3º, ambos de la L.E.Crim., y sin embargo, la misma no se estimó procedente. Fue en el Auto de 15 de octubre de igual año en el que no se da lugar a la práctica de la prueba testifical interesada "por no colmarse los requisitos exigidos en los arts.  795 y siguientes de la L.E.Crim., al que se remite el 796 de la misma, en su redacción operada por Ley 10/92 de 30 de abril", es argumento que vuelve a recogerse en la Sentencia dictada en grado de apelación el 27 de diciembre de 1994, vulnerandose así, y como enseguida se verá con algún mayor detalle el derecho a un proceso con todas las garantías.</w:t>
      </w:r>
    </w:p>
    <w:p w:rsidR="008107C7" w:rsidRDefault="008107C7" w:rsidP="008107C7">
      <w:pPr>
        <w:pStyle w:val="TextoNormal"/>
      </w:pPr>
      <w:r>
        <w:t xml:space="preserve">Es doctrina muy reiterada de este Tribunal, así, entre otras la STC 181/1995, que el art. 24.2 C.E. permite que un órgano judicial inadmita una medio probatorio propuesto sin que ello lesione el referido derecho fundamental sin obligar, por consiguiente, al Juez a admitir todos los medios probatorios que la parte estime pertinentes, sino únicamente aquéllos que el juzgador valore libre y razonadamente como tales (vid. SSTC 52/1989, 65/1992, 233/1992, y 206/1994), pero con toda evidencia tal doctrina declara inaceptable la posibilidad de que el Juez sin motivación, rechace las pruebas interesadas, teniendo en cuenta que </w:t>
      </w:r>
      <w:r>
        <w:lastRenderedPageBreak/>
        <w:t>en este caso la no audiencia de la testigo propuesto no fue imputable a la parte proponente, según los datos que obran en las actuaciones, a pesar de lo cual no se practicó esta prueba en la Audiencia Provincial.</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CONCEDE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Otorgar el amparo solicitado por don José Tronchoni Ayala, y, en su virtud:</w:t>
      </w:r>
    </w:p>
    <w:p w:rsidR="008107C7" w:rsidRDefault="008107C7" w:rsidP="008107C7">
      <w:pPr>
        <w:pStyle w:val="TextoNormal"/>
      </w:pPr>
      <w:r>
        <w:t>1º. Reconocer el derecho fundamental del recurrente a utilizar los medios de prueba pertinentes para su defensa.</w:t>
      </w:r>
    </w:p>
    <w:p w:rsidR="008107C7" w:rsidRDefault="008107C7" w:rsidP="008107C7">
      <w:pPr>
        <w:pStyle w:val="TextoNormal"/>
      </w:pPr>
      <w:r>
        <w:t>2º. Restablecerle en la integridad de su derecho mediante la anulación de la Sentencia dictada en grado de apelación, por la Audiencia Provincial de Valencia, de 27 de diciembre de 1994, en el procedimiento de juicio de faltas núm. 112/94 seguido ante el Juzgado de Instrucción núm.2 de Liria (Valencia).</w:t>
      </w:r>
    </w:p>
    <w:p w:rsidR="008107C7" w:rsidRDefault="008107C7" w:rsidP="008107C7">
      <w:pPr>
        <w:pStyle w:val="TextoNormal"/>
      </w:pPr>
      <w:r>
        <w:t>3º. Retrotraer las actuaciones al momento procesal de recibimiento del juicio a prueba en la citada segunda instancia.</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once de febrero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29" w:name="SENTENCIA_1997_26"/>
      <w:r>
        <w:lastRenderedPageBreak/>
        <w:t>SENTENCIA 26/1997, de 11 de febrero de 1997</w:t>
      </w:r>
    </w:p>
    <w:bookmarkEnd w:id="29"/>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63, de 14 de marzo de 1997)</w:t>
      </w:r>
    </w:p>
    <w:p w:rsidR="008107C7" w:rsidRDefault="008107C7" w:rsidP="008107C7">
      <w:pPr>
        <w:pStyle w:val="TtuloBOE"/>
      </w:pPr>
    </w:p>
    <w:p w:rsidR="008107C7" w:rsidRDefault="008107C7" w:rsidP="008107C7">
      <w:pPr>
        <w:pStyle w:val="SntesisDescriptiva"/>
      </w:pPr>
      <w:r>
        <w:t>ECLI:ES:TC:1997:26</w:t>
      </w:r>
    </w:p>
    <w:p w:rsidR="008107C7" w:rsidRDefault="008107C7" w:rsidP="008107C7">
      <w:pPr>
        <w:pStyle w:val="SntesisDescriptiva"/>
      </w:pPr>
    </w:p>
    <w:p w:rsidR="008107C7" w:rsidRDefault="008107C7" w:rsidP="008107C7">
      <w:pPr>
        <w:pStyle w:val="SntesisDescriptiva"/>
      </w:pPr>
      <w:r>
        <w:t>Recurso de amparo 1.260/1995. Contra Sentencia dictada por el Juzgado de Instrucción núm. 2 de Vic en juicio de faltas, así como frente a Sentencia de la Audiencia Provincial de Barcelona recaída en apelación.</w:t>
      </w:r>
    </w:p>
    <w:p w:rsidR="008107C7" w:rsidRDefault="008107C7" w:rsidP="008107C7">
      <w:pPr>
        <w:pStyle w:val="SntesisDescriptiva"/>
      </w:pPr>
    </w:p>
    <w:p w:rsidR="008107C7" w:rsidRDefault="008107C7" w:rsidP="008107C7">
      <w:pPr>
        <w:pStyle w:val="SntesisAnaltica"/>
      </w:pPr>
      <w:r>
        <w:t>Vulneración del derecho a la tutela judicial efectiva: incongruencia omisiva.</w:t>
      </w:r>
    </w:p>
    <w:p w:rsidR="008107C7" w:rsidRDefault="008107C7" w:rsidP="008107C7">
      <w:pPr>
        <w:pStyle w:val="SntesisAnaltica"/>
      </w:pPr>
    </w:p>
    <w:p w:rsidR="008107C7" w:rsidRDefault="008107C7" w:rsidP="008107C7">
      <w:pPr>
        <w:pStyle w:val="Extracto"/>
      </w:pPr>
      <w:r>
        <w:t>1.</w:t>
      </w:r>
      <w:r>
        <w:tab/>
        <w:t>En la línea de la doctrina de la STC 177/1994, que estimaba el amparo solicitado en un supuesto semejante al presente, ha de concluirse que la Audiencia Provincial, en la Sentencia impugnada, se ha limitado a utilizar cláusulas de estilo, vacías de contenido preciso, tan abstractas y genéricas que pueden ser extrapoladas a cualquier otro caso. Aunque tal resolución da respuesta negativa a la pretensión de ausencia de penalidad sustentada por el apelante, no contiene razonamiento concreto alguno en torno al supuesto de autos que permita, no sólo conocer cuáles han sido los criterios esenciales fundamentadores de la desestimación, sino afirmar que la resolución recaída en instancia ha sido realmente revisada por el Tribunal de apelación. [F.J. 3]</w:t>
      </w:r>
    </w:p>
    <w:p w:rsidR="008107C7" w:rsidRDefault="008107C7" w:rsidP="008107C7">
      <w:pPr>
        <w:pStyle w:val="Extracto"/>
      </w:pPr>
    </w:p>
    <w:p w:rsidR="008107C7" w:rsidRDefault="008107C7" w:rsidP="008107C7">
      <w:pPr>
        <w:pStyle w:val="Extracto"/>
      </w:pPr>
      <w:r>
        <w:t>2.</w:t>
      </w:r>
      <w:r>
        <w:tab/>
        <w:t>Este Tribunal, desde su STC 20/1982, ha venido elaborando un cuerpo de doctrina acerca del vicio de incongruencia en las resoluciones judiciales y, en lo que se refiere a la incongruencia omisiva, en múltiples ocasiones ha reiterado que no todos los supuestos son susceptibles de una solución unívoca, debiendo pon derarse las circunstancias concurrentes en cada caso para determinar si el silencio de la resolución judicial constituye una auténtica lesión del art. 24.1 C.E. (SSTC 175/1990, 198/1990, 88/1992, 163/1992, 226/1992, 101/1993, 169/1994, 91/1995, 143/1995, 58/1996, etc.), doctrina igualmente acogida por el Tribunal Europeo de Derechos Humanos en la interpretación del art. 6.1 del Convenio Europeo para la Protección de los Derechos Humanos y de las Libertades Fundamentales (así, en las decisiones Ruiz Torija c. España, e Hiro Bolani c. España, de 9 de diciembre de 1994). Y a estos efectos se ha acentuado la importancia de distinguir entre las alegaciones aducidas por las partes para fundamentar sus pretensiones y las pretensiones en sí mismas consideradas (SSTC 95/1990, 128/1992, 169/1994, 91/1995, 143/1995, etc.). Respecto a las primeras, no sería necesario para la satisfacción del derecho a la tutela judicial efectiva una contestación explícita y pormenorizada a todas y cada una de ellas, pudiendo bastar, en atención a las circunstancias particulares concurrentes, con una respuesta global o genérica, aunque se omita respecto de alegaciones concretas no sustanciales. Más rigurosa es la exigencia de congruencia respecto a las pretensiones, siendo necesario para poder apreciar una respuesta tácita -y no una mera omisión- que del conjunto de los razonamientos contenidos en la resolución judicial pueda deducirse razonablemente no sólo que el órgano judicial ha valorado la pretensión deducida, sino, además, los motivos fundamentadores de la respuesta tácita . [F.J. 4]</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los Sres. don Álvaro Rodríguez Bereijo, Presidente, don Vicente Gimeno Sendra, don Pedro Cruz Villalón, don Enrique Ruíz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1.260/95, interpuesto por don Lluis Jordá Sala, a quien representa la Procuradora de los Tribunales doña María Jesús González Díez y asistido del Letrado don Jorge de Tienda García, contra la Sentencia de 13 de octubre de 1993, dictada por el Juzgado de Instrucción núm. 2 de Vic en el juicio de faltas núm. 73/93, así como frente a la Sentencia de la Sección Octava de la Audiencia Provincial de Barcelona, de 22 de febrero de 1995, recaída en el rollo de apelación núm. 8.802/94. Ha intervenido el Ministerio Fiscal. Ha sido Ponente el Magistrado don Vicente Gimeno Sendra,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demanda presentada en el Registro General de este Tribunal el 6 de abril de 1995, doña María Jesús González Díez, Procuradora de los Tribunales y de don Lluis Jordá Sala, interpuso recurso de amparo contra las Sentencias a las que se ha hecho anterior mención.</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El presente recurso trae causa en los siguientes hechos: </w:t>
      </w:r>
    </w:p>
    <w:p w:rsidR="008107C7" w:rsidRDefault="008107C7" w:rsidP="008107C7">
      <w:pPr>
        <w:pStyle w:val="TextoNormal"/>
      </w:pPr>
      <w:r>
        <w:t xml:space="preserve">a) El Juzgado de Primera Instancia e Instrucción núm. 2 de Vic, con fecha 13 de octubre de 1993, dictó Sentencia en el juicio de faltas núm. 73/93, en la que se condenaba al hoy recurrente en amparo, como autor de una falta de imprudencia simple sin infracción de reglamentos, prevista en el art. 586 bis del Código Penal entonces vigente, a la pena de 50.000 pesetas de multa, con diez días de arresto sustitutorio en caso de impago, al abono de las costas procesales y a que indemnizara a los perjudicados que habían ejercido la acusación particular en determinadas cantidades, de las que respondería subsidiariamente el Ayuntamiento de Torello, y de forma directa dos concretas Compañías Aseguradoras hasta un determinado límite cuantitativo cada una de ellas. La Sentencia concluía absolviendo al resto de los denunciados. </w:t>
      </w:r>
    </w:p>
    <w:p w:rsidR="008107C7" w:rsidRDefault="008107C7" w:rsidP="008107C7">
      <w:pPr>
        <w:pStyle w:val="TextoNormal"/>
      </w:pPr>
      <w:r>
        <w:t xml:space="preserve">b) Los hechos que en dicha Sentencia se reprochaban al hoy recurrente, y que fueron determinantes de la condena, acaecieron en el mes de marzo de 1989 y consistieron, en síntesis, en la omisión de determinadas cautelas en la realización de una obra de derribo de un inmueble, que determinó, a su vez, el derribo del inmueble colindante en enero de 1991. </w:t>
      </w:r>
    </w:p>
    <w:p w:rsidR="008107C7" w:rsidRDefault="008107C7" w:rsidP="008107C7">
      <w:pPr>
        <w:pStyle w:val="TextoNormal"/>
      </w:pPr>
      <w:r>
        <w:lastRenderedPageBreak/>
        <w:t xml:space="preserve">c) Contra dicha Sentencia se alzaron en apelación el hoy demandante de amparo, el resto de las partes que obtuvieron algún pronunciamiento condenatorio (el Ayuntamiento y ambas compañías aseguradoras), y tres perjudicados que habían obtenido el correspondiente pronunciamiento indemnizatorio, considerado insuficiente. </w:t>
      </w:r>
    </w:p>
    <w:p w:rsidR="008107C7" w:rsidRDefault="008107C7" w:rsidP="008107C7">
      <w:pPr>
        <w:pStyle w:val="TextoNormal"/>
      </w:pPr>
      <w:r>
        <w:t>d) La apelación fue resuelta por Sentencia de la Sección Octava de la Audiencia Provincial de Barcelona, de 22 de febrero de 1995, confirmatoria en su integridad de la de instancia.</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En cuanto a la fundamentación jurídica de la demanda, se imputa a la Sentencia de la Audiencia Provincial de Barcelona la vulneración del derecho fundamental a la tutela judicial efectiva en dos de sus manifestaciones, falta de motivación e incongruencia omisiva. La falta de motivación derivaría de que la Sentencia contiene un fundamento jurídico único y breve en su extensión, en el que se utilizan frases estereotipadas en torno al mejor criterio del Juzgador de instancia para la correcta apreciación de los requisitos necesarios en cada caso concreto para que pueda surgir la imputación a título de imprudencia que, en el criterio del recurrente, resultan de aplicación, dada la generalidad y abstracción de los términos utilizados, para cualquier supuesto sometido al conocimiento de la Audiencia en el que se aluda a cualquier tipo de imprudencia. </w:t>
      </w:r>
    </w:p>
    <w:p w:rsidR="008107C7" w:rsidRDefault="008107C7" w:rsidP="008107C7">
      <w:pPr>
        <w:pStyle w:val="TextoNormal"/>
      </w:pPr>
      <w:r>
        <w:t xml:space="preserve">La incongruencia omisiva resultaría de la falta de pronunciamiento de la Sentencia de apelación en torno a una cuestión planteada en el escrito de formalización del recurso de apelación, relativa a que los hechos enjuiciados se realizaron en el mes de marzo de 1989, cuando aún no había entrado en vigor la reforma operada en el Código Penal por la Ley Orgánica 3/1989, de 21 de junio. En consecuencia, el recurrente debió ser condenado al amparo del art. 586.3 del antiguo Código Penal que para este tipo de imprudencias simples sin infracción de reglamentos con resultado de lesiones, que de mediar malicia constituirían delito, preveía la pena de reprensión privada y multa de 1.500 a 30.000 pesetas. Ello no obstante, el Juzgado de Instrucción de Vic le condenó al amparo del nuevo art. 586 bis del Código Penal, en la redacción dada al mismo por la Ley Orgánica 3/1989, de 21 de junio, que a esta concreta conducta asigna la pena de multa de 50.000 a 100.000 pesetas, establecida como alternativa del arresto menor de uno a quince días. El recurrente fue efectivamente condenado por este último precepto a la pena de 50.000 pesetas de multa. </w:t>
      </w:r>
    </w:p>
    <w:p w:rsidR="008107C7" w:rsidRDefault="008107C7" w:rsidP="008107C7">
      <w:pPr>
        <w:pStyle w:val="TextoNormal"/>
      </w:pPr>
      <w:r>
        <w:t xml:space="preserve">La omisión de cualquier pronunciamiento en torno a esta cuestión ha supuesto, pues, la vulneración del art. 24.1 C.E. en su manifestación de interdicción de la incongruencia omisiva. </w:t>
      </w:r>
    </w:p>
    <w:p w:rsidR="008107C7" w:rsidRDefault="008107C7" w:rsidP="008107C7">
      <w:pPr>
        <w:pStyle w:val="TextoNormal"/>
      </w:pPr>
      <w:r>
        <w:t>Y, por último, alega el recurrente la vulneración por la Sentencia de instancia, no corregida en apelación, del derecho a la legalidad penal (art. 25.1 C.E.), por cuanto ha sido condenado a una pena no prevista en la Ley cuando se cometieron los hechos en el mes de marzo de 1989.</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Por providencia de 7 de febrero de 1996, la Sección Segunda de este Tribunal acordó admitir a trámite la demanda de amparo y, conforme a lo dispuesto en el art. 51 LOTC, requerir atentamente a la Sección Octava de la Audiencia Provincial de Barcelona y al Juzgado de Instrucción núm. 2 de Vic la remisión de las correspondientes actuaciones, interesándose al propio tiempo el emplazamiento de cuantos fueron parte en el proceso judicial antecedente, excepto el recurrente en amparo, para que en el plazo de diez días pudieran comparecer en el proceso constitucional. Asimismo se acordó formar la oportuna pieza separada de suspensión, concediendo al Ministerio Fiscal y al solicitante de amparo un plazo </w:t>
      </w:r>
      <w:r>
        <w:lastRenderedPageBreak/>
        <w:t>de tres días para que formularan las alegaciones que estimaran pertinentes acerca de la suspensión solicitada. Evacuado el trámite por ambas partes, la Sala Primera dictó Auto, de 26 de febrero de 1996, por el que se acordaba no suspender la resolución impugnada.</w:t>
      </w:r>
    </w:p>
    <w:p w:rsidR="008107C7" w:rsidRDefault="008107C7" w:rsidP="008107C7">
      <w:pPr>
        <w:pStyle w:val="TextoNormal"/>
      </w:pPr>
    </w:p>
    <w:p w:rsidR="008107C7" w:rsidRDefault="008107C7" w:rsidP="008107C7">
      <w:pPr>
        <w:pStyle w:val="TextoNormal"/>
      </w:pPr>
      <w:r w:rsidRPr="008107C7">
        <w:rPr>
          <w:rStyle w:val="NumeroAFNegritaCaracter"/>
        </w:rPr>
        <w:t>5</w:t>
      </w:r>
      <w:r>
        <w:t>. El 22 de febrero de 1996 se dictó providencia teniendo por recibidos los testimonios de las actuaciones remitidas por la Audiencia Provincial de Barcelona y el Juzgado de Instrucción de Vic. A tenor de lo dispuesto en el art. 52 LOTC, se acordaba dar vista de todas las actuaciones al Ministerio Fiscal y a la Procuradora del recurrente para que, en el plazo de veinte días, pudieran presentar las alegaciones que a su derecho conviniesen.</w:t>
      </w:r>
    </w:p>
    <w:p w:rsidR="008107C7" w:rsidRDefault="008107C7" w:rsidP="008107C7">
      <w:pPr>
        <w:pStyle w:val="TextoNormal"/>
      </w:pPr>
    </w:p>
    <w:p w:rsidR="008107C7" w:rsidRDefault="008107C7" w:rsidP="008107C7">
      <w:pPr>
        <w:pStyle w:val="TextoNormal"/>
      </w:pPr>
      <w:r w:rsidRPr="008107C7">
        <w:rPr>
          <w:rStyle w:val="NumeroAFNegritaCaracter"/>
        </w:rPr>
        <w:t>6</w:t>
      </w:r>
      <w:r>
        <w:t>. El 24 de septiembre de 1996 tuvo entrada en el Registro General de este Tribunal el escrito de alegaciones del Ministerio Fiscal. Tal informe comienza con un resumen de la jurisprudencia constitucional acerca de la exigencia de motivación de las resoluciones judiciales, para, mediante su aplicación al supuesto de autos, concluir que, a pesar del carácter estereotipado y general de la Sentencia recurrida, en lo referente al tipo delictivo aplicado podría apreciarse una motivación por remisión a la Sentencia de instancia, donde sí aparecerían fundamentados los motivos que llevaron al Juez a dictar la correspondiente Sentencia condenatoria. Sin embargo, la cuestión relativa al problema de derecho intertemporal provocado por la entrada en vigor de la L.O. 3/1989, de 21 de junio, que el actor planteó en el recurso de apelación, no habría obtenido respuesta alguna en la Sentencia impugnada, sin que tal silencio pueda entenderse como una desestimación tácita. Entiende el Fiscal que al supuesto de autos le sería aplicable lo dispuesto en la STC 177/1994, que enjuiciaba en supuesto similar. En consecuencia, interesa la estimación del amparo solicitado, al haberse vulnerado el derecho a la tutela judicial efectiva del art. 24.1 C.E. "al carecer la Sentencia recurrida de una correcta motivación sobre todos los extremos planteados, por lo que procede anular la Sentencia del Juez de apelación y su devolución, para que se dicte otra suficientemente razonada con arreglo a Derecho".</w:t>
      </w:r>
    </w:p>
    <w:p w:rsidR="008107C7" w:rsidRDefault="008107C7" w:rsidP="008107C7">
      <w:pPr>
        <w:pStyle w:val="TextoNormal"/>
      </w:pPr>
    </w:p>
    <w:p w:rsidR="008107C7" w:rsidRDefault="008107C7" w:rsidP="008107C7">
      <w:pPr>
        <w:pStyle w:val="TextoNormal"/>
      </w:pPr>
      <w:r w:rsidRPr="008107C7">
        <w:rPr>
          <w:rStyle w:val="NumeroAFNegritaCaracter"/>
        </w:rPr>
        <w:t>7</w:t>
      </w:r>
      <w:r>
        <w:t>. Por providencia de 10 de febrero de 1997 se acordó señalar el siguiente día 11 de febrero para deliberación y votación de la presente Sentencia.</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La demanda de amparo se dirige contra la Sentencia de 13 de octubre de 1993 dictada por el Juzgado de Instrucción núm. 2 de Vic, así como frente a la Sentencia de 22 de febrero de 1995, por la que la Sección Octava de la Audiencia Provincial de Barcelona desestimaba el recurso de apelación interpuesto contra la primera. A la Sentencia de instancia le reprocha el actor la vulneración, no corregida en apelación, del principio de legalidad penal (art. 25.1 C.E.), por cuanto resultó condenado a una pena no prevista en la Ley cuanto tuvo lugar la conducta enjuiciada.</w:t>
      </w:r>
    </w:p>
    <w:p w:rsidR="008107C7" w:rsidRDefault="008107C7" w:rsidP="008107C7">
      <w:pPr>
        <w:pStyle w:val="TextoNormal"/>
      </w:pPr>
      <w:r>
        <w:t>A la Sentencia de la Audiencia Provincial se le imputa la lesión del derecho a la tutela judicial efectiva (art. 24.1 CE) en dos de sus manifestaciones: falta de motivación suficiente e incongruencia omisiva. La falta de motivación suficiente derivaría de que la Sentencia contendría un fundamento jurídico único, y breve en su extensión, en el que se utilizan frases estereotipadas y que, a criterio del recurrente, resultaría de aplicación, dada su generalidad y abstracción, para cualquier supuesto de imprudencia.</w:t>
      </w:r>
    </w:p>
    <w:p w:rsidR="008107C7" w:rsidRDefault="008107C7" w:rsidP="008107C7">
      <w:pPr>
        <w:pStyle w:val="TextoNormal"/>
      </w:pPr>
      <w:r>
        <w:lastRenderedPageBreak/>
        <w:t>La incongruencia omisiva resultaría de la falta de pronunciamiento en la Sentencia de la Audiencia Provincial en torno a una cuestión planteada en el recurso de apelación, y que ahora se reproduce también como motivo del amparo solicitado, relativa a que la conducta enjuiciada se habría verificado en marzo de 1989, cuando aún no había entrado en vigor la reforma operada en el Código Penal por la Ley Orgánica 3/1989, de 21 de junio. En consecuencia, el actor debió ser condenado al amparo del art. 586.3 anterior a la reforma, que para aquel tipo de imprudencia preveía la pena de reprensión privada y multa de 1.500 a 30.000 pesetas. Ello no obstante, el Juzgado de Instrucción de Vic le condenó al amparo del art. 586 bis introducido por la Ley Orgánica 3/1989, de 21 de junio, que, para este tipo de imprudencia, establecía la pena de 50.000 a 100.000 pesetas de multa como alternativa del arresto menor de uno a quince días, siendo el actor efectivamente condenado por este último precepto a la pena de 50.000 pesetas de multa.</w:t>
      </w:r>
    </w:p>
    <w:p w:rsidR="008107C7" w:rsidRDefault="008107C7" w:rsidP="008107C7">
      <w:pPr>
        <w:pStyle w:val="TextoNormal"/>
      </w:pPr>
    </w:p>
    <w:p w:rsidR="008107C7" w:rsidRDefault="008107C7" w:rsidP="008107C7">
      <w:pPr>
        <w:pStyle w:val="TextoNormal"/>
      </w:pPr>
      <w:r w:rsidRPr="008107C7">
        <w:rPr>
          <w:rStyle w:val="NumeroAFNegritaCaracter"/>
        </w:rPr>
        <w:t>2</w:t>
      </w:r>
      <w:r>
        <w:t>. Conviene iniciar el análisis de las quejas enunciadas con la que esgrime la lesión del derecho a la tutela judicial efectiva por falta de motivación suficiente de la Sentencia dictada en apelación. Y, dado que este Tribunal ha tenido frecuente ocasión de pronunciarse sobre el contenido y transcendencia del defecto denunciado, la reflexión necesaria para decidir estos autos ha de comenzar con una referencia, siquiera sea brevemente, a la doctrina constitucional al respecto, para llevar a cabo después su aplicación al supuesto que se somete a nuestra consideración.</w:t>
      </w:r>
    </w:p>
    <w:p w:rsidR="008107C7" w:rsidRDefault="008107C7" w:rsidP="008107C7">
      <w:pPr>
        <w:pStyle w:val="TextoNormal"/>
      </w:pPr>
      <w:r>
        <w:t>Según doctrina constante de este Tribunal, la motivación de las resoluciones judiciales constituye, en efecto, una exigencia constitucional que, dirigida en último término a excluir la arbitrariedad, se integra dentro del contenido constitucionalmente protegido del derecho a la tutela judicial efectiva reconocido en el art. 24.1 C.E. No obstante, en relación con lo que deba entenderse por motivación suficiente, también hemos advertido en reiteradas ocasiones (SSTC 66/1996, 169/1996) que la exigencia de motivación "no autoriza a exigir un razonamiento judicial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es decir, la ratio decidendi que ha determinado aquélla (SSTC 14/1991, 28/1994, 145/1995, 32/1996, entre otras muchas), porque la motivación no está necesariamente reñida con la brevedad y concisión (SSTC 174/1987, 75/1988, 184/1988, 14/1991, 154/1995, 109/1996, etc.), siendo necesario analizar en el caso concreto si una respuesta breve o incluso genérica es congruente con las cuestiones planteadas en el recurso y si expresa el criterio del juzgador sobre las causas de impugnación que se alegaron (ATC 73/1996).</w:t>
      </w:r>
    </w:p>
    <w:p w:rsidR="008107C7" w:rsidRDefault="008107C7" w:rsidP="008107C7">
      <w:pPr>
        <w:pStyle w:val="TextoNormal"/>
      </w:pPr>
      <w:r>
        <w:t>En su recurso de apelación el actor esgrimía una pretensión absolutoria sustentada en dos motivos, ambos profusamente argumentados y destinados a poner de manifiesto la carencia de relevancia penal de los hechos por los que fue condenado. En el primero de ellos combatía el carácter imprudente de la conducta por haberse observado en su verificación los deberes de cuidado exigibles, y en el segundo motivo discutía la existencia, entre la acción y el resultado, de una relación causal y normativa que permitiera considerar el resultado, acaecido dos años después, como imputable a su comportamiento.</w:t>
      </w:r>
    </w:p>
    <w:p w:rsidR="008107C7" w:rsidRDefault="008107C7" w:rsidP="008107C7">
      <w:pPr>
        <w:pStyle w:val="TextoNormal"/>
      </w:pPr>
      <w:r>
        <w:t xml:space="preserve">A tales alegaciones la Sentencia dictada por la Audiencia Provincial ofrece una respuesta, cuyo fundamento jurídico único se reproduce: "Compete al Juez de instancia en base a lo dispuesto en el art. 741 L.E.Crim. apreciar las pruebas practicadas de acuerdo con el dictado </w:t>
      </w:r>
      <w:r>
        <w:lastRenderedPageBreak/>
        <w:t>de su conciencia, y las conclusiones fácticas a las que así llegue habrán de reputarse correctas salvo que se demuestre manifiesto error o cuando resulten incompletas, incongruentes o contradictorias; pues él es juzgador de primer grado, el que, tanto por su objetividad institucional como por su apreciación directa y personal de la actividad probatoria, está en mejores condiciones para obtener una valoración objetiva y crítica del hecho enjuiciado, sin que sea lícito sustituir su criterio por el legítimamente interesado y subjetivo de la parte, sin un serio fundamento, como no lo hay en el caso de autos, en el que siendo los supuestos de culpa penal, de idéntica y análoga naturaleza, basándose la culpa o negligencia en la relevancia de la precisión y racional cautela dejada de observar, en el obrar humano en relación a la trascendencia del deber objetivo de evitarlo omitido por lo cual se precisa la oportuna valoración tanto del elemento psicológico o intelectivo dependiente del poder y facultad de pensión (sic) del agente para conocer y evitar el riesgo o peligro susceptible de producir un resultado dañoso, como el normativo o extenso constituido por la infracción de recibos y preceptos de carácter obligatorio y de observancia general o normativa de común y sabida experiencia tácitamente reservados y guardados en el prudente descubrimiento de la convivencia colectiva en evitación de perjuicios a terceros: dentro del relativismo y circunstanciabilidad de los distintos supuestos, y de los elementos y datos concurrentes en cada caso concreto. Dándose todos y cada uno de los elementos y requisitos exigidos pendiente para la tipificación penal de la conducta del apelante LLUIS JORDÁ SALA. Procediendo la confirmación de la Sentencia recurrida."</w:t>
      </w:r>
    </w:p>
    <w:p w:rsidR="008107C7" w:rsidRDefault="008107C7" w:rsidP="008107C7">
      <w:pPr>
        <w:pStyle w:val="TextoNormal"/>
      </w:pPr>
    </w:p>
    <w:p w:rsidR="008107C7" w:rsidRDefault="008107C7" w:rsidP="008107C7">
      <w:pPr>
        <w:pStyle w:val="TextoNormal"/>
      </w:pPr>
      <w:r w:rsidRPr="008107C7">
        <w:rPr>
          <w:rStyle w:val="NumeroAFNegritaCaracter"/>
        </w:rPr>
        <w:t>3</w:t>
      </w:r>
      <w:r>
        <w:t>. El contraste del fundamento jurídico transcrito con la doctrina constitucional expuesta nos conduce a afirmar el incumplimiento por la Audiencia Provincial de la exigencia de motivación suficiente que el art. 24 C.E. reclama de las resoluciones judiciales.</w:t>
      </w:r>
    </w:p>
    <w:p w:rsidR="008107C7" w:rsidRDefault="008107C7" w:rsidP="008107C7">
      <w:pPr>
        <w:pStyle w:val="TextoNormal"/>
      </w:pPr>
      <w:r>
        <w:t>En efecto, la Audiencia se limitó a utilizar frases estereotipadas en torno a la mejor posición del juzgador de la primera instancia para efectuar la valoración de la prueba practicada, así como en torno a genéricos y abstractos conceptos acuñados en el acervo técnico-jurídico sobre la configuración de la imprudencia en general, sin referencia alguna, no ya al caso concreto enjuiciado, sino ni siquiera a la concreta modalidad de imprudencia -simple y sin infracción de reglamentos- por la que el hoy recurrente resultó condenado.</w:t>
      </w:r>
    </w:p>
    <w:p w:rsidR="008107C7" w:rsidRDefault="008107C7" w:rsidP="008107C7">
      <w:pPr>
        <w:pStyle w:val="TextoNormal"/>
      </w:pPr>
      <w:r>
        <w:t>Así pues, y en la línea de la doctrina de la STC 177/1994, que estimaba el amparo solicitado en un supuesto cuya similitud con el presente fue puesta de manifiesto por el Ministerio Fiscal en su escrito de alegaciones, ha de concluirse que la Audiencia Provincial en la Sentencia impugnada se ha limitado a utilizar cláusulas de estilo, vacías de contenido preciso, tan abstractas y genéricas que pueden ser extrapoladas a cualquier otro caso.  Aunque tal resolución da respuesta negativa a la pretensión de ausencia de penalidad sustentada por el apelante, no contiene razonamiento concreto alguno en torno al supuesto de autos que permita, no sólo conocer cuáles han sido los criterios esenciales fundamentadores de la desestimación, sino afirmar que la resolución recaída en instancia ha sido realmente revisada por el Tribunal de apelación.</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Respecto al tercer motivo del recurso de apelación interpuesto por el solicitante de amparo, la respuesta de la Audiencia no es ya insuficiente, sino inexistente. En dicho motivo se denunciaba, subsidiriamente para el supuesto de que no prosperara la pretensión de absolución esgrimida, la indebida aplicación del art. 586 bis introducido por la Ley Orgánica 3/1989, de 21 de junio, y que operaba un agravamiento de las sanciones en relación con el art. 586.3 del Código Penal al que sustituía, precepto éste que el actor estimaba en todo caso </w:t>
      </w:r>
      <w:r>
        <w:lastRenderedPageBreak/>
        <w:t>aplicable por ser el vigente en el momento de realizarse la conducta calificada de imprudente. A dicha cuestión ningún pronunciamiento dedica la Sentencia de apelación, conceptuando el solicitante de amparo tal silencio como un vicio de incongruencia omisiva lesivo del art. 24.1 de la Constitución.</w:t>
      </w:r>
    </w:p>
    <w:p w:rsidR="008107C7" w:rsidRDefault="008107C7" w:rsidP="008107C7">
      <w:pPr>
        <w:pStyle w:val="TextoNormal"/>
      </w:pPr>
      <w:r>
        <w:t>Este Tribunal, desde su STC 20/1982, ha venido elaborando un cuerpo de doctrina acerca del vicio de incongruencia en las resoluciones judiciales y, en lo que se refiere a la incongruencia omisiva, en múltiples ocasiones ha reiterado que no todos los supuestos son susceptibles de una solución unívoca, debiendo ponderarse las circunstancias concurrentes en cada caso para determinar si el silencio de la resolución judicial constituye una auténtica lesión del art.  24.1 CE (SSTC 175/1990, 198/1990, 88/1992, 163/1992, 226/1992, 101/1993, 169/1994, 91/1995, 143/1995, 58/1996, etc.), doctrina igualmente acogida por el Tribunal Europeo de Derechos Humanos en la interpretación del art. 6.1 del Convenio Europeo para la Protección de los Derechos Humanos y de las Libertades Fundamentales (así, en las decisiones Ruíz Torija c.  España, e Hiro Bolani c. España, de 9 de diciembre de 1994). Y a estos efectos se ha acentuado la importancia de distinguir entre las alegaciones aducidas por las partes para fundamentar sus pretensiones y las pretensiones en sí mismas consideradas (SSTC 95/1990, 128/1992, 169/1994, 91/1995, 143/1995, etc.). Respecto a las primeras, no sería necesario para la satisfacción del derecho a la tutela judicial efectiva una contestación explícita y pormenorizada a todas y cada una de ellas, pudiendo bastar, en atención a las circunstancias particulares concurrentes, con una respuesta global o genérica, aunque se omita respecto de alegaciones concretas no sustanciales.  Más rigurosa es la exigencia de congruencia respecto a las pretensiones, siendo necesario para poder apreciar una respuesta tácita -y no una mera omisión- que del conjunto de los razonamientos contenidos en la resolución judicial pueda deducirse razonablemente no sólo que el órgano judicial ha valorado la pretensión deducida, sino, además, los motivos fundamentadores de la respuesta tácita.</w:t>
      </w:r>
    </w:p>
    <w:p w:rsidR="008107C7" w:rsidRDefault="008107C7" w:rsidP="008107C7">
      <w:pPr>
        <w:pStyle w:val="TextoNormal"/>
      </w:pPr>
    </w:p>
    <w:p w:rsidR="008107C7" w:rsidRDefault="008107C7" w:rsidP="008107C7">
      <w:pPr>
        <w:pStyle w:val="TextoNormal"/>
      </w:pPr>
      <w:r w:rsidRPr="008107C7">
        <w:rPr>
          <w:rStyle w:val="NumeroAFNegritaCaracter"/>
        </w:rPr>
        <w:t>5</w:t>
      </w:r>
      <w:r>
        <w:t>. La aplicación de la doctrina constitucional reseñada al supuesto que se analiza determina la estimación de la queja. Como ya ha sido puesto de manifiesto, la cuestión incontestada se suscitó en un momento procesal oportuno, y con ella el actor planteaba una pretensión autónoma y sustancialmente diversa de la relativa a la concurrencia de los requisitos para la punición de los hechos por los que fue condenado. Tal pretensión se sustentaba en la vulneración por la Sentencia de instancia del derecho fundamental a la legalidad penal contenido en el art. 25.1 CE, en su manifestación de predeterminación legal de la pena, cuestión ésta que, además, poseía eventual transcendencia para el fallo, pues del pronunciamiento al respecto de la Sala de apelación dependía el mantenimiento de la pena de multa de 50.000 pesetas o su rebaja de 1.500 a 30.000 pesetas.</w:t>
      </w:r>
    </w:p>
    <w:p w:rsidR="008107C7" w:rsidRDefault="008107C7" w:rsidP="008107C7">
      <w:pPr>
        <w:pStyle w:val="TextoNormal"/>
      </w:pPr>
      <w:r>
        <w:t>Pues bien, la Sentencia de la Audiencia prescinde totalmente de la referida pretensión, no dedicándole alusión alguna. Tampoco su tenor autoriza a interpretar el silencio judicial como una desestimación tácita, al no contener razonamiento que permita suponer que el órgano judicial valoró desestimatoriamente la pretensión deducida.</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La constatación en la Sentencia de la Audiencia Provincial de un vicio de incongruencia omisiva lesivo del art. 24.1 de la Constitución impide que este Tribunal se pronuncie sobre el motivo de amparo que restaría por analizar: la posible vulneración del principio de legalidad penal (art. 25.1 C.E.). Y ello, no solo porque tal cuestión quedó totalmente incontestada en la Sentencia de apelación, sino también por la propia naturaleza de esta última </w:t>
      </w:r>
      <w:r>
        <w:lastRenderedPageBreak/>
        <w:t>violación denunciada, que determinaría en cualquier caso, su devolución al órgano de instancia. Por todo ello, de acuerdo con la naturaleza subsidiaría del recurso de amparo, procede anular la Sentencia de 22 de febrero de 1995, de la Sección Octava de la Audiencia Provincial de Barcelona, para que dicho órgano judicial se pronuncie fundadamente sobre todos los motivos del recurso de apelación, incluida la cuestión de la Ley penal aplicable al supuesto enjuiciado.</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Otorgar parcialmente el amparo solicitado por don Lluis Jordá Sala y, en consecuencia:</w:t>
      </w:r>
    </w:p>
    <w:p w:rsidR="008107C7" w:rsidRDefault="008107C7" w:rsidP="008107C7">
      <w:pPr>
        <w:pStyle w:val="TextoNormal"/>
      </w:pPr>
      <w:r>
        <w:t>1º Reconocer al recurrente su derecho a la tutela judicial efectiva.</w:t>
      </w:r>
    </w:p>
    <w:p w:rsidR="008107C7" w:rsidRDefault="008107C7" w:rsidP="008107C7">
      <w:pPr>
        <w:pStyle w:val="TextoNormal"/>
      </w:pPr>
      <w:r>
        <w:t>2º Anular la Sentencia de 22 de febrero de 1995 dictada por la Sección Octava de la Audiencia Provincial de Barcelona en el rollo de apelación núm.  8.802/94.</w:t>
      </w:r>
    </w:p>
    <w:p w:rsidR="008107C7" w:rsidRDefault="008107C7" w:rsidP="008107C7">
      <w:pPr>
        <w:pStyle w:val="TextoNormal"/>
      </w:pPr>
      <w:r>
        <w:t>3º Retrotraer las actuaciones al momento inmediatamente anterior al de dictarse la Sentencia anulada, a fin que la Sección Octava de la Audiencia Provincial de Barcelona dicte otra en la que resuelva todos los motivos del recurso de apelación.</w:t>
      </w:r>
    </w:p>
    <w:p w:rsidR="008107C7" w:rsidRDefault="008107C7" w:rsidP="008107C7">
      <w:pPr>
        <w:pStyle w:val="TextoNormal"/>
      </w:pPr>
      <w:r>
        <w:t>4º Desestimar el recurso en todo lo demás.</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once de febrero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30" w:name="SENTENCIA_1997_27"/>
      <w:r>
        <w:lastRenderedPageBreak/>
        <w:t>SENTENCIA 27/1997, de 11 de febrero de 1997</w:t>
      </w:r>
    </w:p>
    <w:bookmarkEnd w:id="30"/>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63, de 14 de marzo de 1997)</w:t>
      </w:r>
    </w:p>
    <w:p w:rsidR="008107C7" w:rsidRDefault="008107C7" w:rsidP="008107C7">
      <w:pPr>
        <w:pStyle w:val="TtuloBOE"/>
      </w:pPr>
    </w:p>
    <w:p w:rsidR="008107C7" w:rsidRDefault="008107C7" w:rsidP="008107C7">
      <w:pPr>
        <w:pStyle w:val="SntesisDescriptiva"/>
      </w:pPr>
      <w:r>
        <w:t>ECLI:ES:TC:1997:27</w:t>
      </w:r>
    </w:p>
    <w:p w:rsidR="008107C7" w:rsidRDefault="008107C7" w:rsidP="008107C7">
      <w:pPr>
        <w:pStyle w:val="SntesisDescriptiva"/>
      </w:pPr>
    </w:p>
    <w:p w:rsidR="008107C7" w:rsidRDefault="008107C7" w:rsidP="008107C7">
      <w:pPr>
        <w:pStyle w:val="SntesisDescriptiva"/>
      </w:pPr>
      <w:r>
        <w:t>Recurso de amparo 1.526/1995. Promovido por la Unión General de Trabajadores contra Auto de la Sala de lo Penal de la Audiencia Nacional, desestimatorio de recurso de queja interpuesto contra el dictado por el Juzgado Central de Instrucción núm. 3, recaídos en la pieza separada de responsabilidad civil de diligencias previas instruidas por delitos de apropiación indebida y estafa.</w:t>
      </w:r>
    </w:p>
    <w:p w:rsidR="008107C7" w:rsidRDefault="008107C7" w:rsidP="008107C7">
      <w:pPr>
        <w:pStyle w:val="SntesisDescriptiva"/>
      </w:pPr>
    </w:p>
    <w:p w:rsidR="008107C7" w:rsidRDefault="008107C7" w:rsidP="008107C7">
      <w:pPr>
        <w:pStyle w:val="SntesisAnaltica"/>
      </w:pPr>
      <w:r>
        <w:t>Supuesta vulneración del derecho de libertad sindical: inexistencia de lesión efectiva. Voto particular.</w:t>
      </w:r>
    </w:p>
    <w:p w:rsidR="008107C7" w:rsidRDefault="008107C7" w:rsidP="008107C7">
      <w:pPr>
        <w:pStyle w:val="SntesisAnaltica"/>
      </w:pPr>
    </w:p>
    <w:p w:rsidR="008107C7" w:rsidRDefault="008107C7" w:rsidP="008107C7">
      <w:pPr>
        <w:pStyle w:val="Extracto"/>
      </w:pPr>
      <w:r>
        <w:t>1.</w:t>
      </w:r>
      <w:r>
        <w:tab/>
        <w:t>La regla general, destinada a garantizar el cumplimiento del principio constitucional de "subsidiariedad" (art. 53.2 C.E) y, con él, a dispensar una inmediata y más rápida tutela de los derechos fundamentales por los Tribunales ordinarios, es la de que contra las resoluciones procesales interlocutorias no cabe, en principio, la interposición de un recurso de amparo directo ante este Tribunal, sino que debe el particular utilizar los cauces procesales adecuados para obtener el restablecimiento del derecho, bien en la resolución definitiva de instancia, bien por los Tribunales superiores, a través del ejercicio de los recursos hasta agotar la vía judicial previa, todo ello como presupuesto para interponer el recurso constitucional de amparo. Pero esta regla general ha de ser excepcionada en supuestos específicos en los que, de obligar al particular a agotar la vía judicial ordinaria, se produciría una injustificada perpetuación en el tiempo de la lesión de su derecho fundamental o se consumaría definitivamente dicha violación, haciéndose imposible o dificultándose gravemente el restablecimiento in integrum por el Tribunal Constitucional del derecho fundamental vulnerado. Por esta razón, y porque el recurso de amparo no sólo está dirigido a restablecer, sino también a "preservar" el libre ejercicio de los derechos fundamentales (art. 41.3 LOTC), la doctrina de este Tribunal ha modulado, en ocasiones, la rigurosa observancia de este presupuesto procesal. Así, ha admitido recursos de amparo directos por infracción del derecho al Juez legal (art. 24.2) cuando se reclamaba la constitución de un Juez ordinario frente a la jurisdicción militar (STC 161/1995), en determinados casos de "habeas corpus" (SSTC 153/1988, 106/1992, 1/1995 y 154/1995) y, en general, cuando pudiera infringirse el derecho a la libertad del art. 17 C.E. (por todas, STC 128/1995). Asimismo, han de comprenderse también los supuestos de resoluciones interlocutorias que infrinjan derechos fundamentales de carácter material, distintos a los contenidos en el art. 24 C.E., y que no puedan directa o indirectamente ser subsumidos en dicha norma constitucional y, en su caso, las vulneraciones ser restablecidas a través de los derechos y garantías contenidos en el referido art. 24 de la Constitución [F.J. 2]</w:t>
      </w:r>
    </w:p>
    <w:p w:rsidR="008107C7" w:rsidRDefault="008107C7" w:rsidP="008107C7">
      <w:pPr>
        <w:pStyle w:val="Extracto"/>
      </w:pPr>
    </w:p>
    <w:p w:rsidR="008107C7" w:rsidRDefault="008107C7" w:rsidP="008107C7">
      <w:pPr>
        <w:pStyle w:val="Extracto"/>
      </w:pPr>
      <w:r>
        <w:lastRenderedPageBreak/>
        <w:t>2.</w:t>
      </w:r>
      <w:r>
        <w:tab/>
        <w:t>No se trata, aquí de admitir un recurso de amparo directo contra una medida cautelar, aduciendo al respecto un hipotético derecho fundamental "a la tutela cautelar", supuestamente contenido en el art. 24.1 de la C.E. -que, este Tribunal, como regla general, no ha afirmado (SSTC 237/1991, 218/1994 y ATC 63/1993-, sino de determinar si dicha medida cautelar, en la cuantía económica de que se trata, puede lesionar autonomamente el art. 28.1 C.E. y si el rigorista cumplimiento del presupuesto del agotamiento de la vía judicial ordinaria podría llegar a ocasionar la vulneración de este derecho fundamental material, impidiendo su restitutio in integrum, bien en la Sentencia definitiva dictada por los Tribunales ordinarios, bien por este Tribunal en el cauce de un futuro recurso de amparo contra dicha Sentencia definitiva. En este sentido, es claro que, aun cuando la naturaleza de la resolución que nos ocupa participe de la de las medidas cautelares aseguratorias de la pretensión civil, una fianza como la acordada en el presente caso, que supusiera la práctica paralización de la actividad sindical, podría constituir, por sí misma, una lesión del derecho a la libertad sindical del art. 28.1 C.E., siendo no susceptible de futuro restablecimiento por la Sentencia penal de instancia. Así, pues, basta con constatar racionalmente esta posibilidad para estimar cumplido, en este caso, el requisito del agotamiento de la vía judicial ordinaria, razón por la cual hemos de declarar admisible el presente recurso de amparo [F.J. 3]</w:t>
      </w:r>
    </w:p>
    <w:p w:rsidR="008107C7" w:rsidRDefault="008107C7" w:rsidP="008107C7">
      <w:pPr>
        <w:pStyle w:val="Extracto"/>
      </w:pPr>
    </w:p>
    <w:p w:rsidR="008107C7" w:rsidRDefault="008107C7" w:rsidP="008107C7">
      <w:pPr>
        <w:pStyle w:val="Extracto"/>
      </w:pPr>
      <w:r>
        <w:t>3.</w:t>
      </w:r>
      <w:r>
        <w:tab/>
        <w:t>Entrando ya en el examen del fondo de este recurso, se comprueba, ello no obstante, que la violación del derecho a la libertad sindical no se ha producido. En efecto, del examen de las actuaciones claramente se desprende que no consta que se haya efectuado traba alguna del patrimonio sindical de la recurrente, ni que se haya declarado siquiera la insolvencia de los responsables civiles directos; presupuesto indispensable este último para poder perseguir los bienes de la demandante en amparo que, en el proceso de instancia, ocupa la situación de responsable civil subsidiaria. De conformidad con lo dispuesto en los arts. 161.1 b) de la Constitución y 41.2 y 44.1 LOTC, el recurso de amparo solo es procedente frente a las violaciones de los derechos fundamentales por los poderes públicos o, dicho en otras palabras, es necesario cumplir con el requisito material de la actualidad e inmediatez de la lesión. A este respecto, constituye una doctrina jurisprudencial consolidada la de que el recurso de amparo no posee una función meramente preventiva o cautelar, por lo que únicamente es admisible ante la existencia real y concreta, efectiva y cierta de vulneraciones de derechos fundamentales y libertades públicas, siendo improcedente frente a lesiones meramente temidas, potenciales o futuras (SSTC 110/1984, 46/1986, 37/1989 y 168/1996, entre otras) [F.J. 4]</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1.526/95 promovido por la Unión General de Trabajadores, representada por la Procuradora de los Tribunales doña Elisa Hurtado Pérez y asistida del Letrado don José Manuel Chinchilla Alvargonzález, contra el Auto de la Sección Segunda de la Sala de lo Penal de la Audiencia Nacional, de 28 de marzo de 1995, desestimatorio del recurso de queja interpuesto contra el dictado por el Juzgado Central de Instrucción núm. 3 en 25 de enero de 1995, recaídos en la pieza separada de responsabilidad civil de las diligencias previas núm. 26/94 instruidas por delitos de apropiación indebida y estafa. Han comparecido el Ministerio Fiscal y la Asociación de Cooperativistas del Plan 18000 del Polígono El Espinillo de Madrid, representada por el Procurador don Pablo Oterino Menéndez y asistida del Letrado don Pedro Podera Arias. Ha sido Ponente el Magistrado don Vicente Gimeno Sendra,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Por escrito presentado en el Juzgado de Guardia el día 25 de abril de 1995 - registrado en este Tribunal el 27 siguiente- la Procuradora de los Tribunales doña Elisa Hurtado Pérez, en nombre y representación de la Unión General de Trabajadores, interpuso recurso de amparo contra el Auto de la Sección Segunda de la Sala de lo Penal de la Audiencia Nacional de 28 de marzo de 1995, desestimatorio del recurso de queja interpuesto contra el dictado por el Juzgado Central de Instrucción núm. 3 en 25 de enero de 1995.</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La demanda presentada se basa en los siguientes hechos: </w:t>
      </w:r>
    </w:p>
    <w:p w:rsidR="008107C7" w:rsidRDefault="008107C7" w:rsidP="008107C7">
      <w:pPr>
        <w:pStyle w:val="TextoNormal"/>
      </w:pPr>
      <w:r>
        <w:t xml:space="preserve">a) Como consecuencia de las denuncias y querellas formuladas por diversos socios de la Sociedad Cooperativa Promoción Social de Viviendas (PSV), el Juzgado Central de Instrucción núm. 3 incoó diligencias previas contra los integrantes del Consejo de Administración de Iniciativas de Gestión y Servicios Urbanos (IGS, S.A.), gestora de la referida Cooperativa. </w:t>
      </w:r>
    </w:p>
    <w:p w:rsidR="008107C7" w:rsidRDefault="008107C7" w:rsidP="008107C7">
      <w:pPr>
        <w:pStyle w:val="TextoNormal"/>
      </w:pPr>
      <w:r>
        <w:t xml:space="preserve">b) El Juzgado por Auto de 25 de enero de 1995 -que reformó parcialmente el de 28 de octubre de 1994- acordó, para asegurar las responsabilidades pecuniarias que pudieran declararse procedentes, que de forma principal, directa y solidaria los inculpados prestaran fianza por importe de cuarenta y dos mil millones de pesetas y, caso de no constituirla, se procedería al embargo de bienes suficientes. Subsidiariamente se responsabilizó, entre otras entidades, al Sindicato ahora recurrente, aunque el embargo nunca alcanzaría a las cuotas de los afiliados. </w:t>
      </w:r>
    </w:p>
    <w:p w:rsidR="008107C7" w:rsidRDefault="008107C7" w:rsidP="008107C7">
      <w:pPr>
        <w:pStyle w:val="TextoNormal"/>
      </w:pPr>
      <w:r>
        <w:t xml:space="preserve">Ha quedado constatado -expresaba el fundamento jurídico segundo del precitado Auto de 28 de octubre de 1994- que la Cooperativa PSV fue constituida a instancia de UGT, la cual además percibía una cantidad de 80.000 ptas. por cada contrato de adjudicación de vivienda firmado por los socios cooperativistas con IGS, S.A. o la Cooperativa y también la íntima relación e incluso sustancial identidad entre IGS, S.A., PSV y UGT, pues dirigentes cualificados del Sindicato son a su vez los máximos directivos de la Cooperativa y el Sindicato ostenta representación institucional en el Consejo de Administración de la mercantil y la propiedad del cien por cien de su capital social. Por ello y de conformidad con lo </w:t>
      </w:r>
      <w:r>
        <w:lastRenderedPageBreak/>
        <w:t xml:space="preserve">dispuesto en los arts. 22 del Código Penal y 615 de la L.E.Crim., debe ser declarada su responsabilidad civil subsidiaria. </w:t>
      </w:r>
    </w:p>
    <w:p w:rsidR="008107C7" w:rsidRDefault="008107C7" w:rsidP="008107C7">
      <w:pPr>
        <w:pStyle w:val="TextoNormal"/>
      </w:pPr>
      <w:r>
        <w:t xml:space="preserve">c) Recurrido en queja, el recurso fue desestimado por Auto de la Sección Segunda de la Sala de lo Penal de la Audiencia Nacional de 28 de marzo de 1995: </w:t>
      </w:r>
    </w:p>
    <w:p w:rsidR="008107C7" w:rsidRDefault="008107C7" w:rsidP="008107C7">
      <w:pPr>
        <w:pStyle w:val="TextoNormal"/>
      </w:pPr>
      <w:r>
        <w:t>"... sobre el expresado temor -razonaba la Sala- por el recurrente de que esta medida cautelar pueda afectar a la libertad sindical, hay que significar que la adopción de la medida, dejando en todo caso a salvo lo que por ley es inembargable, puede llevarse a cabo de muy diversas formas, y es de esperar de la prudencia del instructor que elija aquélla que, sin menoscabo de la garantía de los posibles perjudicados, suponga el menor obstáculo al ejercicio de los derechos sindicales" (fundamento de Derecho tercero).</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El recurso de amparo imputa a la Sala haber lesionado el 24.1 de la C.E., porque no puede considerarse como una respuesta suficiente y razonada en Derecho aquélla que se limita a remitir la solución de la pretensión ejercida a una eventual actuación del juzgador cuya resolución se recurre. </w:t>
      </w:r>
    </w:p>
    <w:p w:rsidR="008107C7" w:rsidRDefault="008107C7" w:rsidP="008107C7">
      <w:pPr>
        <w:pStyle w:val="TextoNormal"/>
      </w:pPr>
      <w:r>
        <w:t xml:space="preserve">Y a ambas resoluciones judiciales una vulneración del art. 28.1 de la C. E. Argumenta, en síntesis, que pese a la conexión de la medida cautelar adoptada con el derecho a la tutela judicial de los perjudicados, inevitablemente implica, por su cuantía, la totalidad de los bienes del sindicato y, por tanto, impide el ejercicio de la actividad sindical. Se trata, pues, de un conflicto de derechos que no debe resolverse sacrificando el derecho de libertad sindical, en atención a las siguientes circunstancias: a) la garantía de los bienes inembargables (art. 5.3 de la L.O.L.S.) no permite a un sindicato más representativo desarrollar siquiera sus funciones mínimas; b) el embargo sirve a una futura y eventual tutela judicial de los cooperativistas, mientras que la afectación de la libertad sindical es directa, inmediata, actual e irreparable en el futuro; c) la adopción de la medida cautelar posee un carácter meramente potestativo -art. 785 octava b) de la L.E.Crim.- y se basa en el periculum in mora, riesgo prácticamente inexistente en este supuesto; d) la Ley prevé además otras posibilidades menos gravosas. </w:t>
      </w:r>
    </w:p>
    <w:p w:rsidR="008107C7" w:rsidRDefault="008107C7" w:rsidP="008107C7">
      <w:pPr>
        <w:pStyle w:val="TextoNormal"/>
      </w:pPr>
      <w:r>
        <w:t>Interesa, por ello, la nulidad de las resoluciones judiciales impugnadas, en cuanto decretan el embargo de bienes de la recurrente y, subsidiariamente, la nulidad del Auto de la Sala para que adopte la decisión que proceda sobre la naturaleza, alcance y contenido de la medida cautelar, de acuerdo con el significado constitucional de la libertad sindical. Y al amparo del art. 56.1 de la LOTC. solicita asimismo la suspensión de la ejecución de los actos recurridos.</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La Sección Segunda, por providencia de 14 de junio de 1995, acordó admitir a trámite la demanda, sin perjuicio de lo que resulte de los antecedentes; tener por personada y parte, en nombre y representación de la demandante, a la Procuradora doña Elisa Hurtado Pérez y, a tenor de lo dispuesto en el art. 51 de la LOTC, requerir a los órganos judiciales para que remitan testimonio de las actuaciones y practiquen los correspondientes emplazamientos. </w:t>
      </w:r>
    </w:p>
    <w:p w:rsidR="008107C7" w:rsidRDefault="008107C7" w:rsidP="008107C7">
      <w:pPr>
        <w:pStyle w:val="TextoNormal"/>
      </w:pPr>
      <w:r>
        <w:t>La Sección, por providencia de 11 de septiembre de 1995, acordó tener por personado y parte al Procurador don Pablo Oterino Menéndez, en nombre y representación de la Asociación de Cooperativistas del Plan 18000 del Polígono El Espinillo de Madrid; acusar recibo a la Sala de lo Penal de la Audiencia Nacional y al Juzgado Central de Instrucción núm. 3 del testimonio de las actuaciones remitidas y, a tenor del art. 52 de la LOTC, dar vista de lo actuado, por un plazo común de veinte días, al Ministerio Fiscal y a los Procuradores personados para que puedan presentar las alegaciones que a su derecho convengan.</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5</w:t>
      </w:r>
      <w:r>
        <w:t>. La representación de la recurrente ratificó íntegramente las consideraciones ya vertidas en su demanda.</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La representación de la Asociación de Cooperativistas del Plan 18000 del Polígono El Espinillo de Madrid solicitó la denegación del amparo. La medida cautelar se justifica por la necesidad de proteger el derecho de resarcimiento de los perjudicados y, por tanto, engarza con el contenido del art. 24.1 C.E. </w:t>
      </w:r>
    </w:p>
    <w:p w:rsidR="008107C7" w:rsidRDefault="008107C7" w:rsidP="008107C7">
      <w:pPr>
        <w:pStyle w:val="TextoNormal"/>
      </w:pPr>
      <w:r>
        <w:t xml:space="preserve">La imposición de la fianza en nada afecta a la libertad sindical. La mayor o menor cuantía del patrimonio de un sindicato no influye en la consecución legítima de sus objetivos, que puede lograrse sin ningún tipo de patrimonio o con uno de muy reducidas dimensiones y sólo con las cuotas de los afiliados. La libertad sindical no puede confundirse con la libre disponibilidad de los bienes del sindicato, ni puede defenderse una suerte de inmunidad de los bienes sindicales frente a cualquier clase de actuaciones jurídicas. El embargo es una simple medida cautelar y como tal no priva al sindicato de los bienes imprescindibles para el ejercicio de sus funciones y, además, no se prueba que la cuantía del afianzamiento implique la totalidad de sus bienes. </w:t>
      </w:r>
    </w:p>
    <w:p w:rsidR="008107C7" w:rsidRDefault="008107C7" w:rsidP="008107C7">
      <w:pPr>
        <w:pStyle w:val="TextoNormal"/>
      </w:pPr>
      <w:r>
        <w:t xml:space="preserve">El art. 7 C.E. habla de intereses económicos y sociales que son propios de los sindicatos, no de intereses empresariales ajenos a su cometido, de especulaciones económicas que para nada atienden al interés de los trabajadores. Cuando un sindicato concurre con los demás agentes sociales en meras operaciones especulativas propias de la libre economía de mercado, no está ejercitando su misión sindical y debe asumir el mismo riesgo que cualquier otro empresario, puesto que en caso contrario se consagraría un privilegio inadmisible. </w:t>
      </w:r>
    </w:p>
    <w:p w:rsidR="008107C7" w:rsidRDefault="008107C7" w:rsidP="008107C7">
      <w:pPr>
        <w:pStyle w:val="TextoNormal"/>
      </w:pPr>
      <w:r>
        <w:t>Y respecto de la pretendida lesión del art. 24.1 C.E., las resoluciones impugnadas son ajustadas a Derecho y la Sala se ha pronunciado sobre el problema planteado, aunque no satisfaga la pretensión de la recurrente. En fin, no cabe adoptar otras medidas cautelares en un procedimiento de esta naturaleza.</w:t>
      </w:r>
    </w:p>
    <w:p w:rsidR="008107C7" w:rsidRDefault="008107C7" w:rsidP="008107C7">
      <w:pPr>
        <w:pStyle w:val="TextoNormal"/>
      </w:pPr>
    </w:p>
    <w:p w:rsidR="008107C7" w:rsidRDefault="008107C7" w:rsidP="008107C7">
      <w:pPr>
        <w:pStyle w:val="TextoNormal"/>
      </w:pPr>
      <w:r w:rsidRPr="008107C7">
        <w:rPr>
          <w:rStyle w:val="NumeroAFNegritaCaracter"/>
        </w:rPr>
        <w:t>7</w:t>
      </w:r>
      <w:r>
        <w:t xml:space="preserve">. El Fiscal ante el Tribunal Constitucional interesó asimismo la desestimación del amparo. Tras reseñar los antecedentes y fundamentación jurídica de la demanda, que sitúa el debate en el terreno de la libertad sindical, precisa ante todo que no se cuestiona ni podría hacerse en esta vía de amparo la declaración de responsabilidad civil subsidiaria que motiva el embargo. </w:t>
      </w:r>
    </w:p>
    <w:p w:rsidR="008107C7" w:rsidRDefault="008107C7" w:rsidP="008107C7">
      <w:pPr>
        <w:pStyle w:val="TextoNormal"/>
      </w:pPr>
      <w:r>
        <w:t xml:space="preserve">Con cita de la STC 51/1988 destaca, en primer término, que no es posible sostener que la supuesta preeminencia del derecho fundamental a la libertad sindical vacíe radicalmente de contenido el derecho de víctimas y perjudicados a percibir una condigna reparación o indemnización del daño y perjuicios causados. No discutida la existencia de un delito y de la pertinente responsabilidad civil subsidiaria de la UGT, el Juez instructor debe proveer al aseguramiento de aquellas responsabilidades civiles, que constituye además fin primordial del proceso para no defraudar los legítimos derechos de las víctimas y perjudicados por el delito. Ni la L.E.Crim. ni la L.E.C. prevén una excepción como la que pretende el demandante. Ciertamente, adoptar o no la medida cautelar de responsabilidad civil es en principio una decisión discrecional, pero no en un supuesto como el de autos en el que declarada una cuantiosísima suma de perjuicio económico, se impone por el Juzgado su aseguramiento. </w:t>
      </w:r>
    </w:p>
    <w:p w:rsidR="008107C7" w:rsidRDefault="008107C7" w:rsidP="008107C7">
      <w:pPr>
        <w:pStyle w:val="TextoNormal"/>
      </w:pPr>
      <w:r>
        <w:t xml:space="preserve">Ante un choque entre dos derechos fundamentales, los elementos de razonabilidad y proporcionalidad no pueden hurtarse del análisis de la solución y en el caso presente el sacrificio de derechos de terceros en beneficio de la protección de un sindicato no parece ni razonable ni proporcionada a los fines perseguidos, máxime habida cuenta de la enorme masa </w:t>
      </w:r>
      <w:r>
        <w:lastRenderedPageBreak/>
        <w:t xml:space="preserve">de capital defraudado y del gran número de víctimas del delito perseguido. Además, ni en la regulación de la L.E.C. ni en la de la L.E.Crim. o legislación procesal o substantiva conexa se ha establecido algún tipo de exoneración en estas situaciones. </w:t>
      </w:r>
    </w:p>
    <w:p w:rsidR="008107C7" w:rsidRDefault="008107C7" w:rsidP="008107C7">
      <w:pPr>
        <w:pStyle w:val="TextoNormal"/>
      </w:pPr>
      <w:r>
        <w:t xml:space="preserve">En segundo lugar, resulta harto dudoso que las conductas perseguidas en la causa penal, incluso en su origen civil-mercantil, puedan ampararse sin más en las finalidades que la libertad sindical ha diseñado para las legítimas actividades sindicales stricto sensu (Convenios núm. 87 y 98 de la O.I.T. y art. 2.1 de la L.O.L.S.). En último extremo y aun admitiendo que la actividad de la UGT en la promoción inmobiliaria aparezca indirectamente conectada con la libertad sindical, esta conexión indirecta se difumina todavía más cuando surge una presunta responsabilidad civil derivada de unas conductas delictivas. </w:t>
      </w:r>
    </w:p>
    <w:p w:rsidR="008107C7" w:rsidRDefault="008107C7" w:rsidP="008107C7">
      <w:pPr>
        <w:pStyle w:val="TextoNormal"/>
      </w:pPr>
      <w:r>
        <w:t xml:space="preserve">En tercer lugar, la demanda no concreta qué salida jurídica le queda al Instructor, ni precisa la posible solución legal que salvaguardara el patrimonio afecto a su libertad de actividad sindical, asegurando además su sujeción al futuro cumplimiento de su posición como responsable civil subsidiario. Tampoco demuestra con un mínimo de concreción documental por qué y en qué alcance la fianza establecida impide su actividad sindical, lo que revela el carácter prematuro de este recurso de amparo. </w:t>
      </w:r>
    </w:p>
    <w:p w:rsidR="008107C7" w:rsidRDefault="008107C7" w:rsidP="008107C7">
      <w:pPr>
        <w:pStyle w:val="TextoNormal"/>
      </w:pPr>
      <w:r>
        <w:t xml:space="preserve">Es evidente además que quedan exentos de las medidas cautelares adoptadas los bienes del sindicato de carácter inembargable, en general y en especial lo que afecta al funcionamiento esencial y mínimo del sindicato (art. 5.3 de la L.O.L.S.). Si lo que se desea es que el amparo declare algo más, ello es, de un lado, casi imposible de precisar sin datos patrimoniales de UGT y, de otro, una declaración genérica es tan insuficiente como prematura, ya que el control de esa posible extralimitación de futuro en que pudiera incurrir el Juez Instructor sería revisable en tal momento en vía ordinaria y eventualmente en amparo. </w:t>
      </w:r>
    </w:p>
    <w:p w:rsidR="008107C7" w:rsidRDefault="008107C7" w:rsidP="008107C7">
      <w:pPr>
        <w:pStyle w:val="TextoNormal"/>
      </w:pPr>
      <w:r>
        <w:t>En cuanto a la queja relativa al art. 24.1 C.E., los Autos impugnados no están carentes de motivación bastante ni resultan desproporcionados en su perspectiva de control de constitucionalidad (STC 66/1989), dejando al Instructor su imprescindible ámbito de legalidad ordinaria que le confiere en exclusividad el art. 117.3 C.E. (arts. 589 y 615 de la L.E.Crim.). La fundamentación del Auto que decidió la queja, aunque sea de manera escueta, otorga una respuesta razonable y sirve además para introducir un tema esencial: el carácter prematuro de la pretensión deducida. En efecto, si se acepta que no es posible obviar la consecuencia de proveer a la declaración de responsabilidad civil del sindicato y la fijación de una fianza, debe esperarse a que el Instructor adopte las medidas de diseño y ejecución del Auto y sólo cuando sus decisiones supongan la imposición de medidas que puedan afectar a la libertad sindical, UGT podrá formular primero ante el Instructor, luego ante la Sala y posteriormente ante el Tribunal Constitucional las quejas que ahora esgrime prematuramente. El Instructor sólo ha declarado la responsabilidad civil de UGT y la cuantía de la fianza, y como quiera que ello per se y ante legem no vulnera los arts. 24.1 y 28.1 C.E., recurrir tales decisiones por sus posibles consecuencias futuras supone una anticipación [art. 44.1 a) LOTC], que va unida a su carácter interlocutorio y, por ende, no susceptible de amparo. No cabe ignorar finalmente que estas medidas cautelares pueden ser objeto de modificación cuando la variación de circunstancias así lo aconseje (art. 612 de la L.E.Crim.).</w:t>
      </w:r>
    </w:p>
    <w:p w:rsidR="008107C7" w:rsidRDefault="008107C7" w:rsidP="008107C7">
      <w:pPr>
        <w:pStyle w:val="TextoNormal"/>
      </w:pPr>
    </w:p>
    <w:p w:rsidR="008107C7" w:rsidRDefault="008107C7" w:rsidP="008107C7">
      <w:pPr>
        <w:pStyle w:val="TextoNormal"/>
      </w:pPr>
      <w:r w:rsidRPr="008107C7">
        <w:rPr>
          <w:rStyle w:val="NumeroAFNegritaCaracter"/>
        </w:rPr>
        <w:t>8</w:t>
      </w:r>
      <w:r>
        <w:t>. A instancia de la recurrente la Sección, por providencia de 14 de junio de 1995, dispuso formar la correspondiente pieza separada para tramitar el incidente de suspensión, a la que se opusieron tanto el Ministerio Fiscal como la Asociación de Cooperativistas comparecida en este proceso.</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9</w:t>
      </w:r>
      <w:r>
        <w:t>. La Sala por providencia de 11 de noviembre de 1996 acordó denegar la prueba propuesta por el Procurador Sr. Oterino Menéndez al no estimarla procedente y reclamar del Juzgado Central la Instrucción núm. 3 certificación de las fechas de emplazamiento a los Procuradores de las partes personadas o fotocopias de las diligencias de emplazamiento en su día practicadas.</w:t>
      </w:r>
    </w:p>
    <w:p w:rsidR="008107C7" w:rsidRDefault="008107C7" w:rsidP="008107C7">
      <w:pPr>
        <w:pStyle w:val="TextoNormal"/>
      </w:pPr>
    </w:p>
    <w:p w:rsidR="008107C7" w:rsidRDefault="008107C7" w:rsidP="008107C7">
      <w:pPr>
        <w:pStyle w:val="TextoNormal"/>
      </w:pPr>
      <w:r w:rsidRPr="008107C7">
        <w:rPr>
          <w:rStyle w:val="NumeroAFNegritaCaracter"/>
        </w:rPr>
        <w:t>10</w:t>
      </w:r>
      <w:r>
        <w:t>. Por providencia de 10 de febrero de 1997 se acordó señalar el siguiente día 11 de febrero para deliberación y votación de la presente Sentencia.</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El recurso de amparo se dirige contra los referidos Autos del Juzgado Central de Instrucción núm. 3 y de la Sección Segunda de la Sala de lo Penal de la Audiencia Nacional, en cuya virtud y para asegurar las responsabilidades pecuniarias que pudieran declararse procedentes, se exige que los inculpados presten fianza por importe de cuarenta y dos mil millones de pesetas, con apercibimiento, en caso contrario, de embargar bienes suficientes, y se considera al Sindicato ahora recurrente responsable civil subsidiario.</w:t>
      </w:r>
    </w:p>
    <w:p w:rsidR="008107C7" w:rsidRDefault="008107C7" w:rsidP="008107C7">
      <w:pPr>
        <w:pStyle w:val="TextoNormal"/>
      </w:pPr>
      <w:r>
        <w:t>A tales resoluciones les imputa el demandante una vulneración del art. 28.1 C.E., toda vez que la medida cautelar adoptada impide, por su cuantía, el ejercicio de la actividad sindical.  Además achaca a la decisión de la Sala que resolvió el recurso de queja haber lesionado el art. 24.1 C.E. porque, frente a la pretensión ejercitada, se limita a remitir a la prudencia del Instructor la ejecución de la medida.</w:t>
      </w:r>
    </w:p>
    <w:p w:rsidR="008107C7" w:rsidRDefault="008107C7" w:rsidP="008107C7">
      <w:pPr>
        <w:pStyle w:val="TextoNormal"/>
      </w:pPr>
    </w:p>
    <w:p w:rsidR="008107C7" w:rsidRDefault="008107C7" w:rsidP="008107C7">
      <w:pPr>
        <w:pStyle w:val="TextoNormal"/>
      </w:pPr>
      <w:r w:rsidRPr="008107C7">
        <w:rPr>
          <w:rStyle w:val="NumeroAFNegritaCaracter"/>
        </w:rPr>
        <w:t>2</w:t>
      </w:r>
      <w:r>
        <w:t>. Con anterioridad al examen del fondo se hace preciso dilucidar la concurrencia del presupuesto de la falta de agotamiento de todos los recursos utilizables en la vía judicial [art.  44.1a) LOTC], implícitamente alegada por el Ministerio Fiscal.</w:t>
      </w:r>
    </w:p>
    <w:p w:rsidR="008107C7" w:rsidRDefault="008107C7" w:rsidP="008107C7">
      <w:pPr>
        <w:pStyle w:val="TextoNormal"/>
      </w:pPr>
      <w:r>
        <w:t>Es doctrina de este Tribunal que el art. 44.1 a) de la LOTC impide impetrar directamente el amparo constitucional contra resoluciones incidentales recaídas en un proceso penal aún no concluido; es en el marco del propio proceso donde deben invocarse y, en su caso, repararse las vulneraciones de derechos fundamentales que hubieran podido originarse, salvo que no quepa otra vía para remediarlas que el recurso de amparo (SSTC 32/1994, 147/1994, 174/1994, 196/1995 y 63/1996 y AATC 168/1995 y 173/1995).  "El rigor de esta regla general -precisa la STC 247/1994 y reiteran las SSTC 318/1994 y 31/1995- admite sin embargo alguna excepción y en concreto que el seguimiento exhaustivo del itinerario procesal previo, con todas sus fases y etapas o instancias, implique un gravamen adicional, una extensión o una mayor intensidad de la lesión del derecho por su mantenimiento en el tiempo, hipótesis que puede darse cuando de la libertad personal se trata".</w:t>
      </w:r>
    </w:p>
    <w:p w:rsidR="008107C7" w:rsidRDefault="008107C7" w:rsidP="008107C7">
      <w:pPr>
        <w:pStyle w:val="TextoNormal"/>
      </w:pPr>
      <w:r>
        <w:t>La regla general, pues, destinada a garantizar el cumplimiento del principio constitucional de "subsidiariedad" (art. 53.2 C.E) y, con él, a dispensar una inmediata y más rápida tutela de los derecho fundamentales por los Tribunales ordinarios, es la de que contra las resoluciones procesales interlocutorias no cabe, en principio, la interposición de un recurso de amparo directo ante este Tribunal, sino que debe el particular utilizar los cauces procesales adecuados (así, la audiencia preliminar en el proceso penal abreviado) para obtener el restablecimiento del derecho, bien en la resolución definitiva de instancia, bien por los Tribunales superiores, a través del ejercicio de los recursos hasta agotar la vía judicial previa, todo ello como presupuesto para interponer el recurso constitucional de amparo.</w:t>
      </w:r>
    </w:p>
    <w:p w:rsidR="008107C7" w:rsidRDefault="008107C7" w:rsidP="008107C7">
      <w:pPr>
        <w:pStyle w:val="TextoNormal"/>
      </w:pPr>
      <w:r>
        <w:lastRenderedPageBreak/>
        <w:t>Pero esta regla general ha de ser excepcionada en supuestos específicos en los que, de obligar al particular a agotar la vía judicial ordinaria se produciría una injustificada perpetuación en el tiempo de la lesión de su derecho fundamental o se consumaría definitivamente dicha violación, haciéndose imposible o dificultándose gravemente el restablecimiento in integrum por el Tribunal Constitucional del derecho fundamental vulnerado.</w:t>
      </w:r>
    </w:p>
    <w:p w:rsidR="008107C7" w:rsidRDefault="008107C7" w:rsidP="008107C7">
      <w:pPr>
        <w:pStyle w:val="TextoNormal"/>
      </w:pPr>
      <w:r>
        <w:t>Por esta razón, y porque el recurso de amparo no sólo está dirigido a restablecer, sino también a "preservar" el libre ejercicio de los derechos fundamentales (art. 41.3 LOTC), la doctrina de este Tribunal ha modulado, en ocasiones, la rigurosa observancia de este presupuesto procesal. Así, ha admitido recursos de amparo directos por infracción del derecho al Juez legal (art. 24.2) cuando se reclamaba la constitución de un Juez ordinario frente a la jurisdicción militar (STC 161/1995, F.J.4), en determinados casos de "habeas corpus" (SSTC 153/1988, 106/1992, 1/1995 y 154/1995) y, en general, cuando pudiera infringirse el derecho a la libertad del art. 17 C.E. (por todas, STC 128/1995).</w:t>
      </w:r>
    </w:p>
    <w:p w:rsidR="008107C7" w:rsidRDefault="008107C7" w:rsidP="008107C7">
      <w:pPr>
        <w:pStyle w:val="TextoNormal"/>
      </w:pPr>
      <w:r>
        <w:t>Asimismo, han de comprenderse también los supuestos de resoluciones interlocutorias que infrinjan derechos fundamentales de carácter material, distintos a los contenidos en el art. 24 C.E., y que no puedan directa o indirectamente ser subsumidos en dicha norma constitucional y, en su caso, las vulneraciones ser restablecidas a través de los derechos y garantías contenidos en el referido art. 24 de la Constitución.</w:t>
      </w:r>
    </w:p>
    <w:p w:rsidR="008107C7" w:rsidRDefault="008107C7" w:rsidP="008107C7">
      <w:pPr>
        <w:pStyle w:val="TextoNormal"/>
      </w:pPr>
    </w:p>
    <w:p w:rsidR="008107C7" w:rsidRDefault="008107C7" w:rsidP="008107C7">
      <w:pPr>
        <w:pStyle w:val="TextoNormal"/>
      </w:pPr>
      <w:r w:rsidRPr="008107C7">
        <w:rPr>
          <w:rStyle w:val="NumeroAFNegritaCaracter"/>
        </w:rPr>
        <w:t>3</w:t>
      </w:r>
      <w:r>
        <w:t>. Desde la óptica de la infracción autónoma del art. 28.1 C.E. hay que residenciar en esta última situación a la resolución impugnada, la cual nos ha sido trasladada una vez que la Central sindical ha interpuesto, contra ella, los recursos ordinarios procedentes (reforma y queja), que han dado la ocasión a los Tribunales ordinarios de restablecer aquel derecho fundamental sustantivo, presuntamente vulnerado, el cual, en cualquier caso, nunca podría ser objeto de restitución a través de la invocación, en la Sentencia definitiva, de los derechos procesales del art. 24 C.E.</w:t>
      </w:r>
    </w:p>
    <w:p w:rsidR="008107C7" w:rsidRDefault="008107C7" w:rsidP="008107C7">
      <w:pPr>
        <w:pStyle w:val="TextoNormal"/>
      </w:pPr>
      <w:r>
        <w:t>No se trata, pues, aquí de admitir un recurso de amparo directo contra una medida cautelar, aduciendo al respecto un hipotético derecho fundamental "a la tutela cautelar", supuestamente contenido en el art. 24.1 de la C.E. -que, este Tribunal, como regla general, no ha afirmado (SSTC 237/1991, 218/1994 y ATC 63/1993-, sino de determinar si dicha medida cautelar, en la cuantía indicada, puede lesionar autonomamente el art. 28.1 C.E.  y si el rigorista cumplimiento del presupuesto del agotamiento de la vía judicial ordinaria podría llegar a ocasionar la vulneración de este derecho fundamental material, impidiendo su restitutio in integrum, bien en la Sentencia definitiva dictada por los Tribunales ordinarios, bien por este Tribunal en el cauce de un futuro recurso de amparo contra dicha Sentencia definitiva.</w:t>
      </w:r>
    </w:p>
    <w:p w:rsidR="008107C7" w:rsidRDefault="008107C7" w:rsidP="008107C7">
      <w:pPr>
        <w:pStyle w:val="TextoNormal"/>
      </w:pPr>
      <w:r>
        <w:t>En este sentido, es claro que, aun cuando la naturaleza de la resolución que nos ocupa participe de la de las medidas cautelares aseguratorias de la pretensión civil, una fianza como la acordada en el presente caso, que supusiera la práctica paralización de la actividad sindical, podría constituir, por sí misma, una lesión del derecho a la libertad sindical del art. 28.1 C.E., siendo no susceptible de futuro restablecimiento por la Sentencia penal de instancia.</w:t>
      </w:r>
    </w:p>
    <w:p w:rsidR="008107C7" w:rsidRDefault="008107C7" w:rsidP="008107C7">
      <w:pPr>
        <w:pStyle w:val="TextoNormal"/>
      </w:pPr>
      <w:r>
        <w:t>Así, pues, basta con constatar racionalmente esta posibilidad para estimar cumplido, en este caso, el requisito del agotamiento de la vía judicial ordinaria, razón por la cual hemos de declarar admisible el presente recurso de amparo.</w:t>
      </w:r>
    </w:p>
    <w:p w:rsidR="008107C7" w:rsidRDefault="008107C7" w:rsidP="008107C7">
      <w:pPr>
        <w:pStyle w:val="TextoNormal"/>
      </w:pPr>
    </w:p>
    <w:p w:rsidR="008107C7" w:rsidRDefault="008107C7" w:rsidP="008107C7">
      <w:pPr>
        <w:pStyle w:val="TextoNormal"/>
      </w:pPr>
      <w:r w:rsidRPr="008107C7">
        <w:rPr>
          <w:rStyle w:val="NumeroAFNegritaCaracter"/>
        </w:rPr>
        <w:t>4</w:t>
      </w:r>
      <w:r>
        <w:t>. Entrando ya en el examen del fondo de este recurso, se comprueba, ello no obstante, que la violación del derecho a la libertad sindical no se ha producido.</w:t>
      </w:r>
    </w:p>
    <w:p w:rsidR="008107C7" w:rsidRDefault="008107C7" w:rsidP="008107C7">
      <w:pPr>
        <w:pStyle w:val="TextoNormal"/>
      </w:pPr>
      <w:r>
        <w:lastRenderedPageBreak/>
        <w:t>En efecto, del examen de las actuaciones claramente se desprende que no consta que se haya efectuado traba alguna del patrimonio sindical de la recurrente, ni que se haya declarado siquiera la insolvencia de los responsables civiles directos; presupuesto indispensable este último para poder perseguir los bienes de la demandante en amparo que, en el proceso de instancia, ocupa la situación de responsable civil subsidiaria.</w:t>
      </w:r>
    </w:p>
    <w:p w:rsidR="008107C7" w:rsidRDefault="008107C7" w:rsidP="008107C7">
      <w:pPr>
        <w:pStyle w:val="TextoNormal"/>
      </w:pPr>
      <w:r>
        <w:t>Esta circunstancia impide a este Tribunal otorgar el amparo, pues, de conformidad con lo dispuesto en los arts. 161.1b) de la Constitución y 41.2 y 44.1 LOTC, el recurso de amparo solo es procedente frente a las violaciones de los derechos fundamentales por los poderes públicos o, dicho en otras palabras, es necesario cumplir con el requisito material de la actualidad e inmediatez de la lesión.</w:t>
      </w:r>
    </w:p>
    <w:p w:rsidR="008107C7" w:rsidRDefault="008107C7" w:rsidP="008107C7">
      <w:pPr>
        <w:pStyle w:val="TextoNormal"/>
      </w:pPr>
      <w:r>
        <w:t>A este respecto, constituye una doctrina jurisprudencial consolidada la de que el recurso de amparo no posee una función meramente preventiva o cautelar, por lo que únicamente es admisible ante la existencia real y concreta, efectiva y cierta de vulneraciones de derechos fundamentales y libertades públicas, siendo improcedente frente a lesiones meramente temidas, potenciales o futuras (SSTC 110/1984, 46/1986, 37/1989 y 168/1996, entre otras).</w:t>
      </w:r>
    </w:p>
    <w:p w:rsidR="008107C7" w:rsidRDefault="008107C7" w:rsidP="008107C7">
      <w:pPr>
        <w:pStyle w:val="TextoNormal"/>
      </w:pPr>
      <w:r>
        <w:t>La anterior doctrina se manifiesta coherente con la naturaleza del objeto procesal de este recurso constitucional, el cual no puede contener meras pretensiones declarativas de futuras lesiones de derechos (STC 189/1993), sino que encierra siempre una pretensión de condena dirigida a obtener la preservación o el restablecimiento de derechos fundamentales que previamente han de haber sido invocados.</w:t>
      </w:r>
    </w:p>
    <w:p w:rsidR="008107C7" w:rsidRDefault="008107C7" w:rsidP="008107C7">
      <w:pPr>
        <w:pStyle w:val="TextoNormal"/>
      </w:pPr>
      <w:r>
        <w:t>El hecho de que no se haya producido embargo de bien alguno de la recurrente, unido al de que, como bien apunta el M.F., nos encontramos ante una medida cautelar y, en cuanto tal, sometida a la cláusula rebus sic stantibus que posibilita su sustancial modificación por parte del Juzgado de instancia, imposibilita el otorgamiento de este amparo.</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Desestimar el presente recurso de amparo.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once de febrero de mil novecientos noventa y siete.</w:t>
      </w:r>
    </w:p>
    <w:p w:rsidR="008107C7" w:rsidRDefault="008107C7" w:rsidP="008107C7">
      <w:pPr>
        <w:pStyle w:val="ParrafoNormal"/>
      </w:pPr>
    </w:p>
    <w:p w:rsidR="008107C7" w:rsidRDefault="008107C7" w:rsidP="008107C7">
      <w:pPr>
        <w:pStyle w:val="TextoNormalNegritaCentrado"/>
        <w:keepNext/>
      </w:pPr>
      <w:r>
        <w:t>Voto particular que formula el Magistrado don Manuel Jiménez de Parga y Cabrera a la Sentencia recaída en el recurso de amparo núm. 1.526/95.</w:t>
      </w:r>
    </w:p>
    <w:p w:rsidR="008107C7" w:rsidRDefault="008107C7" w:rsidP="008107C7">
      <w:pPr>
        <w:pStyle w:val="TextoNormalNegritaCentrado"/>
        <w:keepNext/>
      </w:pPr>
    </w:p>
    <w:p w:rsidR="008107C7" w:rsidRDefault="008107C7" w:rsidP="008107C7">
      <w:pPr>
        <w:pStyle w:val="TextoNormal"/>
      </w:pPr>
      <w:r>
        <w:t xml:space="preserve">Aunque estoy de acuerdo con el tratamiento que se da en la Sentencia a la subsidiariedad del amparo constitucional, reconociendo la existencia de excepciones en las que nuestro Tribunal debe enjuiciar directa e inmediatamente las violaciones de derechos fundamentales cuya preservación se ha frustrado en la vía judicial, mi discrepancia se centra en la valoración de los efectos de una fianza de cuarenta y dos mil millones de pesetas, impuesta a un responsable civil subsidiario. Para la mayoría de la Sala, la obligación de prestar una fianza no perjudica per se al que la soporta, por consistir en una limitación patrimonial "meramente </w:t>
      </w:r>
      <w:r>
        <w:lastRenderedPageBreak/>
        <w:t>temida, potencial o futura", mientras que, a mi entender, cualquier fianza acordada en un proceso penal (y de modo especial las que alcanzan cuantías de miles de millones) produce de suyo lesiones en el patrimonio jurídico del afectado por tal medida cautelar.</w:t>
      </w:r>
    </w:p>
    <w:p w:rsidR="008107C7" w:rsidRDefault="008107C7" w:rsidP="008107C7">
      <w:pPr>
        <w:pStyle w:val="TextoNormal"/>
      </w:pPr>
      <w:r>
        <w:t>1. Debe destacarse que en la Sentencia se afirme que «el recurso de amparo no sólo está dirigido a restablecer, sino también a "preservar" el libre ejercicio de los derechos fundamentales» (fundamento jurídico 2º). Y subrayo esto porque, no obstante la dicción clara de los arts. 41.3, 49.1 y 54 LOTC, todos ellos expresando que el recurso de amparo tiene el doble objetivo de preservar, en unos casos, y de restablecer, en otros, este Tribunal Constitucional ha prestado escasa atención a la preservación de los derechos fundamentales y de las libertades públicas. En mi Voto Particular a la STC 63/1996, al que se adhirió el magistrado don Vicente Gimeno Sendra, expuse mi opinión al respecto. Creo que esta ampliación del camino, a fin de que no queden en la cuneta algunos de los recursos habitualmente considerados prematuros, va a significar una mejor protección de los derechos constitucionalmente reconocidos. El restablecimiento tardío no es amparo. La preservación pone a cubierto anticipadamente del daño o peligro.</w:t>
      </w:r>
    </w:p>
    <w:p w:rsidR="008107C7" w:rsidRDefault="008107C7" w:rsidP="008107C7">
      <w:pPr>
        <w:pStyle w:val="TextoNormal"/>
      </w:pPr>
      <w:r>
        <w:t>2. Pero la Sentencia de la mayoría toma en el fundamento jurídico 4º una orientación que lamento no poder seguir. Ya lo dije al principio: para mí, la fianza de cuarenta y dos mil millones de pesetas, impuesta a la UGT, lesiona por sí misma la libertad sindical, sin que debamos esperar para otorgar el amparo a que se produzca el embargo efectivo de los bienes.</w:t>
      </w:r>
    </w:p>
    <w:p w:rsidR="008107C7" w:rsidRDefault="008107C7" w:rsidP="008107C7">
      <w:pPr>
        <w:pStyle w:val="TextoNormal"/>
      </w:pPr>
      <w:r>
        <w:t>¿No se recurre, acaso, el Auto de prisión, invocando la libertad personal (art. 17 C.E.), sin aguardar al ingreso del acusado en la cárcel?. ¿Hemos de entender que no se proyecta sobre una lesión de la libertad personal, "actual e inmediata", el recurso contra el Auto de prisión condicionada al pago de una fianza?.</w:t>
      </w:r>
    </w:p>
    <w:p w:rsidR="008107C7" w:rsidRDefault="008107C7" w:rsidP="008107C7">
      <w:pPr>
        <w:pStyle w:val="TextoNormal"/>
      </w:pPr>
      <w:r>
        <w:t>La existencia de la lesión constitucional, en el presente supuesto, es independiente del hecho de que el embargo se haya producido o no, porque aquélla adquiere realidad desde el momento en que se habilita judicialmente tal posibilidad. Lo que se discute es el fundamento del embargo, no si éste ha tenido o no lugar en la prática. ¿Qué ocurre si pasado mañana se decide ejecutar el embargo?. La Sentencia no resuelve el problema.</w:t>
      </w:r>
    </w:p>
    <w:p w:rsidR="008107C7" w:rsidRDefault="008107C7" w:rsidP="008107C7">
      <w:pPr>
        <w:pStyle w:val="TextoNormal"/>
      </w:pPr>
      <w:r>
        <w:t>Pero el daño real y verdadero (no quimérico, dudoso o nominal), en el caso que enjuiciamos, es aún más patente, sin la menor duda. Desde el momento en que se hizo público el Auto del Juzgado Central de Instrucción núm. 3, de fecha 28 de octubre de 1994, por el que se exigía una fianza de sesenta y cinco mil millones de pesetas a la UGT, las posibilidades de actuación de este sindicato quedaron gravemente perjudicadas. Los medios de comunicación difundieron la noticia de modo amplio e intenso, al quedar en entredicho uno de los sindicatos españoles "más representativos" (art. 6 L.O.L.S.). Cuando una persona, física o jurídica, sociedad mercantil o asociación profesional, partido o sindicato, es judicialmente declarada responsable por docenas de miles de millones, automáticamente resulta marginada en el tráfico mercantil, amén de caer bajo sospecha en la consideración social. Con una expresión gráfica suele decirse que a estos responsables civiles subsidiarios de miles de millones "se les cierran todas las puertas".</w:t>
      </w:r>
    </w:p>
    <w:p w:rsidR="008107C7" w:rsidRDefault="008107C7" w:rsidP="008107C7">
      <w:pPr>
        <w:pStyle w:val="TextoNormal"/>
      </w:pPr>
      <w:r>
        <w:t xml:space="preserve">Un posterior Auto del mismo Juzgado Central de Instrucción núm. 3 rebajó el importe de la fianza a cuarenta y dos mil millones de pesetas. Ocurría esto el 25 de enero de 1995, y la Sala de lo Penal de la Audiencia Nacional confirmó la resolución el 28 de marzo siguiente. No obstante ser un hecho notorio que la situación de los perjudicados por el quehacer de cooperativas y empresas supuestamente vinculadas a la UGT ha cambiado a mejor, de manera notable, desde que se dictó el Auto recurrido en amparo, hace dos años, la "prudencia del Instructor" a la que apela la Audiencia Nacional (fundamento de Derecho tercero del Auto de 28 de marzo de 1995) no le ha llevado a rebajar la fianza de cuarenta y dos mil </w:t>
      </w:r>
      <w:r>
        <w:lastRenderedPageBreak/>
        <w:t>millones de pesetas, olvidando así la doctrina de este Tribunal Constitucional: "Toda medida de aseguramiento ha de adaptarse permanentemente a las sucesivas circunstancias por las que atraviese el proceso (art.  539 L.E.Crim. y ATC 94/1982, fundamento jurídico 3º)" (ATC 50/1992, fundamento jurídico 4º).</w:t>
      </w:r>
    </w:p>
    <w:p w:rsidR="008107C7" w:rsidRDefault="008107C7" w:rsidP="008107C7">
      <w:pPr>
        <w:pStyle w:val="TextoNormal"/>
      </w:pPr>
      <w:r>
        <w:t>3. Ahora bien, no es el sorprendente comportamiento del Instructor (que lo mismo fija en sesenta mil millones una fianza que en cuarenta y dos mil millones) lo que nos debió conducir al otorgamiento del amparo, sino la falta de ponderación en las resoluciones, tanto las del Juzgado como la de la Audiencia, de los dos derechos en conflicto: por un lado, el derecho de los acreedores a obtener la tutela judicial efectiva (art. 24.1 C.E.); por otro lado, el derecho de la UGT a la libertad sindical (art. 28.1 C.E.).</w:t>
      </w:r>
    </w:p>
    <w:p w:rsidR="008107C7" w:rsidRDefault="008107C7" w:rsidP="008107C7">
      <w:pPr>
        <w:pStyle w:val="TextoNormal"/>
      </w:pPr>
      <w:r>
        <w:t>En nuestra jurisprudencia se afirma, de forma reiterada, que "cuando se trata de una medida restrictiva de derechos, compete al Tribunal Constitucional, en su tarea de protección del derecho fundamental afectado, controlar en último término la motivación ofrecida, no sólo en el sentido de resolución fundada y razonada, sino también como único medio de comprobar que la restriccción del derecho fundamental ha sido razonable y proporcional, acorde con los fines de la institución y resultado de un juicio de ponderación de los derechos fundamentales y bienes constitucionales en pugna" (STC 170/1996, fundamento jurídico 2º). En esta reciente Sentencia se citan, entre otras, las SSTC 50/1995, 128/1995, 181/1995, 34/1996 y 62/1996.</w:t>
      </w:r>
    </w:p>
    <w:p w:rsidR="008107C7" w:rsidRDefault="008107C7" w:rsidP="008107C7">
      <w:pPr>
        <w:pStyle w:val="TextoNormal"/>
      </w:pPr>
      <w:r>
        <w:t>Ese juicio de ponderación, exigido por nuestra jurisprudencia, no aparece en el Auto de la Audiencia directamente ahora recurrido, ni en los Autos del Juzgado Central de Instrucción num. 3, que aquél confirma. Se privó a este Tribunal Constitucional del "único medio de comprobar" que la restricción del derecho fundamental de libertad sindical fue razonable y proporcional. Y lo mismo que cuando amparamos, por la carencia del juicio de ponderación una Sentencia condenatoria, a los titulares, por ejemplo, de la libertad de expresión, en los casos de colisión de este derecho con el derecho al honor, debemos amparar a la UGT, cuya libertad sindical ha sido restringida sin ponderación judicial alguna. La medida cautelar, en este caso, fue irrazonable y desproporcionada, desde la perspectiva de la constitucionalidad de la misma: no fue el resultado de un juicio de ponderación de los derechos fundamentales y bienes constitucionales en pugna.</w:t>
      </w:r>
    </w:p>
    <w:p w:rsidR="008107C7" w:rsidRDefault="008107C7" w:rsidP="008107C7">
      <w:pPr>
        <w:pStyle w:val="TextoNormal"/>
      </w:pPr>
      <w:r>
        <w:t>4. La razonabilidad, primero, y la proporcionalidad, después, de cualquier fianza están exigidas por la doctrina de este Tribunal: "Una medida cautelar razonable, en atención a las circunstancias concurrentes, para la consecución de las finalidades", se dijo en la STC 108/1984, fundamento jurídico 4º; "Una medida desproporcionada o irrazonable no sería propiamente cautelar", se repitió en la STC 66/1989, fundamento jurídico 6º.</w:t>
      </w:r>
    </w:p>
    <w:p w:rsidR="008107C7" w:rsidRDefault="008107C7" w:rsidP="008107C7">
      <w:pPr>
        <w:pStyle w:val="TextoNormal"/>
      </w:pPr>
      <w:r>
        <w:t>He escrito razonabilidad, primero, y proporcionalidad, después, de acuerdo con la tesis que expuse en el Voto Particular a la STC 55/1996: "El juicio de razonabilidad se forma con apreciaciones de pura racionalidad y con ponderaciones de valores constitucionales. La razonabilidad nos lleva a considerar la racionalidad de las normas, los valores contenidos en ellas, que deben ser comparados con otros valores que la Constitución consagra. La ponderación de los valores [en este caso, la libertad sindical frente a la tutela judicial efectiva] es un componente esencial del juicio de razonabilidad".</w:t>
      </w:r>
    </w:p>
    <w:p w:rsidR="008107C7" w:rsidRDefault="008107C7" w:rsidP="008107C7">
      <w:pPr>
        <w:pStyle w:val="TextoNormal"/>
      </w:pPr>
      <w:r>
        <w:t>En definitiva, al faltar en el Auto recurrido el juicio de ponderación entre los derechos fundamentales en conflicto, no pudimos comprobar si la restricción de la libertad sindical fue razonable y proporcional. El amparo debe otorgarse frente a una resolución judicial que por su contenido inconstitucional priva a este Tribunal del control de la misma.</w:t>
      </w:r>
    </w:p>
    <w:p w:rsidR="008107C7" w:rsidRDefault="008107C7" w:rsidP="008107C7">
      <w:pPr>
        <w:pStyle w:val="TextoNormal"/>
      </w:pPr>
      <w:r>
        <w:lastRenderedPageBreak/>
        <w:t>Con el respeto que siempre me merecen los pareceres mayoritarios, firmo este Voto Particular discrepante, favorable a la concesión del amparo a la UGT, en virtud de los razonamientos expuestos.</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31" w:name="SENTENCIA_1997_28"/>
      <w:r>
        <w:lastRenderedPageBreak/>
        <w:t>SENTENCIA 28/1997, de 13 de febrero de 1997</w:t>
      </w:r>
    </w:p>
    <w:bookmarkEnd w:id="31"/>
    <w:p w:rsidR="008107C7" w:rsidRDefault="008107C7" w:rsidP="008107C7">
      <w:pPr>
        <w:pStyle w:val="TtuloResolucin"/>
      </w:pPr>
      <w:r>
        <w:t>Pleno</w:t>
      </w:r>
    </w:p>
    <w:p w:rsidR="008107C7" w:rsidRDefault="008107C7" w:rsidP="008107C7">
      <w:pPr>
        <w:pStyle w:val="TtuloResolucin"/>
      </w:pPr>
    </w:p>
    <w:p w:rsidR="008107C7" w:rsidRDefault="008107C7" w:rsidP="008107C7">
      <w:pPr>
        <w:pStyle w:val="TtuloBOE"/>
      </w:pPr>
      <w:r>
        <w:t>("BOE" núm. 63, de 14 de marzo de 1997)</w:t>
      </w:r>
    </w:p>
    <w:p w:rsidR="008107C7" w:rsidRDefault="008107C7" w:rsidP="008107C7">
      <w:pPr>
        <w:pStyle w:val="TtuloBOE"/>
      </w:pPr>
    </w:p>
    <w:p w:rsidR="008107C7" w:rsidRDefault="008107C7" w:rsidP="008107C7">
      <w:pPr>
        <w:pStyle w:val="SntesisDescriptiva"/>
      </w:pPr>
      <w:r>
        <w:t>ECLI:ES:TC:1997:28</w:t>
      </w:r>
    </w:p>
    <w:p w:rsidR="008107C7" w:rsidRDefault="008107C7" w:rsidP="008107C7">
      <w:pPr>
        <w:pStyle w:val="SntesisDescriptiva"/>
      </w:pPr>
    </w:p>
    <w:p w:rsidR="008107C7" w:rsidRDefault="008107C7" w:rsidP="008107C7">
      <w:pPr>
        <w:pStyle w:val="SntesisDescriptiva"/>
      </w:pPr>
      <w:r>
        <w:t>Cuestión de inconstitucionalidad 278/1991. En relación con las Leyes del Parlamento de las Islas Baleares 1/1984, de 14 de marzo, de Ordenación y Protección de Areas Naturales de Interés Especial, y 3/1984, de 31 de mayo, de declaración de "Es Trenc- Salobrar de Campos", como Area Natural de Especial Interés.</w:t>
      </w:r>
    </w:p>
    <w:p w:rsidR="008107C7" w:rsidRDefault="008107C7" w:rsidP="008107C7">
      <w:pPr>
        <w:pStyle w:val="SntesisDescriptiva"/>
      </w:pPr>
    </w:p>
    <w:p w:rsidR="008107C7" w:rsidRDefault="008107C7" w:rsidP="008107C7">
      <w:pPr>
        <w:pStyle w:val="SntesisAnaltica"/>
      </w:pPr>
    </w:p>
    <w:p w:rsidR="008107C7" w:rsidRDefault="008107C7" w:rsidP="008107C7">
      <w:pPr>
        <w:pStyle w:val="SntesisAnaltica"/>
      </w:pPr>
    </w:p>
    <w:p w:rsidR="008107C7" w:rsidRDefault="008107C7" w:rsidP="008107C7">
      <w:pPr>
        <w:pStyle w:val="Extracto"/>
      </w:pPr>
      <w:r>
        <w:t>1.</w:t>
      </w:r>
      <w:r>
        <w:tab/>
        <w:t>En nada afecta el error de identificación de la legislación básica del Estado padecido por la Sala cuestionante, a la viabilidad y enjuiciamiento de la cuestión por ella planteada, pues cuando la duda de constitucionalidad se basa, como ocurre en este caso, en un problema de delimitación competencial, ha de estarse para su resolución a la legislación básica del Estado vigente al tiempo de su enjuiciamiento (STC 170/1989). [F.J. 2]</w:t>
      </w:r>
    </w:p>
    <w:p w:rsidR="008107C7" w:rsidRDefault="008107C7" w:rsidP="008107C7">
      <w:pPr>
        <w:pStyle w:val="Extracto"/>
      </w:pPr>
    </w:p>
    <w:p w:rsidR="008107C7" w:rsidRDefault="008107C7" w:rsidP="008107C7">
      <w:pPr>
        <w:pStyle w:val="Extracto"/>
      </w:pPr>
      <w:r>
        <w:t>2.</w:t>
      </w:r>
      <w:r>
        <w:tab/>
        <w:t>Como reiteradamente ha declarado este Tribunal (SSTC 17/1981, 95/1988 y 332/1993, entre otras muchas), a diferencia de lo que, por regla general, acontece en el recurso de inconstitucionalidad, en la cuestión la derogación de la norma legal objeto del proceso no impide el juicio de constitucionalidad sobre la misma, toda vez que la posible aplicación de la norma derogada en el proceso «a quo» puede hacer necesario el pronunciamiento de este Tribunal. [F.J. 2]</w:t>
      </w:r>
    </w:p>
    <w:p w:rsidR="008107C7" w:rsidRDefault="008107C7" w:rsidP="008107C7">
      <w:pPr>
        <w:pStyle w:val="Extracto"/>
      </w:pPr>
    </w:p>
    <w:p w:rsidR="008107C7" w:rsidRDefault="008107C7" w:rsidP="008107C7">
      <w:pPr>
        <w:pStyle w:val="Extracto"/>
      </w:pPr>
      <w:r>
        <w:t>3.</w:t>
      </w:r>
      <w:r>
        <w:tab/>
        <w:t>No es ocioso recordar que la cuestión de inconstitucionalidad únicamente puede plantearse cuando el órgano judicial estime que de la validez constitucional de la norma legal aplicable «depende el fallo» (arts. 163 C.E. y 35.1 LOTC). Esta interrelación necesaria que ha de existir entre el juicio de constitucionalidad de la ley y el pronunciamiento que haya de dictar el órgano judicial «a quo», obliga a examinar en qué medida la decisión de este último depende de la validez de las normas legales cuestionadas, pues el denominado juicio de relevancia (art. 35.2 LOTC) es un presupuesto de orden público procesal (STC 46/1992), cuyo objeto es impedir que este cauce de control de constitucionalidad de la ley quede desvirtuado por un uso no acomodado a su naturaleza (por todas, STC 17/1981). [F.J. 3]</w:t>
      </w:r>
    </w:p>
    <w:p w:rsidR="008107C7" w:rsidRDefault="008107C7" w:rsidP="008107C7">
      <w:pPr>
        <w:pStyle w:val="Extracto"/>
      </w:pPr>
    </w:p>
    <w:p w:rsidR="008107C7" w:rsidRDefault="008107C7" w:rsidP="008107C7">
      <w:pPr>
        <w:pStyle w:val="Extracto"/>
      </w:pPr>
      <w:r>
        <w:t>4.</w:t>
      </w:r>
      <w:r>
        <w:tab/>
        <w:t>No podemos compartir el argumento de la Sala «a quo» con el que se pretende justificar por qué de la validez de Ley 1/1984 depende el fallo que deba dictarse en el proceso «a quo». Antes bien, es la Ley 3/1984, y sólo ella, la que produce la afectación de determinados bienes y derechos al declarar a «Es Trenc-Salobrar de Campos» como Area Natural de Interés Especial. Que esta Ley remita a otras disposiciones legales y, en particular, a la Ley 1/1984 es indiferente desde la perspectiva de la resolución del proceso «a quo», en el que se discute una reclamación indemnizatoria por eventuales perjuicios de naturaleza patrimonial que encuen</w:t>
      </w:r>
      <w:r>
        <w:lastRenderedPageBreak/>
        <w:t>tran su origen en la decisión del Parlamento de las Islas Baleares, contenida exclusivamente en la Ley 3/1984. Por ello mismo, únicamente de la validez de esta Ley dependerá que la Sala cuestionante tenga que juzgar o no sobre el fondo de la apelación y, en su caso, determinar la procedencia de la pretensión indemnizato ria que las demandantes reclaman. [F.J. 3]</w:t>
      </w:r>
    </w:p>
    <w:p w:rsidR="008107C7" w:rsidRDefault="008107C7" w:rsidP="008107C7">
      <w:pPr>
        <w:pStyle w:val="Extracto"/>
      </w:pPr>
    </w:p>
    <w:p w:rsidR="008107C7" w:rsidRDefault="008107C7" w:rsidP="008107C7">
      <w:pPr>
        <w:pStyle w:val="Extracto"/>
      </w:pPr>
      <w:r>
        <w:t>5.</w:t>
      </w:r>
      <w:r>
        <w:tab/>
        <w:t>Sin perjuicio de ser cierta la pluralidad de títulos a que hace referencia el Parlamento de las Islas Baleares, los dos títulos competenciales a los que hemos de atenernos para resolver la cuestión dados los términos en que ha sido planteada, son el de urbanismo y ordenación del territorio en que se apoyan las leyes cuestionadas y el de protección del medio ambiente que es el considerado por el Auto de planteamiento. La delimitación de las materias que comprenden uno y otro de los títulos en presencia no es fácil determinarla de una manera nítida y tajante, porque su respectivo contenido está relacionado con otras materias cuya competencia puede corresponder, como ocurre en este caso, a títulos competenciales diferentes. Mas ello no significa que esa interrelación permita la absorción de los diferentes títulos por el que pueda considerarse más directamente implicado, sino que en su ejercicio éste puede estar condicionado por los otros. Pues bien, el deslinde entre los títulos competenciales en juego, urbanismo y ordenación del territorio, de un lado, y protección del medio ambiente, de otro, ha sido tratado con detenimiento en la STC 36/1994 que, con apoyo en las Sentencias que en ella se citan, contiene una doctrina atinente al caso ahora debatido . [F.J. 5]</w:t>
      </w:r>
    </w:p>
    <w:p w:rsidR="008107C7" w:rsidRDefault="008107C7" w:rsidP="008107C7">
      <w:pPr>
        <w:pStyle w:val="Extracto"/>
      </w:pPr>
    </w:p>
    <w:p w:rsidR="008107C7" w:rsidRDefault="008107C7" w:rsidP="008107C7">
      <w:pPr>
        <w:pStyle w:val="Extracto"/>
      </w:pPr>
      <w:r>
        <w:t>6.</w:t>
      </w:r>
      <w:r>
        <w:tab/>
        <w:t>Se señala en nuestra STC 36/1994 con base en lo declarado en las SSTC 77/1984 y 149/1991 que el título de ordenación del territorio «tiene por objeto la actividad consistente en la delimitación de los diversos usos a que puede destinarse el suelo o espacio físico territorial», añadiendo que «el núcleo fundamental de esta materia competencial está constituido por un conjunto de actuaciones públicas de contenido planificador cuyo objeto consiste en la fijación de los usos del suelo y el equilibrio entre las distintas partes del territorio mismo». En la misma Sentencia y en relación con la materia del medio ambiente se dice que en ella cabe incluir, entre otras, «a las normas que persiguen la protección de la naturaleza y los valores naturales y paisajísticos de un espacio concreto» . [F.J.5]</w:t>
      </w:r>
    </w:p>
    <w:p w:rsidR="008107C7" w:rsidRDefault="008107C7" w:rsidP="008107C7">
      <w:pPr>
        <w:pStyle w:val="Extracto"/>
      </w:pPr>
    </w:p>
    <w:p w:rsidR="008107C7" w:rsidRDefault="008107C7" w:rsidP="008107C7">
      <w:pPr>
        <w:pStyle w:val="Extracto"/>
      </w:pPr>
      <w:r>
        <w:t>7.</w:t>
      </w:r>
      <w:r>
        <w:tab/>
        <w:t>La acusada interrelación entre uno y otro título requiere en cada caso un detenido examen no sólo de la finalidad de las normas sino también y muy especialmente del contenido concreto de las mismas; por lo que, cuando aquella finalidad se alcanza por el legislador mediante técnicas específicas de planificación de los usos del suelo, el título competencial de referencia será el de ordenación del territorio (STC 36/1994) . [F.J. 5]</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El Pleno del Tribunal Constitucional, compuesto por don Álvaro Rodríguez Bereijo, Presidente, don José Gabaldón López, don Fernando García-Mon y González- Regueral, don Vicente Gimeno Sendra, don Rafael de Mendizábal Allende, don Julio-Diego González Campos, don Pedro Cruz Villalón, don Carles Viver Pi-Sunyer, don Enrique Ruiz Vadillo, don Manuel Jiménez de Parga y Cabrera, don Tomás S. Vives Antón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la cuestión de inconstitucionalidad núm. 278/91, promovida por la Sección Quinta de la Sala Tercera del Tribunal Supremo, por supuesta inconstitucionalidad de las Leyes del Parlamento de las Islas Baleares 1/1984, de 14 de marzo, de Ordenación y Protección de Áreas Naturales de Interés Especial, y 3/1984, de 31 de mayo, de declaración de «Es Trenc- Salobrar de Campos», como Área Natural de Especial Interés, por poder vulnerar los arts. 149.1.23ª y 148.3 de la Constitución. Han comparecido y formulado alegaciones el Parlamento y el Consejo de Gobierno de las Islas Baleares, el Abogado del Estado y el Fiscal General del Estado. Ha sido Ponente el Magistrado don Fernando García-Mon y González-Regueral, quien expresa el parecer del Tribunal.</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El día 7 de febrero de 1991, tuvo entrada en el Registro de este Tribunal un escrito del Presidente de la Sección Quinta de la Sala Tercera del Tribunal Supremo, al que acompañaba, junto con el testimonio del procedimiento, un Auto del mismo órgano judicial, de 6 de noviembre anterior, en el que se acordaba plantear cuestión de inconstitucionalidad respecto de las Leyes del Parlamento de las Islas Baleares 1/1984, de 14 de marzo, de Ordenación y Protección de Áreas Naturales de Interés Especial y 3/1984, de 31 de mayo, de declaración de «Es Trenc-Salobrar de Campos» como Área Natural de Especial Interés.</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La cuestión trae causa del recurso contencioso-administrativo núm. 244/86, promovido por las entidades «SES COVETES, S.A.» y «SKANDIAPLAN AB» ante la antigua Audiencia Territorial de Palma de Mallorca, contra la desestimación presunta por la Comunidad Autónoma de las Islas Baleares de su petición de indemnización en la cantidad de 1.167.254.045 pesetas, por la lesión patrimonial que decían haber sufrido como consecuencia directa, inmediata y automática de la aprobación de la Ley del Parlamento de las Islas Baleares 3/1984, de 31 de mayo, de declaración de «Es Trenc-Salobrar de Campos» como Área Natural de Especial Interés. En la demanda, se interesaba igualmente que por el Tribunal se plantease cuestión de inconstitucionalidad respecto de las citadas Leyes autonómicas 1 y 3/1984, por contravenir el orden constitucional de distribución de competencias entre el Estado y la Comunidad Autónoma de las Islas Baleares en materia de medio ambiente, así como los arts. 14, 24 y 33 de la Constitución. </w:t>
      </w:r>
    </w:p>
    <w:p w:rsidR="008107C7" w:rsidRDefault="008107C7" w:rsidP="008107C7">
      <w:pPr>
        <w:pStyle w:val="TextoNormal"/>
      </w:pPr>
      <w:r>
        <w:t xml:space="preserve">El día 25 de febrero de 1989, la indicada Sala Territorial dictó Sentencia en la que, tras estimar que por tratarse de una pretensión indemnizatoria amparada en preceptos legales cuya constitucionalidad no estaba en duda, no era necesario plantear la cuestión de inconstitucionalidad interesada, estimó el recurso contencioso-administrativo. </w:t>
      </w:r>
    </w:p>
    <w:p w:rsidR="008107C7" w:rsidRDefault="008107C7" w:rsidP="008107C7">
      <w:pPr>
        <w:pStyle w:val="TextoNormal"/>
      </w:pPr>
      <w:r>
        <w:lastRenderedPageBreak/>
        <w:t>Contra la anterior Sentencia, la Comunidad Autónoma de Baleares, demandada, y las sociedades mercantiles actoras interpusieron sendos recursos de apelación ante la Sala Tercera del Tribunal Supremo, correspondiendo su conocimiento a la Sección Quinta. Las entidades demandantes insistieron en su pretensión de que se plantease cuestión de inconstitucionalidad, por lo que, el órgano judicial, mediante proveído de 3 de octubre de 1990, acordó oír a las partes y al Ministerio Fiscal para que se pronunciasen sobre la pertinencia de aquel pedimento. Evacuado este trámite, la Sala dictó el Auto de planteamiento de la presente cuestión de inconstitucionalidad.</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El órgano judicial fundamenta la posible inconstitucionalidad de las leyes autonómicas que cuestiona en las siguientes consideraciones: </w:t>
      </w:r>
    </w:p>
    <w:p w:rsidR="008107C7" w:rsidRDefault="008107C7" w:rsidP="008107C7">
      <w:pPr>
        <w:pStyle w:val="TextoNormal"/>
      </w:pPr>
      <w:r>
        <w:t xml:space="preserve">A) El examen de las Leyes 1/1984 y 3/1984 del Parlamento de las Islas Baleares pone de relieve que sus contenidos normativos exceden lo que es propio del desarrollo legislativo de la normativa básica estatal en materia de espacios naturales protegidos, contenida en la Ley 15/1975, de 2 de mayo, y su Reglamento ejecutivo núm. 2.676/1977, de 4 de marzo, introduciendo alteraciones sustantivas tanto en sus aspectos materiales como instrumentales. De este modo, se produce una clara vulneración de lo dispuesto en los arts. 149.1.23ª, 148.1.9ª y 148.3 de la Constitución, así como del art. 11.5 del Estatuto de Autonomía de la Comunidad Autónoma Balear, por no ser tales Leyes simples normas adicionales de las estatales sino Leyes esencialmente diferentes con el añadido de que la Ley 1/1984, de 14 de marzo, se configura como marco -según se declarara en su propia Exposición de Motivos-, carácter impropio de una ley autonómica para la que el marco ha de ser necesariamente una ley estatal. Y, puesto que la segunda (Ley 3/1984, de 31 de mayo) no es más que ejecución de la primera para el paraje concreto a que aquélla alude, ésta incurre también en los mismos vicios que la primera. </w:t>
      </w:r>
    </w:p>
    <w:p w:rsidR="008107C7" w:rsidRDefault="008107C7" w:rsidP="008107C7">
      <w:pPr>
        <w:pStyle w:val="TextoNormal"/>
      </w:pPr>
      <w:r>
        <w:t xml:space="preserve">Tal proceder normativo genera, a su vez, posibles vulneraciones adicionales del orden constitucional, como la del art. 14 C.E. por la injustificada diferencia de trato que aparentemente esas Leyes autonómicas disponen en comparación con otros parajes de la Comunidad Autónoma Balear. También puede apreciarse vulneración del art. 33.3 C.E., pues mientras la legislación estatal de referencia salva, pese a su carácter preconstitucional, los derechos derivados de la propiedad, nada se dice en las Leyes autonómicas que se cuestionan. </w:t>
      </w:r>
    </w:p>
    <w:p w:rsidR="008107C7" w:rsidRDefault="008107C7" w:rsidP="008107C7">
      <w:pPr>
        <w:pStyle w:val="TextoNormal"/>
      </w:pPr>
      <w:r>
        <w:t xml:space="preserve">B) Tampoco puede estimarse que estas dos Leyes del Parlamento de las Islas Baleares encuentren su cobertura en la competencia exclusiva de aquella Comunidad Autónoma para la ordenación de su territorio (art. 10.3 de su Estatuto de Autonomía en relación con el art. 148.1.3ª de la Constitución), pues, sin perjuicio de las inevitables conexiones entre la legislación protectora del medio ambiente y la de ordenación del territorio, las Leyes cuestionadas, tanto por sus contenidos como por su finalidad, responden a la protección de espacios naturales singulares por su suelo, su fauna o su flora coincidiendo con los objetivos previstos en la Ley estatal 15/1975, de 2 de mayo. </w:t>
      </w:r>
    </w:p>
    <w:p w:rsidR="008107C7" w:rsidRDefault="008107C7" w:rsidP="008107C7">
      <w:pPr>
        <w:pStyle w:val="TextoNormal"/>
      </w:pPr>
      <w:r>
        <w:t>C) De cuanto antecede, se deduce sin dificultad que el fallo que haya de dictarse para resolver el litigio depende por entero de la respuesta que se dé previamente a la presente cuestión de inconstitucionalidad, pues la lesión cuya indemnización las actoras reclaman en el proceso deriva de manera inmediata y directa de la aprobación de las citadas Leyes autonómicas. Si las mismas se estiman constitucionales será necesario juzgar el fondo de la apelación y determinar la procedencia o no de la reclamación indemnizatoria. Si, por el contrario, son declaradas inconstitucionales, entonces, desaparecería la lesión cuya reparación es el subsidiario objeto del presente recurso contencioso-administrativo.</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4</w:t>
      </w:r>
      <w:r>
        <w:t>. Por providencia de la Sección Primera, de 11 de marzo de 1991, se acordó la admisión a trámite de la cuestión de inconstitucionalidad planteada y, conforme a lo establecido en el art. 37.2 LOTC, dar traslado de la misma al Congreso de los Diputados y al Senado, al Gobierno y al Parlamento de las Islas Baleares, al Gobierno de la Nación y al Fiscal General del Estado al objeto de que, dentro del plazo común de quince días, pudiesen personarse en el procedimiento y formular alegaciones. Igualmente, se ordenó publicar en el Boletín Oficial del Estado la incoación de la presente cuestión de inconstitucionalidad.</w:t>
      </w:r>
    </w:p>
    <w:p w:rsidR="008107C7" w:rsidRDefault="008107C7" w:rsidP="008107C7">
      <w:pPr>
        <w:pStyle w:val="TextoNormal"/>
      </w:pPr>
    </w:p>
    <w:p w:rsidR="008107C7" w:rsidRDefault="008107C7" w:rsidP="008107C7">
      <w:pPr>
        <w:pStyle w:val="TextoNormal"/>
      </w:pPr>
      <w:r w:rsidRPr="008107C7">
        <w:rPr>
          <w:rStyle w:val="NumeroAFNegritaCaracter"/>
        </w:rPr>
        <w:t>5</w:t>
      </w:r>
      <w:r>
        <w:t>. Mediante escrito registrado el día 21 de marzo de 1991, el Presidente del Congreso de los Diputados dio traslado del acuerdo de la Cámara comunicando que la misma no se personaría en el procedimiento. Por su parte, el Presidente del Senado, por escrito registrado ante este Tribunal el día 25 del mismo mes, interesó su personación en el procedimiento, aunque no formuló alegaciones.</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El día 27 de marzo de 1991 registró su alegato el Fiscal General del Estado. Tras una sucinta exposición de los antecedentes y de los contenidos del Auto de planteamiento de la cuestión de inconstitucionalidad, se considera que el objeto del proceso se contrae a determinar si las Leyes autonómicas cuestionadas vulneran el orden de distribución de competencias entre el Estado y la Comunidad Autónoma de las Islas Baleares. En este sentido, la duda de constitucionalidad planteada por la Sala no se refiere tanto a la competencia autonómica para legislar sobre la materia cuanto al ejercicio que se hizo de la misma, por entenderse que no son simples normas adicionales de las estatales sino «esencialmente diferentes», aunque no se especifiquen esas diferencias, salvo que no puede la Comunidad Autónoma dictar una ley marco -facultad reservada al Estado- y que las leyes cuestionadas no contienen previsión alguna respecto de la indemnización a que hubiere lugar por la afectación de bienes y derechos. </w:t>
      </w:r>
    </w:p>
    <w:p w:rsidR="008107C7" w:rsidRDefault="008107C7" w:rsidP="008107C7">
      <w:pPr>
        <w:pStyle w:val="TextoNormal"/>
      </w:pPr>
      <w:r>
        <w:t xml:space="preserve">Este planteamiento obliga a precisar, por un lado, cuál es la legislación básica del Estado y, por otro, a determinar cuáles son los respectivos ámbitos de actuación del Estado y la Comunidad Autónoma de las Islas Baleares. En cuanto a lo primero hay que subrayar que el Auto aparenta ignorar la legislación vigente sobre la materia al tiempo de plantearse la cuestión, que es la Ley 4/1989, de 27 de marzo, de Conservación de los Espacios Naturales y de la Flora y Fauna Silvestres, que deroga expresamente la legislación anterior específicamente citada en aquel Auto. Resolución judicial que desconoce, además, que, como ha declarado el Tribunal Constitucional «la legislación básica del Estado a tener en cuenta como elemento de referencia para el enjuiciamiento de las leyes autonómicas en este tipo de proceso constitucional, ha de ser la vigente en el momento de adoptarse la decisión sobre la regularidad constitucional. Por ello ha de servir de marco de enjuiciamiento, en este proceso constitucional, el 'ius superveniens' representado por la legislación básica del Estado vigente en este momento, es decir, la Ley 4/1989» (STC 170/1989). El hecho de que allí se tratase de un recurso de inconstitucionalidad y aquí de una cuestión, no altera para nada esa conclusión. Por tanto, para el enjuiciamiento constitucional de las leyes dubitadas hay que estar a la legislación estatal actualmente en vigor. Además, la propia generalidad del Auto de planteamiento de la cuestión, permite adecuarlo a este marco normativo estatal. </w:t>
      </w:r>
    </w:p>
    <w:p w:rsidR="008107C7" w:rsidRDefault="008107C7" w:rsidP="008107C7">
      <w:pPr>
        <w:pStyle w:val="TextoNormal"/>
      </w:pPr>
      <w:r>
        <w:t xml:space="preserve">Conocida la legislación básica estatal, procede examinar la autonómica objeto de discusión. La exposición de Motivos de la Ley 1/1984 justifica su promulgación en la competencia exclusiva de la Comunidad Autónoma de las Islas Baleares para la ordenación del territorio y del patrimonio paisajístico, a tenor de lo dispuesto en los apartados 3 y 20 del art. 10 </w:t>
      </w:r>
      <w:r>
        <w:lastRenderedPageBreak/>
        <w:t xml:space="preserve">del Estatuto de Autonomía. La Sala promotora, sin embargo, considera que se trata de una ley materialmente referida a la protección del medio ambiente, ámbito sobre el que carece de competencia exclusiva la Comunidad Autónoma de las Islas Baleares, pues, con arreglo al art. 11.5 de su Estatuto de Autonomía, le corresponde dentro del marco de la legislación básica del Estado, el desarrollo legislativo y la ejecución de «normas adicionales de protección del ambiente, espacios naturales protegidos y ecología». En esto coincide con la citada STC 170/1989 que consideró que la declaración de un parque regional es asunto de protección ambiental y de la naturaleza, de competencia exclusiva del Estado conforme al art. 149.1.23ª C.E. La cuestión ha de situarse, pues, en el ámbito de las competencias sobre medio ambiente. </w:t>
      </w:r>
    </w:p>
    <w:p w:rsidR="008107C7" w:rsidRDefault="008107C7" w:rsidP="008107C7">
      <w:pPr>
        <w:pStyle w:val="TextoNormal"/>
      </w:pPr>
      <w:r>
        <w:t xml:space="preserve">Esta competencia se comparte entre el Estado y las CC.AA. Así resulta del art. 149.1.23ª C.E. que confiere al Estado competencia exclusiva en la legislación básica sin perjuicio de las facultades de las CC.AA. de establecer «normas adicionales de protección». Por su parte, el art. 148.1.9ª establece que las CC.AA. podrán asumir competencia de gestión en materia de protección del medio ambiente. De esta concurrencia competencial se hace eco la Ley 4/1989 en su Exposición de Motivos: «El título V refleja con plenitud la necesaria cooperación y coordinación que debe lograrse entre el Estado y las CC.AA. en una materia, la política de conservación de la naturaleza, que nuestra Constitución ha querido compartirla entre las distintas Administraciones públicas españolas». </w:t>
      </w:r>
    </w:p>
    <w:p w:rsidR="008107C7" w:rsidRDefault="008107C7" w:rsidP="008107C7">
      <w:pPr>
        <w:pStyle w:val="TextoNormal"/>
      </w:pPr>
      <w:r>
        <w:t xml:space="preserve">Las CC.AA. no sólo tienen competencia sobre la «gestión» sino también para dictar «normas adicionales de protección» que no tienen por qué ser de rango infralegal, sino que también puede revestir la forma de ley siempre que se ajusten al marco de la legislación básica del Estado. Así no existe, en principio, impedimento para que la Comunidad Autónoma de las Islas Baleares dictase las Leyes ahora cuestionadas. </w:t>
      </w:r>
    </w:p>
    <w:p w:rsidR="008107C7" w:rsidRDefault="008107C7" w:rsidP="008107C7">
      <w:pPr>
        <w:pStyle w:val="TextoNormal"/>
      </w:pPr>
      <w:r>
        <w:t xml:space="preserve">Por su parte, el Real Decreto 1.678/1984, de 1 de agosto, de transferencias de funciones y servicios a esta Comunidad Autónoma en materia de conservación de la naturaleza, en su anexo B).12 le asigna la función de «declaración de los parques naturales». Competencia que asimismo reconoce el art. 21.1 de la Ley 4/1989. Más aún, el apartado 2º de este mismo artículo reconoce a las Comunidades Autónomas «con competencia para dictar normas adicionales en materia de medio ambiente» la facultad para establecer, además de las figuras previstas en la Ley, «otras diferentes regulando sus correspondientes medidas de protección». No parece, pues, que exista duda sobre la competencia de la Comunidad Autónoma balear para legislar sobre la materia. Esta misma conclusión fue la alcanzada por el Tribunal Constitucional en la STC 170/1989 que resolvió un asunto sustancialmente similar al presente. En ambos casos se trata de un espacio natural protegido, entonces un parque regional y ahora un área natural de especial interés; allí se trataba de un recurso de inconstitucionalidad promovido por cincuenta Diputados, aquí de una cuestión de inconstitucionalidad, aunque en ninguno de ambos casos el Gobierno Central ha manifestado su discrepancia con las normas cuestionadas. El tema central es el mismo y la identidad en el bloque constitucional de aplicación es manifiesta, dada la similitud de redacción entre el Estatuto de la C.A. de Madrid y la de las Islas Baleares con relación a esta materia. En aquella ocasión el Tribunal Constitucional declaró que la legislación básica a que se refiere el art. 149 «posee la característica técnica de normas mínimas de protección que permiten 'normas adicionales' o un plus de protección». La legislación básica - añade- tiene la función de ordenación mediante mínimos que han de respetarse en todo caso, «pero que pueden permitir a cada una de las CC.AA., con competencia en la materia, establecer niveles de protección más altos que no entrarían por sólo eso en contradicción con la normativa básica del Estado». Los </w:t>
      </w:r>
      <w:r>
        <w:lastRenderedPageBreak/>
        <w:t xml:space="preserve">niveles de protección que ésta establece «pueden ser ampliados o mejorados por la normativa autonómica, y es a esa posibilidad a la que hace referencia el precepto estatutario» (fundamento jurídico 2º). La cuestión -como subraya finalmente esa Sentencia- está en que «las medidas legales autonómicas sean compatibles, no contradigan, ignoren, reduzcan o limiten la protección establecida en la legislación básica del Estado». </w:t>
      </w:r>
    </w:p>
    <w:p w:rsidR="008107C7" w:rsidRDefault="008107C7" w:rsidP="008107C7">
      <w:pPr>
        <w:pStyle w:val="TextoNormal"/>
      </w:pPr>
      <w:r>
        <w:t xml:space="preserve">Ciertamente, el Auto de planteamiento de la cuestión no es muy explícito a la hora de señalar las alteraciones esenciales que dice apreciar entre las Leyes autonómicas y la legislación básica estatal. El hecho de que la Ley 1/1984 se autocalifique como ley marco no supone reparo alguno, ni se alcanza a comprender por qué una C.A. no puede establecer un marco previo para dictar sus normas adicionales de protección medioambiental siempre que con el mismo no se altere la legislación básica del Estado. El problema únicamente reside en determinar si esa ley marco autonómica contradice la legislación básica del Estado. El Auto cuestionante limita aquí la transgresión de las leyes estatales a un punto que sitúa en el art. 33.2 C.E., por el hecho de no contener las Leyes cuestionadas previsión alguna sobre la indemnización que debe conllevar los perjuicios patrimoniales derivados de la afectación pública de ese paraje. Sin embargo, es lo cierto que la Ley 4/1989 -legislación básica estatal aplicable al caso y no la aducida por la Sala a quo- dispone en su art. 3º que las finalidades contempladas en la misma «podrán ser declaradas de utilidad pública o interés social, a todos efectos y en particular a los expropiatorios, respecto de los bienes y derechos que puedan resultar afectados». Por su parte, el art. 10.3 indica que «la declaración de un espacio como protegido lleva aparejada la de utilidad pública a efectos expropiatorios». Resulta así, que habrá de estarse a lo dispuesto en esta Ley y en la de expropiación forzosa, en la que se contemplan las previsiones legales necesarias para indemnizar los perjuicios ocasionados por las Leyes autonómicas. La omisión denunciada en el Auto de planteamiento de la cuestión en modo alguno puede decirse que sea contraria a la legislación básica del Estado, ni mucho menos al art. 33.2 C.E. </w:t>
      </w:r>
    </w:p>
    <w:p w:rsidR="008107C7" w:rsidRDefault="008107C7" w:rsidP="008107C7">
      <w:pPr>
        <w:pStyle w:val="TextoNormal"/>
      </w:pPr>
      <w:r>
        <w:t xml:space="preserve">Resta, por último, analizar «las posibles vulneraciones adicionales de orden constitucional» a que se refiere el Auto en relación con el principio de igualdad ex art. 14 C.E. El Auto de planteamiento se refiere a una hipotética desigualdad «con otros ámbitos distintos de la Comunidad Balear», mientras que el art. 14 C.E. se refiere a la igualdad entre los españoles y no a esos «ámbitos distintos» a los que se refiere la Sala. Por lo demás no aparece explicado ni mínimamente razonado, cuál es la desigualdad que pretendidamente generan las Leyes cuestionadas. </w:t>
      </w:r>
    </w:p>
    <w:p w:rsidR="008107C7" w:rsidRDefault="008107C7" w:rsidP="008107C7">
      <w:pPr>
        <w:pStyle w:val="TextoNormal"/>
      </w:pPr>
      <w:r>
        <w:t xml:space="preserve">Por todo ello, a juicio del Fiscal General procede desestimar la presente cuestión de inconstitucionalidad. </w:t>
      </w:r>
    </w:p>
    <w:p w:rsidR="008107C7" w:rsidRDefault="008107C7" w:rsidP="008107C7">
      <w:pPr>
        <w:pStyle w:val="TextoNormal"/>
      </w:pPr>
      <w:r>
        <w:t xml:space="preserve">6. El Letrado representante del Consejo de Gobierno de la Comunidad Autónoma de las Islas Baleares presentó su escrito de alegaciones el día 3 de abril de 1991. Esta representación comienza su alegato señalando que las Leyes 1/1984 y 3/1984 cuya constitucionalidad se cuestiona, han sido dictadas por el Parlamento Balear en el ejercicio de su competencia exclusiva sobre ordenación del territorio y urbanismo, con arreglo a lo dispuesto en el art. 148.1.3ª C.E. y el art. 10.3 del Estatuto de Autonomía de aquella Comunidad Autónoma. Esta conclusión no queda desvirtuada por las referencias que en las Exposiciones de Motivos de las referidas Leyes se contienen en relación con la protección de espacios naturales, ya que ésta es una finalidad que puede perfectamente acometerse desde la perspectiva de la ordenación del territorio, tal como acontece en el presente caso. La protección de espacios en atención a sus valores naturales o paisajísticos es uno de los objetivos permanentes de toda la legislación urbanística. Así, en la ley del Suelo, Texto Refundido de 1976, se encuentran precisas referencias a la «conservación del suelo, de otros recursos naturales y a la </w:t>
      </w:r>
      <w:r>
        <w:lastRenderedPageBreak/>
        <w:t xml:space="preserve">defensa y mejora, desarrollo o renovación del medio natural» [art. 8.2 c)], a la «protección del medio ambiente, conservación de la naturaleza y defensa del paisaje» [art. 12.1 d)], a la conservación de todos y cada uno de los elementos naturales, sea suelo, flora, fauna o paisaje, (art. 12.2.4), al establecimiento sobre determinados espacios de una «especial protección en razón de su excepcional valor agrícola, forestal o ganadero, de las posibilidades de explotación de sus recursos naturales, de sus valores paisajísticos, históricos o culturales, o por la defensa de la fauna, flora o el equilibrio ecológico» (art. 80). </w:t>
      </w:r>
    </w:p>
    <w:p w:rsidR="008107C7" w:rsidRDefault="008107C7" w:rsidP="008107C7">
      <w:pPr>
        <w:pStyle w:val="TextoNormal"/>
      </w:pPr>
      <w:r>
        <w:t xml:space="preserve">Estos objetivos de protección de la naturaleza inherentes a toda política urbanística se han visto confirmados por la Ley 8/1991, de 25 de julio. Por su parte, la Ley del Parlamento Balear núm. 1/1991, de 30 de enero, además de ratificar cuanto antecede, abunda en la misma dirección. </w:t>
      </w:r>
    </w:p>
    <w:p w:rsidR="008107C7" w:rsidRDefault="008107C7" w:rsidP="008107C7">
      <w:pPr>
        <w:pStyle w:val="TextoNormal"/>
      </w:pPr>
      <w:r>
        <w:t xml:space="preserve">Durante la tramitación en primera instancia y en trámite de apelación esta representación alegó reiteradamente sobre la improcedencia de plantear la cuestión de inconstitucionalidad pretendida de contrario. En efecto, con arreglo a lo dispuesto en la LOTC y a la propia doctrina del Tribunal Constitucional, «la cuestión de inconstitucionalidad no es una acción concedida para impugnar de modo directo y con carácter abstracto la validez de una Ley». Pues bien, resulta patente que las Leyes 1/1984 y 3/1984 no constituyen en modo alguno normas aplicables al caso de las que dependa directamente el fallo. Basta con comprobar que se trata de dilucidar una pretensión indemnizatoria fundada en una pretendida responsabilidad de la Administración autonómica por efecto directo de la aprobación de las referidas Leyes. Si bien la denominada responsabilidad del Estado legislador no tiene una legislación de directa aplicación, ésta se asienta en los mismos principios que regulan la responsabilidad patrimonial de la Administración contenidos en el art. 106 C.E., 40 de la Ley de Régimen Jurídico de la Administración del Estado, arts. 120 a 123 de la Ley de Expropiación Forzosa, arts. 133 a 138 del Reglamento de Expropiación Forzosa y en la materia urbanística de que tratamos el art. 87.2 de la Ley del Suelo. Son éstas normas de cuya constitucionalidad no se duda de las que, en última instancia, depende el fallo. Desde esta perspectiva la cuestión planteada ha de ser desestimada por su irrelevancia para el asunto debatido en el recurso contencioso-administrativo del que trae causa. </w:t>
      </w:r>
    </w:p>
    <w:p w:rsidR="008107C7" w:rsidRDefault="008107C7" w:rsidP="008107C7">
      <w:pPr>
        <w:pStyle w:val="TextoNormal"/>
      </w:pPr>
      <w:r>
        <w:t xml:space="preserve">Pero, como se decía, las Leyes autonómicas cuestionadas no son legislación sobre medio ambiente, sino que responden a necesidades de ordenación del territorio y urbanismo. Para llegar a esta conclusión basta con advertir que no contienen norma alguna de carácter positivo que imponga una obligación de hacer para la mejora del medio ambiente o del espacio natural, ni tampoco prevé disposición alguna acerca de la gestión a la que deba someterse el pretendido espacio. Antes bien, el art. 3 de la Ley 1/1984 señala que la declaración de un espacio como Área Natural de Especial Interés, producirá en su ámbito territorial los siguientes efectos: a) Los terrenos quedan clasificados como suelo no urbanizable de especial protección; b) Quedarán sin efecto los planes, proyectos de urbanización y parcelación, disconformes con la mencionada clasificación, y c) La suspensión de las licencias de edificación y de uso del suelo contradictorias con el régimen urbanístico transitorio previsto en la propia Ley. En esta misma línea su art. 4 se refiere a la exigencia de que los distintos Planes urbanísticos han de adaptarse y respetar en ámbito de esos Áreas Naturales de Especial Interés; el art. 5 ordena la elaboración de un Plan Especial de Protección, el 6º dispone un régimen urbanístico transitorio y, finalmente, su Disposición adicional señala que «en todo aquello no regulado en la presente ley, regirá la Ley de Régimen del Suelo y Ordenación Urbana». </w:t>
      </w:r>
    </w:p>
    <w:p w:rsidR="008107C7" w:rsidRDefault="008107C7" w:rsidP="008107C7">
      <w:pPr>
        <w:pStyle w:val="TextoNormal"/>
      </w:pPr>
      <w:r>
        <w:t xml:space="preserve">Por su parte, la Ley 3/1984, tras efectuar la declaración de Área Natural de Especial Interés remite a la Ley anteriormente reseñada. A la vista de lo expuesto sólo cabe concluir </w:t>
      </w:r>
      <w:r>
        <w:lastRenderedPageBreak/>
        <w:t xml:space="preserve">que las citadas Leyes autonómicas tienen un inequívoco contenido relativo al urbanismo y a la ordenación del territorio. </w:t>
      </w:r>
    </w:p>
    <w:p w:rsidR="008107C7" w:rsidRDefault="008107C7" w:rsidP="008107C7">
      <w:pPr>
        <w:pStyle w:val="TextoNormal"/>
      </w:pPr>
      <w:r>
        <w:t xml:space="preserve">Es esta misma dirección son de señalar algunos precedentes jurisprudenciales recaídos en supuestos sustancialmente idénticos al presente. Así, no sólo la Audiencia Territorial de Palma de Mallorca estimó, con fundadas razones, en el recurso contencioso-administrativo previo y en otros de contenido análogo que era innecesario promover cuestión de inconstitucionalidad, sino que la propia Sala Tercera del Tribunal Supremo (Sección Primera), en su Sentencia de 16 de mayo de 1990 que cita jurisprudencia anterior, estimó que Leyes como las ahora cuestionadas tenían también un claro contenido urbanístico. En consecuencia, el título competencial al que responden las Leyes autonómicas objeto de este proceso constitucional es el de urbanismo y ordenación del territorio, lo que corresponde a la competencia exclusiva de la Comunidad Autónoma de las Islas Baleares. </w:t>
      </w:r>
    </w:p>
    <w:p w:rsidR="008107C7" w:rsidRDefault="008107C7" w:rsidP="008107C7">
      <w:pPr>
        <w:pStyle w:val="TextoNormal"/>
      </w:pPr>
      <w:r>
        <w:t xml:space="preserve">Finalmente, y en relación con la pretendida vulneración del art. 33 C.E., basta con decir que medidas como las instrumentadas en las referidas Leyes autonómicas responden a la función social de la propiedad y que, el hecho de no establecer expresamente eventuales previsiones indemnizatorias, sólo supone que habrá que estarse a lo dispuesto en la legislación común en materia de responsabilidad de la Administración. </w:t>
      </w:r>
    </w:p>
    <w:p w:rsidR="008107C7" w:rsidRDefault="008107C7" w:rsidP="008107C7">
      <w:pPr>
        <w:pStyle w:val="TextoNormal"/>
      </w:pPr>
      <w:r>
        <w:t>En atención a todo ello se termina solicitando que se declare la improcedencia de la cuestión planteada.</w:t>
      </w:r>
    </w:p>
    <w:p w:rsidR="008107C7" w:rsidRDefault="008107C7" w:rsidP="008107C7">
      <w:pPr>
        <w:pStyle w:val="TextoNormal"/>
      </w:pPr>
    </w:p>
    <w:p w:rsidR="008107C7" w:rsidRDefault="008107C7" w:rsidP="008107C7">
      <w:pPr>
        <w:pStyle w:val="TextoNormal"/>
      </w:pPr>
      <w:r w:rsidRPr="008107C7">
        <w:rPr>
          <w:rStyle w:val="NumeroAFNegritaCaracter"/>
        </w:rPr>
        <w:t>7</w:t>
      </w:r>
      <w:r>
        <w:t xml:space="preserve">. El 5 de abril de 1991 registró el Abogado del Estado su escrito de alegaciones. Tras reflejar los contenidos del Auto de planteamiento de la cuestión, se detiene en el examen de los contenidos normativos de las Leyes autonómicas cuestionadas. Así, la Ley 1/1984 define en su art. 1 su objeto y finalidad consistente en «la ordenación, conservación y protección de las áreas naturales de especial interés para la Comunidad Autónoma de las Islas Baleares»; el art. 2 precisa que «son áreas naturales de especial interés aquellos espacios que por sus valores naturales singulares, ya sea suelo, flora, fauna o paisaje, sean declarados como tales por Ley del Parlamento de las Islas Baleares»; los arts. 3 y 4 establecen, en términos muy concretos, las consecuencias limitativas o prohibitivas inherentes al régimen protector de las áreas naturales de interés especial y que consisten en a) «los terrenos quedarán clasificados como suelo no urbanizable de especial protección», b) «quedarán sin efecto los planes, proyectos de urbanización y de parcelación disconformes con la mencionada clasificación», c) «quedarán en suspenso los efectos de las licencias de edificación y uso del suelo contradictorios con el régimen urbanístico transitorio que establece el art. 6, hasta la aprobación del plan especial que exige el art. 5» y, finalmente, se dispone que d) «los Planes Directores Territoriales de Coordinación, Plan Provincial, Planes Generales y Normas Subsidiarias de Planeamiento que se redacten, revisen, modifiquen o adapten habrán de respetar en el ámbito de las áreas naturales de especial interés las determinaciones de la presente Ley». Todas estas determinaciones normativas responden a la protección de las áreas naturales de interés especial «respecto de los procesos de degradación por desarrollo urbanístico que las amenacen (...) con el objetivo de la defensa de los valores naturales de interés especial que contienen» (Exposición de Motivos). </w:t>
      </w:r>
    </w:p>
    <w:p w:rsidR="008107C7" w:rsidRDefault="008107C7" w:rsidP="008107C7">
      <w:pPr>
        <w:pStyle w:val="TextoNormal"/>
      </w:pPr>
      <w:r>
        <w:t xml:space="preserve">Por otro lado, la Ley 3/1984 consta de dos únicos artículos, una Disposición transitoria y dos adicionales. Esta Ley se limita a declarar área natural de especial interés al espacio situado en el municipio de Campos (Mallorca), llamado «Es Trenc-Salobrar de Campos» (art. 1) y, en su art. 2 se fijan con precisión los límites del paraje objeto de esa declaración. En la Exposición de Motivos de la Ley se expresan con claridad los motivos que justifican esa declaración: en primer lugar, «el sistema de dunas de 'Es-Trenc' que separa el 'Salobrar' </w:t>
      </w:r>
      <w:r>
        <w:lastRenderedPageBreak/>
        <w:t xml:space="preserve">del mar es uno de los más extensos y mejor conservados de los existentes en las Baleares, con duna de hasta 23 metros de altura y una profundidad de hasta alcanzar el kilómetro, a contar desde la línea de costa»; en segundo lugar, «los notables valores paisajísticos» de la zona; y, en fin, que el Salobrar es una zona húmeda de interés singular que «por su configuración plana, con aguas muy superficiales y con escasa vegetación, es el habitat más adecuado para las aves limícolas que existen en las Baleares». Razones, que unidas a diversos informes del Instituto para la Conservación de la Naturaleza, justifican su especial protección. </w:t>
      </w:r>
    </w:p>
    <w:p w:rsidR="008107C7" w:rsidRDefault="008107C7" w:rsidP="008107C7">
      <w:pPr>
        <w:pStyle w:val="TextoNormal"/>
      </w:pPr>
      <w:r>
        <w:t xml:space="preserve">La finalidad pretendida por las dos Leyes y su contenido normativo permite seleccionar el título competencial procedente que debe servir de parámetro de enjuiciamiento constitucional de las Leyes cuestionadas. Ambas leyes establecen normas de ordenación, conservación y protección del medio ambiente, lo que ha de considerarse que se integra dentro de la legislación sobre protección del medio ambiente, como el Tribunal Constitucional ha señalado en sus SSTC 64/1982 y 170/1989. </w:t>
      </w:r>
    </w:p>
    <w:p w:rsidR="008107C7" w:rsidRDefault="008107C7" w:rsidP="008107C7">
      <w:pPr>
        <w:pStyle w:val="TextoNormal"/>
      </w:pPr>
      <w:r>
        <w:t xml:space="preserve">A continuación examina el Abogado del Estado la distribución constitucional de competencias sobre esta materia. El art. 148.1.9ª C.E. limita la asunción de competencias por las CC.AA. a «la gestión en materia de protección del medio ambiente». Este apartado 9 del art. 148.1 C.E. es de singular importancia para la correcta interpretación del art. 11.5 del Estatuto de Autonomía para las Islas Baleares (E.A.I.B.), conforme al cual «en el marco de la legislación básica del Estado y, en su caso, en los términos que la misma establezca, corresponde a la Comunidad Autónoma de las Islas Baleares el desarrollo legislativo y la ejecución de las siguientes materias: 5. Normas adicionales de protección del medio ambiente. Espacios naturales protegidos. Ecología». En el momento presente la C.A. de las Islas Baleares no puede ostentar otras competencias que las posibles en el marco del art. 148.1 C.E., sin perjuicio de que el propio Estatuto de la Comunidad Autónoma prevea pro futuro su ampliación. En efecto, el art. 16.2 E.A.I.B. dispone que «la asunción de competencias previstas en el apartado anterior, así como aquellas otras que, reguladas en este Estatuto, estén incluidas en el ámbito del art. 149 de la Constitución, se realizará por uno de los siguientes procedimientos: Primero. Transcurridos los cinco años previstos en el apartado 2 del art. 148 de la Constitución, previo Acuerdo del Parlamento de las Islas Baleares adoptado por mayoría absoluta y mediante Ley Orgánica aprobada por las Cortes Generales, según lo previsto en el apartado 3 del art. 147 de la Constitución; Segundo. A través de los procedimientos establecidos en los núm. 1 y 2 del art. 150 de la Constitución, bien a iniciativa del Parlamento de las Islas Baleares, del Gobierno de la Nación, del Congreso de los Diputados o del Senado». Pues bien, como es sabido, el art. 149.1.23ª C.E. incluye en su ámbito la materia de medio ambiente y «las facultades de las Comunidades Autónomas de establecer normas adicionales de protección». Resulta de todo ello que las competencias de la C. A. de las Islas Baleares en materia de protección del medio ambiente quedan limitadas a la gestión (STC 227/1988, si bien la STC 170/1989, no parece haber tenido en cuenta ese límite en relación con la C.A. de Madrid). En suma, corresponde al Estado dictar todas las normas protectoras del medio ambiente, básicas o no, mientras que las competencias de la C.A. de las Islas Baleares se encuentran limitadas en los términos del art. 148.1 C.E. </w:t>
      </w:r>
    </w:p>
    <w:p w:rsidR="008107C7" w:rsidRDefault="008107C7" w:rsidP="008107C7">
      <w:pPr>
        <w:pStyle w:val="TextoNormal"/>
      </w:pPr>
      <w:r>
        <w:t xml:space="preserve">Pero, aun en la hipótesis de que en el futuro se produjese una ampliación de las competencias autonómicas sobre esta materia, el examen del problema suscitado nos conduciría a la conclusión de la falta de competencia de la C.A. de las Islas Baleares para dictar las Leyes 1/1984 y 3/1984. En efecto, el Estatuto de Autonomía de esa Comunidad no le confiere competencia exclusiva en materia de espacios naturales protegidos, puesto que se limita a asumir la competencia «en el marco de la legislación básica del Estado y, en su caso, en los </w:t>
      </w:r>
      <w:r>
        <w:lastRenderedPageBreak/>
        <w:t xml:space="preserve">términos que la misma establezca». De acuerdo con la interpretación sostenida en la STC 19/1983 en relación con la cláusula «en los términos» incorporada a diversos Estatutos de Autonomía, esto supone que la legislación básica estatal vigente en cada momento constituye el marco básico dentro del cual podrán ejercitarse las competencias autonómicas en materia de espacios naturales protegidos. Pues bien, la legislación básica estatal que ha de tomarse en consideración para determinar la competencia autonómica en relación con la duda de constitucionalidad suscitada por la Sala cuestionante viene constituida por la Ley 4/1989, de 27 de marzo, de Conservación de los Espacios Naturales y de la Flora y Fauna Silvestre (L.C.E.N.) y no por la Ley 15/1975 expresamente derogada por aquélla. De este modo y en sintonía con las SSTC 87/1985, 137/1986, 27/1987, 154/1988 y 170/1989, el marco de enjuiciamiento en este proceso constitucional es el ius superveniens representado por la legislación básica del Estado vigente en este momento, que no es otro, que el constituido por la citada Ley 4/1989. </w:t>
      </w:r>
    </w:p>
    <w:p w:rsidR="008107C7" w:rsidRDefault="008107C7" w:rsidP="008107C7">
      <w:pPr>
        <w:pStyle w:val="TextoNormal"/>
      </w:pPr>
      <w:r>
        <w:t xml:space="preserve">Esta Ley declara normas básicas sus arts. 10 a 19, que definen y regulan las categorías o sistemas de los espacios naturales protegidos, agrupándolos en cuatro categorías: Parques, Reservas Naturales, Monumentos Naturales y Paisajes Protegidos. En sus arts. 13 a 19 establece, en términos muy generales, las consecuencias limitativas o prohibitivas inherentes a estos regímenes de protección. Finalmente, en el art. 18.1 prevé el establecimiento de zonas periféricas a los espacios naturales protegidos y en el art. 18.2 lo que denomina «áreas de influencia socio económica». El art. 21.2 de la L.C.E.N. reconoce a las CC.AA. «con competencia exclusiva en materia de espacios naturales protegidos y con competencia para dictar normas adicionales en materia de protección del medio ambiente» la posibilidad de establecer otras figuras diferentes, regulando sus correspondientes medidas de protección. </w:t>
      </w:r>
    </w:p>
    <w:p w:rsidR="008107C7" w:rsidRDefault="008107C7" w:rsidP="008107C7">
      <w:pPr>
        <w:pStyle w:val="TextoNormal"/>
      </w:pPr>
      <w:r>
        <w:t xml:space="preserve">Con arreglo a la interpretación asignada por el Tribunal Constitucional a la expresión «en los términos» incorporada al art. 11.5 del Estatuto de Autonomía de la C.A. de las Islas Baleares, el transcrito precepto de la L.C.E.N. se constituye en norma atributiva de la competencia autonómica. Pero la Comunidad Autónoma de las Islas Baleares no reúne los requisitos que definen el supuesto de hecho del citado art. 21.2. A diferencia de otros Estatutos de Autonomía (arts. 9.10 y 10.1.6 Estatuto de Autonomía de Cataluña; arts. 13.7 y 15.1.7. Estatuto de Autonomía de Andalucía; y arts. 31.10 y 32.6 Estatuto de Autonomía de Valencia), la C.A. de las Islas Baleares no ha asumido en su Estatuto competencia exclusiva en materia de espacios naturales protegidos, por lo que no puede ampararse en el repetido arts. 21.2 de la L.C.E.N para modelar el nuevo régimen protector de los espacios naturales. </w:t>
      </w:r>
    </w:p>
    <w:p w:rsidR="008107C7" w:rsidRDefault="008107C7" w:rsidP="008107C7">
      <w:pPr>
        <w:pStyle w:val="TextoNormal"/>
      </w:pPr>
      <w:r>
        <w:t xml:space="preserve">Finalmente, y en relación con la referencia que se hace en el Auto de planteamiento a una eventual vulneración del derecho de propiedad ex art. 33.3 C.E, ha de reconocerse, con arreglo a la doctrina de la STC 227/1988, que la función social de la propiedad permite establecer límites legales al disfrute de la misma que, cuando se trata de proteger un espacio natural y en cumplimiento del art. 45 C.E., no exigen la expresa previsión de mecanismos indemnizatorios. </w:t>
      </w:r>
    </w:p>
    <w:p w:rsidR="008107C7" w:rsidRDefault="008107C7" w:rsidP="008107C7">
      <w:pPr>
        <w:pStyle w:val="TextoNormal"/>
      </w:pPr>
      <w:r>
        <w:t>En razón de todo ello, se interesa de este Tribunal que estime la presente cuestión de inconstitucionalidad.</w:t>
      </w:r>
    </w:p>
    <w:p w:rsidR="008107C7" w:rsidRDefault="008107C7" w:rsidP="008107C7">
      <w:pPr>
        <w:pStyle w:val="TextoNormal"/>
      </w:pPr>
    </w:p>
    <w:p w:rsidR="008107C7" w:rsidRDefault="008107C7" w:rsidP="008107C7">
      <w:pPr>
        <w:pStyle w:val="TextoNormal"/>
      </w:pPr>
      <w:r w:rsidRPr="008107C7">
        <w:rPr>
          <w:rStyle w:val="NumeroAFNegritaCaracter"/>
        </w:rPr>
        <w:t>8</w:t>
      </w:r>
      <w:r>
        <w:t xml:space="preserve">. El Presidente del Parlamento de las Islas Baleares, en la representación institucional que ostenta, presentó su escrito de alegaciones el día 18 de abril de 1991. Comienza su alegato advirtiendo que las dos Leyes autonómicas objeto del presente proceso constitucional se encuentran actualmente derogadas por la Ley 1/1991, de 30 de enero, de Espacios Naturales y Régimen Urbanístico de las Áreas de Especial Protección de las Islas Baleares </w:t>
      </w:r>
      <w:r>
        <w:lastRenderedPageBreak/>
        <w:t xml:space="preserve">(Boletín Oficial de la C.A.I.B. núm. 31, de 9 de marzo). Por lo tanto, el derecho ahora vigente es otro. No obstante se reconoce que las Leyes autonómicas 1 y 3 del año 1984 son de aplicación al supuesto enjuiciado, por tratarse de una situación anterior que reclama el juicio del Tribunal Constitucional de confrontación entre las Leyes cuestionadas y la Constitución, según la doctrina fijada por las STC 17/1981. </w:t>
      </w:r>
    </w:p>
    <w:p w:rsidR="008107C7" w:rsidRDefault="008107C7" w:rsidP="008107C7">
      <w:pPr>
        <w:pStyle w:val="TextoNormal"/>
      </w:pPr>
      <w:r>
        <w:t xml:space="preserve">Al objeto de centrar el debate procesal puede decirse que el Auto de planteamiento considera principalmente infringidos los arts. 149.1.23ª, 148.1.9ª y 149.3 de la Constitución y, de modo adicional, sugiere la vulneración de los arts. 14 y 33.3 del propio Texto Constitucional. A ello se añade la consideración de que la Ley 1/1984 operaría como ley marco en relación con la 3/1984, cometido que únicamente puede corresponder a la legislación estatal. </w:t>
      </w:r>
    </w:p>
    <w:p w:rsidR="008107C7" w:rsidRDefault="008107C7" w:rsidP="008107C7">
      <w:pPr>
        <w:pStyle w:val="TextoNormal"/>
      </w:pPr>
      <w:r>
        <w:t xml:space="preserve">Pues bien, frente a estas consideraciones cumple manifestar lo siguiente: </w:t>
      </w:r>
    </w:p>
    <w:p w:rsidR="008107C7" w:rsidRDefault="008107C7" w:rsidP="008107C7">
      <w:pPr>
        <w:pStyle w:val="TextoNormal"/>
      </w:pPr>
      <w:r>
        <w:t xml:space="preserve">En relación con la presunta vulneración del orden constitucional de competencias, el reproche de inconstitucionalidad parte de la idea de que las dos normas cuestionadas derivan del título competencial sobre «la gestión en materia de protección del medio ambiente», respecto de la que el Estado tiene competencia exclusiva para dictar la legislación básica (art. 149.1.23ª C.E.), correspondiéndole igualmente aquellas competencias no asumidas por los Estatutos de Autonomía (art. 149.3 C.E.), lo que conduce al análisis del art. 11.5 del Estatuto de Autonomía de las Islas Baleares. Esta premisa inicial debe ser puesta en entredicho. Las Leyes cuestionadas no dimanan del citado título competencial, sino de otros varios en los que la C.A.I.B. tiene competencias exclusivas. </w:t>
      </w:r>
    </w:p>
    <w:p w:rsidR="008107C7" w:rsidRDefault="008107C7" w:rsidP="008107C7">
      <w:pPr>
        <w:pStyle w:val="TextoNormal"/>
      </w:pPr>
      <w:r>
        <w:t xml:space="preserve">Un examen detenido de estas Leyes evidencia que su objeto es la ordenación del territorio y el urbanismo y no la protección del medio ambiente o la declaración de espacios naturales protegidos. En este sentido ha de significarse que la Constitución no ha reservado expresamente al Estado competencia alguna en materia de urbanismo, por lo que la C.A.I.B. ha asumido las más amplias competencias en esta materia (art. 45 del Estatuto de Autonomía de las Islas Baleares). Que las Leyes 1/194 y 3/1984 regulan materias encuadrables en el concepto de material de urbanismo es algo que se desprende no sólo de sus contenidos sino también de lo dispuesto en la Ley autonómica 1/1991 que ha venido a sustituirlas. De este modo, el objeto de las normas legales cuestionadas puede resumirse en dos ideas principales: delimitación de las Áreas protegidas y fijación del régimen de usos del suelo. Hasta tal punto esto es así, que la Ley de la C.A.I.B., 8/1987, de 1 de abril, de Ordenación Territorial de las Islas Baleares, dispone en su Capítulo Cuarto, arts. 26 al 30, la regulación de los Planes de Ordenación del Medio Natural y, de hecho, las medidas que adoptaban las dos Leyes cuestionadas podrían haberse configurado por medio de alguno de los instrumentos previstos en la citada Ley de Ordenación Territorial. </w:t>
      </w:r>
    </w:p>
    <w:p w:rsidR="008107C7" w:rsidRDefault="008107C7" w:rsidP="008107C7">
      <w:pPr>
        <w:pStyle w:val="TextoNormal"/>
      </w:pPr>
      <w:r>
        <w:t xml:space="preserve">Pero, además, las dos Leyes cuestionadas no tenían su única y exclusiva base legitimadora en las mencionadas competencias autonómicas sobre ordenación del territorio y urbanismo. Antes bien, sobre la materia inciden otras muchas, tales como las previstas en los apartados 5, 6, 7, 8, 9, 10, 18 y 20 del art. 10 del Estatuto de Autonomía de las Islas Baleares. Todo este conjunto competencial forma un auténtico «bloque orgánico» de competencias entre las que cabe destacar la de ordenación del territorio y la de patrimonio paisajístico. Esta, por su relación directa con el objeto de las Leyes cuestionadas, aquélla por su carácter globalizador e integrados de todas las competencias sectoriales con incidencia sobre el territorio. </w:t>
      </w:r>
    </w:p>
    <w:p w:rsidR="008107C7" w:rsidRDefault="008107C7" w:rsidP="008107C7">
      <w:pPr>
        <w:pStyle w:val="TextoNormal"/>
      </w:pPr>
      <w:r>
        <w:t xml:space="preserve">Todo ello hace innecesario recurrir a la competencia autonómica no exclusiva sobre «Normas adicionales de protección del medio ambiente. Espacios naturales protegidos. Ecología» del art. 11.5 del Estatuto de Autonomía de las Islas Baleares, de acuerdo con lo dispuesto en los arts. 149.1.23ª y 148.1.9ª de la Constitución. En efecto, al haber asumido la </w:t>
      </w:r>
      <w:r>
        <w:lastRenderedPageBreak/>
        <w:t xml:space="preserve">C.A.I.B., ipso iure y en virtud de la promulgación de su Estatuto de Autonomía, la competencia exclusiva sobre la ordenación del territorio (art. 10.3) así como las demás competencias anteriormente reseñadas, la C.A.I.B. estaba constitucional y estatutariamente legitimada para regular las materias objeto de las Leyes ahora cuestionadas. </w:t>
      </w:r>
    </w:p>
    <w:p w:rsidR="008107C7" w:rsidRDefault="008107C7" w:rsidP="008107C7">
      <w:pPr>
        <w:pStyle w:val="TextoNormal"/>
      </w:pPr>
      <w:r>
        <w:t xml:space="preserve">Así, las sociedades demandantes han interpuesto todo tipo de acciones y recursos contra las mencionadas Leyes autonómicas. Pues bien, en todos los procedimientos judiciales, con excepción del presente, los órganos judiciales no han planteado cuestión de inconstitucionalidad por estimar que dichas Leyes autonómicas o no incidían sobre lo debatido o que era plenamente constitucionales, manifestándose en igual sentido el Ministerio Fiscal. </w:t>
      </w:r>
    </w:p>
    <w:p w:rsidR="008107C7" w:rsidRDefault="008107C7" w:rsidP="008107C7">
      <w:pPr>
        <w:pStyle w:val="TextoNormal"/>
      </w:pPr>
      <w:r>
        <w:t xml:space="preserve">De otro lado, y en relación con las posibles vulneraciones adicionales de los arts. 14 y 33.3 de la C.E., debe señalarse en relación con el principio de igualdad que no existe término idóneo de comparación sobre el que articular un juicio de esa naturaleza, descartándose, igualmente, toda eventual arbitrariedad, puesto que la declaración de «Es Trenc-Salobrar de Campos» como área natural de especial interés respondió a estudios e informes científicos realizados al efecto. Por su parte, el art. 33.2 C.E., tras reconocer el derecho a la propiedad privada declara que su función social delimitará su contenido «de acuerdo con las leyes». No existe duda acerca de que la mera clasificación o desclasificación urbanística operada en virtud de las dos Leyes cuestionadas no afecta al contenido esencial del derecho de propiedad. Tampoco puede apreciarse su inconstitucionalidad por el hecho de que no contuvieran una previsión indemnizatoria expresa, pues, la necesaria integración de tales Leyes en el ordenamiento jurídico conduce a colmar esa laguna con arreglo a los principios generales que regulan la responsabilidad patrimonial de la Administración. De hecho, la Ley autonómica 1/1991, que ha sustituido a los dos Leyes cuestionadas, determina en su Disposición adicional sexta que «El Govern preverá en los correspondientes proyectos de Presupuestos de la Comunidad los recursos precisos para afrontar las responsabilidades económicas que de acuerdo con la Ley 8/1989, de 25 de julio, sobre Reforma del Régimen Urbanístico y Valoración del Suelo, puedan suponer las determinaciones de la presente Ley, relativas a desclasificación urbanística de los terrenos». </w:t>
      </w:r>
    </w:p>
    <w:p w:rsidR="008107C7" w:rsidRDefault="008107C7" w:rsidP="008107C7">
      <w:pPr>
        <w:pStyle w:val="TextoNormal"/>
      </w:pPr>
      <w:r>
        <w:t>Finalmente, se examina la presunta inconstitucionalidad de las Leyes cuestionadas, por la indebida configuración de la Ley 1/1984 como una ley marco, tal como se argumenta en el Auto de planteamiento. Tras señalar que con arreglo a la propia doctrina del Tribunal Constitucional no puede equipararse legislación básica con Ley marco, y que las dos normas cuestionadas no responden a lo previsto en el art. 150.1 C.E., se señala que en desarrollo de la Ley 3/1984 se han dictado otra muchas leyes singulares, hasta un número de trece, sin que frente a ninguna de ellas se haya promovido recurso de inconstitucionalidad. A todo ello ha de unirse el nuevo marco de la legislación básica estatal establecido por la Ley 4/1989, cuya confrontación con las Leyes cuestionadas conduce a su plena constitucionalidad. Por todo ello, procede desestimar la presente cuestión de inconstitucionalidad.</w:t>
      </w:r>
    </w:p>
    <w:p w:rsidR="008107C7" w:rsidRDefault="008107C7" w:rsidP="008107C7">
      <w:pPr>
        <w:pStyle w:val="TextoNormal"/>
      </w:pPr>
    </w:p>
    <w:p w:rsidR="008107C7" w:rsidRDefault="008107C7" w:rsidP="008107C7">
      <w:pPr>
        <w:pStyle w:val="TextoNormal"/>
      </w:pPr>
      <w:r w:rsidRPr="008107C7">
        <w:rPr>
          <w:rStyle w:val="NumeroAFNegritaCaracter"/>
        </w:rPr>
        <w:t>9</w:t>
      </w:r>
      <w:r>
        <w:t>. Por providencia de 11 de febrero de 1997 se fijó para la deliberación y votación de esta Sentencia el día 13 siguiente.</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La Ley del Parlamento de las Islas Baleares, 1/1984, de 14 de marzo, ante la necesidad a que alude en su exposición de motivos de arbitrar medidas que permitan la protección de determinados espacios cuyas singulares características naturales pudieran degradarse o </w:t>
      </w:r>
      <w:r>
        <w:lastRenderedPageBreak/>
        <w:t>verse amenazadas por el desarrollo urbanístico, estableció un régimen jurídico especial para la ordenación y protección de determinados parajes del territorio balear calificándolos como «Áreas Naturales de Especial Interés». Con apoyo en esta norma legal, el propio Parlamento autonómico aprobó la Ley 3/1984, de 31 de mayo, declarando Área Natural de Especial Interés a la zona conocida como «Es Trenc-Salobrar de Campos».</w:t>
      </w:r>
    </w:p>
    <w:p w:rsidR="008107C7" w:rsidRDefault="008107C7" w:rsidP="008107C7">
      <w:pPr>
        <w:pStyle w:val="TextoNormal"/>
      </w:pPr>
      <w:r>
        <w:t>Como consecuencia de esta declaración, dos sociedades anónimas con intereses patrimoniales en ese paraje interpusieron, una vez agotada la vía administrativa previa, recurso contencioso-administrativo, interesando que se plantease ante este Tribunal cuestión de inconstitucionalidad en relación con las citadas Leyes autonómicas, así como que se les indemnizase por los perjuicios derivados de la declaración contenida en la Ley 3/1984.</w:t>
      </w:r>
    </w:p>
    <w:p w:rsidR="008107C7" w:rsidRDefault="008107C7" w:rsidP="008107C7">
      <w:pPr>
        <w:pStyle w:val="TextoNormal"/>
      </w:pPr>
      <w:r>
        <w:t>La Sección Quinta de la Sala Tercera del Tribunal Supremo, que conoce del meritado recurso en grado de apelación, planteó ante este Tribunal cuestión de inconstitucionalidad respecto de las dos Leyes autonómicas de referencia, por entender que la determinación de su licitud constitucional era imprescindible para dictar su fallo, pues, si dichas Leyes son inconstitucionales y, por tanto, nulas, la declaración de «Es Trenc-Salobrar de Campos» como Área Natural de Especial Interés, en puridad, nunca habría existido, ni las prohibiciones y limitaciones previstas en la Ley 1/1984 podrían incidir sobre los derechos patrimoniales de las sociedades actoras, lo que haría innecesario entrar en el examen y enjuiciamiento de la pretensión indemnizatoria formulada por las recurrentes.</w:t>
      </w:r>
    </w:p>
    <w:p w:rsidR="008107C7" w:rsidRDefault="008107C7" w:rsidP="008107C7">
      <w:pPr>
        <w:pStyle w:val="TextoNormal"/>
      </w:pPr>
      <w:r>
        <w:t>Según el Auto de planteamiento de la cuestión, los eventuales vicios de inconstitucionalidad de las dos Leyes autonómicas objeto del presente proceso constitucional responden a dos órdenes distintos de consideraciones.</w:t>
      </w:r>
    </w:p>
    <w:p w:rsidR="008107C7" w:rsidRDefault="008107C7" w:rsidP="008107C7">
      <w:pPr>
        <w:pStyle w:val="TextoNormal"/>
      </w:pPr>
      <w:r>
        <w:t>El primero es de carácter competencial: a juicio de la Sala cuestionante las citadas Leyes autonómicas deben encuadrarse por su finalidad y contenido en el ámbito material de las competencias sobre protección del medio ambiente, cuyo marco normativo de referencia, además de los arts. 148.1.9ª y 149.1.23ª C.E. y del art. 11.5 del Estatuto de Autonomía de las Islas Baleares, viene integrado por la legislación básica del Estado sobre espacios naturales protegidos contenida en la Ley 15/1975, de 2 de mayo, y su reglamento ejecutivo núm.  2.676/1977, de 4 de marzo. Para la Sala a quo las Leyes del Parlamento de las Islas Baleares 1 y 3 de 1984 alteran sustancialmente lo dispuesto en la legislación básica del Estado y contravienen el orden constitucional de distribución de competencias, al no poder calificarse como normas adicionales de las estatales, por ser Leyes autonómicas sustancialmente diferentes.  Además, la Ley 1/1984 se configura con el carácter de Ley marco, siendo la Ley 3/1984 ejecución de la primera. Sin embargo, esa condición de Ley marco no es propia de una ley autonómica cuyo marco normativo ha de venir constituido por la legislación básica estatal sobre espacios naturales protegidos. Rechaza, pues, el Auto de planteamiento que la competencia autonómica en la que se basan las leyes cuestionadas, sea la que se señala en la exposición de motivos de la Ley 1/1984: urbanismo y ordenación del territorio y patrimonio paisajístico de interés para la Comunidad que, como competencia exclusiva, le atribuye el art. 10 en sus números 3 y 20 de su Estatuto de Autonomía.</w:t>
      </w:r>
    </w:p>
    <w:p w:rsidR="008107C7" w:rsidRDefault="008107C7" w:rsidP="008107C7">
      <w:pPr>
        <w:pStyle w:val="TextoNormal"/>
      </w:pPr>
      <w:r>
        <w:t xml:space="preserve">El segundo orden de consideraciones que señala el Auto como posibles vulneraciones adicionales de preceptos constitucionales, se refiere a los derechos reconocidos en los arts. 14 y 33 de la Constitución. De un lado, las Leyes autonómicas disponen una «injustificada diferencia de trato en comparación con otros ámbitos distintos de la Comunidad Autónoma de las Islas Baleares» lo que puede resultar contrario al derecho a la igualdad. De otro, al no contener expresamente previsiones sobre los modos de compensación de las limitaciones que para el derecho de propiedad se derivan de la declaración de «Es Trenc- Salobrar de </w:t>
      </w:r>
      <w:r>
        <w:lastRenderedPageBreak/>
        <w:t>Campos» como Área Natural de Especial Interés, vulneran las garantías constitucionales del derecho de propiedad y, en particular, el art. 33.3 de la Constitución.</w:t>
      </w:r>
    </w:p>
    <w:p w:rsidR="008107C7" w:rsidRDefault="008107C7" w:rsidP="008107C7">
      <w:pPr>
        <w:pStyle w:val="TextoNormal"/>
      </w:pPr>
    </w:p>
    <w:p w:rsidR="008107C7" w:rsidRDefault="008107C7" w:rsidP="008107C7">
      <w:pPr>
        <w:pStyle w:val="TextoNormal"/>
      </w:pPr>
      <w:r w:rsidRPr="008107C7">
        <w:rPr>
          <w:rStyle w:val="NumeroAFNegritaCaracter"/>
        </w:rPr>
        <w:t>2</w:t>
      </w:r>
      <w:r>
        <w:t>. Antes de entrar en el enjuiciamiento del fondo del asunto es necesario atender a ciertas observaciones formuladas por las demás partes personadas en el presente proceso constitucional, y que inciden directamente tanto en la delimitación de su objeto, como en la determinación de las normas que han de servir de canon de constitucionalidad de las Leyes autonómicas cuestionadas.</w:t>
      </w:r>
    </w:p>
    <w:p w:rsidR="008107C7" w:rsidRDefault="008107C7" w:rsidP="008107C7">
      <w:pPr>
        <w:pStyle w:val="TextoNormal"/>
      </w:pPr>
      <w:r>
        <w:t>En efecto, tanto la representación del Parlamento y del Gobierno de las Islas Baleares, como el Abogado del Estado y el Ministerio Fiscal, coinciden en subrayar que al tiempo de plantearse la cuestión de inconstitucionalidad la legislación básica del Estado se contenía en la vigente Ley 4/1989, de 27 de marzo, de Conservación de los Espacios Naturales y de la Flora y Fauna Silvestre (en adelante L.C.E.N.)  que expresamente derogó las normas estatales invocadas en el Auto de planteamiento de la cuestión (Ley 15/1975 y Reglamento de 1977), por lo que ha de ser aquella Ley la que ha de tenerse como elemento de referencia para el enjuiciamiento de las Leyes autonómicas cuestionadas.</w:t>
      </w:r>
    </w:p>
    <w:p w:rsidR="008107C7" w:rsidRDefault="008107C7" w:rsidP="008107C7">
      <w:pPr>
        <w:pStyle w:val="TextoNormal"/>
      </w:pPr>
      <w:r>
        <w:t>En nada afecta el error de identificación de la legislación básica del Estado padecido por la Sala cuestionante, a la viabilidad y enjuiciamiento de la cuestión por ella planteada, pues cuando la duda de constitucionalidad se basa, como ocurre en este caso, en un problema de delimitación competencial, ha de estarse para su resolución a la legislación básica del Estado vigente al tiempo de su enjuiciamiento (STC 170/1989).</w:t>
      </w:r>
    </w:p>
    <w:p w:rsidR="008107C7" w:rsidRDefault="008107C7" w:rsidP="008107C7">
      <w:pPr>
        <w:pStyle w:val="TextoNormal"/>
      </w:pPr>
      <w:r>
        <w:t>Tampoco el hecho de que las Leyes 1/1984 y 3/1984 hayan sido ulteriormente derogadas por la Ley 1/1991, de 30 de enero, de Espacios Naturales y de Régimen Urbanístico de las Áreas de Especial Protección de las Islas Baleares, ocasiona una pérdida sobrevenida del objeto del presente proceso constitucional, pues como reiteradamente ha declarado este Tribunal (SSTC 17/1981, 95/1988 y 332/1993, entre otras muchas), a diferencia de lo que, por regla general, acontece en el recurso de inconstitucionalidad, en la cuestión la derogación de la norma legal objeto del proceso no impide el juicio de constitucionalidad sobre la misma, toda vez que la posible aplicación de la norma derogada en el proceso a quo puede hacer necesario el pronunciamiento de este Tribunal.</w:t>
      </w:r>
    </w:p>
    <w:p w:rsidR="008107C7" w:rsidRDefault="008107C7" w:rsidP="008107C7">
      <w:pPr>
        <w:pStyle w:val="TextoNormal"/>
      </w:pPr>
    </w:p>
    <w:p w:rsidR="008107C7" w:rsidRDefault="008107C7" w:rsidP="008107C7">
      <w:pPr>
        <w:pStyle w:val="TextoNormal"/>
      </w:pPr>
      <w:r w:rsidRPr="008107C7">
        <w:rPr>
          <w:rStyle w:val="NumeroAFNegritaCaracter"/>
        </w:rPr>
        <w:t>3</w:t>
      </w:r>
      <w:r>
        <w:t>. En su escrito de alegaciones, el representante del Consejo de Gobierno de la Comunidad Autónoma de Baleares sostiene que el juicio de constitucionalidad que merezcan las Leyes 1/1984 y 3/1984 es innecesario para la resolución del proceso judicial del que trae causa la presente cuestión de inconstitucionalidad. Falta de relevancia o inexistencia de punto alguno de conexión entre la resolución constitucional y la decisión a adoptar por la Sala a quo, que conduce a la inviabilidad procesal de la cuestión de inconstitucionalidad planteada. Se argumenta, en este sentido, que lo discutido en el recurso contencioso-administrativo es el derecho a percibir una indemnización en virtud de los eventuales perjuicios patrimoniales ocasionados a las actoras por la decisión del Legislador autonómico de declarar a «Es Trenc- Salobrar de Campos» como Área Natural de Especial Interés. La cuestión debatida se contrae, en consecuencia, a la problemática de la denominada «responsabilidad del Estado legislador», siendo de aplicación los principios relativos a la responsabilidad patrimonial de las Administraciones Públicas, así como lo dispuesto en la legislación sobre expropiación forzosa.  Normas, todas ellas, respecto de las que no se suscita duda alguna de constitucionalidad, y que permiten por sí mismas la resolución del asunto.</w:t>
      </w:r>
    </w:p>
    <w:p w:rsidR="008107C7" w:rsidRDefault="008107C7" w:rsidP="008107C7">
      <w:pPr>
        <w:pStyle w:val="TextoNormal"/>
      </w:pPr>
      <w:r>
        <w:t xml:space="preserve">Por su parte, el Fiscal General del Estado, estima que el problema de constitucionalidad lo encuentra la Sala a quo «más que en el hecho de legislar, que no parece que niegue a la </w:t>
      </w:r>
      <w:r>
        <w:lastRenderedPageBreak/>
        <w:t>Comunidad Autónoma (...)» en que las normas legales cuestionadas no sean simples normas adicionales, por operar la Ley 1/1984 como marco de la Ley 3/1984.</w:t>
      </w:r>
    </w:p>
    <w:p w:rsidR="008107C7" w:rsidRDefault="008107C7" w:rsidP="008107C7">
      <w:pPr>
        <w:pStyle w:val="TextoNormal"/>
      </w:pPr>
      <w:r>
        <w:t>Para dar respuesta a estas objeciones de carácter procesal, no es ocioso recordar que la cuestión de inconstitucionalidad únicamente puede plantearse cuando el órgano judicial estime que de la validez constitucional de la norma legal aplicable «depende el fallo» (arts. 163 C.E. y 35.1 LOTC). Esta interrelación necesaria que ha de existir entre el juicio de constitucionalidad de la ley y el pronunciamiento que haya de dictar el órgano judicial a quo, obliga a examinar en qué medida la decisión de este último depende de la validez de las normas legales cuestionadas, pues el denominado juicio de relevancia (art. 35.2 LOTC) es un presupuesto de orden público procesal (STC 46/1992, fundamento jurídico 1º), cuyo objeto es impedir que este cauce de control de constitucionalidad de la ley quede desvirtuado por un uso no acomodado a su naturaleza (por todas, STC 17/1981).</w:t>
      </w:r>
    </w:p>
    <w:p w:rsidR="008107C7" w:rsidRDefault="008107C7" w:rsidP="008107C7">
      <w:pPr>
        <w:pStyle w:val="TextoNormal"/>
      </w:pPr>
      <w:r>
        <w:t>En el asunto que ahora nos ocupa, y en línea con lo argumentado por el Fiscal General del Estado, no podemos compartir el argumento de la Sala a quo con el que se pretende justificar por qué de la validez de Ley 1/1984 depende el fallo que deba dictarse en el proceso a quo. Antes bien, es la Ley 3/1984, y sólo ella, la que produce la afectación de determinados bienes y derechos al declarar a «Es Trenc-Salobrar de Campos» como Área Natural de Interés Especial. Que esta Ley remita a otras disposiciones legales y, en particular, a la Ley 1/1984 es indiferente desde la perspectiva de la resolución del proceso a quo, en el que se discute una reclamación indemnizatoria por eventuales perjuicios de naturaleza patrimonial que encuentran su origen en la decisión del Parlamento de las Islas Baleares contenida exclusivamente en la Ley 3/1984. Por ello mismo, únicamente de la validez de esta Ley dependerá que la Sala cuestionante tenga que juzgar o no sobre el fondo de la apelación y, en su caso, determinar la procedencia de la pretensión indemnizatoria que las demandantes reclaman.</w:t>
      </w:r>
    </w:p>
    <w:p w:rsidR="008107C7" w:rsidRDefault="008107C7" w:rsidP="008107C7">
      <w:pPr>
        <w:pStyle w:val="TextoNormal"/>
      </w:pPr>
      <w:r>
        <w:t>Cuestión completamente distinta es que para el enjuiciamiento de la validez de la Ley 3/1984 sea necesario examinar previamente si la Comunidad Autónoma de las Islas Baleares tiene competencia legislativa para crear la figura de las «Áreas Naturales de Interés Especial». Ahora bien, la conclusión que se alcance sobre este particular incidirá, en su caso, únicamente sobre el juicio de constitucionalidad que merezca la Ley 3/1984.</w:t>
      </w:r>
    </w:p>
    <w:p w:rsidR="008107C7" w:rsidRDefault="008107C7" w:rsidP="008107C7">
      <w:pPr>
        <w:pStyle w:val="TextoNormal"/>
      </w:pPr>
      <w:r>
        <w:t>Por similar razón, no puede acogerse la objeción de falta de relevancia de la cuestión formulada por el representante del Consejo de Gobierno de la Comunidad Autónoma de las Islas Baleares, puesto que la validez de la Ley 3/1984 no es indiferente al enjuiciamiento de la controversia planteada en el proceso contencioso-administrativo, ya que, con independencia de las razones aducidas por la Sala a quo, es innegable que la constitucionalidad o inconstitucionalidad de la referida Ley puede ser un elemento a considerar para determinar el alcance de la reclamación indemnizatoria pretendida en el proceso contencioso-administrativo.</w:t>
      </w:r>
    </w:p>
    <w:p w:rsidR="008107C7" w:rsidRDefault="008107C7" w:rsidP="008107C7">
      <w:pPr>
        <w:pStyle w:val="TextoNormal"/>
      </w:pPr>
    </w:p>
    <w:p w:rsidR="008107C7" w:rsidRDefault="008107C7" w:rsidP="008107C7">
      <w:pPr>
        <w:pStyle w:val="TextoNormal"/>
      </w:pPr>
      <w:r w:rsidRPr="008107C7">
        <w:rPr>
          <w:rStyle w:val="NumeroAFNegritaCaracter"/>
        </w:rPr>
        <w:t>4</w:t>
      </w:r>
      <w:r>
        <w:t>. Una vez delimitado el objeto de nuestro enjuiciamiento, procede analizar si las leyes cuestionadas se ajustan al orden constitucional de distribución de competencias entre el Estado y la Comunidad Autónoma de las Islas Baleares.</w:t>
      </w:r>
    </w:p>
    <w:p w:rsidR="008107C7" w:rsidRDefault="008107C7" w:rsidP="008107C7">
      <w:pPr>
        <w:pStyle w:val="TextoNormal"/>
      </w:pPr>
      <w:r>
        <w:t xml:space="preserve">En el Auto de planteamiento de la cuestión, así como en los escritos de alegaciones del Fiscal General y del Abogado del Estado se afirma que la Ley 3/1984, tanto por su finalidad como por su contenido, debe encuadrarse en el título competencial relativo a la protección del medio ambiente (arts.  148.1.9ª y 149.1.23ª C.E.; y art. 11.5 del E.A.I.B.).  Este extremo es rebatido por los representantes del Consejo de Gobierno y del Parlamento de las Islas </w:t>
      </w:r>
      <w:r>
        <w:lastRenderedPageBreak/>
        <w:t>Baleares. Para el primero, la referida Ley es expresión de la competencia exclusiva de aquella Comunidad Autónoma sobre ordenación de territorio y urbanismo (art. 148.1.3ª y 10.3 del E.A.I.B.), lo que fundamenta en el hecho de que las previsiones legales a las que remite son materialmente disposiciones típicas de la legislación sobre el suelo: clasificación de los terrenos como no urbanizables, anulación de Planes y suspensión de licencias, previsión de un planeamiento especial... Sin que, además, se establezcan en las leyes cuestionadas medidas legislativas positivas o de actuación encaminadas a la protección y conservación de la flora y fauna existente.</w:t>
      </w:r>
    </w:p>
    <w:p w:rsidR="008107C7" w:rsidRDefault="008107C7" w:rsidP="008107C7">
      <w:pPr>
        <w:pStyle w:val="TextoNormal"/>
      </w:pPr>
      <w:r>
        <w:t>Por su parte, el representante del Parlamento de las Islas Baleares aduce que la figura de las «Áreas Naturales de Especial Interés» es un concepto referencial bajo el que se da cobertura unitaria a un complejo de técnicas diversas de intervención sobre un mismo espacio físico, que responden a una pluralidad de títulos competenciales reconocidos constitucional y estatutariamente a la C.A. de las Islas Baleares (ordenación del territorio, agricultura, pesca, montes, patrimonio paisajístico, turismo...), y que habilitan sobradamente a las Leyes cuestionadas.</w:t>
      </w:r>
    </w:p>
    <w:p w:rsidR="008107C7" w:rsidRDefault="008107C7" w:rsidP="008107C7">
      <w:pPr>
        <w:pStyle w:val="TextoNormal"/>
      </w:pPr>
    </w:p>
    <w:p w:rsidR="008107C7" w:rsidRDefault="008107C7" w:rsidP="008107C7">
      <w:pPr>
        <w:pStyle w:val="TextoNormal"/>
      </w:pPr>
      <w:r w:rsidRPr="008107C7">
        <w:rPr>
          <w:rStyle w:val="NumeroAFNegritaCaracter"/>
        </w:rPr>
        <w:t>5</w:t>
      </w:r>
      <w:r>
        <w:t>. Expuesto el debate sobre el que gravita preferentemente la duda de constitucionalidad formulada por la Sala cuestionante, conviene, en primer lugar, determinar el alcance de los títulos competenciales en presencia, partiendo de que, sin perjuicio de ser cierta la pluralidad de títulos a que hace referencia el Parlamento de las Islas Baleares, los dos títulos competenciales a los que hemos de atenernos para resolver la cuestión dados los términos en que ha sido planteada, son el de urbanismo y ordenación del territorio en que se apoyan las leyes cuestionadas y el de protección del medio ambiente que es el considerado por el Auto de planteamiento.</w:t>
      </w:r>
    </w:p>
    <w:p w:rsidR="008107C7" w:rsidRDefault="008107C7" w:rsidP="008107C7">
      <w:pPr>
        <w:pStyle w:val="TextoNormal"/>
      </w:pPr>
      <w:r>
        <w:t>La delimitación de las materias que comprenden uno y otro de los títulos en presencia no es fácil determinarla de una manera nítida y tajante porque su respectivo contenido está relacionado con otras materias cuya competencia puede corresponder, como ocurre en este caso, a títulos competenciales diferentes. Mas ello no significa que esa interrelación permita la absorción de los diferentes títulos por el que pueda considerarse más directamente implicado, sino que en su ejercicio éste puede estar condicionado por los otros. Pues bien, el deslinde entre los títulos competenciales en juego, urbanismo y ordenación del territorio de un lado y protección del medio ambiente de otro, ha sido tratado con detenimiento en la STC 36/1994 que, con apoyo en las Sentencias que en ella se citan, contiene una doctrina atinente al caso ahora debatido.</w:t>
      </w:r>
    </w:p>
    <w:p w:rsidR="008107C7" w:rsidRDefault="008107C7" w:rsidP="008107C7">
      <w:pPr>
        <w:pStyle w:val="TextoNormal"/>
      </w:pPr>
      <w:r>
        <w:t>Se señala en dicha Sentencia con base en lo declarado en las SSTC 77/1984 y 149/1991 que el título de ordenación del territorio "tiene por objeto la actividad consistente en la delimitación de los diversos usos a que puede destinarse el suelo o espacio físico territorial", añadiendo que "el núcleo fundamental de esta materia competencial está constituido por un conjunto de actuaciones públicas de contenido planificador cuyo objeto consiste en la fijación de los usos del suelo y el equilibrio entre las distintas partes del territorio mismo". En la misma Sentencia y en relación con la materia del medio ambiente se dice que en ella cabe incluir, entre otras, "a las normas que persiguen la protección de la naturaleza y los valores naturales y paisajísticos de un espacio concreto".</w:t>
      </w:r>
    </w:p>
    <w:p w:rsidR="008107C7" w:rsidRDefault="008107C7" w:rsidP="008107C7">
      <w:pPr>
        <w:pStyle w:val="TextoNormal"/>
      </w:pPr>
      <w:r>
        <w:t xml:space="preserve">La correlación existente entre ambas materias y, por tanto, entre sus títulos competenciales, se examina en dicha Sentencia, como ya venía declarando este Tribunal desde la STC 64/1982, en el sentido de que han de coordinarse y armonizarse desde el punto de vista de su proyección territorial, condicionada entre ellos de modo que la ordenación del territorio </w:t>
      </w:r>
      <w:r>
        <w:lastRenderedPageBreak/>
        <w:t>pondere los efectos sobre el medio ambiente sin atraer hacia sí las normas relativas a la protección de la naturaleza. (SSTC 36/1994 y 149/1991).</w:t>
      </w:r>
    </w:p>
    <w:p w:rsidR="008107C7" w:rsidRDefault="008107C7" w:rsidP="008107C7">
      <w:pPr>
        <w:pStyle w:val="TextoNormal"/>
      </w:pPr>
      <w:r>
        <w:t>En definitiva, la acusada interrelación entre uno y otro título requiere en cada caso un detenido examen no sólo de la finalidad de las normas sino también y muy especialmente del contenido concreto de las mismas; por lo que, cuando aquella finalidad se alcanza por el legislador mediante técnicas específicas de planificación de los usos del suelo, el título competencial de referencia será el de ordenación del territorio (STC 36/1994).</w:t>
      </w:r>
    </w:p>
    <w:p w:rsidR="008107C7" w:rsidRDefault="008107C7" w:rsidP="008107C7">
      <w:pPr>
        <w:pStyle w:val="TextoNormal"/>
      </w:pPr>
    </w:p>
    <w:p w:rsidR="008107C7" w:rsidRDefault="008107C7" w:rsidP="008107C7">
      <w:pPr>
        <w:pStyle w:val="TextoNormal"/>
      </w:pPr>
      <w:r w:rsidRPr="008107C7">
        <w:rPr>
          <w:rStyle w:val="NumeroAFNegritaCaracter"/>
        </w:rPr>
        <w:t>6</w:t>
      </w:r>
      <w:r>
        <w:t>. Examinemos, pues, con arreglo a la doctrina constitucional expuesta, los contenidos normativos de las Leyes 1/1984 y 3/1984, del Parlamento de las Islas Baleares.</w:t>
      </w:r>
    </w:p>
    <w:p w:rsidR="008107C7" w:rsidRDefault="008107C7" w:rsidP="008107C7">
      <w:pPr>
        <w:pStyle w:val="TextoNormal"/>
      </w:pPr>
      <w:r>
        <w:t>La Ley 1/1984, por la que se crea la figura de las denominadas Áreas Naturales de Interés Especial, tras señalar en su exposición de motivos que «en las Islas Baleares, existen áreas con unas características naturales que hacen necesario arbitrar medidas, que permitan la protección respecto de los procesos de degradación de desarrollo urbanístico que las amenacen», y que «los niveles de protección prevista en el Plan provincial de Ordenación de las Islas Baleares, y en los Planes y Normas Municipales, no son bastante concretos para poder asegurar la ordenación efectiva de estas áreas», se dispone en su art. 3 que la declaración de un espacio como Área Natural de Especial Interés producirá los siguientes efectos: a) Los terrenos quedarán clasificados como suelo no urbanizable de especial protección; b) Quedarán sin efecto los planes, proyectos de urbanización y de parcelación disconformes con la mencionada clasificación; y c) La suspensión de las licencias de edificación y uso del suelo contrarias al régimen urbanístico transitorio dispuesto en el art. 6 de la Ley.  A ello se une la obligación de que los Planes Directores Territoriales de Coordinación, Plan Provincial, Planes Generales y Normas Subsidiarias se ajusten a lo dispuesto en la Ley (art.  4); el mandato al Gobierno de la Comunidad Autónoma para que a partir de la ley por la que se declare un determinado espacio como Area Natural de Especial Interés, inicie la formación que desarrolle las determinaciones previstas en los arts. 18, 19 y 21 de la Ley del Suelo (art. 5); y, finalmente, el establecimiento como régimen urbanístico transitorio hasta la entrada en vigor del correspondiente Plan Especial, de las determinaciones previstas para el suelo no urbanizable de Especial Protección (art.  6).</w:t>
      </w:r>
    </w:p>
    <w:p w:rsidR="008107C7" w:rsidRDefault="008107C7" w:rsidP="008107C7">
      <w:pPr>
        <w:pStyle w:val="TextoNormal"/>
      </w:pPr>
      <w:r>
        <w:t>En relación con la ley 3/1984 como de modo particular señala el Abogado del Estado, en la Exposición de Motivos de dicha Ley se hace referencia directa a los valores paisajísticos y naturales de «Es Trenc» y del «Salobrar», el único contenido propiamente normativo de la Ley lo constituye la declaración del «Es Trenc-Salobrar de Campos» como Área Natural de Especial Interés a los efectos de lo dispuesto en la Ley 1/1984, de Ordenación y Protección de Áreas naturales de Especial interés (art. 1); la determinación de sus límites geográficos (art. 2); y, finalmente el establecimiento de un régimen transitorio referido exclusivamente a la ordenación de los usos del suelo.  Así, en su Disposición transitoria se declara que, hasta la aprobación del correspondiente Plan Especial, se aplicará el régimen urbanístico del suelo no urbanizable, diferenciándose, en este sentido, dos zonas: una primera, en la que se aplican las determinaciones establecidas en el Plan Provincial de Ordenación de Baleares para los elementos paisajísticos singulares y, una segunda zona para la que transitoriamente se disponen las determinaciones contenidas en el Plan de Ordenación de Baleares para parajes preservados a área agrícola-ganadera.</w:t>
      </w:r>
    </w:p>
    <w:p w:rsidR="008107C7" w:rsidRDefault="008107C7" w:rsidP="008107C7">
      <w:pPr>
        <w:pStyle w:val="TextoNormal"/>
      </w:pPr>
      <w:r>
        <w:t xml:space="preserve">A) Entiende el Auto de planteamiento de la presente cuestión de inconstitucionalidad que la Ley de Baleares 3/1984 invade la competencia estatal sobre medio ambiente reservada por el art. 149.1.23ª C.E. por cuanto a través de dicha Ley no se procede a un desarrollo legislativo en materia de medio ambiente, cual sería la competencia balear ex art. 11.5 de </w:t>
      </w:r>
      <w:r>
        <w:lastRenderedPageBreak/>
        <w:t>su Estatuto, sino a efectuar una alteración sustancial del contenido de la legislación estatal; a ello viene a sumarse la circunstancia, según el propio Auto, de que la Ley 3/1984 se dicta, a su vez y en puridad, en cumplimiento de lo previsto en la Ley balear 1/1984, que aparececía así como una ley marco suplantadora del lugar que corresponde a la Ley estatal.</w:t>
      </w:r>
    </w:p>
    <w:p w:rsidR="008107C7" w:rsidRDefault="008107C7" w:rsidP="008107C7">
      <w:pPr>
        <w:pStyle w:val="TextoNormal"/>
      </w:pPr>
      <w:r>
        <w:t>Ante todo conviene poner de manifiesto que, en contra de lo que da a entender el Auto de planteamiento, en el momento de aprobarse la Ley balear cuestionada, no así ahora, esta Comunidad Autónoma carecía de toda competencia normativa en materia de medio ambiente, toda vez que el precepto de su Estatuto citado en el Auto subordinaba su eficacia a una futura modificación del propio Estatuto. Cayendo así la premisa de la que, en este extremo, se parte para impugnar la Ley balerar, no cabe tomarla como punto de partida para nuestra respuesta.</w:t>
      </w:r>
    </w:p>
    <w:p w:rsidR="008107C7" w:rsidRDefault="008107C7" w:rsidP="008107C7">
      <w:pPr>
        <w:pStyle w:val="TextoNormal"/>
      </w:pPr>
      <w:r>
        <w:t>B) Dice la Sala que las dos leyes cuestionadas, "sin perjuicio de las inevitables conexiones entre la legislación protectora del medio ambiente y de los espacios naturales y la de ordenación del territorio... por su naturaleza y por su contenido, responden a finalidades de ordenación, conservación y protección de los espacios naturales singulares por su suelo, flora, fauna o paraje... finalidades que coinciden plenamente con os objetivos que describen los artículos... de la Ley estatal... de 2 de mayo de 1975".</w:t>
      </w:r>
    </w:p>
    <w:p w:rsidR="008107C7" w:rsidRDefault="008107C7" w:rsidP="008107C7">
      <w:pPr>
        <w:pStyle w:val="TextoNormal"/>
      </w:pPr>
      <w:r>
        <w:t>El que la "finalidad" de una Ley como la cuestionada, y ello no puede desconocerse, sea la protección de un espacio natural y sus valores ecológicos no conduce necesariamente a la conclusión de que la Comunidad Autónoma ha excedido el ámbito de sus competencias. Es necesario tener en cuenta que la Comunidad Autónoma tiene competencia exclusiva sobre ordenación del territorio (art. 10.3 E.A.I.B.), ordenación a la que no puede ser en modo alguno ajeno el medio ambiente. Como se dice en la Carta Europea de la Ordenación del Territorio, debe entenderse por tal la "expresión espacial de las políticas económica, social, cultural y ecológica de toda sociedad". Ello, desde luego, no implica en modo alguno que la asunción de una competencia material tan general como la ordenación del territorio arrastre inexorablemente todo el acervo competencial sobre medio ambiente, vaciando de contenido este título competencial. La carencia de competencias normativas específicas sobre medio ambiente, sin embargo, no impide que, en el marco de la competencia sobre ordenación del teritorio se regulen aspectos del mismo con una finalidad preponderante de protección del espacio natural, particularmente cuando, como aquí es el caso, ello se trata de conseguir primordialmente mediante técnicas urbanísticas, materia en la que la Comunidad Autónoma posee competencia exclusiva. La Ley en cuestión, en efecto, no pretende abordar una protección integral de determinados espacios naturales, previniendo toda suerte de agresiones externas, sino muy singularmente su protección desde la perspectiva de la expansión urbanística, en una actuación característica de la ordenación del territorio y con particular recurso a las categorías básicas de la ordenación del urbanismo, materias ambas en las que como se ha dicho, la Comunidad Autónoma de las Islas Baleares ostentó desde su inicio competencia exclusiva con arreglo a lo previsto en el art. 148.1.3ª C.E.</w:t>
      </w:r>
    </w:p>
    <w:p w:rsidR="008107C7" w:rsidRDefault="008107C7" w:rsidP="008107C7">
      <w:pPr>
        <w:pStyle w:val="TextoNormal"/>
      </w:pPr>
      <w:r>
        <w:t>A la vista de lo anterior, sólo cabe concluir que las Leyes 1/1984 y 3/1984, de las Islas Baleares, establecen disposiciones normativas típicamente urbanísticas y directamente orientadas a la planificación territorial y a la delimitación de los usos del suelo, por lo que han de encuadrarse en el título competencial relativo a la «Ordenación del territorio y urbanismo».</w:t>
      </w:r>
    </w:p>
    <w:p w:rsidR="008107C7" w:rsidRDefault="008107C7" w:rsidP="008107C7">
      <w:pPr>
        <w:pStyle w:val="TextoNormal"/>
      </w:pPr>
      <w:r>
        <w:t xml:space="preserve">Tanto la Constitución (art. 148.1 3ª) como el Estatuto de Autonomía de las Islas Baleares (art. 10.3) reconocen a esta Comunidad Autónoma competencia exclusiva sobre la indicada materia. Por tanto, desde esta óptica, las leyes cuestionadas no ofrecen reparo alguno de constitucionalidad, máxime cuando en atención a sus específicos contenidos, tampoco </w:t>
      </w:r>
      <w:r>
        <w:lastRenderedPageBreak/>
        <w:t>puede apreciarse la duda de la Sala sobre la supuesta contradicción por alguno de sus preceptos de lo dispuesto en la legislación básica del Estado en materia de medio ambiente, contenida, al tiempo de plantearse la presente cuestión de inconstitucionalidad, en la Ley 4/1989 (L.C.E.N.).</w:t>
      </w:r>
    </w:p>
    <w:p w:rsidR="008107C7" w:rsidRDefault="008107C7" w:rsidP="008107C7">
      <w:pPr>
        <w:pStyle w:val="TextoNormal"/>
      </w:pPr>
      <w:r>
        <w:t>Los términos abstractos en los que se formula esta duda en el Auto de planteamiento, sin la más mínima concreción de la contradicción que simplemente se apunta, impiden a este Tribunal hacer mayores precisiones.  Porque si bien es cierto que, como ha quedado razonado en los anteriores fundamentos, el título competencial desde el que actúa la Comunidad Autónoma ha de respetar y no contradecir la legislación básica del Estado sobre protección del medio ambiente, para examinar esa cuestión han de facilitarse los datos que originan la duda sin que pueda este Tribunal suplir la indeterminación en que incide la Sala.</w:t>
      </w:r>
    </w:p>
    <w:p w:rsidR="008107C7" w:rsidRDefault="008107C7" w:rsidP="008107C7">
      <w:pPr>
        <w:pStyle w:val="TextoNormal"/>
      </w:pPr>
    </w:p>
    <w:p w:rsidR="008107C7" w:rsidRDefault="008107C7" w:rsidP="008107C7">
      <w:pPr>
        <w:pStyle w:val="TextoNormal"/>
      </w:pPr>
      <w:r w:rsidRPr="008107C7">
        <w:rPr>
          <w:rStyle w:val="NumeroAFNegritaCaracter"/>
        </w:rPr>
        <w:t>7</w:t>
      </w:r>
      <w:r>
        <w:t>. Restan por examinar los reproches de inconstitucionalidad formulados por la Sala cuestionante en relación con el principio de igualdad (art. 14 C.E.)  y con las garantías constitucionalmente previstas en el art. 33.3 C.E. respecto del derecho a la propiedad privada.  También sobre estos extremos se aprecia que en el Auto de planteamiento los eventuales vicios de inconstitucionalidad de la Ley por los motivos expuestos, se formulan como posibles vulneraciones adicionales, en términos genéricos y ambiguos que dificultan su cabal comprensión.</w:t>
      </w:r>
    </w:p>
    <w:p w:rsidR="008107C7" w:rsidRDefault="008107C7" w:rsidP="008107C7">
      <w:pPr>
        <w:pStyle w:val="TextoNormal"/>
      </w:pPr>
      <w:r>
        <w:t>Así ocurre especialmente, en relación con el derecho a la igualdad. En criterio de la Sala a quo las Leyes cuestionadas pueden vulnerar el art. 14 C.E. «por la injustificada diferencia de trato que aparentemente esas Normas autonómicas dan en comparación con el que se da en otros ámbitos distintos de la Comunidad Balear». Pero basta observar que ni se aporta término idóneo de comparación sobre el que articular un hipotético juicio de igualdad ni consta que la Ley 3/1984 haya establecido arbitrariamente un régimen jurídico específico y distinto al previsto en otras Leyes similares dictadas por aquella Comunidad Autónoma declarando otros parajes de su territorio como «Área Natural de Interés Especial». Por lo que ha de rechazarse la duda de inconstitucionalidad planteada en relación con el principio de igualdad.</w:t>
      </w:r>
    </w:p>
    <w:p w:rsidR="008107C7" w:rsidRDefault="008107C7" w:rsidP="008107C7">
      <w:pPr>
        <w:pStyle w:val="TextoNormal"/>
      </w:pPr>
      <w:r>
        <w:t>Finalmente, la Sala cuestionante parece vincular la eventual vulneración del art.  33.3 C.E. al hecho de que en la Ley 3/1984 no se disponga expresamente una fórmula o un cauce reparador para compensar las prohibiciones y limitaciones al ejercicio del derecho de propiedad que se derivan de la misma.  Pero en el propio Auto de planteamiento se condiciona la pretensión indemnizatoria objeto del recurso contencioso-administrativo del que conoce en apelación, a que las normas cuestionadas superen el juicio de constitucionalidad que por razones competenciales en él se plantea. En tal supuesto entiende que habrá de conocer del problema indemnizatorio debatido que, resuelto favorablemente para las sociedades recurrentes por la Sentencia de instancia, se plantea en la apelación.</w:t>
      </w:r>
    </w:p>
    <w:p w:rsidR="008107C7" w:rsidRDefault="008107C7" w:rsidP="008107C7">
      <w:pPr>
        <w:pStyle w:val="TextoNormal"/>
      </w:pPr>
      <w:r>
        <w:t>Es claro, por tanto, que el silencio de la Ley sobre este particular no puede ser considerado como una exclusión vulneradora de lo dispuesto en el art. 33.3 C.E., sino que ha de entenderse que ese extremo quedará sometido a la normativa general del ordenamiento jurídico sobre la responsabilidad patrimonial por actos de los poderes públicos que procede otorgar a quienes, por causa de interés general, resulten perjudicados en sus bienes y derechos.  A lo que cabe agregar que el Parlamento de las Islas Baleares en la Ley 1/1991 de espacios naturales y régimen urbanístico de las áreas de especial protección, expresamente establece en su disposición adicional sexta que en los proyectos presupuestarios de la Comunidad Autónoma se preverán los recursos precisos para afrontar la responsabilidad económica que pueda suponer las calificaciones urbanísticas de los terrenos.</w:t>
      </w:r>
    </w:p>
    <w:p w:rsidR="008107C7" w:rsidRDefault="008107C7" w:rsidP="008107C7">
      <w:pPr>
        <w:pStyle w:val="TextoNormal"/>
      </w:pPr>
      <w:r>
        <w:lastRenderedPageBreak/>
        <w:t>De todo ello resulta que tampoco debe ser acogido este último reproche de inconstitucionalidad.</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Desestimar la presente cuestión de inconstitucionalidad.</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trece de febrero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32" w:name="SENTENCIA_1997_29"/>
      <w:r>
        <w:lastRenderedPageBreak/>
        <w:t>SENTENCIA 29/1997, de 24 de febrero de 1997</w:t>
      </w:r>
    </w:p>
    <w:bookmarkEnd w:id="32"/>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78, de 1 de abril de 1997)</w:t>
      </w:r>
    </w:p>
    <w:p w:rsidR="008107C7" w:rsidRDefault="008107C7" w:rsidP="008107C7">
      <w:pPr>
        <w:pStyle w:val="TtuloBOE"/>
      </w:pPr>
    </w:p>
    <w:p w:rsidR="008107C7" w:rsidRDefault="008107C7" w:rsidP="008107C7">
      <w:pPr>
        <w:pStyle w:val="SntesisDescriptiva"/>
      </w:pPr>
      <w:r>
        <w:t>ECLI:ES:TC:1997:29</w:t>
      </w:r>
    </w:p>
    <w:p w:rsidR="008107C7" w:rsidRDefault="008107C7" w:rsidP="008107C7">
      <w:pPr>
        <w:pStyle w:val="SntesisDescriptiva"/>
      </w:pPr>
    </w:p>
    <w:p w:rsidR="008107C7" w:rsidRDefault="008107C7" w:rsidP="008107C7">
      <w:pPr>
        <w:pStyle w:val="SntesisDescriptiva"/>
      </w:pPr>
      <w:r>
        <w:t>Recurso de amparo 470/1993. Contra Autos dictados por el Juzgado de Primera Instancia núm. 4 de Palma de Mallorca y la Audiencia Provincial de dicha Ciudad, denegatorios de nulidad de actuaciones en juicio ejecutivo.</w:t>
      </w:r>
    </w:p>
    <w:p w:rsidR="008107C7" w:rsidRDefault="008107C7" w:rsidP="008107C7">
      <w:pPr>
        <w:pStyle w:val="SntesisDescriptiva"/>
      </w:pPr>
    </w:p>
    <w:p w:rsidR="008107C7" w:rsidRDefault="008107C7" w:rsidP="008107C7">
      <w:pPr>
        <w:pStyle w:val="SntesisAnaltica"/>
      </w:pPr>
      <w:r>
        <w:t>Vulneración del derecho a la tutela judicial efectiva: citación edictal lesiva del derecho.</w:t>
      </w:r>
    </w:p>
    <w:p w:rsidR="008107C7" w:rsidRDefault="008107C7" w:rsidP="008107C7">
      <w:pPr>
        <w:pStyle w:val="SntesisAnaltica"/>
      </w:pPr>
    </w:p>
    <w:p w:rsidR="008107C7" w:rsidRDefault="008107C7" w:rsidP="008107C7">
      <w:pPr>
        <w:pStyle w:val="Extracto"/>
      </w:pPr>
      <w:r>
        <w:t>1.</w:t>
      </w:r>
      <w:r>
        <w:tab/>
        <w:t>Cuando se intentó la nulidad de actuaciones -el 25 de octubre de 1990- no estaba clara, ni era, por tanto, manifiesta su inviabilidad procesal, aun cuando estuviera ya vigente el art. 240 L.O.P.J., cuya constitucionalidad, a la sazón en tela de juicio, fue dada por buena en nuestra STC 185/1990. No pueden, pues, calificarse como notoriamente improcedentes las pretensiones en tal sentido ejercitadas antes de que nuestra doctrina al respecto pudiera ser conocida por todos, como hemos dicho en más de una ocasión (SSTC 131/1992, 310/1993 y 75/1994). Por otra parte, tampoco era exigible que, una vez rechazada en primera instancia esa pretensión incidental, aun cuando lo fuera después de aquella Sentencia, se abandonara el camino emprendido sin agotar los recursos procedentes, para dirigirse directamente al Tribunal Constitucional, desconociendo así el carácter subsidiario del amparo cuyo presupuesto es el agotamiento de la vía judicial ordinaria hasta obtener en ella la última palabra, para brindar a los jueces, como guardianes natos de la Constitución, la oportunidad de deshacer el entuerto, si lo hubiere . [F.J. 1]</w:t>
      </w:r>
    </w:p>
    <w:p w:rsidR="008107C7" w:rsidRDefault="008107C7" w:rsidP="008107C7">
      <w:pPr>
        <w:pStyle w:val="Extracto"/>
      </w:pPr>
    </w:p>
    <w:p w:rsidR="008107C7" w:rsidRDefault="008107C7" w:rsidP="008107C7">
      <w:pPr>
        <w:pStyle w:val="Extracto"/>
      </w:pPr>
      <w:r>
        <w:t>2.</w:t>
      </w:r>
      <w:r>
        <w:tab/>
        <w:t>Es claro que si la demanda hubiera sido formulada con el cuidado deseable y la oficina judicial hubiera puesto una mayor atención en su lectura, se hubiera sabido desde un principio dónde encontrar a la demandada para citarla personalmente sin necesidad de acudir al subsidiario y excepcional método edictal, reservado para situaciones extremas, cuando la persona buscada no pueda ser habida. Así las cosas, no cabe duda de que se actuó con ligereza, volatilizando así el derecho del litigante a obtener una tutela judicial efectiva y no meramente virtual. Desde la perspectiva contraria, no consta por otra parte que la demandada hubiera tenido conocimiento por otros cauces, entonces o después, de haberse incoado el proceso ejecutivo. En definitiva y por lo dicho ha de recibir el amparo que pide con el reconocimiento del derecho invocado y la adopción de las medidas necesarias para su íntegro restablecimiento. [F.J. 3]</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Rafael de Mendizábal Allende, don Julio Diego González Campos y don Tomás S. Vives Antón, Magistrados, ha pronunciado</w:t>
      </w:r>
    </w:p>
    <w:p w:rsidR="008107C7" w:rsidRDefault="008107C7" w:rsidP="008107C7">
      <w:pPr>
        <w:pStyle w:val="TextoNormal"/>
      </w:pPr>
    </w:p>
    <w:p w:rsidR="008107C7" w:rsidRDefault="008107C7" w:rsidP="008107C7">
      <w:pPr>
        <w:pStyle w:val="TextoNormalCentrado"/>
        <w:keepNext/>
      </w:pPr>
      <w:r>
        <w:lastRenderedPageBreak/>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470/93, interpuesto por doña Alfonsa García García, a quien representa el Procurador de los Tribunales don Ricardo Domínguez Maycas con la dirección del Abogado don José Genaro Martínez Sánchez, contra Autos dictados por el Juez de Primera Instancia núm. 4 de Palma de Mallorca y la Sección Cuarta de la Audiencia Provincial de dicha Ciudad, denegatorios de nulidad de actuaciones en juicio ejecutivo. Ha comparecido el Fiscal, siendo Ponente el Magistrado don Rafael de Mendizábal Allende,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Doña Alfonsa García García, en escrito que presentó el 19 de febrero de 1993, interpuso el recurso de amparo de que se hace mérito en el encabezamiento, exponiendo que en el año 1985 la entidad "Banco de Vizcaya, S.A.", formalizó contra ella demanda de juicio ejecutivo con fundamento en una póliza de crédito que había suscrito, señalando como su domicilio el de la calle Manacor, núms. 5 y 6, de Palma de Mallorca, que era el que constaba en la póliza. El Juez de Primera Instancia núm. 4 de Palma de Mallorca, mediante Auto de 19 de noviembre de 1985, despachó ejecución contra sus bienes y rentas en dicho domicilio, expidiendo el mandamiento para requerirla de pago y, de no ser verificado, proceder al embargo de sus bienes. El 25 de marzo de 1986 se practicó la diligencia en busca, personándose el Agente Judicial en el referido domicilio, donde resultó desconocida. Habida cuenta del resultado de la diligencia, la sociedad ejecutante interesó que se practicase el embargo en estrados y la citación de remate mediante edictos, lo que fue acordado en providencia de 14 de abril, en la que también se produjo su declaración en rebeldía. </w:t>
      </w:r>
    </w:p>
    <w:p w:rsidR="008107C7" w:rsidRDefault="008107C7" w:rsidP="008107C7">
      <w:pPr>
        <w:pStyle w:val="TextoNormal"/>
      </w:pPr>
      <w:r>
        <w:t xml:space="preserve">El Juez de Primera Instancia dictó el 4 de noviembre de 1986 Sentencia de remate, mandando seguir adelante la ejecución contra los bienes que habían sido trabados (una vivienda de su propiedad). El 1 de octubre de 1987 la sociedad actora cedió el remate en favor de la "Compañía de Seguros de Crédito y Caución, S.A.", que aceptó la cesión y consignó la cantidad del remate, siendo otorgada a su favor escritura de venta del inmueble subastado el 18 de octubre de 1989, que fue debidamente inscrita en el Registro de la Propiedad. </w:t>
      </w:r>
    </w:p>
    <w:p w:rsidR="008107C7" w:rsidRDefault="008107C7" w:rsidP="008107C7">
      <w:pPr>
        <w:pStyle w:val="TextoNormal"/>
      </w:pPr>
      <w:r>
        <w:t xml:space="preserve">El 13 de octubre de 1990, al solicitar del Registro de la Propiedad una nota informativa referente a dicho inmueble, sito en la calle Escuela Graduada, núms. 5 y 6, de Palma de Mallorca, que se disponía a vender a un tercero, tuvo conocimiento de la existencia del juicio ejecutivo seguido contra ella. El 25 de octubre se personó en las actuaciones pidiendo su nulidad por defectos insubsanables en la citación de remate, lo que le fue denegado por el Juez en Auto de 22 de enero de 1991. No obstante, en reposición y mediante otro Auto de 5 de marzo siguiente, el Juez declaró la nulidad de lo actuado desde la diligencia de 4 de diciembre de 1987, al haberse omitido la notificación prevista en el art. 1.506 de la L.E.C. </w:t>
      </w:r>
    </w:p>
    <w:p w:rsidR="008107C7" w:rsidRDefault="008107C7" w:rsidP="008107C7">
      <w:pPr>
        <w:pStyle w:val="TextoNormal"/>
      </w:pPr>
      <w:r>
        <w:t xml:space="preserve">Frente a esta última decisión, tanto ella como la sociedad actora interpusieron sendos recursos de apelación, que fueron resueltos por la Sección Cuarta de la Audiencia Provincial de Palma de Mallorca en Auto de 27 de enero de 1993, en sentido desestimatorio el primero </w:t>
      </w:r>
      <w:r>
        <w:lastRenderedPageBreak/>
        <w:t xml:space="preserve">y estimatorio el segundo. La Audiencia Provincial basó su decisión en la improcedencia de la nulidad de actuaciones solicitada, al no venir articulada la petición, como exige el art. 240.1 de la L.O.P.J., a través de un recurso legalmente previsto, sosteniendo que la demandada debió de utilizar el recurso de audiencia al rebelde o, con carácter subsidiario, el recurso de amparo constitucional. En cuanto al fondo de la cuestión entendió que la citación de remate fue realizada en el domicilio que figuraba en la póliza y que al resultar infructuosa se procedió de forma edictal, como dispone el art. 1.460 de la L.E.C., no pudiendo prosperar la alegación de la ejecutada, pues si resultaba erróneo aquel domicilio su designación venía avalada por su firma en la póliza sin que el error pudiera ser imputado al Banco ejecutante, cuyo recurso de apelación estima porque no procede la declaración de oficio de la nulidad de actuaciones cuando ya hubiere recaído Sentencia definitiva (art. 240 L.O.P.J.). </w:t>
      </w:r>
    </w:p>
    <w:p w:rsidR="008107C7" w:rsidRDefault="008107C7" w:rsidP="008107C7">
      <w:pPr>
        <w:pStyle w:val="TextoNormal"/>
      </w:pPr>
      <w:r>
        <w:t>La solicitante de amparo invoca en su demanda el art. 24.1 C.E. y denuncia la vulneración de su derecho a obtener la tutela judicial efectiva sin indefensión por haber sido citada de remate mediante edictos, sosteniendo al respecto que el error sobre su domicilio padecido en la póliza de crédito no era a ella imputable, sino al Banco y al Corredor Colegiado de Comercio que intervino la póliza. En cualquier caso, al folio 6 de las actuaciones, junto al domicilio que se hizo constar en dicho documento mercantil, aparecía, bajo el epígrafe de datos profesionales, el de la calle Santany, núm. 11, de Palma de Mallorca, en el que nunca se intentó localizarla. Terminó solicitando la declaración de nulidad de los Autos impugnados, así como la de las actuaciones del juicio ejecutivo posteriores a la diligencia en busca de 25 de marzo de 1986; también pidió que, hasta tanto fuese dictada Sentencia en resolución de su pretensión de amparo, se procediese a la anotación preventiva de la demanda en el registro de la Propiedad núm. 5 de Palma de Mallorca.</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La Sección Tercera, en providencia de 5 de julio de 1993, admitió a trámite la demanda, solicitando de la Sección Cuarta de la Audiencia Provincial de Palma de Mallorca y del Juez de Primera Instancia núm. 4 de la misma Ciudad la remisión de certificación o copia adverada de las actuaciones, y del segundo el emplazamiento de quienes fueron parte en el proceso para que pudieran comparecer en este de amparo, si les conviniere. </w:t>
      </w:r>
    </w:p>
    <w:p w:rsidR="008107C7" w:rsidRDefault="008107C7" w:rsidP="008107C7">
      <w:pPr>
        <w:pStyle w:val="TextoNormal"/>
      </w:pPr>
      <w:r>
        <w:t>En la misma resolución, la Sección decidió oír por tres días al Fiscal sobre la solicitud de anotación preventiva de la demanda de amparo en el Registro de la Propiedad, traslado que aquél evacuó en escrito que presentó el 14 de julio. La Sala Segunda, en Auto de 26 de julio, acordó que se procediese a anotar preventivamente la demanda de amparo en el Registro de la Propiedad núm. 5 de Palma de Mallorca.</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Una vez recibidas las actuaciones, en providencia de 9 de diciembre, se acordó dar vista de las mismas a las partes por plazo común de veinte días. La demandante de amparo evacuó el traslado en escrito presentado el 7 de enero de 1994, en el que reiteró lo ya manifestado en su demanda e invocó las SSTC 310/1993 y 131/1992. </w:t>
      </w:r>
    </w:p>
    <w:p w:rsidR="008107C7" w:rsidRDefault="008107C7" w:rsidP="008107C7">
      <w:pPr>
        <w:pStyle w:val="TextoNormal"/>
      </w:pPr>
      <w:r>
        <w:t xml:space="preserve">Por su parte, el Fiscal hizo lo propio en fecha 26 de enero, en el que solicitó la desestimación del amparo por extemporaneidad en su interposición o, de no concluirse en tal sentido, su estimación por vulneración del derecho a la tutela judicial efectiva. Para fundamentar esta alternativa petición razona que la nulidad de actuaciones intentada por la solicitante de amparo era manifiestamente improcedente a la luz de la STC 185/1990 y, por ello, extemporánea la ulterior interposición de la demanda de amparo, de acuerdo con la doctrina del Tribunal Constitucional; tras la notificación del Auto que el Juez de Primera Instancia dictó el 22 de enero de 1991, la solicitante de amparo debió desistir de su pretensión de </w:t>
      </w:r>
      <w:r>
        <w:lastRenderedPageBreak/>
        <w:t xml:space="preserve">declaración de nulidad y en el plazo de veinte días presentar la demanda de amparo; al no hacerlo así, su pretensión de amparo incurre en extemporaneidad. </w:t>
      </w:r>
    </w:p>
    <w:p w:rsidR="008107C7" w:rsidRDefault="008107C7" w:rsidP="008107C7">
      <w:pPr>
        <w:pStyle w:val="TextoNormal"/>
      </w:pPr>
      <w:r>
        <w:t>Para el caso de que esta Sala no lo entienda así, el Fiscal afirma que, en lo que atañe al fondo de la cuestión planteada por la solicitante de amparo, debe ser otorgado el amparo que interesa, ya que, resultando ésta desconocida en el domicilio que se hizo constar en la póliza de crédito, el Juez debió practicar otras diligencias para, antes de declararla en rebeldía y hacerla saber sus decisiones por edictos, averiguar la forma de requerirla de pago y citarla de remate personalmente. Hubiera bastado un nuevo examen de la demanda y de los documentos que con ella acompañó el Banco ejecutante para descubrir que en el documento denominado "datos de la cuenta" figuraban dos domicilios de la demandada. El Juez acudió con precipitación a la vía edictal y con ello vulneró el derecho de la solicitante de amparo a defenderse en el proceso.</w:t>
      </w:r>
    </w:p>
    <w:p w:rsidR="008107C7" w:rsidRDefault="008107C7" w:rsidP="008107C7">
      <w:pPr>
        <w:pStyle w:val="TextoNormal"/>
      </w:pPr>
    </w:p>
    <w:p w:rsidR="008107C7" w:rsidRDefault="008107C7" w:rsidP="008107C7">
      <w:pPr>
        <w:pStyle w:val="TextoNormal"/>
      </w:pPr>
      <w:r w:rsidRPr="008107C7">
        <w:rPr>
          <w:rStyle w:val="NumeroAFNegritaCaracter"/>
        </w:rPr>
        <w:t>4</w:t>
      </w:r>
      <w:r>
        <w:t>. En providencia de fecha 20 de febrero de 1997 se acordó señalar el siguiente día 24 de febrero para deliberación y votación de la presente Sentencia.</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La oposición a las pretensiones objeto de este proceso, desde la perspectiva del Ministerio Público, tiene un talante exclusivamente formal, ya que en lo demás estaría de acuerdo con el otorgamiento del amparo. En efecto, se predica su extemporaneidad como consecuencia del haberse intentado la nulidad de actuaciones, manifestamente improcedente -se dice- a la luz del art. 240 de la Ley Orgánica del Poder Judicial, cuya constitucionalidad ha dejado de ser una incógnita después de la STC 185/1990 de este Tribunal. Por lo tanto, una vez notificado el Auto que el Juez de Primera Instancia dictó el 22 de enero de 1991 y transcurridos que fueron veinte días a partir de aquella comunicación, el plazo para acudir a esta sede quedó cerrado.  Como quiera que no se actuó así y fueron interpuestos, primero, un recurso de reposición y luego el de apelación ante la Audiencia Provincial, ese plazo estaba rebasado con creces cuando el amparo se formuló, por lo que -en definitiva- resultaría inadmisible.</w:t>
      </w:r>
    </w:p>
    <w:p w:rsidR="008107C7" w:rsidRDefault="008107C7" w:rsidP="008107C7">
      <w:pPr>
        <w:pStyle w:val="TextoNormal"/>
      </w:pPr>
      <w:r>
        <w:t>Sin embargo, lo sucedido no conduce inevitablemente a una tal conclusión. Por una parte, cuando se intentó la nulidad de actuaciones -el 25 de octubre de 1990- no estaba clara, ni era por tanto manifiesta su inviabilidad procesal, aun cuando estuviera ya vigente el art. 240 L.O.P.J., cuya constitucionalidad, a la sazón en tela de juicio, fue dada por buena en nuestra ya mencionada Sentencia 185/1990, publicada el 3 de diciembre de ese mismo año. No pueden, pues, calificarse como notoriamente improcedentes las pretensiones en tal sentido ejercitadas antes de que nuestra doctrina al respecto pudiera ser conocida por todos, como hemos dicho en más de una ocasión (SSTC 131/1992, 310/1993 y 75/1994). Por otra parte, tampoco era exigible que, una vez rechazada en primera instancia esa pretensión incidental, aun cuando lo fuera después de aquella Sentencia, se abandonara el camino emprendido sin agotar los recursos procedentes, para dirigirse directamente al Tribunal Constitucional, desconociendo así el carácter subsidiario del amparo cuyo presupuesto es el agotamiento de la vía judicial ordinaria hasta obtener en ella la última palabra, para brindar a los jueces, como guardianes natos de la Constitución, la oportunidad de deshacer el entuerto, si lo hubiere.</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2</w:t>
      </w:r>
      <w:r>
        <w:t>. Una vez dicho esto, la cuestión que la demanda nos pone en suerte consiste en averiguar si los emplazamientos y las notificaciones edictales o en los estrados, ficciones jurídicas con un significado más simbólico que real, afectan, o no, a la efectividad de la tutela judicial que, como derecho fundamental, se configura en la Constitución y cuya tacha más grave es la indefensión (art. 24.1. C.E.)  para evitar que nadie pueda ser perjudicado en el ámbito de sus derechos e intereses legítimos por una decisión judicial producida a sus espaldas, en el curso de un proceso donde no se le haya dado ocasión de comparecer para defenderse, si a bien lo tuviere.</w:t>
      </w:r>
    </w:p>
    <w:p w:rsidR="008107C7" w:rsidRDefault="008107C7" w:rsidP="008107C7">
      <w:pPr>
        <w:pStyle w:val="TextoNormal"/>
      </w:pPr>
      <w:r>
        <w:t>Consecuencia de ello es que los actos de comunicación del órgano jurisdiccional y especialmente aquellos que tienen como destinatario a quienes habrían de ser parte en el proceso, ofrezcan una singular trascendencia, por constituir el instrumento indispensable para hacer posible la defensa en juicio de los derechos e intereses en litigio (STC 36/1987), previniendo así el riesgo de una condena inaudita parte, sin ser oído y vencido en juicio. No puede haber victoria donde, no hubo oportunidad de luchar, o dicho en lenguaje forense, litigar. Por ello la citación o el emplazamiento hecho en edictos, cuya recepción por el destinatario del llamamiento judicial no puede ser demostrada, ha de entenderse necesariamente como un último y supletorio remedio al que sólo cabe acudir cuando efectivamente el domicilio no fuere conocido (SSTC 97/1992 y 193/1993, entre otras) siendo en principio compatible con el artículo 24.1 de la Constitución (STC 97/1992), siempre y cuando se llegue a la convicción razonable o a la certeza del hecho que le sirve de factor desencadenante, no ser localizable el demandado, a cuyo fin la oficina judicial ha de agotar las gestiones en averiguación del paradero por los medios normales a su alcance.</w:t>
      </w:r>
    </w:p>
    <w:p w:rsidR="008107C7" w:rsidRDefault="008107C7" w:rsidP="008107C7">
      <w:pPr>
        <w:pStyle w:val="TextoNormal"/>
      </w:pPr>
    </w:p>
    <w:p w:rsidR="008107C7" w:rsidRDefault="008107C7" w:rsidP="008107C7">
      <w:pPr>
        <w:pStyle w:val="TextoNormal"/>
      </w:pPr>
      <w:r w:rsidRPr="008107C7">
        <w:rPr>
          <w:rStyle w:val="NumeroAFNegritaCaracter"/>
        </w:rPr>
        <w:t>3</w:t>
      </w:r>
      <w:r>
        <w:t>. Pues bien, resulta que en el caso sometido a nuestra consideración el Juez de Primera Instancia ordenó que se requiriera de pago y citar de remate a quien hoy solicita amparo en el domicilio señalado en la póliza de crédito (Carrer de Manacor, núms, 5 y 6), donde resultó desconocida por tener su residencia habitual en la misma calle, pero en diferente edificio (núm. 17).  Como consecuencia de ello, a petición de la sociedad ejecutante y sin realizar gestión alguna para averiguar cuál pudiera ser el domicilio de aquélla, se practicó el embargo en estrados, sin previo requerimiento de pago, citándola por edictos, mediante los cuales le fueron notificadas también la Sentencia y las resoluciones posteriores, una vez abierta la vía de apremio, hasta llegar a la inscripción de la escritura otorgada a favor del adjudicatario del inmueble sobre el que se ejecutó la deuda en el Registro de la Propiedad. Sin embargo, hubiera bastado con una atenta lectura de la documentación acompañada a la demanda para advertir que la demandada era localizable sin esfuerzo, pues en las hojas complementarias de la póliza (folio 6) figura que doña Alfonsa García García trabajaba en el "Bar Bini", situado en la calle Santany, núm.  11, de Palma de Mallorca.</w:t>
      </w:r>
    </w:p>
    <w:p w:rsidR="008107C7" w:rsidRDefault="008107C7" w:rsidP="008107C7">
      <w:pPr>
        <w:pStyle w:val="TextoNormal"/>
      </w:pPr>
      <w:r>
        <w:t>Es claro que si la demanda hubiera sido formulada con el cuidado deseable y la oficina judicial hubiera puesto una mayor atención en su lectura, se hubiera sabido desde un principio donde encontrar a la demandada para citarla personalmente sin necesidad de acudir al subsidiario y excepcional método edictal, reservado para situaciones extremas, cuando la persona buscada no pueda ser habida. Así las cosas, no cabe duda de que, según lo dicho más arriba, se actuó con ligereza, volatilizando así el derecho del litigante a obtener una tutela judicial efectiva y no meramente virtual. Desde la perspectiva contraria, no consta por otra parte que la demandada hubiera tenido conocimiento por otros cauces, entonces o después, de haberse incoado el proceso ejecutivo. En definitiva y por lo dicho ha de recibir el amparo que pide con el reconocimiento del derecho invocado y la adopción de las medidas necesarias para su íntegro restablecimiento.</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Estimar el presente recurso de amparo y, en su virtud,</w:t>
      </w:r>
    </w:p>
    <w:p w:rsidR="008107C7" w:rsidRDefault="008107C7" w:rsidP="008107C7">
      <w:pPr>
        <w:pStyle w:val="TextoNormal"/>
      </w:pPr>
      <w:r>
        <w:t>1º Reconocer el derecho de la demandante a la tutela judicial efectiva sin indefensión.</w:t>
      </w:r>
    </w:p>
    <w:p w:rsidR="008107C7" w:rsidRDefault="008107C7" w:rsidP="008107C7">
      <w:pPr>
        <w:pStyle w:val="TextoNormal"/>
      </w:pPr>
      <w:r>
        <w:t>2º Declarar la nulidad del Auto dictado por la Sección Cuarta de la Audiencia Provincial de Mallorca el 27 de enero de 1993.</w:t>
      </w:r>
    </w:p>
    <w:p w:rsidR="008107C7" w:rsidRDefault="008107C7" w:rsidP="008107C7">
      <w:pPr>
        <w:pStyle w:val="TextoNormal"/>
      </w:pPr>
      <w:r>
        <w:t>3º Restablecer a la demandante en la integridad de ese derecho fundamental vulnerado, retrotrayendo las actuaciones del juicio ejecutivo seguido ante el Juzgado de Primera Instancia núm. 4 de Palma de Mallorca con el núm. 539-C/85, al momento inmediatamente anterior a aquel en el que debió ser requerida de pago y citada personalmente.</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veinticuatro de febrero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33" w:name="SENTENCIA_1997_30"/>
      <w:r>
        <w:lastRenderedPageBreak/>
        <w:t>SENTENCIA 30/1997, de 24 de febrero de 1997</w:t>
      </w:r>
    </w:p>
    <w:bookmarkEnd w:id="33"/>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78, de 1 de abril de 1997)</w:t>
      </w:r>
    </w:p>
    <w:p w:rsidR="008107C7" w:rsidRDefault="008107C7" w:rsidP="008107C7">
      <w:pPr>
        <w:pStyle w:val="TtuloBOE"/>
      </w:pPr>
    </w:p>
    <w:p w:rsidR="008107C7" w:rsidRDefault="008107C7" w:rsidP="008107C7">
      <w:pPr>
        <w:pStyle w:val="SntesisDescriptiva"/>
      </w:pPr>
      <w:r>
        <w:t>ECLI:ES:TC:1997:30</w:t>
      </w:r>
    </w:p>
    <w:p w:rsidR="008107C7" w:rsidRDefault="008107C7" w:rsidP="008107C7">
      <w:pPr>
        <w:pStyle w:val="SntesisDescriptiva"/>
      </w:pPr>
    </w:p>
    <w:p w:rsidR="008107C7" w:rsidRDefault="008107C7" w:rsidP="008107C7">
      <w:pPr>
        <w:pStyle w:val="SntesisDescriptiva"/>
      </w:pPr>
      <w:r>
        <w:t>Recurso de amparo 1.321/1993. Contra diversas resoluciones de la Sala Civil y Penal del T.S.J. de Extremadura que confirmaron la inicial admisión a trámite de demanda de juicio declarativo ordinario de menor cuantía sobre intromisión ilegítima en el derecho al honor interpuesta contra el ahora recurrente en amparo.</w:t>
      </w:r>
    </w:p>
    <w:p w:rsidR="008107C7" w:rsidRDefault="008107C7" w:rsidP="008107C7">
      <w:pPr>
        <w:pStyle w:val="SntesisDescriptiva"/>
      </w:pPr>
    </w:p>
    <w:p w:rsidR="008107C7" w:rsidRDefault="008107C7" w:rsidP="008107C7">
      <w:pPr>
        <w:pStyle w:val="SntesisAnaltica"/>
      </w:pPr>
      <w:r>
        <w:t>Vulneración del derecho reconocido en el art. 23.2  C.E., en relación con la tutela judicial efectiva: límites a la jurisdicción derivados del estatuto de parlamentarios (art. 71.1 C.E.).</w:t>
      </w:r>
    </w:p>
    <w:p w:rsidR="008107C7" w:rsidRDefault="008107C7" w:rsidP="008107C7">
      <w:pPr>
        <w:pStyle w:val="SntesisAnaltica"/>
      </w:pPr>
    </w:p>
    <w:p w:rsidR="008107C7" w:rsidRDefault="008107C7" w:rsidP="008107C7">
      <w:pPr>
        <w:pStyle w:val="Extracto"/>
      </w:pPr>
      <w:r>
        <w:t>1.</w:t>
      </w:r>
      <w:r>
        <w:tab/>
        <w:t>Habrá de examinarse si el Tribunal civil, al confirmar su inicial resolución de admitir a trámite la demanda, vulnera el derecho a la tutela judicial efectiva del ahora recurrente al obligarle a soportar la tramitación de un proceso necesariamente abocado a la desestimación de la pretensión por ser ya conocidos del órgano judicial los fundamentos de la misma y los alegados para su inadmisión «a limine». Vertebra esta alegación la prerrogativa de inviolabilidad atribuída a los parlamentarios en el art. 71.1 C.E. En primer lugar en cuanto a la posibilidad procesal de su ejercicio en el trámite de incoación de un proceso civil donde se alegaba la vulneración del derecho al honor por expresiones proferidas en una intervención parlamentaria del demandado en el Parlamento de Extremadura. Así como por la vulneración, también alegada, del art. 23.2 C.E. en su vertiente del derecho al desempeño en condiciones de igualdad de los cargos públicos, que también se entiende vulnerado al acordarse la admisión de la susodicha demanda. [F.J. 3]</w:t>
      </w:r>
    </w:p>
    <w:p w:rsidR="008107C7" w:rsidRDefault="008107C7" w:rsidP="008107C7">
      <w:pPr>
        <w:pStyle w:val="Extracto"/>
      </w:pPr>
    </w:p>
    <w:p w:rsidR="008107C7" w:rsidRDefault="008107C7" w:rsidP="008107C7">
      <w:pPr>
        <w:pStyle w:val="Extracto"/>
      </w:pPr>
      <w:r>
        <w:t>2.</w:t>
      </w:r>
      <w:r>
        <w:tab/>
        <w:t>Para nuestra doctrina constitucional, el art. 23.2 C.E. garantiza no sólo el acceso o protege de un cese arbitrario a un cargo representativo, sino que garantiza que el ejercicio no sea mediatizado o perturbado. Mediatización o perturbación que coincide, en gran medida, con el propio «status» del parlamentario: «El derecho fundamental del art. 23.2 de la Constitución (...) es un derecho de configuración legal (...) y, en consecuencia, compete a la Ley, comprensiva según se deja dicho de los Reglamentos Parlamentarios, el ordenar los derechos y facultades que corresponden a los distintos cargos y funciones públicos. Una vez creados por las normas legales tales derechos y facultades, éstos quedan integrados en el «status» propio de cada cargo con la consecencia de que podrán sus titulares, al amparo del art. 23.2 de la Constitución, defender ante los órganos judiciales -y en último extremo ante este Tribunal- el «ius in officium» que consideren ilegítimamente constreñido o ignorado por actos del poder público...» (STC 161/1988) . [F.J. 4]</w:t>
      </w:r>
    </w:p>
    <w:p w:rsidR="008107C7" w:rsidRDefault="008107C7" w:rsidP="008107C7">
      <w:pPr>
        <w:pStyle w:val="Extracto"/>
      </w:pPr>
    </w:p>
    <w:p w:rsidR="008107C7" w:rsidRDefault="008107C7" w:rsidP="008107C7">
      <w:pPr>
        <w:pStyle w:val="Extracto"/>
      </w:pPr>
      <w:r>
        <w:t>3.</w:t>
      </w:r>
      <w:r>
        <w:tab/>
        <w:t xml:space="preserve">El art. 71.1 de la Constitución atribuye a los Diputados y Senadores la prerrogativa de inviolabilidad por las afirmaciones manifestadas en el ejercicio de sus funciones, extendida al ámbito de la Asamblea Legislativa de la Comunidad Autónoma de Extremadura por el art. 26 de su Estatuto, según por otra parte declaró </w:t>
      </w:r>
      <w:r>
        <w:lastRenderedPageBreak/>
        <w:t>la STC 36/1981. El contenido de esta prerrogativa parlamentaria ha sido configurada por este Tribunal (STC 243/1988) como un privilegio de naturaleza sustantiva (a diferencia de la inmunidad, al que califica como de naturaleza formal)que garantiza la irresponsabilidad jurídica de los parlamentarios por las opiniones manifestadas en el ejercicio de sus funciones, entendiendo por tales aquellas que realicen en actos parlamentarios y en el seno de cualquiera de las articulaciones de las Cortes Generales o, por excepción, en actos exteriores a la vida de las Cámaras que sean reproducción literal de un acto parlamentario, siendo finalidad específica del privilegio asegurar, a través de la libertad de expresión de los parlamentarios, la libre formación de la voluntad del órgano legislativo al que pertenezcan». Privilegio que «incide negativamente en el ámbito del derecho a la tutela judicial» pues «impide la apertura de cualquier clase de proceso o procedimiento que tenga por objeto exigir responsabilidad a los Diputados o Senadores por las opiniones manifestadas en el ejercicio de sus funciones» (SSTC 36/1981 y 243/1988). En el caso presente, las que ejerce el recurrente de amparo en el Parlamento de la Comunidad Autónoma de Extremadura, en virtud del citado art. 26.1 de su Estatuto . [F.J. 5]</w:t>
      </w:r>
    </w:p>
    <w:p w:rsidR="008107C7" w:rsidRDefault="008107C7" w:rsidP="008107C7">
      <w:pPr>
        <w:pStyle w:val="Extracto"/>
      </w:pPr>
    </w:p>
    <w:p w:rsidR="008107C7" w:rsidRDefault="008107C7" w:rsidP="008107C7">
      <w:pPr>
        <w:pStyle w:val="Extracto"/>
      </w:pPr>
      <w:r>
        <w:t>4.</w:t>
      </w:r>
      <w:r>
        <w:tab/>
        <w:t>La carencia de jurisdicción para tramitar y conocer de la demanda civil de responsabilidad constituía un fundamento constitucional para acordar la no apertura del proceso; y la decisión de abrirlo vulneraba el derecho del parlamentario a la tutela judicial que en este caso se concretaba prescriptivamente en la inadmisión «a limine» de la demanda. Por otra parte, esta decisión, en cuanto constitucionalmente fundada, bastaba para satisfacer el mismo derecho a la tutela judicial del actor civil, pues, como reiteradamente hemos señalado, éste puede satisfacerse con una resolución de inadmisión legalmente fundada. El efecto impeditivo para la «apertura de cualquier clase de proceso o procedimiento que tenga por objeto exigir responsabilidad» a los parlamentarios «por opiniones manifestadas en el ejercicio de sus funciones», a que se refiere nuestra citada STC 243/1988 exigirá, de una parte, constancia cierta de que se dan las circunstancias de hecho que configuran la prerrogativa y también que la resolución judicial se dicte previa audiencia de la contraparte e invocando el motivo legal de la inadmisión «in limine litis», como por otro lado establece el art. 9.6 de la L.O.P.J. citado . [F.J. 7]</w:t>
      </w:r>
    </w:p>
    <w:p w:rsidR="008107C7" w:rsidRDefault="008107C7" w:rsidP="008107C7">
      <w:pPr>
        <w:pStyle w:val="Extracto"/>
      </w:pPr>
    </w:p>
    <w:p w:rsidR="008107C7" w:rsidRDefault="008107C7" w:rsidP="008107C7">
      <w:pPr>
        <w:pStyle w:val="Extracto"/>
      </w:pPr>
      <w:r>
        <w:t>5.</w:t>
      </w:r>
      <w:r>
        <w:tab/>
        <w:t>Competiendo, pues, a los órganos judiciales la apertura y eventual continuación del proceso, a ellos será, en consecuencia, imputable la vulneración del derecho fundamental invocado puesto que la negativa a decretar la inadmisión «a limine» de la demanda no podía ampararse, como hizo, en la inexistencia para el concreto proceso de menor cuantía de un precepto que lo autorizase. Antes al contrario, lo obligado era aplicar las normas que, según lo antes dicho, permitían la inadmisión liminar dando audiencia al demandante como exige el citado art. 9.6 L.O.P.J. audiencia que de hecho tuvo lugar en el trámite del art. 378 L.E.C. . [F.J. 7]</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Rafael de Mendizábal y Allende, don Julio Diego González Campos,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1.321/93, promovido por don Juan Carlos Rodríguez Ibarra, representado por la Procuradora de los Tribunales doña Aurora Gómez-Villaboa y Mandri y asistido de Letrado, contra el Auto de la Sala de lo Civil y Penal del Tribunal Superior de Justicia de Extremadura, de 19 de abril de 1993, por el que se declara inadmisible un escrito en el que se solicita la revocación del Auto de la misma Sala, de 1 de abril de 1993, en el que se inadmite recurso de súplica contra providencia de 9 de marzo de 1993, mediante la que se admite a trámite demanda de juicio declarativo ordinario de menor cuantía (autos núm. 1/93) sobre intromisión ilegítima en el derecho al honor. Ha sido parte don Francisco Chaves Reyman, representado por el Procurador don Gabriel Sánchez Malingre y ha intervenido el Ministerio Fiscal. Ha sido Ponente el Excmo. Sr. don José Gabaldón López,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Por escrito registrado en este Tribunal el 27 de abril de 1993, don Felipe A. Jover Lorente, Letrado de la Junta de Extremadura, en nombre y representación de don Juan Carlos Rodríguez Ibarra, Presidente de la misma, interpone recurso de amparo contra el Auto de la Sala de lo Civil y Penal del Tribunal Superior de Justicia de Extremadura, de 19 de abril de 1993, por el que se declara inadmisible un escrito en el que se solicita la revocación del Auto de la misma Sala, de 1 de abril de 1993, en el que se inadmite recurso de súplica contra providencia de 9 de marzo de 1993, mediante la que se admite a trámite demanda de juicio declarativo ordinario de menor cuantía (autos núm. 1/93) sobre intromisión ilegítima en el derecho al honor, interpuesta contra el ahora demandante de amparo.</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hechos en los que se fundamenta la demanda son, sucintamente expuestos, los siguientes: </w:t>
      </w:r>
    </w:p>
    <w:p w:rsidR="008107C7" w:rsidRDefault="008107C7" w:rsidP="008107C7">
      <w:pPr>
        <w:pStyle w:val="TextoNormal"/>
      </w:pPr>
      <w:r>
        <w:t xml:space="preserve">a) Don Francisco Chaves Reyman interpuso demanda de juicio declarativo ordinario de menor cuantía, contra el ahora recurrente, solicitando su condena al pago de cien millones de pesetas, publicación de la Sentencia y abono de costas por intromisión ilegítima en su derecho al honor, como consecuencia de las manifestaciones de éste en la Asamblea de Extremadura reunida en Pleno, celebrado el día 22 de octubre de 1992. </w:t>
      </w:r>
    </w:p>
    <w:p w:rsidR="008107C7" w:rsidRDefault="008107C7" w:rsidP="008107C7">
      <w:pPr>
        <w:pStyle w:val="TextoNormal"/>
      </w:pPr>
      <w:r>
        <w:t xml:space="preserve">b) Mediante providencia de 9 de marzo de 1993, la Sala de lo Civil y Penal del Tribunal Superior de Justicia de Extremadura acordó admitir a trámite la demanda (autos núm. 1/93) y emplazar al demandado para que compareciera en los autos y, en su caso, contestara a la demanda. </w:t>
      </w:r>
    </w:p>
    <w:p w:rsidR="008107C7" w:rsidRDefault="008107C7" w:rsidP="008107C7">
      <w:pPr>
        <w:pStyle w:val="TextoNormal"/>
      </w:pPr>
      <w:r>
        <w:t xml:space="preserve">c) El demandante de amparo interpuso recurso de súplica contra el anterior proveído (recurso que se indicaba como procedente), argumentando que procedía la inadmisión de la </w:t>
      </w:r>
      <w:r>
        <w:lastRenderedPageBreak/>
        <w:t xml:space="preserve">demanda habida cuenta de que los hechos denunciados estaban amparados por la inviolabilidad parlamentaria. </w:t>
      </w:r>
    </w:p>
    <w:p w:rsidR="008107C7" w:rsidRDefault="008107C7" w:rsidP="008107C7">
      <w:pPr>
        <w:pStyle w:val="TextoNormal"/>
      </w:pPr>
      <w:r>
        <w:t xml:space="preserve">d) Por Auto de 1 de abril de 1993 se acordó no haber lugar a admitir el meritado recurso de súplica. A juicio de la Sala, "aunque, siguiendo la terminología tradicional que usa la Ley de Enjuiciamiento Civil al regular los recursos contra las resoluciones de la Audiencias dictadas en segunda instancia se hable (...) de recurso de súplica, es lo cierto que -dado que la Sala actúa y conoce del proceso en primera instancia- estamos en presencia de un verdadero recurso de reposición, al que (...) son aplicables las normas contenidas en el art. 377 de la Ley Procesal Civil, que exige se cite la disposición de la Ley -de la Ley de Enjuiciamiento Civil- que haya sido infringida" (F.J. 1); por ello, y dado que "en el recurso que se examina no se da cumplimiento a la exigencia indicada (...), limitándose a manifestar (...) que la Sala debe declararse incompetente conforme al art. 533.1 de la Ley Jurisdiccional por carecer de jurisdicción" (F.J. 2), procede la inadmisión del recurso, pues lo que realmente se alega no es la infracción de una norma, sino la existencia de una excepción, cuestión ésta que ha de plantearse en la contestación a la demanda y resolverse en Sentencia. </w:t>
      </w:r>
    </w:p>
    <w:p w:rsidR="008107C7" w:rsidRDefault="008107C7" w:rsidP="008107C7">
      <w:pPr>
        <w:pStyle w:val="TextoNormal"/>
      </w:pPr>
      <w:r>
        <w:t xml:space="preserve">e) El demandante de amparo interpuso "recurso de súplica -o el que legalmente proceda-" (sic) contra el precitado Auto, poniendo de manifiesto el exacerbado rigorismo de la Sala y la circunstancia de que en la providencia impugnada se indicaba como procedente el recurso de súplica. </w:t>
      </w:r>
    </w:p>
    <w:p w:rsidR="008107C7" w:rsidRDefault="008107C7" w:rsidP="008107C7">
      <w:pPr>
        <w:pStyle w:val="TextoNormal"/>
      </w:pPr>
      <w:r>
        <w:t>f) El anterior escrito fue inadmitido por Auto de 19 de abril de 1993, reiterándose el argumento de que la falta de jurisdicción es una excepción sólo planteable en la contestación a la demanda.</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El demandante interpone recurso de amparo contra las resoluciones judiciales antedichas, por infracción de los arts. 14, 23.2, 24.1 y 24.2 C.E., interesando su nulidad y solicita, mediante otrosí, la suspensión de la tramitación del proceso civil. </w:t>
      </w:r>
    </w:p>
    <w:p w:rsidR="008107C7" w:rsidRDefault="008107C7" w:rsidP="008107C7">
      <w:pPr>
        <w:pStyle w:val="TextoNormal"/>
      </w:pPr>
      <w:r>
        <w:t xml:space="preserve">Las violaciones referidas resultarían, según el escrito de amparo, de los motivos siguientes: En primer lugar, la sola admisión a trámite de la demanda -de cuyo propio contenido se desprendía, manifiestamente, que los hechos denunciados vienen amparados por el instituto de la inviolabilidad- ha generado una infracción del art. 23.2 en relación con el art. 71.1, ambos de la Constitución, dado que la consecuencia de la irresponsabilidad por los votos y opiniones parlamentarias que de aquel instituto se deriva se traduce en que éstos no pueden ser enjuiciados, lo que se manifiesta procesalmente en incompetencia territorial. La admisión a trámite de la demanda ha perturbado ilegítimamente el normal desarrollo por parte del recurrente de sus funciones parlamentarias y, por ende, a permanecer en condiciones de igualdad en su cargo público. </w:t>
      </w:r>
    </w:p>
    <w:p w:rsidR="008107C7" w:rsidRDefault="008107C7" w:rsidP="008107C7">
      <w:pPr>
        <w:pStyle w:val="TextoNormal"/>
      </w:pPr>
      <w:r>
        <w:t xml:space="preserve">En segundo lugar, el hecho de que la misma Sala haya inadmitido una demanda de acto de conciliación previa al ejercicio de acciones penales sobre los mismos hechos objeto de la demanda civil, con el argumento de que el ahora demandante disfruta de la prerrogativa de la inviolabilidad, evidenciaría una separación injustificada de precedente y, por ello, redundaría en infracción del art. 14 C.E. </w:t>
      </w:r>
    </w:p>
    <w:p w:rsidR="008107C7" w:rsidRDefault="008107C7" w:rsidP="008107C7">
      <w:pPr>
        <w:pStyle w:val="TextoNormal"/>
      </w:pPr>
      <w:r>
        <w:t>Por último, la vulneración del art. 24 resultaría de una aplicación rigorista de la normativa procesal que ha provocado la inadmisión del recurso de súplica formulado contra la providencia de 9 de marzo de 1993 y además, de una quiebra del derecho al Tribunal competente que en el presente caso se manifiesta como un derecho a no ser enjuiciado por el Poder Judicial sino por el Presidente de la Asamblea de Extremadura.</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4</w:t>
      </w:r>
      <w:r>
        <w:t>. Mediante sendas providencias de 15 de junio de 1993, la Sección Cuarta de este Tribunal acordó admitir a trámite la demanda de amparo; dirigir comunicación al Tribunal Superior de Justicia de Extremadura a fin de que, en un plazo no superior a diez días, remitiera certificación o fotocopia adverada de las actuaciones correspondientes a los autos del juicio ordinario declarativo de menor cuantía núm. 1/93, debiendo previamente emplazar a quienes hubieran sido parte en el procedimiento, para que en el plazo de diez días pudieran comparecer en el recurso de amparo y defender sus derechos; requerir al demandante de amparo para que compareciera por medio de Procurador del Colegio de Madrid y asistido de Letrado de cualquier Colegio de España, dado que la prerrogativa cuya conculcación se denunciaba era de carácter personal del parlamentario, no del Parlamento ni de la Junta; y formar la oportuna pieza separada para la tramitación del incidente de suspensión concediendo, a tenor de lo dispuesto en el art. 56 de la LOTC, un plazo común de tres días a la parte recurrente y al Ministerio Fiscal, a fin de que alegaran lo que estimaran pertinente sobre dicha suspensión.</w:t>
      </w:r>
    </w:p>
    <w:p w:rsidR="008107C7" w:rsidRDefault="008107C7" w:rsidP="008107C7">
      <w:pPr>
        <w:pStyle w:val="TextoNormal"/>
      </w:pPr>
    </w:p>
    <w:p w:rsidR="008107C7" w:rsidRDefault="008107C7" w:rsidP="008107C7">
      <w:pPr>
        <w:pStyle w:val="TextoNormal"/>
      </w:pPr>
      <w:r w:rsidRPr="008107C7">
        <w:rPr>
          <w:rStyle w:val="NumeroAFNegritaCaracter"/>
        </w:rPr>
        <w:t>5</w:t>
      </w:r>
      <w:r>
        <w:t>. Registrados los escritos de la parte y del Ministerio Fiscal, en fechas 18 y 25 de junio de 1993, respectivamente, la Sala Segunda acordó, por Auto de 12 de julio de 1993, suspender la ejecución de la providencia de la Sala de lo Civil y de lo Penal del Tribunal Superior de Justicia de Extremadura, de 9 de marzo de 1993, por la que se admitió a trámite la demanda que dio lugar a los autos del juicio declarativo ordinario de menor cuantía núm. 1/93.</w:t>
      </w:r>
    </w:p>
    <w:p w:rsidR="008107C7" w:rsidRDefault="008107C7" w:rsidP="008107C7">
      <w:pPr>
        <w:pStyle w:val="TextoNormal"/>
      </w:pPr>
    </w:p>
    <w:p w:rsidR="008107C7" w:rsidRDefault="008107C7" w:rsidP="008107C7">
      <w:pPr>
        <w:pStyle w:val="TextoNormal"/>
      </w:pPr>
      <w:r w:rsidRPr="008107C7">
        <w:rPr>
          <w:rStyle w:val="NumeroAFNegritaCaracter"/>
        </w:rPr>
        <w:t>6</w:t>
      </w:r>
      <w:r>
        <w:t>. Por nueva providencia de 23 de septiembre de 1993, la Sección acordó tener por personada y parte en el procedimiento a la Procuradora doña Aurora Gómez-Villaboa en nombre y representación del recurrente don Juan Carlos Rodríguez Ibarra y al Procurador don Gabriel Sánchez Malingre en representación de don Francisco Chaves Reyman, acordándose entender con ellos las sucesivas actuaciones; acusar recibo a la Sala de lo Civil y Penal del Tribunal Superior de Justicia de Extremadura de las actuaciones remitidas; dar vista de las mismas a las partes personadas y al Ministerio Fiscal por plazo común de veinte días, a fin de que en el mismo presentaran las alegaciones que estimaran pertinentes, conforme determina el art. 52.1 LOTC; y desglosar poderes presentados por los Procuradores dejando en autos copia autorizada.</w:t>
      </w:r>
    </w:p>
    <w:p w:rsidR="008107C7" w:rsidRDefault="008107C7" w:rsidP="008107C7">
      <w:pPr>
        <w:pStyle w:val="TextoNormal"/>
      </w:pPr>
    </w:p>
    <w:p w:rsidR="008107C7" w:rsidRDefault="008107C7" w:rsidP="008107C7">
      <w:pPr>
        <w:pStyle w:val="TextoNormal"/>
      </w:pPr>
      <w:r w:rsidRPr="008107C7">
        <w:rPr>
          <w:rStyle w:val="NumeroAFNegritaCaracter"/>
        </w:rPr>
        <w:t>7</w:t>
      </w:r>
      <w:r>
        <w:t>. El día 16 de octubre de 1993, la Procuradora del recurrente en amparo registró su escrito de alegaciones dan do por reproducidos en su integridad el relato de hechos y de fundamentos contenidos en la demanda.</w:t>
      </w:r>
    </w:p>
    <w:p w:rsidR="008107C7" w:rsidRDefault="008107C7" w:rsidP="008107C7">
      <w:pPr>
        <w:pStyle w:val="TextoNormal"/>
      </w:pPr>
    </w:p>
    <w:p w:rsidR="008107C7" w:rsidRDefault="008107C7" w:rsidP="008107C7">
      <w:pPr>
        <w:pStyle w:val="TextoNormal"/>
      </w:pPr>
      <w:r w:rsidRPr="008107C7">
        <w:rPr>
          <w:rStyle w:val="NumeroAFNegritaCaracter"/>
        </w:rPr>
        <w:t>8</w:t>
      </w:r>
      <w:r>
        <w:t xml:space="preserve">. El Procurador de don Francisco Chaves Reyman presentó su escrito ante este Tribunal el 19 de octubre de 1993. A juicio de esta parte, si en el presente caso prevaleciera la prerrogativa de la inviolabilidad del Sr. Rodríguez Ibarra, cuyas discutidas manifestaciones nada tenían que ver con la causa que se estaba debatiendo, este instituto estaría sirviendo de forma indiscriminada y sin límite alguno para utilizar la Asamblea de Extremadura como medio impune de ataque al derecho al honor de los ciudadanos y como sede de posibles injurias y calumnias que quedarían impunes y sin posibilidad de defensa. Por otra parte, el consentimiento arbitrario de los hechos que acaecieron no fueron limitados por el Presidente de la Asamblea; ello conlleva, o bien, la responsabilidad directa de la persona que realizó la afrenta o bien la de aquel, como moderador de la Asamblea. Por todo ello se solicita a este </w:t>
      </w:r>
      <w:r>
        <w:lastRenderedPageBreak/>
        <w:t>Tribunal que dicte resolución por la que declare no haber lugar al presente amparo. Asimismo, se solicita, conforme a lo dispuesto en el art. 89.1 LOTC, recibimiento a prueba del pleito.</w:t>
      </w:r>
    </w:p>
    <w:p w:rsidR="008107C7" w:rsidRDefault="008107C7" w:rsidP="008107C7">
      <w:pPr>
        <w:pStyle w:val="TextoNormal"/>
      </w:pPr>
    </w:p>
    <w:p w:rsidR="008107C7" w:rsidRDefault="008107C7" w:rsidP="008107C7">
      <w:pPr>
        <w:pStyle w:val="TextoNormal"/>
      </w:pPr>
      <w:r w:rsidRPr="008107C7">
        <w:rPr>
          <w:rStyle w:val="NumeroAFNegritaCaracter"/>
        </w:rPr>
        <w:t>9</w:t>
      </w:r>
      <w:r>
        <w:t xml:space="preserve">. Mediante escrito registrado en este Tribunal el 19 de octubre de 1993, el Ministerio Fiscal formuló alegaciones, interesando se otorgue el amparo, por cuanto del proceso resulta la quiebra del derecho reconocido en el art. 23.2 C.E. No obstante, ninguna enjundia parece que presenten las otras alegaciones. En cuanto a la primera de ellas -quiebra del art. 24.1 C.E. por inadmisión del primer recurso-, pese a la aparente inadmisión de plano del recurso, lo cierto es que la Sala entra en el fondo y da una respuesta motivada en Derecho que resuelve sin duda la pretensión ejercitada: la incompetencia de jurisdicción se articula en la Ley de Enjuiciamiento Civil como una excepción, que debe ser alegada en la contestación a la demanda y resuelta en la Sentencia (art. 687 L.E.C.). Sin embargo, si se acepta esta premisa, se plantea la posible extemporaneidad de la demanda de amparo, en tanto que el segundo recurso podría ser manifiestamente improcedente, no sólo por haberlo indicado así expresamente la Sala, sino porque no existe previsión legal que lo habilite. </w:t>
      </w:r>
    </w:p>
    <w:p w:rsidR="008107C7" w:rsidRDefault="008107C7" w:rsidP="008107C7">
      <w:pPr>
        <w:pStyle w:val="TextoNormal"/>
      </w:pPr>
      <w:r>
        <w:t xml:space="preserve">El segundo motivo de amparo habla de una posible quiebra del derecho al Tribunal competente (art. 24.2 C.E.). Pero el derecho al Juez ordinario predeterminado por la Ley (único del que habla el art. 24.2 C.E.) nada tiene que ver con el caso de autos. Las exigencias que este Tribunal ha reconocido a tal derecho hacen referencia en su totalidad a garantías procedimentales de carácter judicial. Sólo el Poder judicial puede "juzgar" en el sentido empleado en el art. 24.2 C.E., que debe ponerse en relación en este aspecto con el art. 117 C.E. </w:t>
      </w:r>
    </w:p>
    <w:p w:rsidR="008107C7" w:rsidRDefault="008107C7" w:rsidP="008107C7">
      <w:pPr>
        <w:pStyle w:val="TextoNormal"/>
      </w:pPr>
      <w:r>
        <w:t xml:space="preserve">Tampoco debe estimarse la quiebra del derecho a la igualdad en aplicación de la Ley, a juicio de la representación pública. Y ello porque -si bien la misma Sala de lo Civil y Penal del Tribunal Superior de Justicia de Extremadura había inadmitido un acto de conciliación previo a la presentación de la querella criminal por los mismos hechos- lo cierto es que nos encontramos ante procedimientos y órdenes de jurisdicción distintos. Por ello, no existe una auténtico tertium comparationis válido para invocar con éxito el art. 14 C.E. </w:t>
      </w:r>
    </w:p>
    <w:p w:rsidR="008107C7" w:rsidRDefault="008107C7" w:rsidP="008107C7">
      <w:pPr>
        <w:pStyle w:val="TextoNormal"/>
      </w:pPr>
      <w:r>
        <w:t xml:space="preserve">Con ello, el Ministerio Fiscal se sitúa ante el problema nuclear planteado en el presente recurso de amparo: la posible violación del art. 23.2 C.E. La demanda lo centra como "derecho a permanecer en los cargos públicos en condiciones de igualdad". La representación pública entiende preferible hablar del derecho a desempeñar los cargos públicos sin perturbaciones indebidas. En este sentido, la tramitación de cualquier procedimiento judicial contra un miembro de la Asamblea de Extremadura por hechos protegidos por la prerrogativa de la inviolabilidad debe entenderse como una perturbación indebida al ejercicio de su cargo. Lo contrario nos llevaría a una restricción de la libertad de expresión parlamentaria, pues cualquiera podría someterlos a la carga indebida de sufrir un proceso judicial. Ahora bien, no puede negarse que tal consecuencia de la inviolabilidad parlamentaria debe poseer un cauce procesal para hacerla efectiva. Desde esta perspectiva, no cabe duda del teórico buen proceder de la Sala. En la generalidad de los casos, el hecho de que el demandado se encuentre o no amparado por la prerrogativa de la inviolabilidad no es un prius, sino un objeto de prueba. Sólo si tal situación se acredita suficientemente en el curso del procedimiento será procedente declarar la incompetencia de jurisdicción. Ahora bien, consta en autos que, en el procedimiento penal y en idénticas circunstancias, los mismos Magistrados apreciaron la concurrencia de la inviolabilidad parlamentaria. Y como ésta afecta a todo tipo de procesos, y constituye una situación derivada de unos hechos que no pueden existir y no existir a la vez para un mismo órgano jurisdiccional, los mismos elementos de juicio que existían para apreciar la inviolabilidad en materia penal concurrían también para tenerla en </w:t>
      </w:r>
      <w:r>
        <w:lastRenderedPageBreak/>
        <w:t>cuenta en materia civil. Estas consideraciones llevan al Ministerio Fiscal a la conclusión de que la Sala debió buscar una solución procesal al problema que se le planteaba: perturbar el normal ejercicio de un cargo público mediante la tramitación de un procedimiento judicial que no podía terminar más que con la absolución o aplicar el art. 9 de la L.O.P.J. El amparo, pues, a juicio del Ministerio Fiscal, debe, por este motivo, prosperar.</w:t>
      </w:r>
    </w:p>
    <w:p w:rsidR="008107C7" w:rsidRDefault="008107C7" w:rsidP="008107C7">
      <w:pPr>
        <w:pStyle w:val="TextoNormal"/>
      </w:pPr>
    </w:p>
    <w:p w:rsidR="008107C7" w:rsidRDefault="008107C7" w:rsidP="008107C7">
      <w:pPr>
        <w:pStyle w:val="TextoNormal"/>
      </w:pPr>
      <w:r w:rsidRPr="008107C7">
        <w:rPr>
          <w:rStyle w:val="NumeroAFNegritaCaracter"/>
        </w:rPr>
        <w:t>10</w:t>
      </w:r>
      <w:r>
        <w:t>. La sección cuarta, mediante providencia de 25 de octubre de 1993, acordó requerir a la representación de don Francisco Chaves a fin de que en el plazo de diez días manifestara los medios de prueba de que intentaba valerse y de su finalidad.</w:t>
      </w:r>
    </w:p>
    <w:p w:rsidR="008107C7" w:rsidRDefault="008107C7" w:rsidP="008107C7">
      <w:pPr>
        <w:pStyle w:val="TextoNormal"/>
      </w:pPr>
    </w:p>
    <w:p w:rsidR="008107C7" w:rsidRDefault="008107C7" w:rsidP="008107C7">
      <w:pPr>
        <w:pStyle w:val="TextoNormal"/>
      </w:pPr>
      <w:r w:rsidRPr="008107C7">
        <w:rPr>
          <w:rStyle w:val="NumeroAFNegritaCaracter"/>
        </w:rPr>
        <w:t>11</w:t>
      </w:r>
      <w:r>
        <w:t>. Presentado el anterior escrito en fecha 3 de noviembre de 1993 y dada vista del mismo a la parte recurrente y al Ministerio Fiscal para que alegaran lo que estimaran pertinente sobre la prueba propuesta, la Sección acordó, por providencia de 13 de diciembre de 1993, no haber lugar a la práctica de la misma, toda vez que, dados los documentos ya obrantes en autos, era innecesaria.</w:t>
      </w:r>
    </w:p>
    <w:p w:rsidR="008107C7" w:rsidRDefault="008107C7" w:rsidP="008107C7">
      <w:pPr>
        <w:pStyle w:val="TextoNormal"/>
      </w:pPr>
    </w:p>
    <w:p w:rsidR="008107C7" w:rsidRDefault="008107C7" w:rsidP="008107C7">
      <w:pPr>
        <w:pStyle w:val="TextoNormal"/>
      </w:pPr>
      <w:r w:rsidRPr="008107C7">
        <w:rPr>
          <w:rStyle w:val="NumeroAFNegritaCaracter"/>
        </w:rPr>
        <w:t>12</w:t>
      </w:r>
      <w:r>
        <w:t xml:space="preserve">. Por providencia de 20 de febrero de 1997, se señaló para la deliberación y votación de la presente Sentencia el día </w:t>
      </w:r>
    </w:p>
    <w:p w:rsidR="008107C7" w:rsidRDefault="008107C7" w:rsidP="008107C7">
      <w:pPr>
        <w:pStyle w:val="TextoNormal"/>
      </w:pPr>
      <w:r>
        <w:t>24 del mismo mes.</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Es objeto del presente recurso de amparo el Auto de la Sala de lo Civil y Penal del Tribunal Superior de Justicia de Extremadura de 19 de abril de 1993, por el cual se declara inadmisible un escrito en el que se solicitó la revocación del de la misma Sala de 1 de abril de 1993 que a su vez había inadmitido recurso de súplica contra providencia de 9 de marzo de 1993, acordando ésta admitir a trámite la demanda de juicio declarativo ordinario de menor cuantía sobre intromisión ilegítima en el derecho al honor interpuesta contra el ahora demandante de amparo. Este recurso se plantea por supuesta vulneración del derecho a la tutela judicial efectiva (art. 24.1 C.E.), del "derecho al Tribunal competente" (art. 24.2 C.E.), del derecho a la igualdad en aplicación de la ley (art. 14 C.E.)  y del "derecho a permanecer en los cargos públicos en condiciones de igualdad" (art. 23.2 C.E.).</w:t>
      </w:r>
    </w:p>
    <w:p w:rsidR="008107C7" w:rsidRDefault="008107C7" w:rsidP="008107C7">
      <w:pPr>
        <w:pStyle w:val="TextoNormal"/>
      </w:pPr>
    </w:p>
    <w:p w:rsidR="008107C7" w:rsidRDefault="008107C7" w:rsidP="008107C7">
      <w:pPr>
        <w:pStyle w:val="TextoNormal"/>
      </w:pPr>
      <w:r w:rsidRPr="008107C7">
        <w:rPr>
          <w:rStyle w:val="NumeroAFNegritaCaracter"/>
        </w:rPr>
        <w:t>2</w:t>
      </w:r>
      <w:r>
        <w:t>. Antes de conocer sobre las cuestiones de fondo planteadas hemos de resolver sobre la alegación de extemporaneidad de la demanda formulada por el Ministerio Fiscal, puesto que el segundo recurso, interpuesto como "recurso de súplica" -o el que legalmente proceda-" (sic) contra el Auto de 1 de abril de 1993, sería improcedente, no sólo por la indicación expresa de la Sala tanto en el referido Auto como en la diligencia de notificación, sino porque no existe precepto legal que lo habilite, tal como ya declaramos en un caso similar en nuestro ATC 8/1991 advirtiendo de que "la presentación de recursos manifiestamente improcedentes, como es doctrina reiterada de este Tribunal, supone objetivamente una ampliación indebida del plazo legal para interponer el recurso de amparo".</w:t>
      </w:r>
    </w:p>
    <w:p w:rsidR="008107C7" w:rsidRDefault="008107C7" w:rsidP="008107C7">
      <w:pPr>
        <w:pStyle w:val="TextoNormal"/>
      </w:pPr>
      <w:r>
        <w:t xml:space="preserve">Pese a ello, aquí la demanda de amparo no puede tacharse de extemporánea. El Auto de 1 de abril de 1993 que inadmitió el primer recurso de súplica fue notificado a las partes al día siguiente, esto es, el día 2 de abril, y por tanto el plazo para la presentación de la demanda de amparo que comenzaba el 3, finalizaba el día 28 del mismo mes (art. 44.2 LOTC.), y la </w:t>
      </w:r>
      <w:r>
        <w:lastRenderedPageBreak/>
        <w:t>demanda fue presentada el 27 (era inhábil el día 9) y por tanto no se interpuso extemporáneamente. Al margen, pues, de que el segundo recurso fuera o no improcedente, su interposición no ha producido ampliación alguna del plazo para recurrir. Debe desestimarse esta causa de inadmisión y en consecuencia examinar las cuestiones sustantivas invocadas.</w:t>
      </w:r>
    </w:p>
    <w:p w:rsidR="008107C7" w:rsidRDefault="008107C7" w:rsidP="008107C7">
      <w:pPr>
        <w:pStyle w:val="TextoNormal"/>
      </w:pPr>
    </w:p>
    <w:p w:rsidR="008107C7" w:rsidRDefault="008107C7" w:rsidP="008107C7">
      <w:pPr>
        <w:pStyle w:val="TextoNormal"/>
      </w:pPr>
      <w:r w:rsidRPr="008107C7">
        <w:rPr>
          <w:rStyle w:val="NumeroAFNegritaCaracter"/>
        </w:rPr>
        <w:t>3</w:t>
      </w:r>
      <w:r>
        <w:t>. La relativa al art. 24. 1 C.E. se invoca en relación con las resoluciones desestimatorias del recurso interpuesto contra la providencia que admitía a trámite la demanda civil. En lo que afecta a la discutida aplicación del art.  377 L.E.C. limitada a la cuestión de legalidad procesal y su posible relieve como determinante de indefensión, carece en el caso de relevancia específica por cuanto puede considerarse incluída en la más amplia quiebra resultante de una eventual carencia de jurisdicción del Tribunal civil.</w:t>
      </w:r>
    </w:p>
    <w:p w:rsidR="008107C7" w:rsidRDefault="008107C7" w:rsidP="008107C7">
      <w:pPr>
        <w:pStyle w:val="TextoNormal"/>
      </w:pPr>
      <w:r>
        <w:t>Habrá, pues, de examinarse si éste, al confirmar su inicial resolución de admitir a trámite la demanda civil, vulnera el derecho a la tutela judicial efectiva del ahora recurrente al abligarle a soportar la tramitación de un proceso necesariamente abocado a la desestimación de la pretensión por ser ya conocidos del órgano judicial los fundamentos de la misma y los alegados para su inadmisión a limine. Vertebra, pues, esta alegación la prerrogativa de inviolabilidad atribuida a los parlamentarios en el art.  71.1 C.E. En primer lugar en cuanto a la posibilidad procesal de su ejercicio en el trámite de incoación de un proceso civil donde se alegaba la vulneración del derecho al honor por expresiones proferidas en una intervención parlamentaria del demandado en el Parlamento de Extremadura. Así como por la vulneración, también alegada, del art. 23.2 C.E. en su vertiente del derecho al desempeño en condiciones de igualdad de los cargos públicos, que también se entiende vulnerado al acordarse la admisión de la susodicha demanda.</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No sería, sin embargo, la vertiente de igualdad que este último precepto encierra lo que las resoluciones judiciales impugnadas hubieran podido afectar, sino el aspecto de la proteccion reconocida en el mismo respecto del libre desempeño del cargo público ejercido, (como en reiteradas ocasiones hemos dicho, SSTC 10/1983, 32/1985, 161/1988, 76/1989, 181/1989, 149/1990, 205/1990, 214/1990, 81/1991, 220/1991, 15/1992, 225/1992, 30/1993, 71/1994 y 287/1994, entre otras), considerándolo como un verdadero ius in officium que preserva y mantiene la relación representativa de la que viene revestido el ciudadano electo, derivada de una inseparable relación entre los apartados 1º y 2º del art. 23 (así se manifiesta, por ejemplo, en la STC 161/1988), es decir, entre los ciudadanos representados y la situación jurídica del representante, entre sufragio activo y sufragio pasivo, relación que impone la preservación no sólo en los momentos de acceso y cese en el cargo, sino también el ejercicio libre y pacífico que permite reaccionar frente al desconocimiento o menoscabo de los derechos y facultades que de aquél derivan.  Y así, la doctrina de este Tribunal ha afirmado que "El art.  23.2 C.E. "...  garantiza, no solo el acceso igualitario a las funciones y cargos públicos, sino también que los que hayan accedido a los mismos se mantengan en ellos sin perturbaciones ilegítimas y los desempñen de conformidad con lo que la ley disponga (STC 32/1985), ya que en otro caso la norma constitucional perderia toda eficacia si, respetado el acceso a la función o cargo público en condiciones de igualdad, su ejercicio pudiera resultar mediatizado o impedido sin remedio jurídico". Para nuestra doctrina constitucional, pues, el art.  23.2 C.E. garantiza no sólo el acceso o protege de un cese arbitrario a un cargo representativo, sino que garantiza que el ejercicio no sea mediatizado o perturbado. Mediatización o perturbación que coincide, en gran medida, con el propio status del parlamentario: "El derecho fundamental del art. 23.2 de la Constitucion (...)  es un derecho de configuración legal (...)  y, en consecuencia, compete a la Ley, comprensiva según se deja dicho de los </w:t>
      </w:r>
      <w:r>
        <w:lastRenderedPageBreak/>
        <w:t>Reglamentos Parlamentarios, el ordenar los derechos y facultades que corresponden a los distintos cargos y funciones públicos. Una vez creados por las normas legales tales derechos y facultades, éstos quedan integrados en el status propio de cada cargo con la consecencia de que podrán sus titulares, al amparo del art. 23.2 de la Constitución, defender ante los órganos judiciales -y en último extremo ante este Tribunal- el ius in officium que consideren ilegítimamente constreñido o ignorado por actos del poder público..." (STC 161/1988).</w:t>
      </w:r>
    </w:p>
    <w:p w:rsidR="008107C7" w:rsidRDefault="008107C7" w:rsidP="008107C7">
      <w:pPr>
        <w:pStyle w:val="TextoNormal"/>
      </w:pPr>
      <w:r>
        <w:t>La invocación del referido derecho no solamente legitima al ahora demandante para la interposicion del amparo, sino que lleva a determinar la relación en el caso entre este derecho fundamental y el del art. 24.1., en cuanto el contenido del art. 71.1 C.E., como veremos, puede determinar un límite al ejercicio de la jurisdicción cuyos efectos respecto de la eventual indefensión de las partes del recurso exigen también un pronunciamiento.</w:t>
      </w:r>
    </w:p>
    <w:p w:rsidR="008107C7" w:rsidRDefault="008107C7" w:rsidP="008107C7">
      <w:pPr>
        <w:pStyle w:val="TextoNormal"/>
      </w:pPr>
    </w:p>
    <w:p w:rsidR="008107C7" w:rsidRDefault="008107C7" w:rsidP="008107C7">
      <w:pPr>
        <w:pStyle w:val="TextoNormal"/>
      </w:pPr>
      <w:r w:rsidRPr="008107C7">
        <w:rPr>
          <w:rStyle w:val="NumeroAFNegritaCaracter"/>
        </w:rPr>
        <w:t>5</w:t>
      </w:r>
      <w:r>
        <w:t>. El art. 71.1 de la Constitución atribuye a los Diputados y Senadores la prerrogativa de inviolabilidad por las afirmaciones manifestadas en el ejercicio de sus funciones, extendida al ámbito de la Asamblea Legislativa de la Comunidad Autónoma de Extremadura por el art. 26 de su Estatuto, según por otra parte declaró la STC 36/1981.</w:t>
      </w:r>
    </w:p>
    <w:p w:rsidR="008107C7" w:rsidRDefault="008107C7" w:rsidP="008107C7">
      <w:pPr>
        <w:pStyle w:val="TextoNormal"/>
      </w:pPr>
      <w:r>
        <w:t>El contenido de esta prerrogativa parlamentaria ha sido configurada por este Tribunal (STC 243/1988) como un privilegio de naturaleza sustantiva (a diferencia de la inmunidad, al que califica como de naturaleza formal) que garantiza la irresponsabilidad jurídica de los parlamentarios por las opiniones manifestadas en el ejercicio de sus funciones, entendiendo por tales aquéllas que realicen en actos parlamentarios y en el seno de cualquiera de las articulaciones de las Cortes Generales o, por excepción, en actos exteriores a la vida de las Cámaras que sean reproducción literal de un acto parlamentario, siendo finalidad específica del privilegio asegurar, a través de la libertad de expresión de los parlamentarios, la libre formación de la voluntad del órgano legislativo al que pertenezcan" (fundamento jurídico 3º).  Privilegio que "Incide negativamente en el ámbito del derecho a la tutela judicial" pues "impide la apertura de cualquier clase de proceso o procedimiento que tenga por objeto exigir responsabilidad a los Diputados o Senadores por las opiniones manifestadas en el ejercicio de sus funciones" (SSTC 36/1981 y 243/1988). En el caso, las que ejerce el recurrente de amparo en el Parlamento de la Comunidad Autónoma de Extremadura, en virtud del citado art. 26.1 de su Estatuto.</w:t>
      </w:r>
    </w:p>
    <w:p w:rsidR="008107C7" w:rsidRDefault="008107C7" w:rsidP="008107C7">
      <w:pPr>
        <w:pStyle w:val="TextoNormal"/>
      </w:pPr>
    </w:p>
    <w:p w:rsidR="008107C7" w:rsidRDefault="008107C7" w:rsidP="008107C7">
      <w:pPr>
        <w:pStyle w:val="TextoNormal"/>
      </w:pPr>
      <w:r w:rsidRPr="008107C7">
        <w:rPr>
          <w:rStyle w:val="NumeroAFNegritaCaracter"/>
        </w:rPr>
        <w:t>6</w:t>
      </w:r>
      <w:r>
        <w:t>. Así interpretado este precepto (y tal ha sido nuestra doctrina según lo dicho) el mismo configura, no sólo una prescripción que exime de responsabilidad, sino un privilegio frente a la mera incoación de todo procedimiento. Es decir, un verdadero límite a la jurisdicción que tiene carácter absoluto y no meramente relativo como el de la excepción del art.  533.1 de la Ley de Enjuiciamiento Civil. Esta se articula dentro de lo que constituye un presupuesto procesal según el cual al Juez ante quien se plantea un asunto debe estarle atribuida jurisdicción para conocer del mismo, lo cual, a su vez, se integra desde otro punto de vista en el derecho del particular al Juez predeterminado por la Ley. En cambio, la prerrogativa del art.  71.1 C.E.  constituye una excepción o límite constitucional al ejercicio por los Jueces y Tribunales de la potestad del art.  117. 3 C.E., que, si bien se extiende según el art. 4 L.O.P.J.a "todas las personas, a todas las materias y a todo el territorio español", lo es "en la forma establecida en la Constitución y en las Leyes". Y de la Constitución deriva directamente este límite a su ejercicio puesto que el Tribunal que entiende en un litigio, rebasando los límites constitucionales o legales de sus atribuciones, no desarrolla una actividad válida. Por otra parte, los límites subjetivos de la jurisdicción exigen asimismo que no estén sus</w:t>
      </w:r>
      <w:r>
        <w:lastRenderedPageBreak/>
        <w:t>traídas a su ámbito las personas que hayan de intervenir como partes y en el caso del parlamentario su prerrogativa le sustrae absolutamente, no sólo por razón de la persona sino también de la materia, cuando el objeto del proceso consiste en exigirle responsabilidad por expresiones proferidas en su actuación.</w:t>
      </w:r>
    </w:p>
    <w:p w:rsidR="008107C7" w:rsidRDefault="008107C7" w:rsidP="008107C7">
      <w:pPr>
        <w:pStyle w:val="TextoNormal"/>
      </w:pPr>
      <w:r>
        <w:t>Por ello, el órgano jurisdiccional, cuando abre un proceso, si consta inicialmente que se está ejercitando una pretensión de responsabilidad que reúne los caracteres citados, puede vulnerar el derecho del art. 23.2 C.E., y también, en relación con sus efectos procesales, el del demandado a la tutela efectiva, puesto que en estos casos su prerrogativa constitucional determina la carencia absoluta de jurisdicción del órgano ante quien aquel proceso se plantea. El interés legítimo del parlamentario en la tutela de un valor constitucional se materializa así en la inviolabilidad de sus opiniones y, por consiguiente, en la exclusión de la jurisdicción respecto a ella.</w:t>
      </w:r>
    </w:p>
    <w:p w:rsidR="008107C7" w:rsidRDefault="008107C7" w:rsidP="008107C7">
      <w:pPr>
        <w:pStyle w:val="TextoNormal"/>
      </w:pPr>
    </w:p>
    <w:p w:rsidR="008107C7" w:rsidRDefault="008107C7" w:rsidP="008107C7">
      <w:pPr>
        <w:pStyle w:val="TextoNormal"/>
      </w:pPr>
      <w:r w:rsidRPr="008107C7">
        <w:rPr>
          <w:rStyle w:val="NumeroAFNegritaCaracter"/>
        </w:rPr>
        <w:t>7</w:t>
      </w:r>
      <w:r>
        <w:t>. En este caso, la resolución inadmitiendo el recurso de reposición contra la providencia inicial y los autos confirmatorios interpretaron como una excepción dilatoria a resolver en la Sentencia lo que en rigor se alegaba como un defecto absoluto (y no relativo) de jurisdicción, con la diferencia de que éste podía ser apreciado de oficio tal como dispone, incluso para los casos de falta de jurisdicción relativa, el art. 9.6 de la Ley Orgánica del Poder Judicial. Al no hacerlo así, vulneraron no sólo la prescripción del art. 71.1 C.E. integrada en el 23.2 según antes hemos razonado sino también el derecho que en el caso asistía al ahora recurrente a la tutela efectiva.</w:t>
      </w:r>
    </w:p>
    <w:p w:rsidR="008107C7" w:rsidRDefault="008107C7" w:rsidP="008107C7">
      <w:pPr>
        <w:pStyle w:val="TextoNormal"/>
      </w:pPr>
      <w:r>
        <w:t>La carencia de jurisdicción para tramitar y conocer de la demanda civil de responsabilidad constituía un fundamento constitucional para acordar la no apertura del proceso; y la decisión de abrirlo vulneraba el derecho del parlamentario a la tutela judicial que en este caso se concretaba prescriptivamente en la inadmisión a limine de la demanda. Por otra parte, esta decisión, en cuanto constitucionalmente fundada, bastaba para satisfacer el mismo derecho a la tutela judicial del actor civil, pues, como reiteradamente hemos señalado, éste puede satisfacerse con una resolución de inadmisión legalmente fundada. El efecto impeditivo para la "apertura de cualquier clase de proceso o procedimiento que tenga por objeto exigir responsabilidad" a los parlamentarios "por opiniones manifestadas en el ejercicio de sus funciones", a que se refiere nuestra citada STC 243/1988 exigirá, de una parte, constancia cierta de que se dan las circunstancias de hecho que configuran la prerrrogativa y también que la resolución judicial se dicte previa audiencia de la contraparte e invocando el motivo legal de la inadmisión in limine litis, como por otro lado establece el art. 9.6 de la L.O.P.J. citado.</w:t>
      </w:r>
    </w:p>
    <w:p w:rsidR="008107C7" w:rsidRDefault="008107C7" w:rsidP="008107C7">
      <w:pPr>
        <w:pStyle w:val="TextoNormal"/>
      </w:pPr>
      <w:r>
        <w:t>La demanda civil ponía expresamente de manifiesto que el demandado era parlamentario y que las manifestaciones denunciadas habían sido vertidas en el curso de un Pleno de la Asamblea, lo cual ya constaban a la Sala cuando inadmitió la querella por los mismos hechos. De ahí la innecesariedad de todo otro trámite para constatar las circunstancias y declarar la inadmisión, pronunciamiento al que igualmente se habría llegado en una sentencia estimando la excepción dilatoria, pero con la diferencia de que en el segundo caso se habría desconocido la inviolabilidad del parlamentario durante toda la duración del proceso.</w:t>
      </w:r>
    </w:p>
    <w:p w:rsidR="008107C7" w:rsidRDefault="008107C7" w:rsidP="008107C7">
      <w:pPr>
        <w:pStyle w:val="TextoNormal"/>
      </w:pPr>
      <w:r>
        <w:t xml:space="preserve">Compitiendo, pues a los órganos judiciales la apertura y eventual continuación del proceso, a ellos será en consecuencia imputable la vulneración del derecho fundamental invocado puesto que la negativa a decretar la inadmisión a limine de la demanda no podía ampararse, como hizo, en la inexistencia para el concreto proceso de menor cuantía de un precepto que lo autorizase. Antes al contrario, lo obligado era aplicar las normas que, según lo </w:t>
      </w:r>
      <w:r>
        <w:lastRenderedPageBreak/>
        <w:t>antes dicho, permitían la inadmisión liminar dando audiencia al demandante como exige el citado art. 9.6 L.O.P.J. audiencia que de hecho tuvo lugar en el trámite del art.  378 L.E.C.</w:t>
      </w:r>
    </w:p>
    <w:p w:rsidR="008107C7" w:rsidRDefault="008107C7" w:rsidP="008107C7">
      <w:pPr>
        <w:pStyle w:val="TextoNormal"/>
      </w:pPr>
      <w:r>
        <w:t>De ahí que proceda la estimación de la demanda de amparo y la declaración de nulidad de la providencia recurrida y del Auto que la confirmó.</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Otorgar el amparo solicitado y, en su virtud,</w:t>
      </w:r>
    </w:p>
    <w:p w:rsidR="008107C7" w:rsidRDefault="008107C7" w:rsidP="008107C7">
      <w:pPr>
        <w:pStyle w:val="TextoNormal"/>
      </w:pPr>
      <w:r>
        <w:t>1º. Reconocer al solicitante de amparo el derecho del art.  23.2 en relación con el 24.1 de la Constitución a la tutela judicial efectiva.</w:t>
      </w:r>
    </w:p>
    <w:p w:rsidR="008107C7" w:rsidRDefault="008107C7" w:rsidP="008107C7">
      <w:pPr>
        <w:pStyle w:val="TextoNormal"/>
      </w:pPr>
      <w:r>
        <w:t>2º. Restablecerle en la integridad de su derecho y, en consecuencia, declarar la nulidad de la providencia, de 9 de marzo de 1993, de la Sala de lo Civil y Penal del Tribunal Superior de Justicia de Extremadura, que acordó admitir a trámite la demanda de juicio ordinario declarativo de menor cuantía en los autos núm. 1/93, así como la de las resoluciones y actos posteriores consecuencia de la misma.</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veinticuatro de febrero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34" w:name="SENTENCIA_1997_31"/>
      <w:r>
        <w:lastRenderedPageBreak/>
        <w:t>SENTENCIA 31/1997, de 24 de febrero de 1997</w:t>
      </w:r>
    </w:p>
    <w:bookmarkEnd w:id="34"/>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78, de 1 de abril de 1997)</w:t>
      </w:r>
    </w:p>
    <w:p w:rsidR="008107C7" w:rsidRDefault="008107C7" w:rsidP="008107C7">
      <w:pPr>
        <w:pStyle w:val="TtuloBOE"/>
      </w:pPr>
    </w:p>
    <w:p w:rsidR="008107C7" w:rsidRDefault="008107C7" w:rsidP="008107C7">
      <w:pPr>
        <w:pStyle w:val="SntesisDescriptiva"/>
      </w:pPr>
      <w:r>
        <w:t>ECLI:ES:TC:1997:31</w:t>
      </w:r>
    </w:p>
    <w:p w:rsidR="008107C7" w:rsidRDefault="008107C7" w:rsidP="008107C7">
      <w:pPr>
        <w:pStyle w:val="SntesisDescriptiva"/>
      </w:pPr>
    </w:p>
    <w:p w:rsidR="008107C7" w:rsidRDefault="008107C7" w:rsidP="008107C7">
      <w:pPr>
        <w:pStyle w:val="SntesisDescriptiva"/>
      </w:pPr>
      <w:r>
        <w:t>Recurso de amparo 2.232/1994. Contra dilaciones padecidas en el recurso contencioso-administrativo seguido en la Sala Tercera del Tribunal Supremo, contra el Real Decreto 2.248/l985, sobre integración en la Seguridad Social de entidades que actúan como sustitutorias de aquellas.</w:t>
      </w:r>
    </w:p>
    <w:p w:rsidR="008107C7" w:rsidRDefault="008107C7" w:rsidP="008107C7">
      <w:pPr>
        <w:pStyle w:val="SntesisDescriptiva"/>
      </w:pPr>
    </w:p>
    <w:p w:rsidR="008107C7" w:rsidRDefault="008107C7" w:rsidP="008107C7">
      <w:pPr>
        <w:pStyle w:val="SntesisAnaltica"/>
      </w:pPr>
      <w:r>
        <w:t>Vulneración del derecho a un proceso sin dilaciones indebidas.</w:t>
      </w:r>
    </w:p>
    <w:p w:rsidR="008107C7" w:rsidRDefault="008107C7" w:rsidP="008107C7">
      <w:pPr>
        <w:pStyle w:val="SntesisAnaltica"/>
      </w:pPr>
    </w:p>
    <w:p w:rsidR="008107C7" w:rsidRDefault="008107C7" w:rsidP="008107C7">
      <w:pPr>
        <w:pStyle w:val="Extracto"/>
      </w:pPr>
      <w:r>
        <w:t>1.</w:t>
      </w:r>
      <w:r>
        <w:tab/>
        <w:t>La circunstancia de que los interesados dejaron transcurrir casi un año desde que, por segunda vez, denunciaron el retraso ante el Tribunal Supremo hasta que interpusieron este recurso de amparo no determina la extemporaneidad del mismo, ya que el afectado debe aguardar un plazo prudencial o razonable, indeterminable «a priori», que permita al Juez o Tribunal poner remedio al retraso haciendo cesar la paralización (ATC 936/1988). Una vez transcurrido dicho plazo prudencial, si persistiera la inactividad prolongando en el tiempo e intensificando así la vulneración del derecho a un proceso sin dilaciones indebidas, la víctima podrá si le place esperar a que se ponga en marcha el procedimiento o, si lo prefiere, acudir al Tribunal Constitucional, demandando amparo, cualquiera que fuere la duración de la espera, opción legítima en función exclusiva de su interés. [F.J. 2]</w:t>
      </w:r>
    </w:p>
    <w:p w:rsidR="008107C7" w:rsidRDefault="008107C7" w:rsidP="008107C7">
      <w:pPr>
        <w:pStyle w:val="Extracto"/>
      </w:pPr>
    </w:p>
    <w:p w:rsidR="008107C7" w:rsidRDefault="008107C7" w:rsidP="008107C7">
      <w:pPr>
        <w:pStyle w:val="Extracto"/>
      </w:pPr>
      <w:r>
        <w:t>2.</w:t>
      </w:r>
      <w:r>
        <w:tab/>
        <w:t>La simplicidad de la providencia a adoptar la conducta diligente de la parte, en ningún momento obstruccionista, y la imposibilidad de que las deficiencias estructurales del órgano judicial justifiquen la dilacción, hacen que ésta haya de ser calificada como «indebida» y, por ello, el amparo ha de ser otorgado en este punto, sin que pueda enervarlo la circunstancia sobrevenida de que, con posterioridad a la interposición de este recurso, la marcha del proceso haya sido reanudada, pues esa activación no volatiliza la realidad histórica del retraso ya consumado y, por ello, no cura la también consumada lesión del derecho fundamental agredido (SSTC 35/1994 y 180/1996), aun cuando -eso sí- haga innecesaria la adopción por nuestra parte de medidas conducentes a conseguir esa reanudación. Nuestro pronunciamiento ha de ser, pues, meramente declarativo, aunque no simbólico sino con una proyección útil por constituir el presupuesto del derecho a una eventual indemnización de daños y perjuicios, que, sin embargo, no nos corresponde reconocer aquí y ahora. [F.J. 3]</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Rafael de Mendizábal Allende, don Julio Diego González Campos y don Tomás S. Vives Antón, Magistrados, ha pronunciado</w:t>
      </w:r>
    </w:p>
    <w:p w:rsidR="008107C7" w:rsidRDefault="008107C7" w:rsidP="008107C7">
      <w:pPr>
        <w:pStyle w:val="TextoNormal"/>
      </w:pPr>
    </w:p>
    <w:p w:rsidR="008107C7" w:rsidRDefault="008107C7" w:rsidP="008107C7">
      <w:pPr>
        <w:pStyle w:val="TextoNormalCentrado"/>
        <w:keepNext/>
      </w:pPr>
      <w:r>
        <w:lastRenderedPageBreak/>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2.232/94, interpuesto por don Enrique Cappa Soler, don Emilio Sánchez Juárez, don Angel Sánchez Jiménez, don Santiago Abarca Martínez, don Ramón Sánchez-Horneros Giménez, don José María Bachiller Jiménez, don Prudencio Ruiz de Alegría Larrea, don Juan Andrés Sanz García, don José Gilabert Morilla, doña Roser Sala Casarramona, don José Sánchez Montero, don Angel Bernardo Yáñez Ares, don José María García Sánchez, don Salvador Casellas Valldaura, don Fernando Barrachina Part, don José Lazpita Aldecoa, don Gonzalo Guajardo Solanas, don Gabriel Sevilla Martorell y don José Manuel Vargas Delgado, a quienes representa el Procurador de los Tribunales don Leopoldo Puig Pérez de Inestrosa bajo la dirección letrada del primero de ellos, Abogado, por las dilaciones padecidas en el recurso contencioso-administrativo núm. 1/19/86 seguido en la Sala Tercera del Tribunal Supremo. Han comparecido el Fiscal y el Abogado del Estado, siendo Ponente el Magistrado don Rafael de Mendizábal Allende,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Don Enrique Cappa Soler y sus dieciocho colitigantes, en escrito presentado el 24 de junio de 1994, promovieron el recurso de amparo del cual que se hace mérito en el encabezamiento, diciendo que el 29 de enero de 1986 interpusieron un recurso contencioso-administrativo contra el Real Decreto 2.248/1985, de 20 de noviembre, sobre integración en la Seguridad Social de las entidades que actúan como sustitutoria de aquéllas, haciéndolo ad cautelam pues, aun cuando en la Disposición final del Real Decreto no se incluyó a la Institución Telefónica de Previsión, a la cual todos ellos pertenecen, la exclusión fue motivada por el informe desfavorable del Consejo de Estado. El 4 de junio de 1987 formalizaron la demanda, sin que conste que en la fecha de interposición de este recurso de amparo se hubiera dado traslado de la misma al Abogado del Estado para que formulare la oportuna contestación. </w:t>
      </w:r>
    </w:p>
    <w:p w:rsidR="008107C7" w:rsidRDefault="008107C7" w:rsidP="008107C7">
      <w:pPr>
        <w:pStyle w:val="TextoNormal"/>
      </w:pPr>
      <w:r>
        <w:t xml:space="preserve">En el B.O.E. del 1 de enero de 1992 fue publicada la Orden del Ministerio de Trabajo de 30 de diciembre de 1991 por la que, a su vez, se publica el Acuerdo del Consejo de Ministros integrando a la Institución Telefónica de Previsión en el Régimen General de la Seguridad Social. El 18 de septiembre de 1992 los demandantes de amparo interesaron de la Sala Tercera del Tribunal Supremo la suspensión de la aplicación de dicha Orden. Con anterioridad habían interpuesto contra la misma recurso contencioso-administrativo ante la Sala de la Audiencia Nacional, solicitando igualmente su suspensión, a lo que dicho Tribunal no accedió en Auto de 27 de julio de 1992. El 27 de noviembre se dirigieron al Tribunal Supremo denunciando dilaciones indebidas, tanto en la resolución de esa petición de suspensión como en la propia tramitación del proceso que, interpuesto en 1986, al día de la fecha no había aún superado la fase de alegaciones ya que por aquél no se había dado traslado al Abogado del Estado de la demanda. La anterior denuncia fue reiterada en escrito presentado el 21 de junio de 1993. </w:t>
      </w:r>
    </w:p>
    <w:p w:rsidR="008107C7" w:rsidRDefault="008107C7" w:rsidP="008107C7">
      <w:pPr>
        <w:pStyle w:val="TextoNormal"/>
      </w:pPr>
      <w:r>
        <w:lastRenderedPageBreak/>
        <w:t xml:space="preserve">En la demanda de amparo los recurrentes denuncian como infringidos los arts. 9, 14 y 24 C.E. e invocan sus derechos fundamentales a la igualdad en la aplicación de la Ley, a la tutela judicial efectiva y a un proceso sin dilaciones indebidas. El tercero por el tiempo transcurrido desde la formalización de la demanda, sin que por la Sala Tercera del Tribunal Supremo se impulsara el procedimiento, y desde la petición de suspensión de la Orden de 30 de diciembre de 1991 sin que por dicho Tribunal se haya dado respuesta a la misma. El primero y el segundo porque la antigua Sala Cuarta del Tribunal Supremo, en Auto de 30 de abril de 1986, accedió a suspender la aplicación del Real Decreto 2.248/1985 al Montepío de Empleados y Obreros de Puertos, que figuraba incluido en su Disposición final, en tanto que con su actitud silente la actual Sala Tercera del Alto Tribunal ha venido a denegar la suspensión de la Orden de 30 de diciembre de 1991, provocando la liquidación de la Institución Telefónica de Previsión. </w:t>
      </w:r>
    </w:p>
    <w:p w:rsidR="008107C7" w:rsidRDefault="008107C7" w:rsidP="008107C7">
      <w:pPr>
        <w:pStyle w:val="TextoNormal"/>
      </w:pPr>
      <w:r>
        <w:t>Concluyen su demanda solicitando que, otorgando el amparo que interesan, sea dictada Sentencia en la que se declare vulnerados los derechos fundamentales que invocan, reconociendo sus derechos a un proceso sin dilaciones indebidas y a la tutela judicial efectiva respecto a la suspensión parcial del Real Decreto 2.248/1985, en relación con la Orden de 30 de diciembre de 1991, «de la misma forma que se hizo por Auto de 30 de abril de 1986 con respecto al Montepío de Previsión Social de Empleados y Obreros de Puerto», declarando que por la Sala Tercera del Tribunal Supremo deben adoptarse sin demora las resoluciones procedentes para que se siga tramitando, sin ulteriores dilaciones indebidas, el procedimiento por ellos instado.</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La Sección Cuarta, en providencia de 18 de julio de 1994 y antes de resolver sobre la admisión del recurso, decidió recabar de la Sala Tercera del Tribunal Supremo la remisión de certificación o fotocopia adverada de las actuaciones. Entretanto, con fecha 16 de noviembre, los recurrentes presentaron escrito al que adjuntaron providencia adoptada por la Sección Séptima de la Sala Tercera del Tribunal Supremo en la que se declara que no procede tramitar la solicitud de suspensión de la Orden del Ministerio de Trabajo de 30 de diciembre de 1991 por no aparecer impugnada en el recurso contencioso-administrativo. </w:t>
      </w:r>
    </w:p>
    <w:p w:rsidR="008107C7" w:rsidRDefault="008107C7" w:rsidP="008107C7">
      <w:pPr>
        <w:pStyle w:val="TextoNormal"/>
      </w:pPr>
      <w:r>
        <w:t>Una vez recibidas las actuaciones reclamadas al Tribunal Supremo, en providencia de 9 de marzo de 1995 la Sección Cuarta de este Tribunal admitió a trámite la demanda, solicitando de aquél el emplazamiento de quienes son parte en el proceso contencioso-administrativo para que pudieran comparecer en este de amparo, si les conviniere. En escrito presentado el 17 de marzo compareció el Abogado del Estado, a quien, en nueva providencia de 3 de julio, la Sección acordó dar vista de las actuaciones por término de veinte días a la par que a los recurrentes y al Fiscal.</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El Abogado del Estado evacuó el traslado en escrito presentado el 17 de julio, que inicia "depurando" la pretensión de amparo, ya que, a su juicio, la supuesta infracción de los derechos a la igualdad en la aplicación judicial de la Ley y a la tutela judicial efectiva, que son los que fundan la petición segunda de la súplica de la demanda, debe excluirse a limine. Hay para ello muy diversas razones. Primera: el Tribunal Supremo, en la fecha de presentación de la demanda de amparo, no había resuelto la petición de suspensión de la Orden de 30 de diciembre de 1991, de manera que, no conociéndose su decisión, mal de puede imputar agravio a la igualdad tomando como término de comparación el Auto de 30 de abril de 1986. Segunda: este Auto fue dictado por la Sala Cuarta del Tribunal Supremo, órgano jurisdiccional diferente. Tercera: la suspensión decretada por el Auto de 30 de abril de 1986 ha sido al parecer alzada. Cuarta: los recurrentes pretenden que se suspenda la </w:t>
      </w:r>
      <w:r>
        <w:lastRenderedPageBreak/>
        <w:t xml:space="preserve">Orden de 30 de diciembre de 1991 como medida cautelar en un recurso directo contra el Real Decreto 2.248/1985. Innecesario es recordar que la suspensión sólo puede pretenderse respecto del acto o disposición objeto del recurso contencioso-administrativo. Quinta: aparece en las actuaciones remitidas por el Tribunal Supremo que los solicitantes de amparo tienen promovido recurso contencioso-administrativo ante la Sala de la Audiencia Nacional contra la citada Orden, en el que por Auto de 27 de julio de 1992 se les denegó la suspensión de tal disposición. </w:t>
      </w:r>
    </w:p>
    <w:p w:rsidR="008107C7" w:rsidRDefault="008107C7" w:rsidP="008107C7">
      <w:pPr>
        <w:pStyle w:val="TextoNormal"/>
      </w:pPr>
      <w:r>
        <w:t xml:space="preserve">En relación con la infracción del derecho a un proceso sin dilaciones indebidas, el Abogado del Estado razona que de las actuaciones remitidas se deduce que nos encontramos ante varios recursos acumulados y consiguientemente varios demandantes, lo que puede justificar cierto retraso en la tramitación, aunque no, desde luego, uno de la magnitud del que se ha producido. Resultan igualmente de las actuaciones deficiencias en la dotación de personal, extravío de las actuaciones luego reencontradas, confusiones de numeración, incidencias todas que dejan en el ánimo del lector una penosa impresión sobre los medios y el funcionamiento de las oficinas judiciales de toda una Sala del Tribunal Supremo. Es imposible negar que la queja por dilaciones indebidas formulada a nombre de los recurrentes de amparo está bien fundada. Basta reparar en que siete años después de que la representación de los aquí recurrentes hubiera formulado demanda contencioso-administrativa, el recurso no ha avanzado, al parecer, lo suficiente para que el Abogado del Estado conteste a la demanda. </w:t>
      </w:r>
    </w:p>
    <w:p w:rsidR="008107C7" w:rsidRDefault="008107C7" w:rsidP="008107C7">
      <w:pPr>
        <w:pStyle w:val="TextoNormal"/>
      </w:pPr>
      <w:r>
        <w:t>De acuerdo con lo expuesto, el defensor de la Administración solicita que sea dictada Sentencia en la que se declare la lesión del derecho de los recurrentes a un proceso sin dilaciones indebidas, denegando en lo demás el amparo pretendido.</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El Fiscal cumplió con el trámite el 20 de julio mediante escrito en el que solicitó la desestimación del recurso de amparo. Inicia sus alegaciones excluyendo de toda consideración la alegada infracción del art. 9 C.E., por quedar al margen del amparo constitucional y por ser su invocación meramente retórica. A continuación aborda la, a su juicio, ampliación del recurso de amparo a la providencia que el 5 de octubre de 1994 dictó la Sección Séptima de la Sala Tercera del Tribunal Supremo declarando no haber lugar a tramitar la solicitud de suspensión de la Orden del Ministerio de Trabajo de 30 de diciembre de 1991, para concluir que resulta inadmisible por no haberse agotado respecto de aquella providencia los recursos utilizables en la vía judicial [art. 50.1 a), en relación con el 44.1 a), LOTC]. Por ello entiende que el recurso de amparo debe quedar circunscrito al examen de si han existido dilaciones indebidas (art. 24.2 C.E.) y, si acaso, a determinar si la no resolución sobre la petición de suspensión ha vulnerado, además de aquel derecho, el de igualdad en aplicación de la Ley. </w:t>
      </w:r>
    </w:p>
    <w:p w:rsidR="008107C7" w:rsidRDefault="008107C7" w:rsidP="008107C7">
      <w:pPr>
        <w:pStyle w:val="TextoNormal"/>
      </w:pPr>
      <w:r>
        <w:t xml:space="preserve">En relación con el derecho fundamental a un proceso sin indebidas dilaciones la pretensión de amparo es, para el Fiscal, inadmisible por extemporánea, ya que el hecho de dejar transcurrir prácticamente un año desde la denuncia de dilaciones indebidas puede considerarse un supuesto de extemporaneidad. En cualquier caso las dilaciones padecidas no pueden ser calificadas de indebidas por la complejidad de la tramitación del recurso, derivada esencialmente de la tramitación de una serie de incidentes de acumulación. Por lo demás, los actores no reaccionaron a tiempo y no hicieron denuncia alguna hasta el 27 de noviembre de 1992; esta pasividad implica que consintieron en las dilaciones y a partir de la denuncia no existen pruebas de dilaciones realmente indebidas. Respecto de las dilaciones padecidas en la resolución de la solicitud de suspensión de la Orden de 30 de diciembre de 1991, la </w:t>
      </w:r>
      <w:r>
        <w:lastRenderedPageBreak/>
        <w:t xml:space="preserve">denuncia que se realizada en la demanda de amparo es inadmisible por falta de invocación en la vía judicial. </w:t>
      </w:r>
    </w:p>
    <w:p w:rsidR="008107C7" w:rsidRDefault="008107C7" w:rsidP="008107C7">
      <w:pPr>
        <w:pStyle w:val="TextoNormal"/>
      </w:pPr>
      <w:r>
        <w:t xml:space="preserve">En lo que afecta a la denunciada vulneración de derecho de igualdad en la aplicación de la Ley, es difícil atribuir una intención discriminatoria a una omisión pura como la de no dictar Auto resolviendo la solicitud de suspensión y, en lo que afecta a la providencia de 5 de octubre de 1994 (por las que se declaró no haber lugar a tramitar tal solicitud), no concurre ninguno de los requisitos exigidos por la doctrina del Tribunal Constitucional para apreciar una tal vulneración constitucional. </w:t>
      </w:r>
    </w:p>
    <w:p w:rsidR="008107C7" w:rsidRDefault="008107C7" w:rsidP="008107C7">
      <w:pPr>
        <w:pStyle w:val="TextoNormal"/>
      </w:pPr>
      <w:r>
        <w:t>Antes de concluir su escrito, el Fiscal, mediante otrosí, solicitó que fueran reclamadas a la Sala Tercera del Tribunal Supremo las actuaciones judiciales practicadas en el recurso contencioso-administrativo núm. 1/19/86 a partir del 5 de octubre de 1994.</w:t>
      </w:r>
    </w:p>
    <w:p w:rsidR="008107C7" w:rsidRDefault="008107C7" w:rsidP="008107C7">
      <w:pPr>
        <w:pStyle w:val="TextoNormal"/>
      </w:pPr>
    </w:p>
    <w:p w:rsidR="008107C7" w:rsidRDefault="008107C7" w:rsidP="008107C7">
      <w:pPr>
        <w:pStyle w:val="TextoNormal"/>
      </w:pPr>
      <w:r w:rsidRPr="008107C7">
        <w:rPr>
          <w:rStyle w:val="NumeroAFNegritaCaracter"/>
        </w:rPr>
        <w:t>5</w:t>
      </w:r>
      <w:r>
        <w:t>. Los demandantes formularon sus alegaciones en escrito que presentaron el 28 de julio, en el que reiteraron las efectuadas en escritos anteriores y solicitaron el dictado de Sentencia conforme a los pedimentos deducidos en la demanda.</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La Sección Cuarta, en providencia de 11 de septiembre de 1995, accediendo a lo solicitado por el Fiscal en su escrito de alegaciones, recabó de la Sala Tercera del Tribunal Supremo certificación o fotocopia adverada de las actuaciones practicadas en el recurso contencioso-administrativo de que este de amparo dimana a partir del 5 de octubre de 1994. Recibidas las actuaciones, en otra providencia de 19 de octubre, dio traslado de las mismas a las partes personadas en el proceso constitucional. </w:t>
      </w:r>
    </w:p>
    <w:p w:rsidR="008107C7" w:rsidRDefault="008107C7" w:rsidP="008107C7">
      <w:pPr>
        <w:pStyle w:val="TextoNormal"/>
      </w:pPr>
      <w:r>
        <w:t xml:space="preserve">El Abogado del Estado, en escrito que presentó el 2 de noviembre, constata que en el recurso contencioso-administrativo en cuestión y desde el 5 de octubre de 1994 ha sido contestada por él la demanda, encontrándose en la actualidad en período de prueba, por lo que se ratifica en sus alegaciones y en su petición, sin que la aceptación de haberse producido dilaciones indebidas suponga reconocer que esas dilaciones hayan causado perjuicio alguno a los recurrentes. Por su parte, el Fiscal manifiesta el 10 de noviembre que de tales actuaciones se deduce que el proceso discurre normalmente, por lo que nada tiene que añadir o modificar a su escrito de alegaciones. Finalmente, los demandantes de amparo, en escrito recibido el 14 de noviembre, se han ratificado en sus anteriores alegaciones </w:t>
      </w:r>
    </w:p>
    <w:p w:rsidR="008107C7" w:rsidRDefault="008107C7" w:rsidP="008107C7">
      <w:pPr>
        <w:pStyle w:val="TextoNormal"/>
      </w:pPr>
      <w:r>
        <w:t>Con anterioridad, el 2 de octubre de 1994, éstos últimos presentaron escrito al que acompañaron providencia adoptada el 6 de mayo anterior por la Sección Séptima de la Sala Tercera del Tribunal Supremo, en la que se deja sin efecto el señalamiento que había sido efectuado para votación y fallo y se acuerda remitir los autos a la Sección Cuarta del mismo Tribunal, por no tratarse el tema planteado en el recurso de cuestión de personal al servicio de la Administración Pública y, por ello, no estarle atribuido su conocimiento.</w:t>
      </w:r>
    </w:p>
    <w:p w:rsidR="008107C7" w:rsidRDefault="008107C7" w:rsidP="008107C7">
      <w:pPr>
        <w:pStyle w:val="TextoNormal"/>
      </w:pPr>
    </w:p>
    <w:p w:rsidR="008107C7" w:rsidRDefault="008107C7" w:rsidP="008107C7">
      <w:pPr>
        <w:pStyle w:val="TextoNormal"/>
      </w:pPr>
      <w:r w:rsidRPr="008107C7">
        <w:rPr>
          <w:rStyle w:val="NumeroAFNegritaCaracter"/>
        </w:rPr>
        <w:t>7</w:t>
      </w:r>
      <w:r>
        <w:t>. En providencia de 20 de febrero de 1997 se acordó señalar el siguiente día 24 de febrero para votación y deliberación de la presente Sentencia.</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Es tarea previa, siempre clarificadora para la exposición y a las veces insoslayable para un rigoroso planteamiento dialéctico, la delimitación del objeto procesal, descargándolo de aquellas impurezas argumentales que pudieran enturbiar su imagen y hacer que </w:t>
      </w:r>
      <w:r>
        <w:lastRenderedPageBreak/>
        <w:t>pierda nitidez. En tal sentido, un primer expurgo nos permite aparcar al margen, como sugieren de consuno el Fiscal y el Abogado del Estado, las alegaciones cobijadas en el art. 9 de la Constitución, cuya invocación más retórica que efectiva está fuera de lugar por dos razones distintas pero convergentes, una, sustantiva, que no alberga derecho subjetivo alguno cuya titularidad corresponda a los ciudadanos sino principios o directrices cuyos destinatarios son los poderes públicos, y, otra, que por su situación en el texto constitucional, con reflejo en el ordinal, aparece excluido del ámbito donde ha de moverse el amparo [arts. 53.2 y 161.1 b) C.E., y 41. LOTC].</w:t>
      </w:r>
    </w:p>
    <w:p w:rsidR="008107C7" w:rsidRDefault="008107C7" w:rsidP="008107C7">
      <w:pPr>
        <w:pStyle w:val="TextoNormal"/>
      </w:pPr>
      <w:r>
        <w:t>El mismo destino aguarda a otras facetas de la pretensión, desde la perspectiva de la ratio petendi o fundamento. En efecto, la sedicente discriminación, que rompería la igualdad en la aplicación de la Ley con demérito de la tutela judicial, tiene su origen en algo negativo, una mera omisión, consistente en no haber recaído resolución alguna sobre la solicitud de que fuera suspendida la eficacia de la Orden del Ministerio de Trabajo de 30 de diciembre de 1991, y -por otra parte- la supuesta denegación de justicia producida por ese silencio no es tal si se repara en que aquella petición tuvo su respuesta debida en el lugar adecuado -el proceso contencioso-administrativo- y por el juez competente para ello, la Audiencia Nacional, ante quien se impugnó la meritada disposición reglamentaria. Ello nos lleva de la mano a negar también la existencia de dilación procesal alguna por el motivo indicado, una vez que lo dicho refleja su falta de consistencia.  Se impone así la desestimación a limine, en el umbral, del apartado segundo de la súplica con la cual termina la demanda de amparo.</w:t>
      </w:r>
    </w:p>
    <w:p w:rsidR="008107C7" w:rsidRDefault="008107C7" w:rsidP="008107C7">
      <w:pPr>
        <w:pStyle w:val="TextoNormal"/>
      </w:pPr>
    </w:p>
    <w:p w:rsidR="008107C7" w:rsidRDefault="008107C7" w:rsidP="008107C7">
      <w:pPr>
        <w:pStyle w:val="TextoNormal"/>
      </w:pPr>
      <w:r w:rsidRPr="008107C7">
        <w:rPr>
          <w:rStyle w:val="NumeroAFNegritaCaracter"/>
        </w:rPr>
        <w:t>2</w:t>
      </w:r>
      <w:r>
        <w:t>. Aligerado el planteamiento de aquellas adherencias que podían hacerlo fragoso queda expedito el camino hacia la cuestión medular en torno a la cual gira la demanda de amparo, que no es otra sino la eventual vulneración del derecho a un proceso sin dilaciones indebidas (art. 24.2 C.E.)  en el seguido como consecuencia del recurso contencioso-administrativo interpuesto en 1986 contra el Real Decreto 2.248/1985. Sin embargo, el Fiscal ha opuesto un obstáculo que por el momento nos impide abordar tal cuestión, alegando la posible extemporaneidad de la queja con base en la circunstancia de que los interesados dejaron transcurrir casi un año desde que, por segunda vez, denunciaron el retraso ante el Tribunal Supremo hasta que interpusieron este recurso de amparo. Ahora bien la singular configuración de tal derecho fundamental nos impide compartir esa argumentación, cuya naturaleza intrínseca hace que su vulneración venga determinada, casi siempre, por la inactividad judicial, frente a la cual el afectado puede y debe reaccionar antes de acudir a esta sede, para preservar el principio de subsidiariedad que inspira la vía del amparo constitucional, excitando el celo de la oficina judicial con denuncia de la demora en que esté incurriendo. Si, pese a ello y transcurrido un plazo prudencial, continuara la pasividad procesal, podrá entonces franquear las puertas de este Tribunal y pedir amparo.</w:t>
      </w:r>
    </w:p>
    <w:p w:rsidR="008107C7" w:rsidRDefault="008107C7" w:rsidP="008107C7">
      <w:pPr>
        <w:pStyle w:val="TextoNormal"/>
      </w:pPr>
      <w:r>
        <w:t>Ese plazo prudencial o razonable, indeterminable a priori, ha de ser aquél que permita al Juez o Tribunal poner remedio al retraso haciendo cesar la paralización (ATC 936/1988). No cabe, pues, denunciar la demora y acto seguido, sin solución de continuidad, presentar la demanda de amparo (ATC 30/1990) y, al contrario, es obligado por el sentido común guardar un tiempo para conseguir la reanudación del tracto procesal. Eso sí, una vez transcurrido dicho plazo prudencial, si persistiera la inactividad prolongando en el tiempo e intensificando así la vulneración del derecho a un proceso sin dilaciones indebidas, la víctima podrá si le place esperar a que se ponga en marcha el procedimiento o, si lo prefiere, acudir al Tribunal Constitucional, demandando amparo, cualquiera que fuere la duración de la espera, opción legítima en función exclusiva de su interés.</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3</w:t>
      </w:r>
      <w:r>
        <w:t>. No dándose, pues, la extemporaneidad alegada por el Fiscal, hemos de pasar ya al enjuiciamiento de la cuestión principal, consistente en averiguar si la Sala Tercera del Tribunal Supremo ha dilatado innecesaria e injustificadamente el proceso contencioso-administrativo del que este trae causa, y llegados a tal punto la respuesta ha de ser afirmativa.  Presentado el escrito de interposición con el cual se inicia el dís 29 de enero de 1986 y formalizada la demanda el 4 de junio de 1987, el procedimiento estuvo paralizado casi ocho años hasta que el 3 de febrero de 1995 se dio traslado al Abogado del Estado para contestar a aquélla. Un retraso tal para dictar una providencia de impulso procesal, obligada y casi automática, sin complejidad alguna, con un contenido mínimo, resulta notoriamente injustificable desde la perspectiva del derecho a un proceso sin dilaciones indebidas, atendido el contenido que la doctrina de este Tribunal (vid. SSTC 7/1995 y 180/1996) ha dado a dicho concepto jurídico indeterminado a la luz de los criterios objetivos establecidos por el Tribunal Europeo de Derechos Humanos.</w:t>
      </w:r>
    </w:p>
    <w:p w:rsidR="008107C7" w:rsidRDefault="008107C7" w:rsidP="008107C7">
      <w:pPr>
        <w:pStyle w:val="TextoNormal"/>
      </w:pPr>
      <w:r>
        <w:t>Cierto es que, en una primera fase, la tramitación del proceso se complicó por la acumulación en uno de los sucesivos recursos contencioso-administrativos contra la misma disposición reglamentaria, por el desistimiento de algunos de quienes habían accionado y por la aportación de nuevos documentos, pero tales incidencias no exculpan la magnitud del retraso padecido. Constan en las actuaciones circunstancias que pueden servir para explicar, pero nunca para justificar esa dilación (escasa dotación de personal, extravío de las actuaciones, etc) que, como afirma el Abogado del Estado, «dejan en el lector una penosa impresión sobre los medios y el funcionamiento de las oficinas judiciales de toda una Sala del Tribunal Supremo» y cuya situación ella misma, en esa época y en diferentes ocasiones, puso de manifiesto y denunció ante la opinión, como reflejan sus Sentencias de 15, 25 y 30 de septiembre, 2, 3 y 4 de octubre de 1989. Estas circunstancias, que sirven para eximir a los componentes del colegio judicial de cualquier responsabilidad personal por el retraso, no hacen desaparecer sin embargo la responsabilidad objetiva por las disfunciones del sistema judicial y, en suma, no pueden privar a las víctimas de su derecho a reaccionar frente a ellas ni permiten justificar la dilación (SSTC 36/1984, 197/1993 y 35/1994).</w:t>
      </w:r>
    </w:p>
    <w:p w:rsidR="008107C7" w:rsidRDefault="008107C7" w:rsidP="008107C7">
      <w:pPr>
        <w:pStyle w:val="TextoNormal"/>
      </w:pPr>
      <w:r>
        <w:t>En definitiva, la simplicidad de la providencia a adoptar, la conducta diligente de la parte, en ningún momento obstruccionista, y la imposibilidad de que las deficiencias estructurales del órgano judicial justifiquen la dilacción, hacen que esta haya de ser calificada como "indebida" y, por ello, el amparo ha de ser otorgado en este punto, sin que pueda enervarlo la circunstancia sobrevenida de que, con posterioridad a la interposición de este recurso, la marcha del proceso haya sido reanudada, pues esa activación no volatiliza la realidad histórica del retraso ya consumado y, por ello, no cura la también consumada lesión del derecho fundamental agredido (SSTC 35/1994 y 180/1996), aun cuando -eso sí- haga innecesaria la adopción por nuestra parte de medidas conducentes a conseguir esa reanudación. Nuestro pronunciamiento ha de ser, pues, meramente declarativo, aunque no simbólico sino con una proyección útil por constituir el presupuesto del derecho a una eventual indemnización de daños y perjuicios, que sin embargo no nos corresponde reconocer aquí y ahora.</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lastRenderedPageBreak/>
        <w:t>Ha decidido</w:t>
      </w:r>
    </w:p>
    <w:p w:rsidR="008107C7" w:rsidRDefault="008107C7" w:rsidP="008107C7">
      <w:pPr>
        <w:pStyle w:val="TextoNormalCentrado"/>
        <w:keepNext/>
      </w:pPr>
    </w:p>
    <w:p w:rsidR="008107C7" w:rsidRDefault="008107C7" w:rsidP="008107C7">
      <w:pPr>
        <w:pStyle w:val="TextoNormal"/>
      </w:pPr>
      <w:r>
        <w:t>Estimar en parte el presente recurso de amparo y, en se consecuencia,</w:t>
      </w:r>
    </w:p>
    <w:p w:rsidR="008107C7" w:rsidRDefault="008107C7" w:rsidP="008107C7">
      <w:pPr>
        <w:pStyle w:val="TextoNormal"/>
      </w:pPr>
      <w:r>
        <w:t>1º Declarar que ha sido vulnerado el derecho fundamental de los demandantes a un proceso sin dilaciones indebidas por paralización del recurso contencioso-administrativo que interpusieron contra el Real Decreto 2.248/1985 ante la Sala Tercera del Tribunal Supremo.</w:t>
      </w:r>
    </w:p>
    <w:p w:rsidR="008107C7" w:rsidRDefault="008107C7" w:rsidP="008107C7">
      <w:pPr>
        <w:pStyle w:val="TextoNormal"/>
      </w:pPr>
      <w:r>
        <w:t>2º Desestimar el recurso en todo lo demás.</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veinticuatro de febrero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35" w:name="SENTENCIA_1997_32"/>
      <w:r>
        <w:lastRenderedPageBreak/>
        <w:t>SENTENCIA 32/1997, de 24 de febrero de 1997</w:t>
      </w:r>
    </w:p>
    <w:bookmarkEnd w:id="35"/>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78, de 1 de abril de 1997)</w:t>
      </w:r>
    </w:p>
    <w:p w:rsidR="008107C7" w:rsidRDefault="008107C7" w:rsidP="008107C7">
      <w:pPr>
        <w:pStyle w:val="TtuloBOE"/>
      </w:pPr>
    </w:p>
    <w:p w:rsidR="008107C7" w:rsidRDefault="008107C7" w:rsidP="008107C7">
      <w:pPr>
        <w:pStyle w:val="SntesisDescriptiva"/>
      </w:pPr>
      <w:r>
        <w:t>ECLI:ES:TC:1997:32</w:t>
      </w:r>
    </w:p>
    <w:p w:rsidR="008107C7" w:rsidRDefault="008107C7" w:rsidP="008107C7">
      <w:pPr>
        <w:pStyle w:val="SntesisDescriptiva"/>
      </w:pPr>
    </w:p>
    <w:p w:rsidR="008107C7" w:rsidRDefault="008107C7" w:rsidP="008107C7">
      <w:pPr>
        <w:pStyle w:val="SntesisDescriptiva"/>
      </w:pPr>
      <w:r>
        <w:t>Recurso de amparo 3.133/1995. Contra resoluciones de la Audiencia Provincial de Barcelona recaídas en incidente sobre tasación de costas, declarando no haber lugar a la admisión de recurso de súplica contra Auto previamente dictado.</w:t>
      </w:r>
    </w:p>
    <w:p w:rsidR="008107C7" w:rsidRDefault="008107C7" w:rsidP="008107C7">
      <w:pPr>
        <w:pStyle w:val="SntesisDescriptiva"/>
      </w:pPr>
    </w:p>
    <w:p w:rsidR="008107C7" w:rsidRDefault="008107C7" w:rsidP="008107C7">
      <w:pPr>
        <w:pStyle w:val="SntesisAnaltica"/>
      </w:pPr>
      <w:r>
        <w:t>Vulneración del derecho a la tutela judicial efectiva: resolución dictada "inaudita parte".</w:t>
      </w:r>
    </w:p>
    <w:p w:rsidR="008107C7" w:rsidRDefault="008107C7" w:rsidP="008107C7">
      <w:pPr>
        <w:pStyle w:val="SntesisAnaltica"/>
      </w:pPr>
    </w:p>
    <w:p w:rsidR="008107C7" w:rsidRDefault="008107C7" w:rsidP="008107C7">
      <w:pPr>
        <w:pStyle w:val="Extracto"/>
      </w:pPr>
      <w:r>
        <w:t>1.</w:t>
      </w:r>
      <w:r>
        <w:tab/>
        <w:t>La defensa contradictoria representa una exigencia ineludible para que las garantías constitucionales del proceso resulten aseguradas por el órgano judicial (SSTC 109/1993, 78/1993, 105/1993, 202/1993, 155/1995 y 80/1996, entre otras). Y se vulnera el derecho a la tutela efectiva del art. 24.1 C.E., produciendo indefensión, cuando el sujeto, sin haber tenido oportunidad de alegar y probar sus derechos en el proceso, los ve finalmente afectados por la resolución recaída en el mismo. Son aplicables a este caso dichas consideraciones y debe, por tanto, determinar la estimación de la demanda de amparo, puesto que al recurrente, que había actuado como Procurador en el proceso de quiebra y en el incidente que determinó la condena en costas de los contrarios, cuyos honorarios por consiguiente habían sido incluidos en la tasación de costas, le fueron afectados éstos por la reducción de la cuantía base del incidente acordada por el Tribunal, sin haberle oído respecto de esa cuestión sobre la que indudablemente tenía interés legítimo por su carácter de profesional interviniente en el proceso . [FF.JJ. 2 y 3]</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Rafael de Mendizabal Allende, don Julio Diego González Campos,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 xml:space="preserve">En el recurso de amparo núm. 3.133/95, interpuesto por don Angel Quemada Ruiz representado por el Procurador de los Tribunales don José Granados Weil y asistido por el Letrado don Jorge Carreras Llansana, contra el Auto, de 19 de junio de 1995, de la Sección Décimosegunda de la Audiencia Provincial de Barcelona y la providencia de esa misma Sección, de 24 de julio de 1995, declarando no haber lugar a la admisión del recurso de </w:t>
      </w:r>
      <w:r>
        <w:lastRenderedPageBreak/>
        <w:t>súplica contra dicho Auto. Resoluciones recaidas en incidente sobre tasación de costas. Ha sido Ponente el Magistrado don José Gabaldón López,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El 18 de agosto de 1995 tuvo entrada en el Registro General de este Tribunal el recurso de amparo de que se hace mérito en el encabezamiento.</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hechos que dan lugar a la presente demanda de amparo son, en síntesis, los siguientes: </w:t>
      </w:r>
    </w:p>
    <w:p w:rsidR="008107C7" w:rsidRDefault="008107C7" w:rsidP="008107C7">
      <w:pPr>
        <w:pStyle w:val="TextoNormal"/>
      </w:pPr>
      <w:r>
        <w:t xml:space="preserve">a) El recurrente es Procurador de los Tribunales de Barcelona. En el juicio universal de quiebra necesaria de la compañía "Mateu y Mateu, S.A.", seguido ante el Juzgado de Primera Instancia número siete de dicha Ciudad representó a la compañía quebrada. </w:t>
      </w:r>
    </w:p>
    <w:p w:rsidR="008107C7" w:rsidRDefault="008107C7" w:rsidP="008107C7">
      <w:pPr>
        <w:pStyle w:val="TextoNormal"/>
      </w:pPr>
      <w:r>
        <w:t xml:space="preserve">b) En el citado juicio universal se celebró convenio entre los acreedores y la compañía quebrada, que fue impugnado por el acreedor don Jesús Carreira Sebio y otros, dando origen a un incidente en el que fue parte demandada dicha compañía. </w:t>
      </w:r>
    </w:p>
    <w:p w:rsidR="008107C7" w:rsidRDefault="008107C7" w:rsidP="008107C7">
      <w:pPr>
        <w:pStyle w:val="TextoNormal"/>
      </w:pPr>
      <w:r>
        <w:t xml:space="preserve">c) Desestimada la impugnación por el Juzgado, e interpuesto recurso de apelación por los acreedores impugnantes, correspondió el conocimiento del asunto a la Sección Decimosegunda de la Audiencia Provincial de Barcelona, rollo 22/90-A. Dicha Sección dictó en su día Sentencia desestimando el recurso, con imposición de las costas a los apelantes. </w:t>
      </w:r>
    </w:p>
    <w:p w:rsidR="008107C7" w:rsidRDefault="008107C7" w:rsidP="008107C7">
      <w:pPr>
        <w:pStyle w:val="TextoNormal"/>
      </w:pPr>
      <w:r>
        <w:t xml:space="preserve">d) El día 5 de febrero de 1993, por diligencia de ordenación del Secretario de la Sala, se mandaba requerir a las partes beneficiadas por la condena para que instaran lo que conviniera a su derecho. </w:t>
      </w:r>
    </w:p>
    <w:p w:rsidR="008107C7" w:rsidRDefault="008107C7" w:rsidP="008107C7">
      <w:pPr>
        <w:pStyle w:val="TextoNormal"/>
      </w:pPr>
      <w:r>
        <w:t xml:space="preserve">e) El ahora recurrente, en nombre de la compañía quebrada, presentó escrito el 23 de febrero de 1993 acompañando la minuta de los honorarios devengados por el Letrado y su cuenta de suplidos y derechos. </w:t>
      </w:r>
    </w:p>
    <w:p w:rsidR="008107C7" w:rsidRDefault="008107C7" w:rsidP="008107C7">
      <w:pPr>
        <w:pStyle w:val="TextoNormal"/>
      </w:pPr>
      <w:r>
        <w:t xml:space="preserve">f) La citada Sección Decimosegunda, por providencia de 16 de marzo de 1993, dispuso que, antes de practicar la tasación interesada, se librara exhorto al Juzgado a quo "para que se certificara por el señor Secretario la cuantía del pleito a fin de poder determinar los derechos que con arreglo a Arancel corresponden a los acreedores". </w:t>
      </w:r>
    </w:p>
    <w:p w:rsidR="008107C7" w:rsidRDefault="008107C7" w:rsidP="008107C7">
      <w:pPr>
        <w:pStyle w:val="TextoNormal"/>
      </w:pPr>
      <w:r>
        <w:t xml:space="preserve">g) En cumplimiento de lo interesado, el Secretario del Juzgado certificó en 30 de marzo de 1993 que: "... a tenor de lo dispuesto en el art. 489-13ª de la L.E.C., entiende este Secretario, sin perjuicio del criterio que pueda adoptar el Señor Secretario de la Excma. Audiencia Provincial a la hora de practicar la tasación de costas acordada, que la cuantía del pleito de Quiebra núm. 362/81, es de ...". </w:t>
      </w:r>
    </w:p>
    <w:p w:rsidR="008107C7" w:rsidRDefault="008107C7" w:rsidP="008107C7">
      <w:pPr>
        <w:pStyle w:val="TextoNormal"/>
      </w:pPr>
      <w:r>
        <w:t xml:space="preserve">h) El día 22 de marzo de 1993, los impugnantes interpusieron recurso de súplica contra la providencia de 16 de marzo, solicitando que se ordenara al Secretario del Juzgado que "expidiera certificación del importe de los créditos correspondientes a sus representados para poder determinar los derechos que con arreglo a Arancel corresponden a los acreedores". </w:t>
      </w:r>
    </w:p>
    <w:p w:rsidR="008107C7" w:rsidRDefault="008107C7" w:rsidP="008107C7">
      <w:pPr>
        <w:pStyle w:val="TextoNormal"/>
      </w:pPr>
      <w:r>
        <w:t xml:space="preserve">i) La Sala, por providencia de 20 de abril de 1993, declaró no haber lugar a admitir el recurso de súplica de los impugnantes y que se uniera a los autos la certificación emitida por el Secretario del Juzgado. </w:t>
      </w:r>
    </w:p>
    <w:p w:rsidR="008107C7" w:rsidRDefault="008107C7" w:rsidP="008107C7">
      <w:pPr>
        <w:pStyle w:val="TextoNormal"/>
      </w:pPr>
      <w:r>
        <w:t xml:space="preserve">j) El día 3 de mayo de 1993 se practicó por el Secretario de la Sala la tasación de costas, incluyendo en ella la partida correspondiente a derechos y suplidos del ahora recurrente. Por diligencia de ordenación del Secretario se dio vista a las partes de la tasación. </w:t>
      </w:r>
    </w:p>
    <w:p w:rsidR="008107C7" w:rsidRDefault="008107C7" w:rsidP="008107C7">
      <w:pPr>
        <w:pStyle w:val="TextoNormal"/>
      </w:pPr>
      <w:r>
        <w:lastRenderedPageBreak/>
        <w:t xml:space="preserve">k) El día 6 de mayo de 1993, el Procurador que representaba a los impugnantes condenados al pago de las costas, presentó un escrito en el cual suplicaba: que "Se provea teniendo por admitida la impugnación por indebidas y excesivas de las minutas de honorarios de los Sres. Letrados contrarios de que se le dio traslado y ordenando el trámite correspondiente que conforme al expresado art. 429 debe ser el de los incidentes, con resolución final en que se acuerde que dichos honorarios son indebidos por nuestros representados o en su caso excesivos, con la cuantía que se fije". </w:t>
      </w:r>
    </w:p>
    <w:p w:rsidR="008107C7" w:rsidRDefault="008107C7" w:rsidP="008107C7">
      <w:pPr>
        <w:pStyle w:val="TextoNormal"/>
      </w:pPr>
      <w:r>
        <w:t xml:space="preserve">l) Por providencia de 10 de junio de 1993 la Sala ordenó que la impugnación de los honorarios de los Letrados por el concepto de indebidos se sustanciara por el trámite de los incidentes. En los escritos presentados por las partes antes y después de esta providencia, el debate se centró en si los honorarios de los Letrados debían o no considerarse indebidos y no existió debate alguno sobre las cuentas presentadas por los Procuradores, que no habían sido objeto de impugnación alguna. La Sala, por Sentencia de 13 de diciembre de 1993, desestimó la impugnación de los honorarios de los Letrados, añadiendo que "unase la presente pieza al rollo de su razón, y dese cuenta con el mismo para acordar lo procedente respecto a la impugnación por excesivos de dichos honorarios". </w:t>
      </w:r>
    </w:p>
    <w:p w:rsidR="008107C7" w:rsidRDefault="008107C7" w:rsidP="008107C7">
      <w:pPr>
        <w:pStyle w:val="TextoNormal"/>
      </w:pPr>
      <w:r>
        <w:t xml:space="preserve">ll) El día 17 de enero de 1994, luego de consignar que la Sentencia había quedado firme, se dictó providencia por la que se dispuso que "habiendo sido impugnadas las minutas de los Letrados por excesivas, oígaseles por el término de dos audiencias". Los tres Letrados afectados presentaron escritos defendiendo sus respectivas minutas de honorarios, y sobre el tema fue acordado por diligencia de ordenación del Secretario, de 26 de enero de 1994, que pasaran las actuaciones al Colegio de Abogados de Barcelona para que emitiera el correspondiente informe. </w:t>
      </w:r>
    </w:p>
    <w:p w:rsidR="008107C7" w:rsidRDefault="008107C7" w:rsidP="008107C7">
      <w:pPr>
        <w:pStyle w:val="TextoNormal"/>
      </w:pPr>
      <w:r>
        <w:t xml:space="preserve">m) El Colegio, en su informe, entendió que los Letrados debían fijar sus honorarios atendiendo a la cuantía de los créditos de los impugnantes. </w:t>
      </w:r>
    </w:p>
    <w:p w:rsidR="008107C7" w:rsidRDefault="008107C7" w:rsidP="008107C7">
      <w:pPr>
        <w:pStyle w:val="TextoNormal"/>
      </w:pPr>
      <w:r>
        <w:t xml:space="preserve">n) La Sala, por medio de su Auto de 19 de junio de 1995, aplicó el criterio del Colegio de Abogados. El Auto no se limitó a decidir sobre la impugnación de los honorarios de los Letrados, pues dispuso: "En consecuencia la misma cuantía (veinte millones) debe ser la tenida en cuenta para determinar los derechos de los procuradores...". Y al fallo se adicionó el siguiente pronunciamiento: "Se modifica la referida tasación respecto de los derechos de los Procuradores, fijándose las del señor Quemada Ruiz en un total de ...". </w:t>
      </w:r>
    </w:p>
    <w:p w:rsidR="008107C7" w:rsidRDefault="008107C7" w:rsidP="008107C7">
      <w:pPr>
        <w:pStyle w:val="TextoNormal"/>
      </w:pPr>
      <w:r>
        <w:t>o) Contra dicho Auto formuló recurso de súplica el recurrente en nombre de su mandante y en su propio nombre e interés, solicitando que se declarase la nulidad del Auto. Manifestó que sólo se había oído a los Letrados afectados pero que no se dio audiencia a las partes y mucho menos a los Procuradores, por lo que habían sido quebrados los principios de audiencia y defensa contenidos en el art. 24.1 C.E. Por providencia de 24 de julio de 1995 se declaró no haber lugar a la admisión del recurso de súplica.</w:t>
      </w:r>
    </w:p>
    <w:p w:rsidR="008107C7" w:rsidRDefault="008107C7" w:rsidP="008107C7">
      <w:pPr>
        <w:pStyle w:val="TextoNormal"/>
      </w:pPr>
    </w:p>
    <w:p w:rsidR="008107C7" w:rsidRDefault="008107C7" w:rsidP="008107C7">
      <w:pPr>
        <w:pStyle w:val="TextoNormal"/>
      </w:pPr>
      <w:r w:rsidRPr="008107C7">
        <w:rPr>
          <w:rStyle w:val="NumeroAFNegritaCaracter"/>
        </w:rPr>
        <w:t>3</w:t>
      </w:r>
      <w:r>
        <w:t>. La demanda de amparo formalizada alega la vulneración del art. 24.1 C.E. por entender que el órgano judicial cambió su criterio sobre la base objetiva y legal de cálculo de los derechos del Procurador, en perjuicio del ahora recurrente en amparo, sin darle ocasión de defenderse. Además, alega que también hubo indefensión porque la Sala violó el principio de congruencia y de cosa juzgada formal, concediendo lo que nadie había pedido y fallando en contradicción con disposiciones de la misma Sala.</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La Sección Cuarta por providencia de 19 de diciembre de 1995, acordó admitir a trámite la demanda de amparo y dirigir comunicación a la Sección Decimosegunda de la Audiencia Provincial de Barcelona a fin de que, en plazo que no excediera de diez días, </w:t>
      </w:r>
      <w:r>
        <w:lastRenderedPageBreak/>
        <w:t>remitiera certificación o fotocopia adverada de las actuaciones correspondientes al rollo núm. 22/90- A, dimanante de incidente núm. 362/81, del Juzgado de Primera Instancia núm. 7 de Barcelona; también acordó emplazar previamente, para que en el plazo de diez días pudieran comparecer, si lo deseaban en el recurso de amparo y defender sus derechos a quienes hubieran sido parte en el procedimiento, excepto el recurrente en amparo.</w:t>
      </w:r>
    </w:p>
    <w:p w:rsidR="008107C7" w:rsidRDefault="008107C7" w:rsidP="008107C7">
      <w:pPr>
        <w:pStyle w:val="TextoNormal"/>
      </w:pPr>
    </w:p>
    <w:p w:rsidR="008107C7" w:rsidRDefault="008107C7" w:rsidP="008107C7">
      <w:pPr>
        <w:pStyle w:val="TextoNormal"/>
      </w:pPr>
      <w:r w:rsidRPr="008107C7">
        <w:rPr>
          <w:rStyle w:val="NumeroAFNegritaCaracter"/>
        </w:rPr>
        <w:t>5</w:t>
      </w:r>
      <w:r>
        <w:t>. Por providencia de 22 de febrero de 1996, la Sección Tercera acordó incorporar a sus actuaciones el escrito presentado por la Procuradora doña Africa Martín Rico y requerir a la misma a fin de que, en el plazo de diez días, manifestara de forma individualizada quienes son sus poderdantes.</w:t>
      </w:r>
    </w:p>
    <w:p w:rsidR="008107C7" w:rsidRDefault="008107C7" w:rsidP="008107C7">
      <w:pPr>
        <w:pStyle w:val="TextoNormal"/>
      </w:pPr>
    </w:p>
    <w:p w:rsidR="008107C7" w:rsidRDefault="008107C7" w:rsidP="008107C7">
      <w:pPr>
        <w:pStyle w:val="TextoNormal"/>
      </w:pPr>
      <w:r w:rsidRPr="008107C7">
        <w:rPr>
          <w:rStyle w:val="NumeroAFNegritaCaracter"/>
        </w:rPr>
        <w:t>6</w:t>
      </w:r>
      <w:r>
        <w:t>. Por providencia de 7 de marzo de 1996, la Sección Tercera acordó tener por personado y parte en el procedimiento a la Procuradora doña Africa Martín Rico, en nombre y representación de Comisión Liquidadora de Mateu &amp; Mateu, S.A., y otras personas relacionadas en su escrito. También acordó dar vista de las actuaciones recibidas a las partes personadas y al Ministerio Fiscal por plazo común de veinte días, dentro de los cuales podrían presentar las alegaciones que estimaran pertinentes, conforme determina el art. 52.1 de la LOTC.</w:t>
      </w:r>
    </w:p>
    <w:p w:rsidR="008107C7" w:rsidRDefault="008107C7" w:rsidP="008107C7">
      <w:pPr>
        <w:pStyle w:val="TextoNormal"/>
      </w:pPr>
    </w:p>
    <w:p w:rsidR="008107C7" w:rsidRDefault="008107C7" w:rsidP="008107C7">
      <w:pPr>
        <w:pStyle w:val="TextoNormal"/>
      </w:pPr>
      <w:r w:rsidRPr="008107C7">
        <w:rPr>
          <w:rStyle w:val="NumeroAFNegritaCaracter"/>
        </w:rPr>
        <w:t>7</w:t>
      </w:r>
      <w:r>
        <w:t>. Por escrito registrado en este Tribunal el 3 de abril de 1996, el recurrente reitera lo manifestado en la demanda de amparo.</w:t>
      </w:r>
    </w:p>
    <w:p w:rsidR="008107C7" w:rsidRDefault="008107C7" w:rsidP="008107C7">
      <w:pPr>
        <w:pStyle w:val="TextoNormal"/>
      </w:pPr>
    </w:p>
    <w:p w:rsidR="008107C7" w:rsidRDefault="008107C7" w:rsidP="008107C7">
      <w:pPr>
        <w:pStyle w:val="TextoNormal"/>
      </w:pPr>
      <w:r w:rsidRPr="008107C7">
        <w:rPr>
          <w:rStyle w:val="NumeroAFNegritaCaracter"/>
        </w:rPr>
        <w:t>8</w:t>
      </w:r>
      <w:r>
        <w:t>. Por escrito presentado en los Juzgados de Guardia de Madrid el 3 de abril de 1996 y el 9 siguiente en este Tribunal, doña Africa Martín Rico, Procuradora de los Tribunales y de la Comisión Liquidadora de Mateu &amp; Mateu, S.A., y otros, manifiesta su conformidad con los hechos y fundamentos del recurso de amparo.</w:t>
      </w:r>
    </w:p>
    <w:p w:rsidR="008107C7" w:rsidRDefault="008107C7" w:rsidP="008107C7">
      <w:pPr>
        <w:pStyle w:val="TextoNormal"/>
      </w:pPr>
    </w:p>
    <w:p w:rsidR="008107C7" w:rsidRDefault="008107C7" w:rsidP="008107C7">
      <w:pPr>
        <w:pStyle w:val="TextoNormal"/>
      </w:pPr>
      <w:r w:rsidRPr="008107C7">
        <w:rPr>
          <w:rStyle w:val="NumeroAFNegritaCaracter"/>
        </w:rPr>
        <w:t>9</w:t>
      </w:r>
      <w:r>
        <w:t xml:space="preserve">. El Ministerio Fiscal por escrito presentado en este Tribunal el 2 de abril de 1996, interesa se estime el recurso de amparo por vulneración del derecho fundamental a la prueba consagrado en el art. 24.1 de la C.E. por virtud de las alegaciones que siguen. </w:t>
      </w:r>
    </w:p>
    <w:p w:rsidR="008107C7" w:rsidRDefault="008107C7" w:rsidP="008107C7">
      <w:pPr>
        <w:pStyle w:val="TextoNormal"/>
      </w:pPr>
      <w:r>
        <w:t xml:space="preserve">El actor no intervino en el proceso de impugnación de los honorarios por excesivos regulado en los arts. 427 y 428 de la L.E.C. En este supuesto concreto, sólo fueron oídos los Letrados respecto a la impugnación de sus honorarios y emitió dictamen el Colegio de Abogados. El órgano judicial consideró que los honorarios eran excesivos y por Auto modificó la base para su determinación, adecuando los honorarios a dicha base. Sin embargo, el órgano judicial, en dicha resolución, no se limitó, como hubiera sido lo procedente, a la resolución de la pretensión que era objeto del proceso sino que introduce una declaración que no se había solicitado y que afecta a quienes no habían sido parte ni habían intervenido en el mismo. </w:t>
      </w:r>
    </w:p>
    <w:p w:rsidR="008107C7" w:rsidRDefault="008107C7" w:rsidP="008107C7">
      <w:pPr>
        <w:pStyle w:val="TextoNormal"/>
      </w:pPr>
      <w:r>
        <w:t xml:space="preserve">Para el Ministerio Fiscal lo anterior supone que el recurrente en amparo sufre las consecuencias de la resolución judicial de una manera real y efectiva sin haber podido defenderse, pues se trata de un proceso en el que no ha intervenido. Y ello, a pesar de que la Ley Procesal admite en el procedimiento regulado en los arts. 427 y 428 de la L.E.C. la audiencia de quienes no siendo partes puedan ser interesados, única forma de evitar posibles indefensiones. </w:t>
      </w:r>
    </w:p>
    <w:p w:rsidR="008107C7" w:rsidRDefault="008107C7" w:rsidP="008107C7">
      <w:pPr>
        <w:pStyle w:val="TextoNormal"/>
      </w:pPr>
      <w:r>
        <w:t xml:space="preserve">La Audiencia no tuvo en cuenta esta posibilidad de oir al recurrente y por lo tanto vulneró el derecho a la tutela judicial efectiva consagrado en el art. 24.1 C.E. Además, continúa el Ministerio Fiscal, cuando el actor reaccionó frente al Auto del órgano judicial mediante la </w:t>
      </w:r>
      <w:r>
        <w:lastRenderedPageBreak/>
        <w:t>interposición de un recurso de súplica no actuaba de forma indebida pues este recurso no era claramente improcedente ni tenía finalidad dilatoria. Como dice en el cuerpo del recurso, se trataba de evitar las consecuencias que se derivaban de no haber podido intervenir en el procedimiento.</w:t>
      </w:r>
    </w:p>
    <w:p w:rsidR="008107C7" w:rsidRDefault="008107C7" w:rsidP="008107C7">
      <w:pPr>
        <w:pStyle w:val="TextoNormal"/>
      </w:pPr>
    </w:p>
    <w:p w:rsidR="008107C7" w:rsidRDefault="008107C7" w:rsidP="008107C7">
      <w:pPr>
        <w:pStyle w:val="TextoNormal"/>
      </w:pPr>
      <w:r w:rsidRPr="008107C7">
        <w:rPr>
          <w:rStyle w:val="NumeroAFNegritaCaracter"/>
        </w:rPr>
        <w:t>10</w:t>
      </w:r>
      <w:r>
        <w:t>. Por providencia de 20 de febrero de 1.997, se señaló para deliberación y votación de la presente Sentencia el día 24 del mismo mes.</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Se invoca como vulnerado en este recurso el derecho a la tutela judicial efectiva (art. 24.1 C.E.)  que se habría producido en el incidente de impugnación por excesivos de los honorarios de los Letrados minutados en la tasación de costas practicada como consecuencia de la condena a los acreedores que en un juicio universal de quiebra habían impugnado el convenio.  En este último incidente resultaron condenados en costas dichos acreedores que obtuvieron, en la impugnación por excesivos de los honorarios de los Letrados una reducción, al modificarse la cuantía litigiosa la cual fue aplicada también al Procurador ahora recurrente como base para la fijación de sus honorarios. El Auto de la Audiencia de 19 de junio de 1995, que resolvió sobre la impugnación de los honorarios de los Letrados aplicó también la modificación de cuantía de la base a los del Procurador con la consiguiente reducción de su minuta, sin que el mismo hubiera sido oído en el incidente. La providencia de 24 de julio de 1995 inadmitió el recurso de súplica contra dicho Auto y en este amparo se impugnan ambas resoluciones.</w:t>
      </w:r>
    </w:p>
    <w:p w:rsidR="008107C7" w:rsidRDefault="008107C7" w:rsidP="008107C7">
      <w:pPr>
        <w:pStyle w:val="TextoNormal"/>
      </w:pPr>
    </w:p>
    <w:p w:rsidR="008107C7" w:rsidRDefault="008107C7" w:rsidP="008107C7">
      <w:pPr>
        <w:pStyle w:val="TextoNormal"/>
      </w:pPr>
      <w:r w:rsidRPr="008107C7">
        <w:rPr>
          <w:rStyle w:val="NumeroAFNegritaCaracter"/>
        </w:rPr>
        <w:t>2</w:t>
      </w:r>
      <w:r>
        <w:t>. El principio de contradicción constituye una exigencia ineludible vinculada al derecho a un proceso con todas las garantías, para cuya observancia adquiere singular relevancia el deber de los órganos judiciales de posibilitarlo. De modo que sólo la incomparecencia en el proceso o en el recurso debida a la voluntad expresa o tácita de la parte o a su negligencia podría justificar una resolución sin haber oído sus alegaciones y examinado sus pruebas.  De ahí que la defensa contradictoria representa una exigencia ineludible para que las garantías constitucionales del proceso resulten aseguradas por el órgano judicial (SSTC 109/1993, 78/1993, 105/1993, 202/1993, 155/1995 y 80/1996, entre otras). Y se vulnera el derecho a la tutela efectiva del art.  24. 1 C.E., produciendo indefensión, cuando el sujeto, sin haber tenido oportunidad de alegar y probar sus derechos en el proceso, los ve finalmente afectados por la resolución recaída en el mismo.</w:t>
      </w:r>
    </w:p>
    <w:p w:rsidR="008107C7" w:rsidRDefault="008107C7" w:rsidP="008107C7">
      <w:pPr>
        <w:pStyle w:val="TextoNormal"/>
      </w:pPr>
    </w:p>
    <w:p w:rsidR="008107C7" w:rsidRDefault="008107C7" w:rsidP="008107C7">
      <w:pPr>
        <w:pStyle w:val="TextoNormal"/>
      </w:pPr>
      <w:r w:rsidRPr="008107C7">
        <w:rPr>
          <w:rStyle w:val="NumeroAFNegritaCaracter"/>
        </w:rPr>
        <w:t>3</w:t>
      </w:r>
      <w:r>
        <w:t>. Son aplicables a este caso dichas consideraciones y debe por tanto determinar la estimación de la demanda de amparo puesto que al recurrente, que había actuado como Procurador en el proceso de quiebra y en el incidente que determinó la condena en costas de los contrarios, cuyos honorarios por consiguiente habían sido incluídos en la tasacion de costas, le fueron afectados éstos por la reducción de la cuantía base del incidente acordada por el Tribunal, sin haberle oído respecto de esa cuestión sobre la que indudablemente tenía interés legítimo por su carácter de profesional interviniente en el proceso.</w:t>
      </w:r>
    </w:p>
    <w:p w:rsidR="008107C7" w:rsidRDefault="008107C7" w:rsidP="008107C7">
      <w:pPr>
        <w:pStyle w:val="TextoNormal"/>
      </w:pPr>
      <w:r>
        <w:t>Es evidente, pues, que se produjo en su perjuicio la indefensión que prohibe el art. 24.1 C.E. y debe ser reconocida tal lesión y restablecerle en su derecho.</w:t>
      </w:r>
    </w:p>
    <w:p w:rsidR="008107C7" w:rsidRDefault="008107C7" w:rsidP="008107C7">
      <w:pPr>
        <w:pStyle w:val="TextoNormal"/>
      </w:pPr>
    </w:p>
    <w:p w:rsidR="008107C7" w:rsidRDefault="008107C7" w:rsidP="008107C7">
      <w:pPr>
        <w:pStyle w:val="TextoNormalCentrado"/>
        <w:keepNext/>
      </w:pPr>
      <w:r>
        <w:lastRenderedPageBreak/>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LA CONFIERE LA CONSTITUCIÓN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Otorgar el amparo solicitado y, en consecuencia,</w:t>
      </w:r>
    </w:p>
    <w:p w:rsidR="008107C7" w:rsidRDefault="008107C7" w:rsidP="008107C7">
      <w:pPr>
        <w:pStyle w:val="TextoNormal"/>
      </w:pPr>
      <w:r>
        <w:t>1. Reconocer el derecho del demandante a la tutela judicial efectiva, sin indefensión.</w:t>
      </w:r>
    </w:p>
    <w:p w:rsidR="008107C7" w:rsidRDefault="008107C7" w:rsidP="008107C7">
      <w:pPr>
        <w:pStyle w:val="TextoNormal"/>
      </w:pPr>
      <w:r>
        <w:t>2. Restablecerle en el mismo y, en consecuencia, declarar la nulidad del Auto de 19 de junio de 1995 y de la providencia de 24 de julio de ese mismo año, ambos de la Sección Decimosegunda de la Audiencia Provincial de Barcelona, en lo relativo al Procurador de los Tribunales demandante en amparo.</w:t>
      </w:r>
    </w:p>
    <w:p w:rsidR="008107C7" w:rsidRDefault="008107C7" w:rsidP="008107C7">
      <w:pPr>
        <w:pStyle w:val="TextoNormal"/>
      </w:pPr>
    </w:p>
    <w:p w:rsidR="008107C7" w:rsidRDefault="008107C7" w:rsidP="008107C7">
      <w:pPr>
        <w:pStyle w:val="TextoNormal"/>
      </w:pPr>
      <w:r>
        <w:t>Publíquese esta Sentencia en el "Boletin Oficial del Estado".</w:t>
      </w:r>
    </w:p>
    <w:p w:rsidR="008107C7" w:rsidRDefault="008107C7" w:rsidP="008107C7">
      <w:pPr>
        <w:pStyle w:val="TextoNormal"/>
      </w:pPr>
      <w:r>
        <w:t>Dada en Madrid, a veinticuatro de febrero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36" w:name="SENTENCIA_1997_33"/>
      <w:r>
        <w:lastRenderedPageBreak/>
        <w:t>SENTENCIA 33/1997, de 24 de febrero de 1997</w:t>
      </w:r>
    </w:p>
    <w:bookmarkEnd w:id="36"/>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78, de 1 de abril de 1997)</w:t>
      </w:r>
    </w:p>
    <w:p w:rsidR="008107C7" w:rsidRDefault="008107C7" w:rsidP="008107C7">
      <w:pPr>
        <w:pStyle w:val="TtuloBOE"/>
      </w:pPr>
    </w:p>
    <w:p w:rsidR="008107C7" w:rsidRDefault="008107C7" w:rsidP="008107C7">
      <w:pPr>
        <w:pStyle w:val="SntesisDescriptiva"/>
      </w:pPr>
      <w:r>
        <w:t>ECLI:ES:TC:1997:33</w:t>
      </w:r>
    </w:p>
    <w:p w:rsidR="008107C7" w:rsidRDefault="008107C7" w:rsidP="008107C7">
      <w:pPr>
        <w:pStyle w:val="SntesisDescriptiva"/>
      </w:pPr>
    </w:p>
    <w:p w:rsidR="008107C7" w:rsidRDefault="008107C7" w:rsidP="008107C7">
      <w:pPr>
        <w:pStyle w:val="SntesisDescriptiva"/>
      </w:pPr>
      <w:r>
        <w:t>Recurso de amparo 3.988/1995. Contra dilaciones padecidas por la inactividad del Juzgado de Primera Instancia núm. 1 de Arenys de Mar en juicio declarativo de menor cuantía.</w:t>
      </w:r>
    </w:p>
    <w:p w:rsidR="008107C7" w:rsidRDefault="008107C7" w:rsidP="008107C7">
      <w:pPr>
        <w:pStyle w:val="SntesisDescriptiva"/>
      </w:pPr>
    </w:p>
    <w:p w:rsidR="008107C7" w:rsidRDefault="008107C7" w:rsidP="008107C7">
      <w:pPr>
        <w:pStyle w:val="SntesisAnaltica"/>
      </w:pPr>
      <w:r>
        <w:t>Vulneración del derecho a un proceso sin dilaciones. Voto particular.</w:t>
      </w:r>
    </w:p>
    <w:p w:rsidR="008107C7" w:rsidRDefault="008107C7" w:rsidP="008107C7">
      <w:pPr>
        <w:pStyle w:val="SntesisAnaltica"/>
      </w:pPr>
    </w:p>
    <w:p w:rsidR="008107C7" w:rsidRDefault="008107C7" w:rsidP="008107C7">
      <w:pPr>
        <w:pStyle w:val="Extracto"/>
      </w:pPr>
      <w:r>
        <w:t>1.</w:t>
      </w:r>
      <w:r>
        <w:tab/>
        <w:t>Un retraso de tres años en dictar una providencia no problemática ni compleja, tan simple como señalar fecha para practicar una diligencia ya acordada, puede ser explicable por la inercia burocrática de la oficina judicial, pero resulta irrazonable e inadmisible desde la perspectiva de la marcha normal del proceso sin dilaciones indebidas, si se tiene en cuenta el contenido que nuestra doctrina ha dado a ese concepto jurídico indeterminado, siguiendo los criterios objetivos establecidos por el Tribunal Europeo de Derechos Humanos ( SSTC 36/1984, 223/1988, 81/1989, 10/1991, 69/1993, 7/1995 y 180/1996). La simplicidad de la actuación judicial demorada, la diligente conducta de la parte y la imposibilidad de justificar el retraso por deficiencias estructurales o funcionales del órgano judicial (SSTC 36/1984, 197/1993 y 35/1994) hacen que merezca la calificación de indebido. [F.J. 2]</w:t>
      </w:r>
    </w:p>
    <w:p w:rsidR="008107C7" w:rsidRDefault="008107C7" w:rsidP="008107C7">
      <w:pPr>
        <w:pStyle w:val="Extracto"/>
      </w:pPr>
    </w:p>
    <w:p w:rsidR="008107C7" w:rsidRDefault="008107C7" w:rsidP="008107C7">
      <w:pPr>
        <w:pStyle w:val="Extracto"/>
      </w:pPr>
      <w:r>
        <w:t>2.</w:t>
      </w:r>
      <w:r>
        <w:tab/>
        <w:t>El derecho a recibir indemnización por las dilaciones indebidas, como una manifestación del funcionamiento anormal de la Administración de Justicia, arranca directamente de la Constitución (art. 121), pero se configura en la Ley Orgánica del Poder Judicial (arts. 292 y siguientes) y, en definitiva, no es por sí mismo directamente invocable en la vía de amparo. Este Tribunal Constitucional carece de jurisdicción para ello, dado que la indemnización que se pide tiende a conseguir el resarcimiento, la compensación o la reparación con carácter sustitutorio. Por tanto, no aparece comprendida entre los pronunciamientos que pueden y deben, en su caso, contener las Sentencias de amparo y su declaración se defiere a la jurisdicción ordinaria en un caso particular (art. 58 LOTC) cuya «ratio» o razón de ser es extensible a la entera institución. En estas o en otras palabras lo hemos dicho en muchas ocasiones ( SSTC 85/1990 y 139/1990, donde se citan otras: 37/1987, 50/1989 y 81/1981, así como el ATC 29/1983). [F.J. 3]</w:t>
      </w:r>
    </w:p>
    <w:p w:rsidR="008107C7" w:rsidRDefault="008107C7" w:rsidP="008107C7">
      <w:pPr>
        <w:pStyle w:val="Extracto"/>
      </w:pPr>
    </w:p>
    <w:p w:rsidR="008107C7" w:rsidRDefault="008107C7" w:rsidP="008107C7">
      <w:pPr>
        <w:pStyle w:val="Extracto"/>
      </w:pPr>
      <w:r>
        <w:t>3.</w:t>
      </w:r>
      <w:r>
        <w:tab/>
        <w:t>Cuando este Tribunal comprueba la existencia de dilaciones indebidas, su declaración puede servir de «título» para acreditar el funcionamiento anormal de la Administración de Justicia (STC 35/1994), como fundamento para el ejercicio de las acciones oportunas si los hubiere. El nuestro, no es, por tanto, un pronunciamiento simbólico, desprovisto de eficacia práctica, desde el momento en que constituye el presupuesto del derecho a la indemnización de daños y perjuicios, como indica nuestra STC 36/1984. [F.J. 3]</w:t>
      </w:r>
    </w:p>
    <w:p w:rsidR="008107C7" w:rsidRDefault="008107C7" w:rsidP="008107C7">
      <w:pPr>
        <w:pStyle w:val="Extracto"/>
      </w:pPr>
    </w:p>
    <w:p w:rsidR="008107C7" w:rsidRDefault="008107C7" w:rsidP="008107C7">
      <w:pPr>
        <w:pStyle w:val="Extracto"/>
      </w:pPr>
      <w:r>
        <w:lastRenderedPageBreak/>
        <w:t>4.</w:t>
      </w:r>
      <w:r>
        <w:tab/>
        <w:t>Tan clara e inequívoca línea jurisprudencial, y consolidada como doctrina constitucional, parece haber sido quebrada por la Sala Primera de este Tribunal en una reciente Sentencia, la 180/1996, donde se reconoce al agraviado el derecho a ser indemnizado por el Estado, aun cuando condicionalmente, «en su caso», defiriendo por lo tanto la eficacia del pronunciamiento al Juez común. No hay tal contradicción, pues, si se repara por otra parte en la fundamentación jurídica de tal declaración, que reside en la imposibilidad de la «restitutio in integrum», lo que no se da en el caso presente, donde el propio Juez ha hecho cesar la dilación y la solicitud de indemnización, más que a restablecer al recurrente en la integridad del derecho fundamental vulnerado, se endereza a obtener reparación por lo daños y perjuicios que se le hayan causado a consecuencia de aquélla. Por lo dicho y en conclusión, nuestro pronunciamiento ha de limitarse a declarar la existencia de dilaciones indebidas que menoscaban el derecho fundamental a una efectiva tutela judicial, sin que sea necesaria la adopción de medidas conducentes a su cesación y a la reanudación del procedimiento por haberse producido ya, una vez que se fijaron día y hora para el otorgamiento de las actas notariales. [F.J. 3]</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Rafael de Mendizábal Allende, don Julio Diego González Campos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3.988/95, interpuesto por don Juan Bernal Ruiz, a quien representa el Procurador de los Tribunales don José Luis Ortiz Cañavate y Puig-Mauri con la dirección del Letrado don Francisco Soler del Moral, frente a las dilaciones por él padecidas por la inactividad del Juzgado de Primera Instancia núm. 1 de Arenys de Mar en el juicio declarativo de menor cuantía núm. 98/85. Ha comparecido el Ministerio Fiscal, siendo Ponente el Magistrado don Rafael de Mendizábal Allende,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Don Juan Bernal Ruiz, en escrito presentado el 27 de noviembre de 1995, promovió el recurso de amparo de que se hace mérito en el encabezamiento, denunciando vulneración de su derecho a un proceso sin dilaciones indebidas (art. 24.2 C.E.) y solicitando el pronunciamiento de Sentencia en la que, declarando que tal derecho ha sido conculcado, se ordene al titular del Juzgado de Primera Instancia núm. 1 de Arenys de Mar la adopción en un plazo razonable de las resoluciones precisas para acabar con las dilaciones padecidas por él en el </w:t>
      </w:r>
      <w:r>
        <w:lastRenderedPageBreak/>
        <w:t xml:space="preserve">proceso y se condene a la Administración del Estado al pago de una indemnización por las dilaciones, cuya cuantía se determinará en período de ejecución aquélla. </w:t>
      </w:r>
    </w:p>
    <w:p w:rsidR="008107C7" w:rsidRDefault="008107C7" w:rsidP="008107C7">
      <w:pPr>
        <w:pStyle w:val="TextoNormal"/>
      </w:pPr>
      <w:r>
        <w:t xml:space="preserve">Los hechos en que el recurrente funda su pretensión de amparo tienen origen en la demanda de juicio declarativo de menor cuantía que el 25 de febrero de 1985 formalizó contra la compañía mercantil "Procos, S.A.", en reclamación de cantidad. El conocimiento de la demanda correspondió, por reparto, al Juez de Primera Instancia núm. 1 de Arenys de Mar, en cuyo Juzgado quedó registrada con el núm. 98/85, siendo dictada Sentencia estimatoria el 31 de julio de 1986. </w:t>
      </w:r>
    </w:p>
    <w:p w:rsidR="008107C7" w:rsidRDefault="008107C7" w:rsidP="008107C7">
      <w:pPr>
        <w:pStyle w:val="TextoNormal"/>
      </w:pPr>
      <w:r>
        <w:t xml:space="preserve">El 2 de diciembre de 1986, el solicitante de amparo se dirigió al Juez sentenciador a fin que requiriera a la entidad condenada para que otorgase escritura pública en los términos expresados en la Sentencia; el requerimiento fue practicado pero por aquélla no se dio cumplimiento a lo ordenado; por ello, el 12 de enero de 1987 interesó del Juez que procediese al otorgamiento de oficio de aquella escritura pública. </w:t>
      </w:r>
    </w:p>
    <w:p w:rsidR="008107C7" w:rsidRDefault="008107C7" w:rsidP="008107C7">
      <w:pPr>
        <w:pStyle w:val="TextoNormal"/>
      </w:pPr>
      <w:r>
        <w:t xml:space="preserve">Como quiera que surgieron determinados obstáculos para tal otorgamiento debido a la pendencia de una tercería de dominio, el solicitante de amparo, en escrito de 7 de octubre de 1987, pidió la ejecución de la Sentencia mediante la entrega de cantidad líquida, en los términos que señalaba en su escrito. El Juez, en providencia de 6 de abril de 1989, y previo requerimiento a la sociedad condenada, aprobó las cantidades líquidas a entregar por ésta al actor en ejecución de la Sentencia, para cuya efectividad éste solicitó el 11 de abril la expedición de mandamiento al Notario de Calella, que una vez cumplimentado fue aportado a las actuaciones por él mediante escrito de 16 de febrero de 1990. Este escrito fue proveído el 6 de mayo de 1991, en cuya resolución se resolvió, a la vista de la documentación presentada, requerir a la "Caja de Pensiones para la Vejez y de Ahorros" (hoy "Caixa d'estalvis i pensions de Barcelona" -"La Caixa"-) a fin de que remitiese al Juzgado la cantidad de 8.741.932 pesetas. Dicha entidad contestó al requerimiento mediante escrito de 20 de agosto, poniendo a disposición del Juzgado 3.665.000 de pesetas (cantidad pendiente de desembolso de diversos préstamos con garantía hipotecaria concedidos por ella a la sociedad condenada), que serían entregadas contra el otorgamiento de las correspondientes actas notariales, a fin de tomar nota en el Registro de la Propiedad. El Juez, en providencia de 16 de julio de 1992 y de conformidad con lo solicitado por quien ahora pide amparo en escritos presentados el 17 de septiembre de 1991, acordó librar dos exhortos a sendos Juzgados de Paz para que por las personas que se citaban fuesen otorgadas las referidas actas notariales. </w:t>
      </w:r>
    </w:p>
    <w:p w:rsidR="008107C7" w:rsidRDefault="008107C7" w:rsidP="008107C7">
      <w:pPr>
        <w:pStyle w:val="TextoNormal"/>
      </w:pPr>
      <w:r>
        <w:t xml:space="preserve">Practicados por los órganos exhortados los requerimientos precisos para dar cumplimiento a lo solicitado por el exhortante y no otorgadas las actas notariales que eran su objeto, el Juez sentenciador, en providencia de 22 de febrero de 1993, acordó proceder a su otorgamiento de oficio y, para ello, remitir al Notario los autos. El 26 de abril, el demandante de amparo interesó del Juez que procediese al señalamiento de día y hora para aquel otorgamiento de oficio; como quiera que esta solicitud no obtuvo respuesta, la reiteró en escrito de 21 de julio, en el que invocó su derecho a un proceso sin dilaciones indebidas. El silencio judicial persistió y, por ello, lo denunció en escrito de 27 de abril de 1995, reiterando su solicitud de señalamiento para el otorgamiento de oficio de las referidas actas notariales. Volvió a denunciar la situación el 6 de septiembre del mismo año, mediante escrito en que el interesó le fuese librado y entregado testimonio de los tres escritos anteriores, indicando si habían sido o no proveídos. Acto seguido interpuso la demanda de amparo que ahora se decide. </w:t>
      </w:r>
    </w:p>
    <w:p w:rsidR="008107C7" w:rsidRDefault="008107C7" w:rsidP="008107C7">
      <w:pPr>
        <w:pStyle w:val="TextoNormal"/>
      </w:pPr>
      <w:r>
        <w:t>Con posterioridad a la presentación de la demanda de amparo, el Juez de Primera Instancia núm. 1 de Arenys de Mar, en providencia de 28 de febrero de 1996, requirió al deman</w:t>
      </w:r>
      <w:r>
        <w:lastRenderedPageBreak/>
        <w:t>dante para que presentase "escrito-resumen" del estado de ejecución de la Sentencia, distinguiendo entre fincas afectadas por la ya aludida tercería de dominio y fincas o derechos susceptibles de ejecución inmediata, a lo que dio cumplimiento en escrito que presentó el 7 de marzo. Tras diversas incidencias, en Auto de 10 de octubre de dicho año, el Juez dispuso la entrega por La Caixa al ejecutante de la cantidad de 3.665.000 pesetas, previo otorgamiento de la correspondiente acta notarial, realizando los señalamientos y requerimientos precisos para ello.</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La Sección Cuarta, en providencia de 5 de junio de 1996, admitió a trámite la demanda, solicitando del Juez de Primera Instancia núm. 1 de Arenys de Mar la remisión de certificación o copia adverada de las actuaciones, así como el emplazamiento de quienes fueron parte en el proceso para que pudieran comparecer en este de amparo, si les conviniere. </w:t>
      </w:r>
    </w:p>
    <w:p w:rsidR="008107C7" w:rsidRDefault="008107C7" w:rsidP="008107C7">
      <w:pPr>
        <w:pStyle w:val="TextoNormal"/>
      </w:pPr>
      <w:r>
        <w:t>Una vez recibidas las actuaciones, en providencia de 31 de octubre se tuvo por personada y parte a la nueva representación procesal del demandante por fallecimiento del Procurador que inicialmente le representó, dándose vista de las actuaciones a las partes por plazo común de veinte días.</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El demandante de amparo ha evacuado el traslado en escrito presentado el 29 de noviembre, en el que, tras remitirse a los hechos ya expuestos en el escrito de demanda y poner de manifiesto que la inactividad judicial ha sido en este caso certificada por el propio Juez de Arenys de Mar en su Auto de 10 de octubre de 1996, manifiesta ser conocedor de la doctrina del Tribunal Constitucional contraria a la concesión de una reparación indemnizatoria. </w:t>
      </w:r>
    </w:p>
    <w:p w:rsidR="008107C7" w:rsidRDefault="008107C7" w:rsidP="008107C7">
      <w:pPr>
        <w:pStyle w:val="TextoNormal"/>
      </w:pPr>
      <w:r>
        <w:t>Añade, sin embargo, que sería lamentable que el recurso de amparo concluyera con una resolución que se limitara a reconocer la dilaciones, pues ello obligaría, tras diez años intentando ejecutar una Sentencia, a iniciar un nuevo procedimiento contra la Administración para solicitar los daños y perjuicios causados por las dilaciones, con lo que éstas continuarían y el demandante de amparo no encontraría satisfacción a sus demandas. El otro camino para conseguir la indemnización, también largo y difícil, sería acudir ante el Tribunal Europeo de Derechos Humanos (Unión Alimentaria Sanders v/Estado español). Razona que es el momento de que el Tribunal Constitucional vuelva a estudiar la cuestión y no se conforme con una simple Sentencia declaratoria de derechos, de modo que, yendo más allá y aplicando lo dispuesto en el art. 55 c) LOTC, condene a la Administración a satisfacer una indemnización por las dilaciones sufridas.</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El Fiscal formuló sus alegaciones en escrito que presentó el 4 de diciembre y en el que solicita el pronunciamiento de una Sentencia estimatoria del recurso de amparo por vulneración del derecho fundamental a un proceso sin dilaciones indebidas. Razona que de la doctrina del Tribunal Constitucional se deduce tal vulneración. No existe complejidad en el proceso ni en la resolución judicial que se solicita al tratarse de la ejecución de una Sentencia firme ni tampoco cabe imputar a alguna de las partes la causa de la dilación indebida, lo que significa que su causa es únicamente achacable al órgano judicial. El actor ejercitó una pretensión que estima necesaria para la efectividad de la Sentencia y el órgano judicial no proveyó sobre ella a pesar de los reiterados escritos de aquél. En definitiva, el órgano judicial no actuó pese a que lo que se le pidió no revestía dificultad alguna, ya que consistía en proveer el escrito del actor cualquiera que fuera el sentido -positivo o negativo- del acto </w:t>
      </w:r>
      <w:r>
        <w:lastRenderedPageBreak/>
        <w:t>procesal que debía adoptar. Concluye afirmando que, además, hay que aceptar que ha existido la dilación denunciada porque el tiempo que ha pasado desde el momento en que se dedujo la pretensión de la parte hasta el momento de deducir el recurso de amparo no constituye un plazo razonable.</w:t>
      </w:r>
    </w:p>
    <w:p w:rsidR="008107C7" w:rsidRDefault="008107C7" w:rsidP="008107C7">
      <w:pPr>
        <w:pStyle w:val="TextoNormal"/>
      </w:pPr>
    </w:p>
    <w:p w:rsidR="008107C7" w:rsidRDefault="008107C7" w:rsidP="008107C7">
      <w:pPr>
        <w:pStyle w:val="TextoNormal"/>
      </w:pPr>
      <w:r w:rsidRPr="008107C7">
        <w:rPr>
          <w:rStyle w:val="NumeroAFNegritaCaracter"/>
        </w:rPr>
        <w:t>5</w:t>
      </w:r>
      <w:r>
        <w:t>. En providencia de fecha 20 de febrero de 1997 se acordó señalar el siguiente día 24 de febrero para votación y deliberación de la presente Sentencia.</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La pretensión de amparo, como componente del objeto de este proceso constitucional, contiene dos elementos distintos, en una relación de causa y efecto o, en otras palabras, uno presupuesto del otro. Efectivamente, se nos pide que declaremos la existencia de una dilación indebida en el procedimiento para la ejecución de la Sentencia que el aquí y allí demandante había ganado y, una vez obtenida o emitida tal declaración, que se restablezca la situación jurídica individualizada mediante la indemnización de los daños y perjuicios, como consecuencia del daño emergente -devaluación monetaria- y el lucro cesante - rendimientos dejados de percibir de una cantidad de dinero retenida-. Esa doble pretensión plantea a su vez dos incógnitas, una compleja (comprobar si hubo retraso y si este era justificado, o no) y otra, no exenta de dificultades: si es posible en esta sede constitucional conceder la indemnización como una medida para reparar el derecho fundamental quebrantado.</w:t>
      </w:r>
    </w:p>
    <w:p w:rsidR="008107C7" w:rsidRDefault="008107C7" w:rsidP="008107C7">
      <w:pPr>
        <w:pStyle w:val="TextoNormal"/>
      </w:pPr>
    </w:p>
    <w:p w:rsidR="008107C7" w:rsidRDefault="008107C7" w:rsidP="008107C7">
      <w:pPr>
        <w:pStyle w:val="TextoNormal"/>
      </w:pPr>
      <w:r w:rsidRPr="008107C7">
        <w:rPr>
          <w:rStyle w:val="NumeroAFNegritaCaracter"/>
        </w:rPr>
        <w:t>2</w:t>
      </w:r>
      <w:r>
        <w:t>. La respuesta a la primera de tales preguntas puede anticiparse ya y ha de ser necesariamente favorable. La simple narración de lo sucedido, como se hace en los antecedentes y se hará más abajo en esta nuestra Sentencia, pone de manifiesto la realidad de la vulneración constitucional denunciada, que también puede padecerse en la fase de ejecución de Sentencia (por todas, SSTC 155/1985 y 313/1993). Abstracción hecha de las dificultades que fueron surgiendo para la ejecución, vencidas por haber reaccionado con prontitud y diligencia el demandante y el Juez, lo cierto es que desde el 20 de agosto de 1991 la oficina judicial tuvo a su disposición para entregar al ejecutante la cantidad de 3.665.000 pesetas, una parte de la que le correspondía, entrega condicionada al otorgamiento de dos actas notariales y como quiera que quienes debían hacerlo no lo hicieron, el Juez decidió el 22 de febrero de 1993 hacerlo él de oficio, para lo cual el 26 de abril el interesado solicitó el señalamiento de día y hora, petición sin respuesta que, reiterada por tres veces, siguió sin ser atendida, hasta que, conocida la admisión de este recurso de amparo, el Auto de 10 de octubre de 1996 fijó a tal efecto el siguiente 4 de noviembre, cerca de cuatro años después de ser acordada la práctica de la diligencia y más de cinco desde la entrada del dinero en la Secretaría.</w:t>
      </w:r>
    </w:p>
    <w:p w:rsidR="008107C7" w:rsidRDefault="008107C7" w:rsidP="008107C7">
      <w:pPr>
        <w:pStyle w:val="TextoNormal"/>
      </w:pPr>
      <w:r>
        <w:t xml:space="preserve">Un retraso tal en dictar una providencia no problemática ni compleja, tan simple como señalar fecha para practicar una diligencia ya acordada, puede ser explicable por la inercia burocrática de la oficina judicial pero resulta irrazonable e inadmisible desde la perspectiva de la marcha normal del proceso sin dilaciones indebidas, si se tiene en cuenta el contenido que nuestra doctrina ha dado a ese concepto jurídico indeterminado, siguiendo los criterios objetivos establecidos por el Tribunal Europeo de Derechos Humanos (SSTC 36/1984, 223/1988, 81/1989, 10/1991, 69/1993, 7/1995 y 180/1996). La simplicidad de la actuación judicial demorada, la diligente conducta de la parte y la imposibilidad de justificar el retraso </w:t>
      </w:r>
      <w:r>
        <w:lastRenderedPageBreak/>
        <w:t>por deficiencias estructurales o funcionales del órgano judicial (SSTC 36/1984, 197/1993 y 35/1994) hacen que merezca la calificación de indebido.</w:t>
      </w:r>
    </w:p>
    <w:p w:rsidR="008107C7" w:rsidRDefault="008107C7" w:rsidP="008107C7">
      <w:pPr>
        <w:pStyle w:val="TextoNormal"/>
      </w:pPr>
    </w:p>
    <w:p w:rsidR="008107C7" w:rsidRDefault="008107C7" w:rsidP="008107C7">
      <w:pPr>
        <w:pStyle w:val="TextoNormal"/>
      </w:pPr>
      <w:r w:rsidRPr="008107C7">
        <w:rPr>
          <w:rStyle w:val="NumeroAFNegritaCaracter"/>
        </w:rPr>
        <w:t>3</w:t>
      </w:r>
      <w:r>
        <w:t>. Una vez comprobado que en el proceso hubo dilaciones indebidas y por ello constitucionalmente reprochables, queda por despejar la segunda del par de incógnitas planteadas en la demanda, a saber, si es viable, o no, la pretensión de conseguir de nosotros una indemnización de daños y perjuicios por los sufridos como consecuencia del retraso padecido en la ejecución de la Sentencia ganada. No es esta la primera vez que se suscita tal cuestión en esta sede y, una vez más, la respuesta ha de ser no, por mor de la separación de las jurisdicciones constitucional y ordinaria, que actúan simétricamente en dos planos del ordenamiento jurídico, el de la constitucionalidad y el de la legalidad. Pues bien, el derecho a recibir indemnización por las dilaciones indebidas, como una manifestación del funcionamiento anormal de la Administración de Justicia, arranca directamente de la Constitución (art. 121) pero se configura en la Ley Orgánica del Poder Judicial (arts. 292 y siguientes) y, en definitiva, no es por si mismo directamente invocable en la vía de amparo.</w:t>
      </w:r>
    </w:p>
    <w:p w:rsidR="008107C7" w:rsidRDefault="008107C7" w:rsidP="008107C7">
      <w:pPr>
        <w:pStyle w:val="TextoNormal"/>
      </w:pPr>
      <w:r>
        <w:t>Este Tribunal Constitucional carece de jurisdicción para ello, dado que la indemnización que se pide tiende a conseguir el resarcimiento, la compensación o la reparación con carácter sustitutorio. Por tanto, no aparece comprendida entre los pronunciamientos que pueden y deben en su caso contener las sentencias de amparo y su declaración se defiere a la jurisdicción ordinaria en un caso particular (art. 58 LOTC) cuya ratio o razón de ser es extensible a la entera institución. En estas o en otras palabras lo hemos dicho en muchas ocasiones (SSTC 85/1990 y 139/1990 donde se citan otras: 37/1987, 50/1989 y 81/1981, así como el ATC 29/1983).</w:t>
      </w:r>
    </w:p>
    <w:p w:rsidR="008107C7" w:rsidRDefault="008107C7" w:rsidP="008107C7">
      <w:pPr>
        <w:pStyle w:val="TextoNormal"/>
      </w:pPr>
      <w:r>
        <w:t>Por otra parte, el derecho a la indemnización de los daños y perjuicios exige la concurrencia de una serie de factores. En el esquema de este concepto, el primero y principal de sus elementos estructurales es la lesión patrimonial equivalente por su contenido a cualquier daño o perjuicio, en la doble modalidad, clásica desde la antigua Roma, del lucro cesante o del daño emergente. Ahora bien, no es suficiente el menoscabo económico, factor material, sino que se requiere simultáneamente la concurrencia de otro factor cualificativo, consistente en que sea antijurídico y, por lo tanto, el afectado o la víctima no tenga el deber de soportarlo. En definitiva, la lesión se define como un daño ilegítimo. En otro plano ha de situarse el vínculo entre la lesión y el agente que la produce, entre el acto dañoso y la Administración que sea su autora y por tanto implica la necesidad de que pueda serle imputado o atribuido, en su actuación propia, como Poder y en el uso de sus potestades públicas.  Esta conexión, a su vez, puede contemplarse desde la perspectiva de la relación de causalidad entre el hecho o acto imputable y la lesión inferida. La determinación de esos elementos, salvo uno, ha de producirse en el plano de la legalidad y, por ello, es competencia privativa de los Jueces y Tribunales (o del Poder Judicial). A nosotros tan sólo nos corresponde aportar uno de estos componentes, la ilegitimidad, por derivar directamente, en este caso, de la transgresión de una norma de la Constitución donde se configura un derecho fundamental, o dicho en otras palabras, la calificación como "indebida" de la dilación. En este sentido ha de ser entendida nuestra conclusión de que cuando este Tribunal comprueba la existencia de dilaciones indebidas, su declaración puede servir de "título" para acreditar el funcionamiento anormal de la Administración de Justicia (STC 35/1994), como fundamento para el ejercicio de las acciones oportunas si los hubiere. El nuestro, no es, por tanto, un pronunciamiento simbólico, desprovisto de eficacia práctica, desde el momento en que constituye el presupuesto del derecho a la indemnización de daños y perjuicios, como indica nuestra Sentencia 36/1984.</w:t>
      </w:r>
    </w:p>
    <w:p w:rsidR="008107C7" w:rsidRDefault="008107C7" w:rsidP="008107C7">
      <w:pPr>
        <w:pStyle w:val="TextoNormal"/>
      </w:pPr>
      <w:r>
        <w:lastRenderedPageBreak/>
        <w:t>Bien es verdad que tan clara e inequívoca línea jurisprudencial, y consolidada como doctrina constitucional, parece haber sido quebrada por la Sala Primera de este Tribunal en una reciente Sentencia, la 180/1996, donde se reconoce al agraviado el derecho a ser indemnizado por el Estado, aun cuando condicionalmente , "en su caso", defiriendo por lo tanto la eficacia del pronunciamiento al Juez común. No hay tal contradicción, pues, si se repara por otra parte en la fundamentación jurídica de tal declaración, que reside en la imposibilidad de la restituto in integrum, lo que no se da en el caso presente, donde el propio Juez ha hecho cesar la dilación y la solicitud de indemnización, más que a restablecer al recurrente en la integridad del derecho fundamental vulnerado, se endereza a obtener reparación por lo daños y perjuicios que se le hayan causado a consecuencia de aquélla. Por lo dicho y en conclusión, nuestro pronunciamiento ha de limitarse a declarar la existencia de dilaciones indebidas que menoscaban el derecho fundamental a una efectiva tutela judicial, sin que sea necesaria la adopción de medidas conducentes a su cesación y a la reanudación del procedimiento por haberse producido ya, una vez que en el Auto de 10 de octubre de 1996 se fijaron día y hora para el otorgamiento de las actas notariales.</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Estimar parcialmente el presente recurso de amparo y, en consecuencia,</w:t>
      </w:r>
    </w:p>
    <w:p w:rsidR="008107C7" w:rsidRDefault="008107C7" w:rsidP="008107C7">
      <w:pPr>
        <w:pStyle w:val="TextoNormal"/>
      </w:pPr>
      <w:r>
        <w:t>1º Declarar que el derecho del recurrente a un proceso sin dilaciones indebidas ha sido vulnerado.</w:t>
      </w:r>
    </w:p>
    <w:p w:rsidR="008107C7" w:rsidRDefault="008107C7" w:rsidP="008107C7">
      <w:pPr>
        <w:pStyle w:val="TextoNormal"/>
      </w:pPr>
      <w:r>
        <w:t>2º Desestimar el recurso en todo lo demás.</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veinticuatro de febrero de mil novecientos noventa y siete.</w:t>
      </w:r>
    </w:p>
    <w:p w:rsidR="008107C7" w:rsidRDefault="008107C7" w:rsidP="008107C7">
      <w:pPr>
        <w:pStyle w:val="ParrafoNormal"/>
      </w:pPr>
    </w:p>
    <w:p w:rsidR="008107C7" w:rsidRDefault="008107C7" w:rsidP="008107C7">
      <w:pPr>
        <w:pStyle w:val="TextoNormalNegritaCentrado"/>
        <w:keepNext/>
      </w:pPr>
      <w:r>
        <w:t>Voto particular que formula el Magistrado don Fernando García-Mon y González-Regueral a la Sentencia dictada en el recurso de amparo 3.988/95.</w:t>
      </w:r>
    </w:p>
    <w:p w:rsidR="008107C7" w:rsidRDefault="008107C7" w:rsidP="008107C7">
      <w:pPr>
        <w:pStyle w:val="TextoNormalNegritaCentrado"/>
        <w:keepNext/>
      </w:pPr>
    </w:p>
    <w:p w:rsidR="008107C7" w:rsidRDefault="008107C7" w:rsidP="008107C7">
      <w:pPr>
        <w:pStyle w:val="TextoNormal"/>
      </w:pPr>
      <w:r>
        <w:t>De la doble pretensión ejercitada en este recurso de amparo y que recoge la Sentencia en su primer fundamento -existencia de dilaciones indebidas en el curso del procedimiento y reparación de sus efectos lesivos mediante la correspondiente indemnización-, el fallo reconoce y declara en su primer pronunciamiento que se ha vulnerado al recurrente su derecho a un proceso sin dilaciones indebidas, y se limita en el segundo a "desestimar el recurso en todo lo demás".</w:t>
      </w:r>
    </w:p>
    <w:p w:rsidR="008107C7" w:rsidRDefault="008107C7" w:rsidP="008107C7">
      <w:pPr>
        <w:pStyle w:val="TextoNormal"/>
      </w:pPr>
      <w:r>
        <w:t>A mi parecer, este segundo pronunciamiento, para satisfacer en parte lo solicitado por el recurrente en orden a la indemnización por él pretendida y para dotar a nuestra Sentencia de la máxima efectividad que permiten los arts.  41.3 y 55.1 de la LOTC, ha debido otorgarle, en línea con la STC 180/1996, de 12 de noviembre, el derecho a la indemnización con cargo al Estado por el funcionamiento anormal de la Administración de Justicia que está prevista en el art. 121 C.E. y regulada en los arts. 292 y 293 de la Ley Orgánica del Poder Judicial.</w:t>
      </w:r>
    </w:p>
    <w:p w:rsidR="008107C7" w:rsidRDefault="008107C7" w:rsidP="008107C7">
      <w:pPr>
        <w:pStyle w:val="TextoNormal"/>
      </w:pPr>
      <w:r>
        <w:lastRenderedPageBreak/>
        <w:t>He de aclarar desde el primer momento, para evitar efectos que pudieran resultar contraproducentes al recurrente en su pretensión indemnizatoria, que la omisión por la Sentencia del pronunciamiento expreso a que me refiero, no equivale en modo alguno a que "la desestimación del recurso en todo lo demás" prive al recurrente de la reparación a que puede y debe conducir la declaración contenida en el pronunciamiento primero. Si esta declaración reconoce la vulneración de un derecho fundamental y si su causa se debe -como se razona en la Sentencia- al funcionamiento anormal de la Administración de Justicia, es claro que con base en ella podrá el recurrente ejercitar las acciones que sean procedentes para obtener por la vía que corresponda y frente a quien corresponda, la reparación del derecho cuya lesión reconoce la Sentencia.</w:t>
      </w:r>
    </w:p>
    <w:p w:rsidR="008107C7" w:rsidRDefault="008107C7" w:rsidP="008107C7">
      <w:pPr>
        <w:pStyle w:val="TextoNormal"/>
      </w:pPr>
      <w:r>
        <w:t>Ahora bien, el hecho de que el pronunciamiento desestimatorio que contiene nuestra Sentencia no prive al recurrente de las posibles consecuencias reparadoras por él solicitadas, no me parece suficiente para eludir un problema que se presenta con frecuencia ante este Tribunal y que creo debemos ir atendiendo con mayor efectividad en nuestras resoluciones. Me refiero a los efectos y alcance que debe producir en un recurso de amparo la declaración de haberse producido dilaciones indebidas en un determinado proceso. Me parece conveniente a estos efectos apuntar simplemente dos consideraciones:</w:t>
      </w:r>
    </w:p>
    <w:p w:rsidR="008107C7" w:rsidRDefault="008107C7" w:rsidP="008107C7">
      <w:pPr>
        <w:pStyle w:val="TextoNormal"/>
      </w:pPr>
      <w:r>
        <w:t>1ª. No cabe hacer ni tener por consolidada una doctrina general. La naturaleza propia del recurso de amparo requiere examinar caso por caso y arbitrar la solución más apropiada al caso concreto que se resuelve. Precisamente por ello he de ceñirme a las dilaciones que han motivado este recurso y que la Sentencia recoge así en el fundamento 2º:</w:t>
      </w:r>
    </w:p>
    <w:p w:rsidR="008107C7" w:rsidRDefault="008107C7" w:rsidP="008107C7">
      <w:pPr>
        <w:pStyle w:val="TextoNormal"/>
      </w:pPr>
      <w:r>
        <w:t>"Lo cierto es que desde el 20 de agosto de 1991 la oficina judicial tuvo a su disposición para entregar al ejecutante la cantidad de 3.665.000 pesetas, una parte de la que le correspondía, entrega condicionada al otorgamiento de dos actas notariales y como quiera que quienes debían hacerlo no lo hicieron, el Juez decidió el 22 de febrero de 1993 hacerlo él de oficio, para lo cual el 26 de abril el interesado solicitó el señalamiento de día y hora, petición sin respuesta que, reiterada por tres veces, siguió sin ser atendida, hasta que, conocida la admisión de este recurso de amparo, el Auto de 10 de octubre de 1996 fijó a tal efecto el siguiente 4 de noviembre, cerca de cuatro años después de ser acordada la práctica de la diligencia y más de cinco desde la entrada del dinero en la Secretaría".</w:t>
      </w:r>
    </w:p>
    <w:p w:rsidR="008107C7" w:rsidRDefault="008107C7" w:rsidP="008107C7">
      <w:pPr>
        <w:pStyle w:val="TextoNormal"/>
      </w:pPr>
      <w:r>
        <w:t xml:space="preserve">2ª. Las consecuencias lesivas que para el recurrente ha significado el dilatado retraso en percibir la cantidad que se le debía, son tan claras que no necesitan una justificación especial. Pese a ello, su cuantificación y su otorgamiento directo no es competencia de este Tribunal- y así se dice en la Sentencia con apoyo en nuestra jurisprudencia; pero sí lo es, como dijimos en la STC 36/1984 (fundamento jurídico 4º), que el derecho a la reparación del perjuicio "ha de ser declarada por nosotros". Y es esta declaración expresa que resulta de la conexión entre la vulneración del derecho fundamental producida por el anormal funcionamiento de la Administración de Justicia y las consecuencias que de esa vulneración están expresamente previstas en el art.  121 de la propia Constitución, las que, en mi criterio, y con base en la función de restablecer los derechos fundamentales lesionados que corresponde a este Tribunal (arts.  41.3 y 55.1 LOTC), han debido llevarnos no a "desestimar el recurso en todo lo demás" como se hace en el pronunciamiento 2º de la Sentencia, sino a reconocer en él el derecho del recurrente a ser indemnizado de los perjuicios que se le han irrogado y que, por el cauce que determina el art. 293 de la LOPJ, puede obtener con cargo al Estado. Si este precepto regula la forma de obtener la previa decisión judicial para que los perjuicios derivados del error judicial puedan ser reparados, cuando éstos deriven no de error judicial sino del anormal funcionamiento de la Administración de Justicia, esa previa resolución judicial queda cumplidamente satisfecha por la Sentencia de este Tribunal que, </w:t>
      </w:r>
      <w:r>
        <w:lastRenderedPageBreak/>
        <w:t>al estimar vulnerado el derecho fundamental, puede y debe declarar el derecho a su reparación.</w:t>
      </w:r>
    </w:p>
    <w:p w:rsidR="008107C7" w:rsidRDefault="008107C7" w:rsidP="008107C7">
      <w:pPr>
        <w:pStyle w:val="TextoNormal"/>
      </w:pPr>
      <w:r>
        <w:t>En definitiva, mi criterio sostenido en el debate y reflejado ahora en este voto, es el de que, lejos de considerar que la STC 180/1996, de 12 de noviembre, representa un caso aislado que pudiera considerarse no coincidente con nuestra jurisprudencia, hemos debido arrancar de él y considerarlo un paso más que, avanzando en la doctrina de las SSTC 36/1984, 5/1985, 128/1989, 215/1992 y 35/1994, nos permita, sin desbordar nuestra competencia, hacer más efectiva y real la tutela que hemos de prestar a los derechos fundamentales de los ciudadanos.</w:t>
      </w:r>
    </w:p>
    <w:p w:rsidR="008107C7" w:rsidRDefault="008107C7" w:rsidP="008107C7">
      <w:pPr>
        <w:pStyle w:val="TextoNormal"/>
      </w:pPr>
      <w:r>
        <w:t>De ahí que, con el mayor respeto a la opinión de la mayoria, disiento de los términos desestimatorios del pronunciamiento segundo de la Sentencia, que, en mi opinión, ha debido restablecer al recurrente en el derecho vulnerado, reconociendole que la indemnización prevista en el art. 121 C.E. puede ejercitarse por el procedimiento previsto en el art. 293 de la L.O.P.J.</w:t>
      </w:r>
    </w:p>
    <w:p w:rsidR="008107C7" w:rsidRDefault="008107C7" w:rsidP="008107C7">
      <w:pPr>
        <w:pStyle w:val="TextoNormal"/>
      </w:pPr>
      <w:r>
        <w:t>Madrid, veinticuatro de febrero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37" w:name="SENTENCIA_1997_34"/>
      <w:r>
        <w:lastRenderedPageBreak/>
        <w:t>SENTENCIA 34/1997, de 25 de febrero de 1997</w:t>
      </w:r>
    </w:p>
    <w:bookmarkEnd w:id="37"/>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78, de 1 de abril de 1997)</w:t>
      </w:r>
    </w:p>
    <w:p w:rsidR="008107C7" w:rsidRDefault="008107C7" w:rsidP="008107C7">
      <w:pPr>
        <w:pStyle w:val="TtuloBOE"/>
      </w:pPr>
    </w:p>
    <w:p w:rsidR="008107C7" w:rsidRDefault="008107C7" w:rsidP="008107C7">
      <w:pPr>
        <w:pStyle w:val="SntesisDescriptiva"/>
      </w:pPr>
      <w:r>
        <w:t>ECLI:ES:TC:1997:34</w:t>
      </w:r>
    </w:p>
    <w:p w:rsidR="008107C7" w:rsidRDefault="008107C7" w:rsidP="008107C7">
      <w:pPr>
        <w:pStyle w:val="SntesisDescriptiva"/>
      </w:pPr>
    </w:p>
    <w:p w:rsidR="008107C7" w:rsidRDefault="008107C7" w:rsidP="008107C7">
      <w:pPr>
        <w:pStyle w:val="SntesisDescriptiva"/>
      </w:pPr>
      <w:r>
        <w:t>Recurso de amparo 3.248/1992. Contra Sentencia de la Audiencia Provincial de Badajoz recaída en recurso de apelación y la del Juzgado núm. 3 de esa Capital dictada en autos de juicio de cognición.</w:t>
      </w:r>
    </w:p>
    <w:p w:rsidR="008107C7" w:rsidRDefault="008107C7" w:rsidP="008107C7">
      <w:pPr>
        <w:pStyle w:val="SntesisDescriptiva"/>
      </w:pPr>
    </w:p>
    <w:p w:rsidR="008107C7" w:rsidRDefault="008107C7" w:rsidP="008107C7">
      <w:pPr>
        <w:pStyle w:val="SntesisAnaltica"/>
      </w:pPr>
      <w:r>
        <w:t>Vulneración del derecho a a tutela judicial efectiva: incongruencia omisiva.</w:t>
      </w:r>
    </w:p>
    <w:p w:rsidR="008107C7" w:rsidRDefault="008107C7" w:rsidP="008107C7">
      <w:pPr>
        <w:pStyle w:val="SntesisAnaltica"/>
      </w:pPr>
    </w:p>
    <w:p w:rsidR="008107C7" w:rsidRDefault="008107C7" w:rsidP="008107C7">
      <w:pPr>
        <w:pStyle w:val="Extracto"/>
      </w:pPr>
      <w:r>
        <w:t>1.</w:t>
      </w:r>
      <w:r>
        <w:tab/>
        <w:t>Hay que dar razón, en un caso como éste, a los recurrentes cuando entienden que «todo motivo de recurso atinente a derechos fundamentales que se estiman conculcados por la resolución impugnada en alzada parece deba ser resuelto expresamente», y ello no tanto por la posición de subsidiariedad en que el constituyente ha situado este recurso de amparo ante el Tribunal Constitucional (art. 53.2 C.E.), sino, sobre todo, en virtud del lugar ocupado por los derechos fundamentales en nuestro ordenamiento (art. 10.1 C.E.). Al margen de ello, es claro que un resultado de incongruencia omisiva en esta materia frustra también el diseño del amparo de los derechos fundamentales previsto en el citado apartado segundo del art. 53 C.E. Lo que importa, sin embargo, a efectos del presente amparo es que la mencionada incongruencia resultante de la Sentencia dictada por la Audiencia Provincial, en los términos explicitados, ha vulnerado el derecho fundamental de los recurrentes a la tutela efectiva de los Tribunales (art. 24.1 C.E.). [F.J. 2]</w:t>
      </w:r>
    </w:p>
    <w:p w:rsidR="008107C7" w:rsidRDefault="008107C7" w:rsidP="008107C7">
      <w:pPr>
        <w:pStyle w:val="Extracto"/>
      </w:pPr>
    </w:p>
    <w:p w:rsidR="008107C7" w:rsidRDefault="008107C7" w:rsidP="008107C7">
      <w:pPr>
        <w:pStyle w:val="Extracto"/>
      </w:pPr>
      <w:r>
        <w:t>2.</w:t>
      </w:r>
      <w:r>
        <w:tab/>
        <w:t>No se trata, por nuestra parte, de dilucidar el acierto o no del Juzgado y de la Sección Segunda de la Audiencia al resolver el problema de legalidad subyacente, es decir, si los en su día reconvenientes y hoy recurrentes en amparo podían reclamar el importe de las minutas en cuestión por los trámites del declarativo, sin que previamente hubiera mediado Auto de aprobación judicial (arts. 421 y ss. L.E.C.). La cuestión, desde la perspectiva constitucional, es más bien la de si, por parte de la Audiencia Provincial concretamente, puede denegarse la tutela judicial mediante el procedimiento declarativo en este caso instado por medio de la demanda reconvencional, después de que la propia Audiencia Provincial, por decisión de otra de sus Secciones, hubiera remitido a los hoy recurrentes precisamente al procedimiento declarativo cuyo acceso posteriormente viene a cerrarse, pues no de otra manera cabría entender la indicación relativa a la posibilidad de accionar en la vía ordinaria. Es claro que la tutela judicial sólo puede satisfacer las exigencias constitucionales si aparece, como decíamos, revestida de «caracteres mínimamente razonables». Una vez que la Sección Primera de la Audiencia Provincial declaró no haber lugar a dicha tasación, sin perjuicio de accionar en la vía ordinaria, la Sección Segunda de la misma, puesta ya esta circunstancia de manifiesto, no ha podido impedir el examen de fondo de la reiterada pretensión de los ahora recurrentes en amparo sin incurrir en una conducta arbitraria, contraria en este caso al derecho fundamental a la tutela judicial efectiva . [F.J. 4]</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Alvaro Rodríguez Bereijo, Presidente, don Pedro Cruz Villalón, don Enrique Ruiz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3.248/92, promovido por don Manuel y don Juan Sánchez Domínguez, representados por la Procuradora de los Tribunales doña María Amparo Alonso de León y asistidos del Letrado don Ricardo Suárez-Bárcena de Llera, frente a Sentencia de la Sección Segunda de la Audiencia Provincial de Badajoz, de 9 de diciembre 1992, recaída en el recurso de apelación núm. 402/92 y la del Juzgado núm. 3 de esa Capital, dictada en los autos de juicio de cognición núm. 130/92. Han intervenido el Ministerio Fiscal y la sociedad mercantil Hispamer Leasing, S.A. (antes denominada Uninter Leasing S.A.), representada por el Procurador de los Tribunales don Miguel Sánchez Masa y asistida por el Letrado don Fernando García Sole. Ha sido Ponente el Magistrado don Pedro Cruz Villalón,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Por escrito que tuvo entrada en el Registro General de este Tribunal el día 28 de diciembre de 1992, don Manuel y don Juan Sánchez Domínguez interpusieron recurso de amparo constitucional, formulando la correspondiente demanda, frente a la Sentencia de la Sección Segunda de la Audiencia Provincial de Badajoz, dictada en el recurso de apelación núm. 402/92, que confirmaba la del Juzgado de Primera Instancia núm. 3 de esa capital, de 2 de octubre de 1992, recaída en el juicio de cognición 130/92, sobre reclamación de cantidad en concepto de costas procesales.</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Para la resolución del recurso deben tenerse en cuenta los siguientes antecedentes de hecho: </w:t>
      </w:r>
    </w:p>
    <w:p w:rsidR="008107C7" w:rsidRDefault="008107C7" w:rsidP="008107C7">
      <w:pPr>
        <w:pStyle w:val="TextoNormal"/>
      </w:pPr>
      <w:r>
        <w:t xml:space="preserve">a) Ante el Juzgado de Primera Instancia núm. 1 de Badajoz, a instancia de Hispamer Leasing, S.A., se siguió juicio ejecutivo contra los ahora recurrentes en amparo, dictándose Sentencia de remate que impuso las costas a los ejecutados. Al procederse a la correspondiente tasación de costas, el Letrado que actuó en defensa de la actora formuló minuta por cuantía de 258.901 ptas., que fue impugnada por los demandados por entender que no estaba suficientemente detallada, lo que dio lugar a Auto que, estimando la impugnación, acordó excluir tal minuta de la tasación, sin perjuicio del derecho a reclamar en la vía declarativa ordinaria. Este Auto fue recurrido en apelación ante la Audiencia Provincial por la parte demandante, siendo confirmado por otro en el que, igualmente, se hacía constar la procedencia del juicio declarativo para la reclamación de dichos honorarios y condenaba al pago de las costas de esa apelación a la apelante. La Audiencia abrió de oficio el trámite para la </w:t>
      </w:r>
      <w:r>
        <w:lastRenderedPageBreak/>
        <w:t xml:space="preserve">tasación de costas de esa alzada, dando plazo al Letrado y Procurador de los hermanos Sánchez Domínguez para presentar sus respectivas cuentas y minutas, sin que por esa parte se diese cumplimiento al referido trámite, por lo que la Audiencia dictó providencia el 3 de abril de 1992 disponiendo que "no ha lugar a practicar la tasación, sin perjuicio de que la parte favorecida en costas pueda accionar en la vía ordinaria los derechos devengados con sujeción a los términos legales". </w:t>
      </w:r>
    </w:p>
    <w:p w:rsidR="008107C7" w:rsidRDefault="008107C7" w:rsidP="008107C7">
      <w:pPr>
        <w:pStyle w:val="TextoNormal"/>
      </w:pPr>
      <w:r>
        <w:t xml:space="preserve">b) Por la entidad Hispamer Leasing, S.A. se interpuso demanda en juicio declarativo de cognición contra don Manuel y don Juan Sánchez Domínguez, reclamándoles la cantidad de 258.901 ptas. en concepto de costas e I.V.A. Admitida a trámite la demanda, se emplazó a los demandados, quienes dentro del plazo legal se personaron, impugnando la reclamación por no estar conforme con la tasación realizada. Al mismo tiempo, mediante otrosí, formularon demanda reconvencional, exponiendo las anteriores vicisitudes, que habían llevado a que fuesen condenados en costas en el juicio ejecutivo, pero que, a la vez, dieron lugar a otra condena en costas de la entidad demandante en la apelación que interpuso frente a la tasación que aprobó el Juzgado. Resulta que, en tal apelación, postularon, en la representación y defensa de los demandados, los mismos profesionales que lo hacían en el recurso de cognición. Como quiera que no llegó a practicarse tasación de costas en aquella apelación, los demandantes de amparo debieron abonar la suma de 6.360 ptas. por los derechos de Procurador más I.V.A. y, en cuanto a minuta de Letrado más I.V.A., 25.334 ptas., lo que hace un total de 31.694 ptas. Es evidente que, para el reembolso de esta cantidad, tenían un crédito frente a la entidad demandante, por su condena en costas. Alegaban los fundamentos de Derecho que estimaban oportuno y suplicaban al Juzgado que dictara Sentencia declarando que la actora adeuda a los demandados la suma de 31.694 ptas., que esta cantidad es compensable con la que los demandados adeudan a la actora por razón de la otra condena en costas que se les impuso, por lo que la que hayan de pagar a la actora debe reducirse en esa cuantía. </w:t>
      </w:r>
    </w:p>
    <w:p w:rsidR="008107C7" w:rsidRDefault="008107C7" w:rsidP="008107C7">
      <w:pPr>
        <w:pStyle w:val="TextoNormal"/>
      </w:pPr>
      <w:r>
        <w:t>c) El 2 de octubre de 1992 el Juzgado dictó Sentencia por la que estimaba parcialmente la demanda formulada por Hispamer Leasing, S.A., condenando a los demandados a que, solidariamente, le abonen la suma de 212.000 ptas. más el 6 por 100 de I.V.A. y el interés legal del dinero desde la interposición de la demanda, y desestimando íntegramente la reconvención. Interpuesto recurso de apelación por la parte demandada, la Audiencia Provincial dictó Sentencia por la que desestimaba el recurso de apelación y confirmaba la Sentencia de instancia, volviendo a rechazar, pues, la reconvención. En ella se cita la Sentencia del Tribunal Supremo de 28 de noviembre de 1989, lo que constituye un error material fácilmente superable, siendo, en realidad, la Sentencia citada la de 28 de noviembre de 1985. Entienden estos órganos judiciales que, para que sea posible la exacción de las costas es precisa y previa su tasación a petición de parte por el Secretario Judicial, sin que hasta ese momento pueda considerarse que se esté ante una deuda líquida, por lo que no se dan los requisitos exigidos legalmente para que sea posible la compensación de créditos.</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La demanda de amparo considera que se han producido las siguientes vulneraciones de derechos fundamentales: </w:t>
      </w:r>
    </w:p>
    <w:p w:rsidR="008107C7" w:rsidRDefault="008107C7" w:rsidP="008107C7">
      <w:pPr>
        <w:pStyle w:val="TextoNormal"/>
      </w:pPr>
      <w:r>
        <w:t xml:space="preserve">a) A la tutela judicial efectiva, toda vez que la Sentencia de la Audiencia no da respuesta a la primera de las alegaciones o motivos del recurso en el que se alegaba la vulneración de los arts. 14 y 24 de la Constitución. Tampoco da la Sentencia de la Audiencia explicación alguna de por qué se ha de estimar, siquiera sea parcialmente, la demanda principal en que la parte actora exige la minuta pagada a su Letrado, y no la reconvencional en que la parte </w:t>
      </w:r>
      <w:r>
        <w:lastRenderedPageBreak/>
        <w:t xml:space="preserve">demandada exige la pagada al suyo. Por ello, aun siendo esta Sentencia formalmente congruente en cuanto a su parte dispositiva, no lo es en cambio en su fundamentación como respuesta fundada en Derecho. </w:t>
      </w:r>
    </w:p>
    <w:p w:rsidR="008107C7" w:rsidRDefault="008107C7" w:rsidP="008107C7">
      <w:pPr>
        <w:pStyle w:val="TextoNormal"/>
      </w:pPr>
      <w:r>
        <w:t xml:space="preserve">b) Alega, igualmente, la infracción del art. 24 C.E. en su vertiente de tutela judicial efectiva, en cuanto a la intangibilidad de los derechos materiales reconocidos por Sentencia firme y al cumplimiento de las Sentencias en sus propios términos, al existir una absoluta incompatibilidad entre la precedente providencia de la Sección Primera, de 3 de abril de 1992, de la Audiencia, que determinó no haber lugar a practicar la tasación de costas, remitiendo a los hermanos Sánchez Domínguez al procedimiento declarativo ordinario para su reclamación, y la posterior Sentencia del Juzgado, de 2 de octubre de 1992, y la confirmatoria de la Audiencia, de 9 de diciembre de ese año, que desestiman la demanda reconvencional por la que se exigían aquellas costas, por razón de inadecuación procesal, remitiéndolos al procedimiento de tasación, previamente excluido por la providencia antes referida. De todo ello deduce que se ven privados en forma definitiva del derecho a resarcirse de las costas de la apelación, que se les había reconocido. </w:t>
      </w:r>
    </w:p>
    <w:p w:rsidR="008107C7" w:rsidRDefault="008107C7" w:rsidP="008107C7">
      <w:pPr>
        <w:pStyle w:val="TextoNormal"/>
      </w:pPr>
      <w:r>
        <w:t>c) La Sentencia del Juzgado y, al confirmarla, la de la Audiencia conculcan también el derecho a la igualdad reconocido en el art. 14 de la Constitución. En efecto, en el proceso de cognición se estima parcialmente la demanda interpuesta por Hispamer Leasing, S.A., en relación con la minuta de su Letrado, que fue excluida en su día de la tasación por indebida, lo que implicaba que el cauce procesal de reclamación era idóneo, por lo que no se entiende cómo es posible desestimar la reconvención formulada en el mismo procedimiento en reclamación también de los derechos y minuta satisfechos en grado de apelación. Si la causa de desestimación es la de que se precise una previa cuantificación en trámite de tasación de costas, lo que equivale a la estimación de una excepción de inadecuación de procedimiento, ésta o era aplicable a ambas pretensiones, o no lo era a ninguna. Es decir, o bien ambas pretensiones precisaban previa cuantificación por los trámites de tasación de costas, o bien no lo precisaban ninguna de las dos. Señala, igualmente, que se trata de un mismo órgano judicial el que resuelve ambos procesos, las pretensiones sobre las que resuelve son idénticas, la causa de pedir es también la misma, existe identidad de partes y la única diferencia existente es que la minuta del Letrado reclamada en la demanda principal fue excluida de la tasación de costas en virtud de impugnación por el cauce de indebida, en tanto que los derechos reclamados en la reconvención no fueron objeto de tasación de costas. Pero esta diferencia es solamente aparente e irrelevante pues ni existe ningún precepto legal que imponga que para poder reclamar en juicio declarativo el importe que se estime debido por costas sea precisa la previa tasación de las mismas, ni tan siquiera existe, en realidad, esta diferencia, pues las costas reclamadas en la demanda fueron excluidas en la tasación como indebidas, con reserva del derecho para reclamarlas en procedimiento declarativo, siendo así que los derechos de Procurador y minuta de Letrado reclamados por los ahora demandantes de amparo en la reconvención para su compensación habían sido también excluidos de la posibilidad de reclamación por los trámites de tasación por la providencia de la Audiencia, con igual reserva de derecho y acción para ejercitarla en el procedimiento declarativo ordinario.</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Por providencia de 27 de mayo de 1993 de la Sección Primera de este Tribunal, se acordó abrir el trámite previsto en el art. 50.3 de la LOTC, concediendo un plazo común de diez días al Ministerio Fiscal y a los solicitantes de amparo para que aleguen lo que estimen pertinente en relación con la posible existencia del motivo de inadmisión previsto en el art. </w:t>
      </w:r>
      <w:r>
        <w:lastRenderedPageBreak/>
        <w:t xml:space="preserve">50.1 c) LOTC, por carecer la demanda manifiestamente de contenido que justifique una decisión sobre el fondo por parte de este Tribunal. </w:t>
      </w:r>
    </w:p>
    <w:p w:rsidR="008107C7" w:rsidRDefault="008107C7" w:rsidP="008107C7">
      <w:pPr>
        <w:pStyle w:val="TextoNormal"/>
      </w:pPr>
      <w:r>
        <w:t xml:space="preserve">El Fiscal, mediante escrito presentado el 15 de julio de 1993 interesó que se dictase auto inadmitiendo el recurso de amparo, por concurrir la causa de inadmisión del art. 50.1 c) LOTC. </w:t>
      </w:r>
    </w:p>
    <w:p w:rsidR="008107C7" w:rsidRDefault="008107C7" w:rsidP="008107C7">
      <w:pPr>
        <w:pStyle w:val="TextoNormal"/>
      </w:pPr>
      <w:r>
        <w:t>Por su parte el demandante de amparo solicitó que se admitiese a trámite el recurso, al entender que existían las vulneraciones denunciadas en su demanda de amparo.</w:t>
      </w:r>
    </w:p>
    <w:p w:rsidR="008107C7" w:rsidRDefault="008107C7" w:rsidP="008107C7">
      <w:pPr>
        <w:pStyle w:val="TextoNormal"/>
      </w:pPr>
    </w:p>
    <w:p w:rsidR="008107C7" w:rsidRDefault="008107C7" w:rsidP="008107C7">
      <w:pPr>
        <w:pStyle w:val="TextoNormal"/>
      </w:pPr>
      <w:r w:rsidRPr="008107C7">
        <w:rPr>
          <w:rStyle w:val="NumeroAFNegritaCaracter"/>
        </w:rPr>
        <w:t>5</w:t>
      </w:r>
      <w:r>
        <w:t>. Por providencia de 12 de septiembre de 1995, la Sección Segunda de este Tribunal acordó admitir a trámite la demanda de amparo formulada y, a tenor de lo dispuesto en el art. 51 LOTC, librar atenta comunicación a la Audiencia Provincial de Badajoz y al Juzgado de Primera Instancia núm. 3 de esa capital para que, en el término de diez días, remitiesen testimonio del recurso de apelación 402/92 y del juicio de cognición 130/92, respectivamente, interesándose, al propio tiempo, el emplazamiento de cuantos hubieran sido parte en el procedimiento judicial antecedente, con excepción de la recurrente en amparo, para que en el plazo de diez días pudieran comparecer en el presente proceso constitucional. Por oficio de 3 de octubre de 1995, el Presidente de la Sección Segunda de la Audiencia Provincial de Badajoz dio traslado de los testimonios interesados. Por su parte el Juzgado de Primera Instancia emplazó en debida forma a la entidad Hispamer Leasing, S.A.</w:t>
      </w:r>
    </w:p>
    <w:p w:rsidR="008107C7" w:rsidRDefault="008107C7" w:rsidP="008107C7">
      <w:pPr>
        <w:pStyle w:val="TextoNormal"/>
      </w:pPr>
    </w:p>
    <w:p w:rsidR="008107C7" w:rsidRDefault="008107C7" w:rsidP="008107C7">
      <w:pPr>
        <w:pStyle w:val="TextoNormal"/>
      </w:pPr>
      <w:r w:rsidRPr="008107C7">
        <w:rPr>
          <w:rStyle w:val="NumeroAFNegritaCaracter"/>
        </w:rPr>
        <w:t>6</w:t>
      </w:r>
      <w:r>
        <w:t>. Por providencia de 23 de octubre de 1995, se tuvieron por recibidos los testimonios de las actuaciones y, a tenor de lo dispuesto del art. 52 LOTC, se acordó dar vista de todas las actuaciones del presente recurso de amparo, por un plazo común de veinte días, al Ministerio Fiscal y a los solicitantes del amparo, para que pudiesen presentar las alegaciones que a su derecho convinieran.</w:t>
      </w:r>
    </w:p>
    <w:p w:rsidR="008107C7" w:rsidRDefault="008107C7" w:rsidP="008107C7">
      <w:pPr>
        <w:pStyle w:val="TextoNormal"/>
      </w:pPr>
    </w:p>
    <w:p w:rsidR="008107C7" w:rsidRDefault="008107C7" w:rsidP="008107C7">
      <w:pPr>
        <w:pStyle w:val="TextoNormal"/>
      </w:pPr>
      <w:r w:rsidRPr="008107C7">
        <w:rPr>
          <w:rStyle w:val="NumeroAFNegritaCaracter"/>
        </w:rPr>
        <w:t>7</w:t>
      </w:r>
      <w:r>
        <w:t>. Por escrito presentado el 20 de octubre de 1995, Hispamer Leasing S.A. compareció en el presente proceso constitucional solicitando que se le tuviese por parte en los términos del art. 52 LOTC.</w:t>
      </w:r>
    </w:p>
    <w:p w:rsidR="008107C7" w:rsidRDefault="008107C7" w:rsidP="008107C7">
      <w:pPr>
        <w:pStyle w:val="TextoNormal"/>
      </w:pPr>
    </w:p>
    <w:p w:rsidR="008107C7" w:rsidRDefault="008107C7" w:rsidP="008107C7">
      <w:pPr>
        <w:pStyle w:val="TextoNormal"/>
      </w:pPr>
      <w:r w:rsidRPr="008107C7">
        <w:rPr>
          <w:rStyle w:val="NumeroAFNegritaCaracter"/>
        </w:rPr>
        <w:t>8</w:t>
      </w:r>
      <w:r>
        <w:t>. Por providencia de 30 de octubre de 1995, se tuvo por personado y parte al Procurador Sr. Sánchez Maza en representación de Hispamer Leasing, S.A., dándole vista de las actuaciones por un plazo de veinte días para que pudiera presentar alegaciones.</w:t>
      </w:r>
    </w:p>
    <w:p w:rsidR="008107C7" w:rsidRDefault="008107C7" w:rsidP="008107C7">
      <w:pPr>
        <w:pStyle w:val="TextoNormal"/>
      </w:pPr>
    </w:p>
    <w:p w:rsidR="008107C7" w:rsidRDefault="008107C7" w:rsidP="008107C7">
      <w:pPr>
        <w:pStyle w:val="TextoNormal"/>
      </w:pPr>
      <w:r w:rsidRPr="008107C7">
        <w:rPr>
          <w:rStyle w:val="NumeroAFNegritaCaracter"/>
        </w:rPr>
        <w:t>9</w:t>
      </w:r>
      <w:r>
        <w:t xml:space="preserve">. El Fiscal, mediante escrito presentado el 21 de noviembre de 1995, interesó que, de acuerdo con los arts. 80 y 86 LOTC y 372 de la Ley de Enjuiciamiento Civil, se dicte Sentencia desestimando el recurso de amparo por no existir las vulneraciones denunciadas, lo que fundamenta en los siguientes términos: </w:t>
      </w:r>
    </w:p>
    <w:p w:rsidR="008107C7" w:rsidRDefault="008107C7" w:rsidP="008107C7">
      <w:pPr>
        <w:pStyle w:val="TextoNormal"/>
      </w:pPr>
      <w:r>
        <w:t xml:space="preserve">a) La Sentencia resuelve un recurso de apelación, contestando a la pretensión deducida en dicho recurso, al confirmar de forma razonada, motivada y expresa la resolución impugnada y, al confirmarla, desestima la realidad de las violaciones constitucionales denunciadas por el actor, lo que no significa falta de contestación, sino que la desestimación no se hace en forma expresa, sino por incompatibilidad con la resolución judicial. La desestimación de las denuncias de pretendidas violaciones constitucionales es una consecuencia lógica y natural de la confirmación de la sentencia apelada. </w:t>
      </w:r>
    </w:p>
    <w:p w:rsidR="008107C7" w:rsidRDefault="008107C7" w:rsidP="008107C7">
      <w:pPr>
        <w:pStyle w:val="TextoNormal"/>
      </w:pPr>
      <w:r>
        <w:t xml:space="preserve">b) No existe violación del art. 24.1 C.E., al no existir incompatibilidad ni contradicción entre la providencia de la Audiencia que remite al proceso declarativo para el cobro de las </w:t>
      </w:r>
      <w:r>
        <w:lastRenderedPageBreak/>
        <w:t xml:space="preserve">costas y las Sentencias del Juzgado y la Audiencia, que desestiman la reconvención del actor por entender que es necesario, para la reclamación de las costas de un proceso, acudir al procedimiento específico del art. 421 L.E.C. Justifica la inexistencia de tal contradicción en que la providencia citada sólo indica a los actores una posibilidad procesal, acudir al declarativo ordinario, pero esta indicación no constituye cosa juzgada al no formar parte del objeto procesal de la resolución judicial. Se trata de una mera instrucción a las partes de las posibilidades que tienen los litigantes, sin que signifique que tenga el valor y la transcendencia de una declaración judicial, es decir, que sea contenido propio de la resolución y que, por tanto, tenga el valor de cosa juzgada. La cosa juzgada sólo afecta al objeto de la resolución, no a las posibles indicaciones o instrucciones que los Tribunales hagan, que carecen de relevancia respecto al propio objeto de la resolución. </w:t>
      </w:r>
    </w:p>
    <w:p w:rsidR="008107C7" w:rsidRDefault="008107C7" w:rsidP="008107C7">
      <w:pPr>
        <w:pStyle w:val="TextoNormal"/>
      </w:pPr>
      <w:r>
        <w:t xml:space="preserve">En este caso, tal objeto está constituido únicamente por la declaración de preclusión del plazo para presentar la documentación requerida para la tasación de costas, producida por la falta de actividad procesal de los actores que no cumplieron el requerimiento del órgano judicial en orden al desarrollo de tasación y posterior exacción de las costas. </w:t>
      </w:r>
    </w:p>
    <w:p w:rsidR="008107C7" w:rsidRDefault="008107C7" w:rsidP="008107C7">
      <w:pPr>
        <w:pStyle w:val="TextoNormal"/>
      </w:pPr>
      <w:r>
        <w:t xml:space="preserve">Las Sentencias impugnadas dan una respuesta a la pretensión reconvencional razonada, motivada y fundada en derecho, al declarar que dicha tasación se tiene que hacer, según la Ley rituaria civil, por el procedimiento del art. 421 L.E.C., sin que de las mismas se derive la pérdida del crédito reconocido, sino que para hacerlo efectivo tendrán que acudir al órgano judicial que decretó la condena en costas, que es el único competente. </w:t>
      </w:r>
    </w:p>
    <w:p w:rsidR="008107C7" w:rsidRDefault="008107C7" w:rsidP="008107C7">
      <w:pPr>
        <w:pStyle w:val="TextoNormal"/>
      </w:pPr>
      <w:r>
        <w:t>c) Tampoco existe violación del art. 14 de la Constitución, pues son distintos los supuestos de hecho que fundamentan cada pretensión. La demanda de cognición reclama una partida no incluida, por indebida, en el Auto que aprobó la tasación de costas, es decir, la reclamación de un simple crédito que tiene que hacerse por medio de un proceso declarativo (art. 425 L.E.C.). Contrariamente, la pretensión deducida en la reconvención es la de que el órgano judicial realice una tasación de costas en un procedimiento no apto para ello y, una vez practicada, se realice la compensación judicial, apartándose de lo dispuesto en el art. 422 L.E.C. y por un procedimiento que no es el del art. 421 L.E.C., único establecido para esta finalidad procesal. Existe, pues, una diferencia sustancial en el supuesto de hecho de ambas pretensiones, lo que justifica la diversidad de tratamiento en la Sentencia impugnada.</w:t>
      </w:r>
    </w:p>
    <w:p w:rsidR="008107C7" w:rsidRDefault="008107C7" w:rsidP="008107C7">
      <w:pPr>
        <w:pStyle w:val="TextoNormal"/>
      </w:pPr>
    </w:p>
    <w:p w:rsidR="008107C7" w:rsidRDefault="008107C7" w:rsidP="008107C7">
      <w:pPr>
        <w:pStyle w:val="TextoNormal"/>
      </w:pPr>
      <w:r w:rsidRPr="008107C7">
        <w:rPr>
          <w:rStyle w:val="NumeroAFNegritaCaracter"/>
        </w:rPr>
        <w:t>10</w:t>
      </w:r>
      <w:r>
        <w:t>. Por escrito presentado el 31 de octubre de 1995 los demandantes de amparo solicitaron la estimación de la demanda, vertiendo unas argumentaciones que reiteran las contenidas en aquélla.</w:t>
      </w:r>
    </w:p>
    <w:p w:rsidR="008107C7" w:rsidRDefault="008107C7" w:rsidP="008107C7">
      <w:pPr>
        <w:pStyle w:val="TextoNormal"/>
      </w:pPr>
    </w:p>
    <w:p w:rsidR="008107C7" w:rsidRDefault="008107C7" w:rsidP="008107C7">
      <w:pPr>
        <w:pStyle w:val="TextoNormal"/>
      </w:pPr>
      <w:r w:rsidRPr="008107C7">
        <w:rPr>
          <w:rStyle w:val="NumeroAFNegritaCaracter"/>
        </w:rPr>
        <w:t>11</w:t>
      </w:r>
      <w:r>
        <w:t>. En diligencia de 27 de diciembre de 1995 se hizo constar que, transcurrido el plazo concedido al efecto, la representación procesal de Hispamer Leasing, S.A., no presentó escrito alguno.</w:t>
      </w:r>
    </w:p>
    <w:p w:rsidR="008107C7" w:rsidRDefault="008107C7" w:rsidP="008107C7">
      <w:pPr>
        <w:pStyle w:val="TextoNormal"/>
      </w:pPr>
    </w:p>
    <w:p w:rsidR="008107C7" w:rsidRDefault="008107C7" w:rsidP="008107C7">
      <w:pPr>
        <w:pStyle w:val="TextoNormal"/>
      </w:pPr>
      <w:r w:rsidRPr="008107C7">
        <w:rPr>
          <w:rStyle w:val="NumeroAFNegritaCaracter"/>
        </w:rPr>
        <w:t>12</w:t>
      </w:r>
      <w:r>
        <w:t>. Mediante providencia de fecha 24 de febrero de 1997 se señaló el día 25 del mismo mes y año para la deliberación y votación de la presente Sentencia.</w:t>
      </w:r>
    </w:p>
    <w:p w:rsidR="008107C7" w:rsidRDefault="008107C7" w:rsidP="008107C7">
      <w:pPr>
        <w:pStyle w:val="TextoNormal"/>
      </w:pPr>
    </w:p>
    <w:p w:rsidR="008107C7" w:rsidRDefault="008107C7" w:rsidP="008107C7">
      <w:pPr>
        <w:pStyle w:val="TextoNormalNegritaCentrado"/>
        <w:keepNext/>
      </w:pPr>
      <w:r>
        <w:lastRenderedPageBreak/>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La primera de las vulneraciones de derechos fundamentales alegadas por los recurrentes en amparo se proyecta, a diferencia de las dos restantes, exclusivamente sobre la Sentencia dictada en apelación por la Audiencia Provincial, a la que se achaca haber incurrido en un supuesto de incongruencia omisiva, vedado por el art. 24.1 C.E., toda vez que la causa de pedir motivo principal del recurso, la conculcación de derechos fundamentales alegada como producida en la Sentencia recaída en instancia, ha resultado totalmente soslayada, de tal manera que, aun habiéndose cumplido con la carga de previa invocación exigida por el art. 44.1 c LOTC, han debido acudir ante este Tribunal para obtener una primera respuesta.</w:t>
      </w:r>
    </w:p>
    <w:p w:rsidR="008107C7" w:rsidRDefault="008107C7" w:rsidP="008107C7">
      <w:pPr>
        <w:pStyle w:val="TextoNormal"/>
      </w:pPr>
      <w:r>
        <w:t>El Ministerio Fiscal se opone al acogimiento de esta alegación por entender que la "Sentencia que resuelve el recurso de apelación contesta a la pretensión deducida en dicho recurso, porque confirma de forma razonada, motivada y expresa la resolución impugnada y al confirmarla, desestima la realidad de las violaciones constitucionales denunciadas por el actor, lo que no significa falta de contestación, sino que, la desestimación no se hace en forma expresa sino, por incompatibilidad con la resolución judicial", añadiendo que la "desestimación de las pretensiones constitucionales del actor, es una consecuencia lógica y natural de la confirmación de la Sentencia apelada".</w:t>
      </w:r>
    </w:p>
    <w:p w:rsidR="008107C7" w:rsidRDefault="008107C7" w:rsidP="008107C7">
      <w:pPr>
        <w:pStyle w:val="TextoNormal"/>
      </w:pPr>
    </w:p>
    <w:p w:rsidR="008107C7" w:rsidRDefault="008107C7" w:rsidP="008107C7">
      <w:pPr>
        <w:pStyle w:val="TextoNormal"/>
      </w:pPr>
      <w:r w:rsidRPr="008107C7">
        <w:rPr>
          <w:rStyle w:val="NumeroAFNegritaCaracter"/>
        </w:rPr>
        <w:t>2</w:t>
      </w:r>
      <w:r>
        <w:t>. No cabe compartir la valoración que el Ministerio Fiscal hace de la Sentencia de la Audiencia Provincial en este concreto extremo, debiendo por el contrario apreciarse en la misma un supuesto de incongruencia omisiva proyectada sobre una pretensión de tutela de derechos fundamentales.</w:t>
      </w:r>
    </w:p>
    <w:p w:rsidR="008107C7" w:rsidRDefault="008107C7" w:rsidP="008107C7">
      <w:pPr>
        <w:pStyle w:val="TextoNormal"/>
      </w:pPr>
      <w:r>
        <w:t>La Sentencia de la Audiencia Provincial comienza declarando en el primero de ellos que el "problema que se plantea en esta alzada se centra exclusivamente en determinar si a priori pueden los reconvinientes reclamar el importe de las minutas por ellos abonadas...sin que previamente haya mediado Auto de aprobación judicial" de dichas minutas.</w:t>
      </w:r>
    </w:p>
    <w:p w:rsidR="008107C7" w:rsidRDefault="008107C7" w:rsidP="008107C7">
      <w:pPr>
        <w:pStyle w:val="TextoNormal"/>
      </w:pPr>
      <w:r>
        <w:t>No es posible coincidir con esta apreciación. Como resulta de la primera de las alegaciones efectuadas en el momento de la interposición del recurso de apelación frente a la Sentencia dictada en la instancia, los ahora recurrentes en amparo comenzaron argumentando acerca de la vulneración de su derecho fundamental a la igualdad en la aplicación de la ley contenida en dicha resolución judicial, al estimar la demanda principal y no la reconvencional; de igual modo achacaban a la citada Sentencia la vulneración del derecho a la tutela judicial efectiva al impedirles el acceso al juicio declarativo ordinario, único que, según entendían, les quedaba abierto con arreglo a declaración anterior de la propia Audiencia Provincial. Es sólo en la segunda de dichas alegaciones cuando los recurrentes se adentran en argumentos de legalidad, relativos a su pretensión originaria.</w:t>
      </w:r>
    </w:p>
    <w:p w:rsidR="008107C7" w:rsidRDefault="008107C7" w:rsidP="008107C7">
      <w:pPr>
        <w:pStyle w:val="TextoNormal"/>
      </w:pPr>
      <w:r>
        <w:t xml:space="preserve">Resulta de ello, de forma clara, que el recurso de apelación de los recurrentes no perseguía exclusivamente, como dice la Sentencia, la revocación de la desestimación de la demanda reconvencional efectuada en la instancia con base en argumentos de orden legal. Por el contrario, la pretensión de revocación de dicha Sentencia se fundamenta, ante todo, en la consideración de que vulnera determinados derechos fundamentales. A partir de la Sentencia dictada por el Juzgado de Primera Instancia, y frente a la misma, la pretensión de los ahora recurrentes adquiere una primordial dimensión de amparo de sus derechos fundamentales en el sentido del art. 53.2 C.E. que opera como una previa y adicional causa de pedir. Con total independencia, como es evidente, de su fundamento constitucional, no cabe dudar </w:t>
      </w:r>
      <w:r>
        <w:lastRenderedPageBreak/>
        <w:t>de que los recurrentes están solicitando de la Audiencia Provincial el amparo de sus derechos fundamentales a la igualdad y a la tutela judicial efectiva, que entienden vulnerados ex novo como consecuencia de la resolución dictada en la instancia. No podía, por tanto, ante tales alegaciones, limitarse la Audiencia Provincial a declarar, como se ha señalado, que el problema se centrase exclusivamente en la viabilidad de la reconvención en ausencia de Auto de aprobación judicial de las minutas. Tras la Sentencia del Juzgado de Primera Instancia a la inicial pretensión de los ahora recurrentes se antepone una pretensión de amparo de derechos fundamentales que, aun no encontrando reflejo formal en el petitum del recurso, la Audiencia Provincial no podía pura y simplemente ignorar sin incurrir en una denegación de tutela.</w:t>
      </w:r>
    </w:p>
    <w:p w:rsidR="008107C7" w:rsidRDefault="008107C7" w:rsidP="008107C7">
      <w:pPr>
        <w:pStyle w:val="TextoNormal"/>
      </w:pPr>
      <w:r>
        <w:t>Hay que dar, por tanto, razón, en un caso como éste, a los recurrentes cuando entienden que "todo motivo de recurso atinente a derechos fundamentales que se estiman conculcados por la resolución impugnada en alzada parece deba ser resuelto expresamente", y ello no tanto por la posición de subsidiariedad en que el constituyente ha situado este recurso de amparo ante el Tribunal Constitucional (art. 53.2 C.E.), sino, sobre todo, en virtud del lugar ocupado por los derechos fundamentales en nuestro ordenamiento (art. 10.1 C.E.). Al margen de ello, es claro que un resultado de incongruencia omisiva en esta materia frustra también el diseño del amparo de los derechos fundamentales previsto en el citado apartado segundo del art. 53 C.E. Lo que importa, sin embargo, a efectos del presente amparo es que la mencionada incongruencia resultante de la Sentencia dictada por la Audiencia Provincial, en los términos explicitados, ha vulnerado el derecho fundamental de los recurrentes a la tutela efectiva de los tribunales (art.  24.1 C.E.).</w:t>
      </w:r>
    </w:p>
    <w:p w:rsidR="008107C7" w:rsidRDefault="008107C7" w:rsidP="008107C7">
      <w:pPr>
        <w:pStyle w:val="TextoNormal"/>
      </w:pPr>
    </w:p>
    <w:p w:rsidR="008107C7" w:rsidRDefault="008107C7" w:rsidP="008107C7">
      <w:pPr>
        <w:pStyle w:val="TextoNormal"/>
      </w:pPr>
      <w:r w:rsidRPr="008107C7">
        <w:rPr>
          <w:rStyle w:val="NumeroAFNegritaCaracter"/>
        </w:rPr>
        <w:t>3</w:t>
      </w:r>
      <w:r>
        <w:t>. Las otras dos vulneraciones de derechos fundamentales alegadas por los recurrentes no son ya sino las previamente alegadas ante la Audiencia Provincial frente a la Sentencia del Juzgado de Primera Instancia y ahora también invocadas frente a la Sentencia confirmatoria de aquélla. Según los recurrentes en amparo, en efecto, las resoluciones judiciales impugnadas han vulnerado el derecho a la tutela efectiva de los Jueces y Tribunales (art.  24.1 C.E.)  y el derecho fundamental a la igualdad en la aplicación de la ley (art. 14 C.E.). La invocación del principio de igualdad, sin embargo, se encuentra en una posición de subsidiariedad respecto de la relativa a la tutela judicial; de apreciarse ya una vulneración, de carácter sustantivo, del derecho a la tutela, resulta innecesario, en efecto, abordar el mismo problema desde la posición de otros sujetos, cualesquiera que éstos sean. De ahí que proceda comenzar, en el mismo orden propuesto por la demanda de amparo, por la alegada vulneración del derecho fundamental a la tutela judicial efectiva (art. 24.1 C.E.).</w:t>
      </w:r>
    </w:p>
    <w:p w:rsidR="008107C7" w:rsidRDefault="008107C7" w:rsidP="008107C7">
      <w:pPr>
        <w:pStyle w:val="TextoNormal"/>
      </w:pPr>
      <w:r>
        <w:t>En este sentido, entienden los recurrentes haberse producido una absoluta incompatibilidad entre la providencia de la Sección Primera de la Audiencia Provincial, que determina no haber lugar a practicar la tasación de costas, remitiendo al procedimiento declarativo ordinario, y la posterior Sentencia del Juzgado, confirmada por la Sección Segunda de la propia Audiencia, que remite a su vez a los ahora recurrentes en amparo al procedimiento de tasación previamente excluido por la Sección Primera, con la consiguiente vulneración del derecho a las resoluciones judiciales firmes. Cualquiera que sea, alegan, el acierto de las resoluciones de las distintas Secciones de la Audiencia desde la óptica de la legalidad ordinaria, lo cierto es que la absoluta incompatibilidad entre ambas les cierra toda vía de efectiva realización de su derecho material.</w:t>
      </w:r>
    </w:p>
    <w:p w:rsidR="008107C7" w:rsidRDefault="008107C7" w:rsidP="008107C7">
      <w:pPr>
        <w:pStyle w:val="TextoNormal"/>
      </w:pPr>
      <w:r>
        <w:t xml:space="preserve">Para el Ministerio Fiscal, por el contrario, la providencia de la Sección Primera de la Audiencia sólo tendría eficacia de cosa juzgada respecto de la declaración de preclusión del plazo para presentar las partes la documentación requerida para la tasación de costas. Más </w:t>
      </w:r>
      <w:r>
        <w:lastRenderedPageBreak/>
        <w:t>allá de ello, la indicación de la Audiencia no pasaría de una mera instrucción a las partes de sus posibilidades procesales. La tutela judicial efectiva, como derecho fundamental, no se habría visto, en suma, vulnerada por las resoluciones recurridas.</w:t>
      </w:r>
    </w:p>
    <w:p w:rsidR="008107C7" w:rsidRDefault="008107C7" w:rsidP="008107C7">
      <w:pPr>
        <w:pStyle w:val="TextoNormal"/>
      </w:pPr>
    </w:p>
    <w:p w:rsidR="008107C7" w:rsidRDefault="008107C7" w:rsidP="008107C7">
      <w:pPr>
        <w:pStyle w:val="TextoNormal"/>
      </w:pPr>
      <w:r w:rsidRPr="008107C7">
        <w:rPr>
          <w:rStyle w:val="NumeroAFNegritaCaracter"/>
        </w:rPr>
        <w:t>4</w:t>
      </w:r>
      <w:r>
        <w:t>. Aun sin aceptar plenamente los argumentos de los recurrentes en amparo, preciso es convenir en que se les ha ocasionado una vulneración de su derecho a la tutela judicial efectiva.  Y ello no porque las resoluciones recurridas hayan quebrantado la fuerza de cosa juzgada de la providencia en su día dictada por la Sección Primera de la Audiencia Provincial, pues en este extremo debe coincidirse con el Ministerio Fiscal. Como venimos señalando, "la determinación del alcance que quepa atribuir a la cosa juzgada constituye una cuestión que corresponde a la estricta competencia de los órganos judiciales, sólo revisable en sede constitucional si tal interpretación resulta incongruente, arbitraria o irrazonable (así, SSTC 242/1992, 79/1993, 92/1993, 152/1993 y ATC 1322/1988)" (STC 67/1996), lo que lleva necesariamente a que, salvo que se le pueda hacer alguno de los anteriores reproches, "la valoración que de ello se haya hecho en cada caso debe ser respetada por este Tribunal" (STC 135/1994).  Desde tal perspectiva, es claro que las resoluciones impugnadas no puede afirmarse hayan vulnerado la intangibilidad de las resoluciones judiciales firmes, pues mal puede producir ese efecto una providencia que, como tal, no resuelve ninguna cuestión de fondo, no da respuesta a ninguna petición de parte, con lo que no cabría hablar de identidad de la causa de pedir, y que fue dictada sin contradicción procesal sobre tal extremo.</w:t>
      </w:r>
    </w:p>
    <w:p w:rsidR="008107C7" w:rsidRDefault="008107C7" w:rsidP="008107C7">
      <w:pPr>
        <w:pStyle w:val="TextoNormal"/>
      </w:pPr>
      <w:r>
        <w:t>No obstante, y como señalábamos, el resultado producido como consecuencia de lo acordado por medio de la providencia de la Sección Primera de la Audiencia Provincial, sumado a lo dispuesto por la Sentencia del Juzgado de Primera Instancia, confirmado después por la Sección Segunda de la misma Audiencia, no se compadece con lo que en nuestra reciente STC 178/1996 calificábamos como una tutela judicial de los derechos e intereses legítimos "de caracteres mínimamente razonables" (fundamento jurídico 11).</w:t>
      </w:r>
    </w:p>
    <w:p w:rsidR="008107C7" w:rsidRDefault="008107C7" w:rsidP="008107C7">
      <w:pPr>
        <w:pStyle w:val="TextoNormal"/>
      </w:pPr>
      <w:r>
        <w:t>No se trata, por nuestra parte, de dilucidar el acierto o no del Juzgado y de la Sección Segunda de la Audiencia al resolver el problema de legalidad subyacente, es decir, si los en su día reconvenientes y hoy recurrentes en amparo podían reclamar el importe de las minutas en cuestión por los trámites del declarativo, sin que previamente hubiera mediado Auto de aprobación judicial (arts. 421 y ss. L.E.C.). La cuestión, desde la perspectiva constitucional, es más bien la de si, por parte de la Audiencia Provincial concretamente, puede denegarse la tutela judicial mediante el procedimiento declarativo en este caso instado por medio de la demanda reconvencional, después de que la propia Audiencia Provincial, por decisión de otra de sus Secciones, hubiera remitido a los hoy recurrentes precisamente al procedimiento declarativo cuyo acceso posteriormente viene a cerrarse, pues no de otra manera cabría entender la indicación relativa a la posibilidad de accionar en la vía ordinaria.</w:t>
      </w:r>
    </w:p>
    <w:p w:rsidR="008107C7" w:rsidRDefault="008107C7" w:rsidP="008107C7">
      <w:pPr>
        <w:pStyle w:val="TextoNormal"/>
      </w:pPr>
      <w:r>
        <w:t xml:space="preserve">Tal proceder implica una denegación de tutela. No porque, como pretenden los recurrentes, tras la inicial providencia de la Sección Primera les resulte imposible ya obtener una tasación de costas, pues ni puede afirmarse tal cosa con certeza, ni es necesario llegar a ello para apreciar una vulneración del art. 24.1 C.E. Los recurrentes en amparo invocan un pretendido derecho "a la univocidad de la jurisdicción" que este Tribunal, nunca ha incorporado, como tal, al contenido de los derechos fundamentales (STC 144/1988, fundamento jurídico 3º; STC 24/1990, fundamento jurídico 3º). Pero, con independencia de ello, es claro que la tutela judicial sólo puede satisfacer las exigencias constitucionales si aparece, como decíamos, revestida de "caracteres mínimamente razonables". Los hoy recurrentes de amparo pusieron de manifiesto, en su recurso de apelación ante la Audiencia Provincial, la previa resolución de dicho organo jurisdiccional relativa a la improcedencia de practicar la </w:t>
      </w:r>
      <w:r>
        <w:lastRenderedPageBreak/>
        <w:t>tasación de las costas, sin perjuicio de que pudieran accionar en la vía ordinaria.  Una vez que la Sección Primera de la Audiencia Provincial declaró no haber lugar a dicha tasación, sin perjuicio de accionar en la vía ordinaria, la Sección Segunda de la misma, puesta ya esta circunstancia de manifiesto, no ha podido impedir el examen de fondo de la reiterada pretensión de los ahora recurrentes en amparo sin incurrir en una conducta arbitraria, contraria en este caso al derecho fundamental a la tutela judicial efectiva.</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Estimar la presente demanda de amparo y, en consecuencia:</w:t>
      </w:r>
    </w:p>
    <w:p w:rsidR="008107C7" w:rsidRDefault="008107C7" w:rsidP="008107C7">
      <w:pPr>
        <w:pStyle w:val="TextoNormal"/>
      </w:pPr>
      <w:r>
        <w:t>1º.  Declarar el derecho fundamental de los recurrentes a la tutela judicial efectiva.</w:t>
      </w:r>
    </w:p>
    <w:p w:rsidR="008107C7" w:rsidRDefault="008107C7" w:rsidP="008107C7">
      <w:pPr>
        <w:pStyle w:val="TextoNormal"/>
      </w:pPr>
      <w:r>
        <w:t>2º.  Anular la Sentencia de la Sección Segunda de la Audiencia Provincial de Badajoz de 9 de diciembre de 1992.</w:t>
      </w:r>
    </w:p>
    <w:p w:rsidR="008107C7" w:rsidRDefault="008107C7" w:rsidP="008107C7">
      <w:pPr>
        <w:pStyle w:val="TextoNormal"/>
      </w:pPr>
      <w:r>
        <w:t>3º.  Restablecer a los demandantes en la integridad de su derecho, ordenando a tal efecto que por la Sección Segunda de la Audiencia Provincial de Badajoz se dice nueva Sentencia en la que se respete el citado derecho fundamental, de conformidad con su contenido constitucionalmente declarado.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veinticinco de febrero de mi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38" w:name="SENTENCIA_1997_35"/>
      <w:r>
        <w:lastRenderedPageBreak/>
        <w:t>SENTENCIA 35/1997, de 25 de febrero de 1997</w:t>
      </w:r>
    </w:p>
    <w:bookmarkEnd w:id="38"/>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78, de 1 de abril de 1997)</w:t>
      </w:r>
    </w:p>
    <w:p w:rsidR="008107C7" w:rsidRDefault="008107C7" w:rsidP="008107C7">
      <w:pPr>
        <w:pStyle w:val="TtuloBOE"/>
      </w:pPr>
    </w:p>
    <w:p w:rsidR="008107C7" w:rsidRDefault="008107C7" w:rsidP="008107C7">
      <w:pPr>
        <w:pStyle w:val="SntesisDescriptiva"/>
      </w:pPr>
      <w:r>
        <w:t>ECLI:ES:TC:1997:35</w:t>
      </w:r>
    </w:p>
    <w:p w:rsidR="008107C7" w:rsidRDefault="008107C7" w:rsidP="008107C7">
      <w:pPr>
        <w:pStyle w:val="SntesisDescriptiva"/>
      </w:pPr>
    </w:p>
    <w:p w:rsidR="008107C7" w:rsidRDefault="008107C7" w:rsidP="008107C7">
      <w:pPr>
        <w:pStyle w:val="SntesisDescriptiva"/>
      </w:pPr>
      <w:r>
        <w:t>Recurso de amparo 3.135/1994. Contra Autos dictados por el Juzgado de Vigilancia Penitenciaria núm. 1 de Madrid así como contra el Acuerdo de la Junta de Régimen y Administración del Centro Penitenciario de Preventivos Madrid I, que resolvía expediente disciplinario por los que se impuso sanción disciplinaria al recurrente.</w:t>
      </w:r>
    </w:p>
    <w:p w:rsidR="008107C7" w:rsidRDefault="008107C7" w:rsidP="008107C7">
      <w:pPr>
        <w:pStyle w:val="SntesisDescriptiva"/>
      </w:pPr>
    </w:p>
    <w:p w:rsidR="008107C7" w:rsidRDefault="008107C7" w:rsidP="008107C7">
      <w:pPr>
        <w:pStyle w:val="SntesisAnaltica"/>
      </w:pPr>
      <w:r>
        <w:t>Vulneración del derecho a utilizar los medios de prueba pertinentes.</w:t>
      </w:r>
    </w:p>
    <w:p w:rsidR="008107C7" w:rsidRDefault="008107C7" w:rsidP="008107C7">
      <w:pPr>
        <w:pStyle w:val="SntesisAnaltica"/>
      </w:pPr>
    </w:p>
    <w:p w:rsidR="008107C7" w:rsidRDefault="008107C7" w:rsidP="008107C7">
      <w:pPr>
        <w:pStyle w:val="Extracto"/>
      </w:pPr>
      <w:r>
        <w:t>1.</w:t>
      </w:r>
      <w:r>
        <w:tab/>
        <w:t>Como recuerda la STC 169/1996, cuando lo que se alega es principalmente la vulneración del derecho de defensa en el procedimiento disciplinario, refiriéndose al hecho de no haber obtenido respuesta a la solicitud de práctica de determinadas pruebas de descargo, y esta era la auténtica causa de pedir en el presente recurso de amparo, es decir, el fundamento de su pretensión, era obligado desde la perspectiva de las exigencias constitucionales, que el órgano judicial diera una respuesta motivada, lo que no se hizo . [F.J. 5]</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Alvaro Rodríguez Bereijo, Presidente, don Pedro Cruz Villalón, don Enrique Ruiz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3.135/1994, promovido por don Jesús González Limón, representado por la Procuradora de los Tribunales, doña Ana Isabel Madrid Villa, y asistido por el Letrado don Adolfo Barreda Salamanca, contra los Autos, de 22 de julio y 10 de septiembre de 1994, dictados por el Juzgado de Vigilancia Penitenciaria núm. 1 de Madrid, así como contra el Acuerdo de la Junta de Régimen y Administración del Centro Penitenciario de Preventivos Madrid I, de fecha 1 de julio de 1994, que resolvía el expediente disciplinario núm. 689/94, por los que se impuso una sanción disciplinaria al recurrente, interno en Centro Penitenciario. Ha intervenido el Ministerio Fiscal. Ha sido Ponente el Magistrado don Enrique Ruiz Vadillo, quien expresa el parecer de la Sala.</w:t>
      </w:r>
    </w:p>
    <w:p w:rsidR="008107C7" w:rsidRDefault="008107C7" w:rsidP="008107C7">
      <w:pPr>
        <w:pStyle w:val="TextoNormal"/>
      </w:pPr>
    </w:p>
    <w:p w:rsidR="008107C7" w:rsidRDefault="008107C7" w:rsidP="008107C7">
      <w:pPr>
        <w:pStyle w:val="TextoNormalNegritaCentrado"/>
        <w:keepNext/>
      </w:pPr>
      <w:r>
        <w:lastRenderedPageBreak/>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de 19 de septiembre de 1994, y con fecha de entrada en el Registro General de este Tribunal de 27 de septiembre de 1994, don Jesús González Limón, interno en el Centro Penitenciario de Herrera de la Mancha, solicitó el derecho a la justicia gratuita para formalizar demanda de amparo contra los Autos del Juzgado de Vigilancia Penitenciaria núm. 1 de Madrid, de fecha 22 de julio y 10 de septiembre de 1994, recaídos en el expediente núm. 229/1992-A, así como contra el Acuerdo de la Junta de Régimen y Administración del Centro Penitenciario de Preventivos Madrid I, de fecha 1 de julio de 1994, que resolvía expediente disciplinario núm. 689/94.</w:t>
      </w:r>
    </w:p>
    <w:p w:rsidR="008107C7" w:rsidRDefault="008107C7" w:rsidP="008107C7">
      <w:pPr>
        <w:pStyle w:val="TextoNormal"/>
      </w:pPr>
    </w:p>
    <w:p w:rsidR="008107C7" w:rsidRDefault="008107C7" w:rsidP="008107C7">
      <w:pPr>
        <w:pStyle w:val="TextoNormal"/>
      </w:pPr>
      <w:r w:rsidRPr="008107C7">
        <w:rPr>
          <w:rStyle w:val="NumeroAFNegritaCaracter"/>
        </w:rPr>
        <w:t>2</w:t>
      </w:r>
      <w:r>
        <w:t>. Por providencia de 3 de noviembre de 1994, se tuvo por designado Abogado y Procurador de los Tribunales del turno de oficio, y se requirió a la representación del recurrente para que en el plazo de veinte días formalizara la demanda de amparo, con los requisitos prevenidos en el art.49 LOTC, sin perjuicio del derecho del Letrado a excusarse de la defensa en el plazo de diez días que previene el art. 9 del Acuerdo del Pleno del Tribunal Constitucional de 20 de diciembre de 1982.</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Por escrito de 1 de diciembre de 1994, se formuló la demanda de amparo, basándose en síntesis en los siguientes hechos: </w:t>
      </w:r>
    </w:p>
    <w:p w:rsidR="008107C7" w:rsidRDefault="008107C7" w:rsidP="008107C7">
      <w:pPr>
        <w:pStyle w:val="TextoNormal"/>
      </w:pPr>
      <w:r>
        <w:t xml:space="preserve">A) El Director del Centro Penitenciario de Madrid I incoó expediente sancionador (núm. 689/94) contra el recurrente a consecuencia de parte suscrito por un funcionario. En él se imputaba al Sr.González Limón el haber increpado amenazadoramente a un funcionario cuando éste le dijo que debía esperar turno en vez de colarse para llamar por teléfono ". </w:t>
      </w:r>
    </w:p>
    <w:p w:rsidR="008107C7" w:rsidRDefault="008107C7" w:rsidP="008107C7">
      <w:pPr>
        <w:pStyle w:val="TextoNormal"/>
      </w:pPr>
      <w:r>
        <w:t xml:space="preserve">B) Al notificarle el pliego de cargos, el día 10 de junio de 1994, el recurrente hace constar su solicitud de "citación del funcionario don Alberto, testigos y medios de prueba propuestos en el escrito que se adjunta, así como comparecer ante la Junta de Régimen y Administración y ser asistido por Letrado". En dicho escrito de contestación al pliego de cargos, además de negar los hechos imputados, solicitaba el testimonio de los internos que realizaron llamadas telefónicas a la hora en que ocurrieron los hechos. </w:t>
      </w:r>
    </w:p>
    <w:p w:rsidR="008107C7" w:rsidRDefault="008107C7" w:rsidP="008107C7">
      <w:pPr>
        <w:pStyle w:val="TextoNormal"/>
      </w:pPr>
      <w:r>
        <w:t xml:space="preserve">C) Con fecha 13 de junio de 1994, el recurrente recibe un escrito en el que se le comunicaba, en cuanto a su solicitud, que: </w:t>
      </w:r>
    </w:p>
    <w:p w:rsidR="008107C7" w:rsidRDefault="008107C7" w:rsidP="008107C7">
      <w:pPr>
        <w:pStyle w:val="TextoNormal"/>
      </w:pPr>
      <w:r>
        <w:t xml:space="preserve">1) El art. 130 del Reglamento Penitenciario no prevé la asistencia del Letrado a la sesión de la Junta de Régimen y Administración, y la asistencia letrada durante la tramitación del expediente debe ser solicitada ante el Colegio de Abogados. </w:t>
      </w:r>
    </w:p>
    <w:p w:rsidR="008107C7" w:rsidRDefault="008107C7" w:rsidP="008107C7">
      <w:pPr>
        <w:pStyle w:val="TextoNormal"/>
      </w:pPr>
      <w:r>
        <w:t xml:space="preserve">2) Se accede a la declaración de los funcionarios de servicio el día de los hechos. </w:t>
      </w:r>
    </w:p>
    <w:p w:rsidR="008107C7" w:rsidRDefault="008107C7" w:rsidP="008107C7">
      <w:pPr>
        <w:pStyle w:val="TextoNormal"/>
      </w:pPr>
      <w:r>
        <w:t xml:space="preserve">3) Se desestima la prueba propuesta consistente en la declaración de los internos que esperaban para llamar el día de los hechos porque "en las fichas del teléfono consta el día en que se efectúa la llamada, nunca la hora, por lo que la prueba solicitada no se puede realizar". </w:t>
      </w:r>
    </w:p>
    <w:p w:rsidR="008107C7" w:rsidRDefault="008107C7" w:rsidP="008107C7">
      <w:pPr>
        <w:pStyle w:val="TextoNormal"/>
      </w:pPr>
      <w:r>
        <w:t xml:space="preserve">D) Con fecha 14 de junio de 1994 el recurrente remite escrito a la Junta de Régimen y Administración, en el que hacía constar la posibilidad de practicar la prueba denegada, pues el nombre de los internos que llamaron debía constar en la oficina de talleres, en el libro de registro de llamadas. También solicitaba se le tomara declaración al interno don Antonio López Sánchez. </w:t>
      </w:r>
    </w:p>
    <w:p w:rsidR="008107C7" w:rsidRDefault="008107C7" w:rsidP="008107C7">
      <w:pPr>
        <w:pStyle w:val="TextoNormal"/>
      </w:pPr>
      <w:r>
        <w:t xml:space="preserve">E) Dentro de la documentación remitida no se halla el Acta de la sesión de la Junta de Régimen y Administración. Tan sólo consta bajo la rúbrica "Alegaciones ante la Junta de </w:t>
      </w:r>
      <w:r>
        <w:lastRenderedPageBreak/>
        <w:t xml:space="preserve">Madrid I" una declaración firmada del recurrente del siguiente tenor: "Me ratifico en escrito presentado a la Junta", y la declaración del interno don Antonio López Sánchez, según la cual "cuando llegó este interno para llamar preguntó quién era el último. Se esperó y acto seguido le llamó el funcionario a la oficina, salió de la oficina muy enfadado y no comprendía por qué no podía llamar por teléfono ". </w:t>
      </w:r>
    </w:p>
    <w:p w:rsidR="008107C7" w:rsidRDefault="008107C7" w:rsidP="008107C7">
      <w:pPr>
        <w:pStyle w:val="TextoNormal"/>
      </w:pPr>
      <w:r>
        <w:t xml:space="preserve">F) En el Acuerdo sancionador de 1 de junio de 1994, los hechos enjuiciados se calificaban de falta grave del art. 109 a) R.P., imponiéndosele al recurrente la sanción de tres fines de semana de aislamiento en celda [art. 111 b) R.P.]. </w:t>
      </w:r>
    </w:p>
    <w:p w:rsidR="008107C7" w:rsidRDefault="008107C7" w:rsidP="008107C7">
      <w:pPr>
        <w:pStyle w:val="TextoNormal"/>
      </w:pPr>
      <w:r>
        <w:t xml:space="preserve">G) Dicho Acuerdo es recurrido por el interno ante el Juzgado de Vigilancia Penitenciaria mediante escrito de 4 de julio de 1994. En él denunciaba la injustificada denegación de la prueba propuesta, volviendo a solicitar su práctica, y aportando listado de los internos que supuestamente estaban esperando para llamar por teléfono cuando ocurrieron los hechos. También denunciaba que se hubieran tomado en consideración las declaraciones de funcionarios que no estaban presentes cuando acontecieron los hechos, así como el que no se hubiera valorado debidamente la declaración del interno don Antonio López Sánchez. Asimismo, alegaba que en la sesión celebrada por la Junta de Régimen y Administración no se permitió la presencia de su Abogado; que a dicha sesión, que duró cinco minutos, no compareció el funcionario firmante del parte, ni los otros funcionarios declarantes, lo que imposibilitó la contradicción. </w:t>
      </w:r>
    </w:p>
    <w:p w:rsidR="008107C7" w:rsidRDefault="008107C7" w:rsidP="008107C7">
      <w:pPr>
        <w:pStyle w:val="TextoNormal"/>
      </w:pPr>
      <w:r>
        <w:t xml:space="preserve">H) El Juzgado de Vigilancia Penitenciaria núm. 1 de Madrid, por Auto de 22 de julio de 1994, estimó parcialmente el recurso al entender que, si bien los hechos imputados no han sido desacreditados, son constitutivos de una falta leve del art. 110 c) R.P., imponiéndole la sanción de amonestación. </w:t>
      </w:r>
    </w:p>
    <w:p w:rsidR="008107C7" w:rsidRDefault="008107C7" w:rsidP="008107C7">
      <w:pPr>
        <w:pStyle w:val="TextoNormal"/>
      </w:pPr>
      <w:r>
        <w:t xml:space="preserve">I) Mediante escrito de 2 de agosto de 1994, el actor interpone recurso de reforma y subsidiario de apelación en el que, además de poner de manifiesto que el Auto recurrido para nada alude a la prueba propuesta, reproduce las quejas vertidas en su anterior escrito al Juzgado de Vigilancia Penitenciaria. </w:t>
      </w:r>
    </w:p>
    <w:p w:rsidR="008107C7" w:rsidRDefault="008107C7" w:rsidP="008107C7">
      <w:pPr>
        <w:pStyle w:val="TextoNormal"/>
      </w:pPr>
      <w:r>
        <w:t xml:space="preserve">J) El Juzgado de Vigilancia Penitenciaria dicta Auto el 10 de septiembre de 1994. Su fundamento jurídico segundo era del siguiente tenor: "No habiéndose producido ninguna variación fáctica o jurídica que aconseje la reforma del mencionado Auto, procede, por sus propios fundamentos, mantener la resolución impugnada, dictada en el expediente sancionador núm. 689/94", confirmando el acuerdo sancionador. </w:t>
      </w:r>
    </w:p>
    <w:p w:rsidR="008107C7" w:rsidRDefault="008107C7" w:rsidP="008107C7">
      <w:pPr>
        <w:pStyle w:val="TextoNormal"/>
      </w:pPr>
      <w:r>
        <w:t>K) Con posterioridad a la interposición del recurso de amparo, el 22 de septiembre de 1994, el Juzgado de Vigilancia Penitenciaria núm. 1 de Madrid dicta de oficio un Auto de aclaración, en el que rectifica los errores contenidos en su anterior resolución, disponiendo la desestimación del recurso de reforma y el mantenimiento del Auto de 22 de julio de 1994 en todas sus partes.</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En cuanto a la fundamentación jurídica de la demanda, el recurrente denuncia la lesión de los párrafos primero y segundo del art. 24 C.E. Dicha vulneración se habría producido por las siguientes razones: </w:t>
      </w:r>
    </w:p>
    <w:p w:rsidR="008107C7" w:rsidRDefault="008107C7" w:rsidP="008107C7">
      <w:pPr>
        <w:pStyle w:val="TextoNormal"/>
      </w:pPr>
      <w:r>
        <w:t xml:space="preserve">A) La Junta de Régimen y Administración habría denegado al recurrente la práctica de la prueba que considera más importante: la declaración de los internos que esperaban para llamar por teléfono el día en que ocurrieron los hechos. </w:t>
      </w:r>
    </w:p>
    <w:p w:rsidR="008107C7" w:rsidRDefault="008107C7" w:rsidP="008107C7">
      <w:pPr>
        <w:pStyle w:val="TextoNormal"/>
      </w:pPr>
      <w:r>
        <w:t xml:space="preserve">B) Al recurrente nunca le fue facilitada copia de las actuaciones que solicitó a efectos de poder preparar su defensa. </w:t>
      </w:r>
    </w:p>
    <w:p w:rsidR="008107C7" w:rsidRDefault="008107C7" w:rsidP="008107C7">
      <w:pPr>
        <w:pStyle w:val="TextoNormal"/>
      </w:pPr>
      <w:r>
        <w:t xml:space="preserve">C) Aunque no se reproduce en la demanda de amparo, formulada por Abogado designado de oficio, en el escrito inicial de interposición del recurso, el actor denunciaba, además, el </w:t>
      </w:r>
      <w:r>
        <w:lastRenderedPageBreak/>
        <w:t xml:space="preserve">que no se hubiera permitido la presencia de Abogado en la sesión de la Junta de Régimen y Administración. </w:t>
      </w:r>
    </w:p>
    <w:p w:rsidR="008107C7" w:rsidRDefault="008107C7" w:rsidP="008107C7">
      <w:pPr>
        <w:pStyle w:val="TextoNormal"/>
      </w:pPr>
      <w:r>
        <w:t xml:space="preserve">D) Denuncia, asímismo, que durante dicho acto no se le permitió interrogar a ningún testigo, no estando presentes los funcionarios citados, lo que le había producido indefensión. </w:t>
      </w:r>
    </w:p>
    <w:p w:rsidR="008107C7" w:rsidRDefault="008107C7" w:rsidP="008107C7">
      <w:pPr>
        <w:pStyle w:val="TextoNormal"/>
      </w:pPr>
      <w:r>
        <w:t xml:space="preserve">E) El Auto del Juzgado de Vigilancia Penitenciaria de 10 de septiembre de 1994 incurriría en la prohibición de la reformatio in peius en relación con su anterior resolución, lo que supondría una vulneración del derecho a la tutela judicial efectiva. </w:t>
      </w:r>
    </w:p>
    <w:p w:rsidR="008107C7" w:rsidRDefault="008107C7" w:rsidP="008107C7">
      <w:pPr>
        <w:pStyle w:val="TextoNormal"/>
      </w:pPr>
      <w:r>
        <w:t>F) Añade el recurrente, en su escrito inicial, que mediante dicho Auto se le había denegado el acceso al recurso de apelación, que contra las resoluciones del Juzgado de Vigilancia Penitenciaria establece la Disposición adicional quinta de la L.O.P.J.</w:t>
      </w:r>
    </w:p>
    <w:p w:rsidR="008107C7" w:rsidRDefault="008107C7" w:rsidP="008107C7">
      <w:pPr>
        <w:pStyle w:val="TextoNormal"/>
      </w:pPr>
    </w:p>
    <w:p w:rsidR="008107C7" w:rsidRDefault="008107C7" w:rsidP="008107C7">
      <w:pPr>
        <w:pStyle w:val="TextoNormal"/>
      </w:pPr>
      <w:r w:rsidRPr="008107C7">
        <w:rPr>
          <w:rStyle w:val="NumeroAFNegritaCaracter"/>
        </w:rPr>
        <w:t>5</w:t>
      </w:r>
      <w:r>
        <w:t>. Por providencia de 24 de enero de 1995, como trámite previo a su admisión, se acordó requerir al Juzgado de Vigilancia Penitenciaria núm. 1 de Madrid, y al Centro Penitenciario de Herrera de la Mancha, para que en el plazo de diez días, remitieran testimonio del expediente 229/1992-A y del expediente sancionador 689/94.</w:t>
      </w:r>
    </w:p>
    <w:p w:rsidR="008107C7" w:rsidRDefault="008107C7" w:rsidP="008107C7">
      <w:pPr>
        <w:pStyle w:val="TextoNormal"/>
      </w:pPr>
    </w:p>
    <w:p w:rsidR="008107C7" w:rsidRDefault="008107C7" w:rsidP="008107C7">
      <w:pPr>
        <w:pStyle w:val="TextoNormal"/>
      </w:pPr>
      <w:r w:rsidRPr="008107C7">
        <w:rPr>
          <w:rStyle w:val="NumeroAFNegritaCaracter"/>
        </w:rPr>
        <w:t>6</w:t>
      </w:r>
      <w:r>
        <w:t>. Recibidos los testimonios solicitados, por providencia de 27 de marzo de 1995, a tenor de lo dispuesto en el art. 50.3 LOTC, se acordó dar traslado al Ministerio Fiscal y al recurrente en amparo a los efectos de que en el plazo máximo e improrrogable de diez días, manifestaran lo que tuvieran por conveniente con relación a la posible concurrencia del siguiente motivo de inadmisión previsto en el art. 50.1 c) LOTC: "Carecer la demanda manifiestamente de contenido que justifique una decisión sobre el fondo por parte de este Tribunal Constitucional".</w:t>
      </w:r>
    </w:p>
    <w:p w:rsidR="008107C7" w:rsidRDefault="008107C7" w:rsidP="008107C7">
      <w:pPr>
        <w:pStyle w:val="TextoNormal"/>
      </w:pPr>
    </w:p>
    <w:p w:rsidR="008107C7" w:rsidRDefault="008107C7" w:rsidP="008107C7">
      <w:pPr>
        <w:pStyle w:val="TextoNormal"/>
      </w:pPr>
      <w:r w:rsidRPr="008107C7">
        <w:rPr>
          <w:rStyle w:val="NumeroAFNegritaCaracter"/>
        </w:rPr>
        <w:t>7</w:t>
      </w:r>
      <w:r>
        <w:t>. La parte recurrente por escrito registrado el día 10 de abril de 1995, reiteró los argumentos contenidos en su demanda de amparo.</w:t>
      </w:r>
    </w:p>
    <w:p w:rsidR="008107C7" w:rsidRDefault="008107C7" w:rsidP="008107C7">
      <w:pPr>
        <w:pStyle w:val="TextoNormal"/>
      </w:pPr>
    </w:p>
    <w:p w:rsidR="008107C7" w:rsidRDefault="008107C7" w:rsidP="008107C7">
      <w:pPr>
        <w:pStyle w:val="TextoNormal"/>
      </w:pPr>
      <w:r w:rsidRPr="008107C7">
        <w:rPr>
          <w:rStyle w:val="NumeroAFNegritaCaracter"/>
        </w:rPr>
        <w:t>8</w:t>
      </w:r>
      <w:r>
        <w:t>. El Ministerio Fiscal por escrito registrado el día 20 de abril de 1995, manifestó la falta de contenido constitucional de la demanda de amparo.</w:t>
      </w:r>
    </w:p>
    <w:p w:rsidR="008107C7" w:rsidRDefault="008107C7" w:rsidP="008107C7">
      <w:pPr>
        <w:pStyle w:val="TextoNormal"/>
      </w:pPr>
    </w:p>
    <w:p w:rsidR="008107C7" w:rsidRDefault="008107C7" w:rsidP="008107C7">
      <w:pPr>
        <w:pStyle w:val="TextoNormal"/>
      </w:pPr>
      <w:r w:rsidRPr="008107C7">
        <w:rPr>
          <w:rStyle w:val="NumeroAFNegritaCaracter"/>
        </w:rPr>
        <w:t>9</w:t>
      </w:r>
      <w:r>
        <w:t>. Por providencia de 5 de junio de 1995, se acordó la admisión a trámite de la demanda de amparo, así como el emplazamiento del Abogado del Estado conforme a lo dispuesto en el art. 51 LOTC, para que en el plazo máximo e improrrogable de diez días, compareciera en el presente procedimiento constitucional.</w:t>
      </w:r>
    </w:p>
    <w:p w:rsidR="008107C7" w:rsidRDefault="008107C7" w:rsidP="008107C7">
      <w:pPr>
        <w:pStyle w:val="TextoNormal"/>
      </w:pPr>
    </w:p>
    <w:p w:rsidR="008107C7" w:rsidRDefault="008107C7" w:rsidP="008107C7">
      <w:pPr>
        <w:pStyle w:val="TextoNormal"/>
      </w:pPr>
      <w:r w:rsidRPr="008107C7">
        <w:rPr>
          <w:rStyle w:val="NumeroAFNegritaCaracter"/>
        </w:rPr>
        <w:t>10</w:t>
      </w:r>
      <w:r>
        <w:t>. Personado el Abogado del Estado en tiempo y forma legal, por providencia de 3 de julio de 1995, conforme a lo dispuesto en el art. 52 LOTC, se acordó dar vista de las actuaciones recibidas, y todas las demás actuaciones del presente recurso de amparo en Secretaría, por un plazo común de veinte días al Ministerio Fiscal, al Abogado del Estado, y a la representación procesal del recurrente en amparo, para que dentro de dicho plazo pudieran presentar las alegaciones que a su derecho conviniera.</w:t>
      </w:r>
    </w:p>
    <w:p w:rsidR="008107C7" w:rsidRDefault="008107C7" w:rsidP="008107C7">
      <w:pPr>
        <w:pStyle w:val="TextoNormal"/>
      </w:pPr>
    </w:p>
    <w:p w:rsidR="008107C7" w:rsidRDefault="008107C7" w:rsidP="008107C7">
      <w:pPr>
        <w:pStyle w:val="TextoNormal"/>
      </w:pPr>
      <w:r w:rsidRPr="008107C7">
        <w:rPr>
          <w:rStyle w:val="NumeroAFNegritaCaracter"/>
        </w:rPr>
        <w:t>11</w:t>
      </w:r>
      <w:r>
        <w:t xml:space="preserve">. El Abogado del Estado por escrito de 17 de julio de 1995, efectuó las siguientes consideraciones jurídicas : </w:t>
      </w:r>
    </w:p>
    <w:p w:rsidR="008107C7" w:rsidRDefault="008107C7" w:rsidP="008107C7">
      <w:pPr>
        <w:pStyle w:val="TextoNormal"/>
      </w:pPr>
      <w:r>
        <w:t xml:space="preserve">A) Pretensión de amparo.-En cualquier caso, es manifiestamente improcedente la apelación ante la Audiencia Provincial (el Auto del Juzgado de Vigilancia Penitenciaria de 22 de </w:t>
      </w:r>
      <w:r>
        <w:lastRenderedPageBreak/>
        <w:t xml:space="preserve">julio de 1994 se dictó resolviendo un recurso de apelación contra una resolución administrativa sancionadora, y por tanto contra aquel Auto sólo cabía recurso de reforma de acuerdo con los apartados 1 y 3 de la Disposición adicional quinta L.O.P.J.). Y las otras dos infracciones - inasistencia de Abogado a la sesión de la Junta de Régimen y Administración, imposibilidad de interrogar - carecen de base constitucional. En los procedimientos administrativos sancionadores no hay derecho constitucional a la asistencia de Abogado (vid. SSTC 2/1987, y 229/1993), y el derecho a ser asesorado (art. 130.1) e del R.P.) no implica que la posible comparecencia del interno ante la Junta de Régimen y Administración se transforme en vista oral con informe de Abogado (vid. SSTC 74/1985, 190/1987, entre otras). Respecto a la imposibilidad de contrainterrogar a los funcionarios, vale lo que se dirá respecto a la supuesta lesión del derecho a las pruebas pertinentes: no se razona la trascendencia y relevancia, y en todo caso no hay indefensión material. </w:t>
      </w:r>
    </w:p>
    <w:p w:rsidR="008107C7" w:rsidRDefault="008107C7" w:rsidP="008107C7">
      <w:pPr>
        <w:pStyle w:val="TextoNormal"/>
      </w:pPr>
      <w:r>
        <w:t xml:space="preserve">B) Falta de agotamiento de la vía judicial.-El recurrente interpuso recurso de queja ante la Sección Cuarta de la Audiencia Provincial de Madrid contra los Autos del Juzgado de Vigilancia Penitenciaria, de 22 de julio y 10 de septiembre de 1994, contra los que se dirige este recurso de amparo. Y ello pese a que el Juzgado de Vigilancia Penitenciaria sustituyó el Auto de 10 de septiembre de 1994 por otro de 22 de septiembre de 1994. </w:t>
      </w:r>
    </w:p>
    <w:p w:rsidR="008107C7" w:rsidRDefault="008107C7" w:rsidP="008107C7">
      <w:pPr>
        <w:pStyle w:val="TextoNormal"/>
      </w:pPr>
      <w:r>
        <w:t xml:space="preserve">Este recurso de queja estaba pendiente de resolución en la fecha en que se interpuso el recurso de amparo. El recurrente no había agotado, pues, la vía judicial que estimó oportuno seguir [arts. 43.1 y 44.1 a) LOTC] y la sanción no era firme como exige el art. 43.3 LOTC. El amparo, en consecuencia, hubiera debido ser inadmitido - para proteger la subsidiariedad del amparo constitucional - si el Tribunal hubiera podido conocer la pendencia del recurso de queja, pendencia que tanto el escrito inicial como la posterior demanda firmada por Letrado han ocultado. La causa de inadmisión (art. 50.1 a) LOTC en relación con sus arts. 43.1 y 44.1 a) se convierte en razón suficiente para denegar el amparo. </w:t>
      </w:r>
    </w:p>
    <w:p w:rsidR="008107C7" w:rsidRDefault="008107C7" w:rsidP="008107C7">
      <w:pPr>
        <w:pStyle w:val="TextoNormal"/>
      </w:pPr>
      <w:r>
        <w:t xml:space="preserve">C) Reformatio in peius.-Es evidente el error en que incurrió el Juzgado al resolver el recurso de reforma por auto de 10 de septiembre de 1994. Hay, pues, que dar toda la razón a la demanda de amparo cuando sostiene que se produjo reformatio in peius contraria al art. 24 C.E. La mejor prueba es el auto llamado de aclaración dictado de oficio por el Juzgado de Vigilancia Penitenciaria el 22 de septiembre de 1994. </w:t>
      </w:r>
    </w:p>
    <w:p w:rsidR="008107C7" w:rsidRDefault="008107C7" w:rsidP="008107C7">
      <w:pPr>
        <w:pStyle w:val="TextoNormal"/>
      </w:pPr>
      <w:r>
        <w:t xml:space="preserve">Este Auto de 22 de septiembre de 1994, desborda los límites de la aclaración (art. 267 L.O.P.J. y 161 L.E.Crim), y constituye variación de un Auto definitivo que contraría los expresados artículos. Se abren aquí dos posibilidades. La primera considerar corregida la reformatio in peius mediante una vía, como poco, ilegal. La otra hacer caso omiso del Auto llamado de aclaración, posterior, por lo demás, a la fecha del 20 de septiembre de 1994 en que se entregó al correo el escrito de 19 de septiembre de 1994 con que se ha iniciado este recurso. El Abogado del Estado se pronuncia por esta segunda posibilidad: debemos hacer abstracción del Auto llamado de aclaración. </w:t>
      </w:r>
    </w:p>
    <w:p w:rsidR="008107C7" w:rsidRDefault="008107C7" w:rsidP="008107C7">
      <w:pPr>
        <w:pStyle w:val="TextoNormal"/>
      </w:pPr>
      <w:r>
        <w:t xml:space="preserve">D) Sobre las vulneraciones imputadas a la Administración penitenciaria.-En primer término, la sanción por falta grave impuesta por la Junta de Régimen y Administración ha quedado invalidada por el Auto del órgano judicial de 22 de julio de 1994. En ese Auto, el Juzgado de Vigilancia Penitenciaria califica la falta de leve e impone la más ligera de todas las sanciones, amonestación. El Juzgado no sólo revisa las sanciones, sino que interviene en su imposición, según dice el art. 116.4 del R.P. Ahora bien, reducida la falta a leve por el Juzgado de Vigilancia Penitenciaria, decaen todas las infracciones procedimentales denunciadas, ya que la garantía del procedimiento sólo existe para faltas muy graves y graves (art. 116.2 del R.P). </w:t>
      </w:r>
    </w:p>
    <w:p w:rsidR="008107C7" w:rsidRDefault="008107C7" w:rsidP="008107C7">
      <w:pPr>
        <w:pStyle w:val="TextoNormal"/>
      </w:pPr>
      <w:r>
        <w:lastRenderedPageBreak/>
        <w:t xml:space="preserve">En segundo lugar, tampoco puede entenderse que la falta de comunicación de todos los antecedentes y la denegación de la prueba constituyan la violación de derechos fundamentales que se denuncia. Así : </w:t>
      </w:r>
    </w:p>
    <w:p w:rsidR="008107C7" w:rsidRDefault="008107C7" w:rsidP="008107C7">
      <w:pPr>
        <w:pStyle w:val="TextoNormal"/>
      </w:pPr>
      <w:r>
        <w:t xml:space="preserve">1) El derecho a ser informado de la acusación se satisface en el régimen de disciplina penitenciaria con la comunicación del pliego de cargos, contestado el 10 de junio de 1994 por el solicitante de amparo, el cual añadió un nuevo escrito sobre prueba el 14 de junio de 1994 (vid. SSTC 2/1987, 190/1987, y 192/1987). Repárese, en fin, que la comunicación de las actuaciones no se pidió para preparar la defensa en el procedimiento administrativo disciplinario, sino concluido éste y notificada la sanción, a fin de preparar la alzada ante el Juzgado, ya que el escrito en que se pide la comunicación de las actuaciones es de 4 de julio de 1994 y la sanción se impuso el 1 de julio de dicho año. Ahora bien, en el trámite de la alzada o apelación ante el Juzgado de Vigilancia Penitenciaria no está prevista la expresada comunicación, y se puede comprobar mediante la simple lectura del escrito de alzada firmado por el interno, que éste poseía la información suficiente y adecuada para su defensa, sobre las actuaciones administrativas sancionadoras. </w:t>
      </w:r>
    </w:p>
    <w:p w:rsidR="008107C7" w:rsidRDefault="008107C7" w:rsidP="008107C7">
      <w:pPr>
        <w:pStyle w:val="TextoNormal"/>
      </w:pPr>
      <w:r>
        <w:t>2) Respecto al derecho a utilizar las pruebas pertinentes, las SSTC 74/1985, y 2/1987, declararon que rige también en el procedimiento de disciplina penitenciaria. Según constante doctrina constitucional, es carga del demandante de amparo razonar la trascendencia y relevancia del medio de prueba denegado (vid. SSTC, entre otras, 357/1993, 206/1994, 270/1994; para el procedimiento de disciplina penitenciaria, SSTC 190/1987, 192/1987, y 199/1992). No hay en nuestro caso razonamiento sobre la expresada trascendencia y relevancia. Consecuentemente, la motivación dada por la Junta de Régimen y Administración para denegar las pruebas propuestas por el interno queda inconmovible.</w:t>
      </w:r>
    </w:p>
    <w:p w:rsidR="008107C7" w:rsidRDefault="008107C7" w:rsidP="008107C7">
      <w:pPr>
        <w:pStyle w:val="TextoNormal"/>
      </w:pPr>
    </w:p>
    <w:p w:rsidR="008107C7" w:rsidRDefault="008107C7" w:rsidP="008107C7">
      <w:pPr>
        <w:pStyle w:val="TextoNormal"/>
      </w:pPr>
      <w:r w:rsidRPr="008107C7">
        <w:rPr>
          <w:rStyle w:val="NumeroAFNegritaCaracter"/>
        </w:rPr>
        <w:t>12</w:t>
      </w:r>
      <w:r>
        <w:t xml:space="preserve">. Por el Ministerio Fiscal, por escrito de 27 de julio de 1995, se efectuaron las siguientes alegaciones: </w:t>
      </w:r>
    </w:p>
    <w:p w:rsidR="008107C7" w:rsidRDefault="008107C7" w:rsidP="008107C7">
      <w:pPr>
        <w:pStyle w:val="TextoNormal"/>
      </w:pPr>
      <w:r>
        <w:t xml:space="preserve">A) Debe descartarse cualquier clase de reforma peyorativa en la resolución judicial de 10 de septiembre de 1994 impugnada, por cuanto, además de deducirse de la parte dispositiva de dicho Auto que se confirmaba la condena por falta leve y no el Acuerdo por falta grave impuesto el día 1 de julio de 1994, es que se dictó después, el 22 de septiembre de dicho año, otro Auto en el que esta consideración se dejó expresamente dicha. </w:t>
      </w:r>
    </w:p>
    <w:p w:rsidR="008107C7" w:rsidRDefault="008107C7" w:rsidP="008107C7">
      <w:pPr>
        <w:pStyle w:val="TextoNormal"/>
      </w:pPr>
      <w:r>
        <w:t xml:space="preserve">B) De otra parte, la asistencia de Letrado al recurrente quedó prestada en los términos que exige la doctrina del Tribunal Constitucional, al haberse cumplido la posibilidad de asesorarse de Abogado durante la tramitación del expediente disciplinario, sin que la asistencia personal del Letrado durante la comparecencia del recluso ante la Junta forme parte del derecho a aquella asistencia, como se afirma y explica en la STC 190/1987 (fundamento jurídico 3º) y en las que cita, con referencia a la STC 74/1985, (fundamento jurídico 4º). </w:t>
      </w:r>
    </w:p>
    <w:p w:rsidR="008107C7" w:rsidRDefault="008107C7" w:rsidP="008107C7">
      <w:pPr>
        <w:pStyle w:val="TextoNormal"/>
      </w:pPr>
      <w:r>
        <w:t xml:space="preserve">C) Debe rechazarse, asimismo, el alegato de que no le fueron facilitadas las actuaciones para su defensa, ya que se le dio traslado del pliego de cargos (10 de junio de 1994), que contenía un relato de los hechos que se le imputaban, en los términos suficientes que precisa la STC 190/1987, (fundamento jurídico 3º) en referencia a la STC 2/1987, (fundamento jurídico 6º) y que garantizan el suficiente conocimiento de los hechos imputados. </w:t>
      </w:r>
    </w:p>
    <w:p w:rsidR="008107C7" w:rsidRDefault="008107C7" w:rsidP="008107C7">
      <w:pPr>
        <w:pStyle w:val="TextoNormal"/>
      </w:pPr>
      <w:r>
        <w:t xml:space="preserve">D) En cuanto a la denegación de la prueba propuesta y a la motivación de las resoluciones recaídas en el expediente disciplinario, la cuestión ya es distinta. Es cierto, que dentro del trámite de admisión, la Junta de Régimen razonó el rechazo de la prueba al manifestar que no se aceptaba la declaración de los internos que se encontraban llamando o intentando llamar por teléfono al tiempo de ocurrir los hechos porque no se podía conocer la hora en </w:t>
      </w:r>
      <w:r>
        <w:lastRenderedPageBreak/>
        <w:t xml:space="preserve">que estuvieron hablando. En este sentido, la ausencia de motivación de las resoluciones judiciales podía interpretarse como una motivación por referencia. </w:t>
      </w:r>
    </w:p>
    <w:p w:rsidR="008107C7" w:rsidRDefault="008107C7" w:rsidP="008107C7">
      <w:pPr>
        <w:pStyle w:val="TextoNormal"/>
      </w:pPr>
      <w:r>
        <w:t xml:space="preserve">Para analizar la lesión del derecho a utilizar los medios de prueba pertinentes, a la luz de la doctrina que sienta, entre otras, la STC 190/1987 y la STC 97/1995, es necesario el recuerdo aunque breve a la doctrina del Tribunal Constitucional. </w:t>
      </w:r>
    </w:p>
    <w:p w:rsidR="008107C7" w:rsidRDefault="008107C7" w:rsidP="008107C7">
      <w:pPr>
        <w:pStyle w:val="TextoNormal"/>
      </w:pPr>
      <w:r>
        <w:t xml:space="preserve">Desde la STC 18/1981 se han aplicado las garantías constitucionales de defensa, presunción de inocencia y actividad probatoria del art.24.2 C.E. a los procedimientos administrativos sancionadores, con especial vigor a los internos penitenciarios (vid. SSTC 2/1987, 212/1990, 145/1993, 297/1993, entre otras). </w:t>
      </w:r>
    </w:p>
    <w:p w:rsidR="008107C7" w:rsidRDefault="008107C7" w:rsidP="008107C7">
      <w:pPr>
        <w:pStyle w:val="TextoNormal"/>
      </w:pPr>
      <w:r>
        <w:t xml:space="preserve">También se ha dicho que el derecho de defensa exige no que se practiquen todas las pruebas propuestas, pero sí que las que se rechacen se declaren impertinentes de manera fundada y no arbitraria, esto es, que la denegación debe serlo a través de una fundamentación razonable (vid. SSTC 94/1992, 297/1993, entre otras). </w:t>
      </w:r>
    </w:p>
    <w:p w:rsidR="008107C7" w:rsidRDefault="008107C7" w:rsidP="008107C7">
      <w:pPr>
        <w:pStyle w:val="TextoNormal"/>
      </w:pPr>
      <w:r>
        <w:t xml:space="preserve">Aplicando esta doctrina al presente caso, hemos de convenir que la razón que contenía la resolución administrativa para rechazar la prueba, -por otra parte en sí misma razonable- no era suficiente motivación y por ello, la ausencia de fundamentación de las resoluciones judiciales convirtieron la denegación y no práctica de la prueba, en algo que puede calificarse de arbitrario al no haber sido subsanado por el Juez. </w:t>
      </w:r>
    </w:p>
    <w:p w:rsidR="008107C7" w:rsidRDefault="008107C7" w:rsidP="008107C7">
      <w:pPr>
        <w:pStyle w:val="TextoNormal"/>
      </w:pPr>
      <w:r>
        <w:t xml:space="preserve">En tal sentido, discutiéndose en el expediente disciplinario si el interno había intentado "colarse" entre los que esperaban para hablar por teléfono, y en la respuesta que se dice dio al funcionario, que trataba de resolver la alteración producida entre los concurrentes por aquella cuestión, parece adecuada la prueba propuesta por el acusado, consistente en la declaración de los presentes en el momento de ocurrir los hechos, habida cuenta de que la única prueba existente era la declaración del funcionario que había dado el parte y la de un interno que se encontraba próximo. </w:t>
      </w:r>
    </w:p>
    <w:p w:rsidR="008107C7" w:rsidRDefault="008107C7" w:rsidP="008107C7">
      <w:pPr>
        <w:pStyle w:val="TextoNormal"/>
      </w:pPr>
      <w:r>
        <w:t xml:space="preserve">Sin embargo, el argumento que se empleó para rechazar la prueba fue el de que el Centro no podía conocer la hora que hablaron por teléfono los internos; pero ésto no parece de recibo. En primer lugar, porque en el parte dado por el funcionario figuraba que los hechos ocurrieron a las 14,10 horas. En segundo lugar, porque sobre el libro de registro de llamadas a que alude el recurrente nada se dice. Y sobre todo, porque el propio actor aportó la lista de los que quería que depusieran como testigos, sin que tampoco se le contestara a esta pretensión. A ello hay que agregar la ausencia en absoluto de motivación que padecen las resoluciones judiciales, a pesar de la insistencia del recluso en sus recursos, sobre los derechos fundamentales que estima vulnerados, y la denegación de la prueba propuesta. </w:t>
      </w:r>
    </w:p>
    <w:p w:rsidR="008107C7" w:rsidRDefault="008107C7" w:rsidP="008107C7">
      <w:pPr>
        <w:pStyle w:val="TextoNormal"/>
      </w:pPr>
      <w:r>
        <w:t>E) Todo ello, indica el Ministerio Fiscal, debe conducir a la estimación del recurso de amparo, para que se reconozca al recurrente su derecho a utilizar los medios de prueba pertinentes para su defensa, y se motiven las resoluciones en el sentido procedente.</w:t>
      </w:r>
    </w:p>
    <w:p w:rsidR="008107C7" w:rsidRDefault="008107C7" w:rsidP="008107C7">
      <w:pPr>
        <w:pStyle w:val="TextoNormal"/>
      </w:pPr>
    </w:p>
    <w:p w:rsidR="008107C7" w:rsidRDefault="008107C7" w:rsidP="008107C7">
      <w:pPr>
        <w:pStyle w:val="TextoNormal"/>
      </w:pPr>
      <w:r w:rsidRPr="008107C7">
        <w:rPr>
          <w:rStyle w:val="NumeroAFNegritaCaracter"/>
        </w:rPr>
        <w:t>13</w:t>
      </w:r>
      <w:r>
        <w:t>. La representación procesal del recurrente en amparo mediante escrito registrado el día 29 de julio de 1995, se ratificó en las manifestaciones contenidas tanto en su escrito de demanda, como en las efectuadas mediante escrito de 10 de abril de 1995.</w:t>
      </w:r>
    </w:p>
    <w:p w:rsidR="008107C7" w:rsidRDefault="008107C7" w:rsidP="008107C7">
      <w:pPr>
        <w:pStyle w:val="TextoNormal"/>
      </w:pPr>
    </w:p>
    <w:p w:rsidR="008107C7" w:rsidRDefault="008107C7" w:rsidP="008107C7">
      <w:pPr>
        <w:pStyle w:val="TextoNormal"/>
      </w:pPr>
      <w:r w:rsidRPr="008107C7">
        <w:rPr>
          <w:rStyle w:val="NumeroAFNegritaCaracter"/>
        </w:rPr>
        <w:t>14</w:t>
      </w:r>
      <w:r>
        <w:t>. Por providencia de 24 de febrero de 1997, se señaló para la deliberación y votación de la presente Sentencia el día 25 del mismo mes y año.</w:t>
      </w:r>
    </w:p>
    <w:p w:rsidR="008107C7" w:rsidRDefault="008107C7" w:rsidP="008107C7">
      <w:pPr>
        <w:pStyle w:val="TextoNormal"/>
      </w:pPr>
    </w:p>
    <w:p w:rsidR="008107C7" w:rsidRDefault="008107C7" w:rsidP="008107C7">
      <w:pPr>
        <w:pStyle w:val="TextoNormalNegritaCentrado"/>
        <w:keepNext/>
      </w:pPr>
      <w:r>
        <w:lastRenderedPageBreak/>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En el encabezamiento del escrito en el que se formula la demanda de amparo, el solicitante cita como artículos vulnerados de la Constitución el 24 en sus dos apartados, concretando en el desarrollo del escrito cuáles son las específicas violaciones por él sufridas.</w:t>
      </w:r>
    </w:p>
    <w:p w:rsidR="008107C7" w:rsidRDefault="008107C7" w:rsidP="008107C7">
      <w:pPr>
        <w:pStyle w:val="TextoNormal"/>
      </w:pPr>
      <w:r>
        <w:t>En primer lugar, con invocación de la STC 297/1993, recuerda que las garantías procesales establecidas en el art. 24.2 C.E. son aplicables, además de al proceso penal, a los procedimientos administrativos sancionadores en cuanto que ambos casos, de acuerdo con la STC 145/1993, son manifestaciones de la potestad punitiva del Estado, viniendo establecido, dice el recurrente, que estas garantías son los derechos de defensa, de presunción de inocencia y de actividad probatoria, cuando a él la Junta de Régimen del Centro Penitenciario en el que estaba interno le negó la práctica de la prueba más importante,sin que le fueran facilitadas las actuaciones por él solicitadas, vulnerándose así el derecho a conocer los cargos que se le imputaban.</w:t>
      </w:r>
    </w:p>
    <w:p w:rsidR="008107C7" w:rsidRDefault="008107C7" w:rsidP="008107C7">
      <w:pPr>
        <w:pStyle w:val="TextoNormal"/>
      </w:pPr>
      <w:r>
        <w:t>También, invoca la vulneración del principio que prohíbe la reformatio in peius, que forma parte del derecho a la tutela judicial efectiva teniendo en cuenta que vio empeorada su situación a consecuencia de su propio recurso.</w:t>
      </w:r>
    </w:p>
    <w:p w:rsidR="008107C7" w:rsidRDefault="008107C7" w:rsidP="008107C7">
      <w:pPr>
        <w:pStyle w:val="TextoNormal"/>
      </w:pPr>
    </w:p>
    <w:p w:rsidR="008107C7" w:rsidRDefault="008107C7" w:rsidP="008107C7">
      <w:pPr>
        <w:pStyle w:val="TextoNormal"/>
      </w:pPr>
      <w:r w:rsidRPr="008107C7">
        <w:rPr>
          <w:rStyle w:val="NumeroAFNegritaCaracter"/>
        </w:rPr>
        <w:t>2</w:t>
      </w:r>
      <w:r>
        <w:t>. El solicitante de amparo que fue acusado de la comisión de dos faltas muy graves comprendidas en los arts. 108, a) y b) del Reglamento Penitenciario por la actitud mantenida frente a un funcionario y por las palabras al mismo dirigidas, solicitó al contestar el correspondiente pliego de cargos, asistencia letrada, copia de las actuaciones así como la práctica de determinadas pruebas, entre ellas la declaración de otros reclusos, que como él, formaban cola para hacer la oportuna llamada telefónica.</w:t>
      </w:r>
    </w:p>
    <w:p w:rsidR="008107C7" w:rsidRDefault="008107C7" w:rsidP="008107C7">
      <w:pPr>
        <w:pStyle w:val="TextoNormal"/>
      </w:pPr>
      <w:r>
        <w:t>La Junta de Régimen le nombró Abogado de oficio, pese a ser facultativa su asistencia, pero no le autorizó, a estar presente en el acto de la vista, y no fueron admitidas las pruebas interesadas, en razón a que no podía conocerse la hora en que los internos estaban hablando por teléfono, pese a que en el parte de denuncia se hacia constar que el hecho ocurrió a las 14,10 horas, problema al que luego se hará referencia, aunque es obvio que la decisión de la Junta de Régimen dió una respuesta razonada al interno, ahora recurrente, pese a que su contenido no le fuera favorable.</w:t>
      </w:r>
    </w:p>
    <w:p w:rsidR="008107C7" w:rsidRDefault="008107C7" w:rsidP="008107C7">
      <w:pPr>
        <w:pStyle w:val="TextoNormal"/>
      </w:pPr>
      <w:r>
        <w:t>El solicitante de amparo interpuso recurso de alzada ante el Juzgado competente de Vigilancia Penitenciaria que dictó Auto estimándolo en parte y sancionando al recurrente por una falta leve del art. 110 c) del citado Reglamento a una simple amonestación.</w:t>
      </w:r>
    </w:p>
    <w:p w:rsidR="008107C7" w:rsidRDefault="008107C7" w:rsidP="008107C7">
      <w:pPr>
        <w:pStyle w:val="TextoNormal"/>
      </w:pPr>
    </w:p>
    <w:p w:rsidR="008107C7" w:rsidRDefault="008107C7" w:rsidP="008107C7">
      <w:pPr>
        <w:pStyle w:val="TextoNormal"/>
      </w:pPr>
      <w:r w:rsidRPr="008107C7">
        <w:rPr>
          <w:rStyle w:val="NumeroAFNegritaCaracter"/>
        </w:rPr>
        <w:t>3</w:t>
      </w:r>
      <w:r>
        <w:t>. Concretadas ya las violaciones denunciadas al ámbito judicial con carácter previo al examen de las quejas constitucionales formuladas por el recurrente, es preciso indicar que el recurrente, pese a lo manifestado por el Abogado del Estado en su escrito de alegaciones, había procedido a agotar la vía jurisdiccional previa, a los efectos de la interposición del presente recurso de amparo, dando cumplimiento, por tanto, al requisito contemplado en los arts. 43.1 y 44.1 a) ambos de la LOTC, toda vez que procesalmente no existe la previsión de que en el presente caso, se pueda interponer el consiguiente recurso de apelación, y ante la negativa a su admisión, el recurso de queja al que se alude en dicho escrito, en virtud de la interpretación que razonablemente viene dándose con cierta generalidad al sistema impugnatorio, no muy preciso en el orden penitenciario.</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4</w:t>
      </w:r>
      <w:r>
        <w:t>. Procede, por consiguiente, examinar individualmente las quejas del recurrente, y en este sentido, hay que poner de relieve que cuando el Auto del Juzgado de 10 de septiembre de 1994, y más en concreto el de 22 del igual mes y año, que aclara el anterior, expresan que la condena ha de serlo por una falta leve, es obvio que la decisión judicial le fue ampliamente favorable, aunque no satisficiera todas sus pretensiones, sin que en consecuencia, pueda hablarse en absoluto de la invocada prohibición de la reformatio in peius.</w:t>
      </w:r>
    </w:p>
    <w:p w:rsidR="008107C7" w:rsidRDefault="008107C7" w:rsidP="008107C7">
      <w:pPr>
        <w:pStyle w:val="TextoNormal"/>
      </w:pPr>
      <w:r>
        <w:t>Respecto de la asistencia de Letrado, la misma quedó satisfecha desde el momento en que le fue nombrado de oficio, permitiéndole así obtener un asesoramiento, y dirigir, si ello se hubiera estimado procedente, los oportunos escritos a la Junta de Régimen, sin que la presencia física del Abogado en aquélla, forme parte necesaria del derecho de defensa de acuerdo con las SSTC 74/1985, y 229/1993.</w:t>
      </w:r>
    </w:p>
    <w:p w:rsidR="008107C7" w:rsidRDefault="008107C7" w:rsidP="008107C7">
      <w:pPr>
        <w:pStyle w:val="TextoNormal"/>
      </w:pPr>
      <w:r>
        <w:t>Tampoco es aceptable la tesis del recurrente respecto del derecho a recibir información en relación con la acusación contra él formulada, pues el traslado del pliego de cargos que contenía el relato de los hechos imputados, satisface plenamente esta exigencia constitucional (vid. STC 190/1987).</w:t>
      </w:r>
    </w:p>
    <w:p w:rsidR="008107C7" w:rsidRDefault="008107C7" w:rsidP="008107C7">
      <w:pPr>
        <w:pStyle w:val="TextoNormal"/>
      </w:pPr>
    </w:p>
    <w:p w:rsidR="008107C7" w:rsidRDefault="008107C7" w:rsidP="008107C7">
      <w:pPr>
        <w:pStyle w:val="TextoNormal"/>
      </w:pPr>
      <w:r w:rsidRPr="008107C7">
        <w:rPr>
          <w:rStyle w:val="NumeroAFNegritaCaracter"/>
        </w:rPr>
        <w:t>5</w:t>
      </w:r>
      <w:r>
        <w:t>. Tratamiento distinto ha de recibir la denegación de la prueba propuesta.</w:t>
      </w:r>
    </w:p>
    <w:p w:rsidR="008107C7" w:rsidRDefault="008107C7" w:rsidP="008107C7">
      <w:pPr>
        <w:pStyle w:val="TextoNormal"/>
      </w:pPr>
      <w:r>
        <w:t>Muchas veces ha expresado este Tribunal la especial atención que ha dedicarse al derecho de defensa en general y muy en especial de quienes por estar internos en un Centro Penitenciario, se encuentran en una situación especialmente gravosa. La STC 169/1996, con cita en otras varias (vid. SSTC 73/1983, 2/1987, 161/1993, 97/1995 y 129/1995) ha recordado la relevante función que tienen encomendados los Juzgados de Vigilancia Penitenciaria a la hora de garantizar los derechos fundamentales de los internos, en relación con el ejercicio de la potestad sancionadora por parte de la Administración. Y en este sentido es inexcusable que frente a un determinado pliego de cargos, el interno pueda articular su defensa negando los hechos que han de servir de base a la sanción, o dándoles una distinta versión, y por consiguiente la denegación de la prueba que se solicitaba, sólo puede hacerse de manera fundamentada, esto es explicando razonablemente el por qué de su rechazo (vid. SSTC 94/1992, 279/1993, entre otras).</w:t>
      </w:r>
    </w:p>
    <w:p w:rsidR="008107C7" w:rsidRDefault="008107C7" w:rsidP="008107C7">
      <w:pPr>
        <w:pStyle w:val="TextoNormal"/>
      </w:pPr>
      <w:r>
        <w:t>Cuando, como en este caso acontece, la prueba solicitada que había de ser considerada como no desprovista de razonabilidad -es decir, que se oyera a quienes presenciaron el incidente- pese a lo cual, sin una fundamentación apoyada en la lógica, se deniega sin más, es obvio, que las resoluciones judiciales que no rectificaron el pronunciamiento de la Administración Penitenciaria, no satisficieron el legítimo derecho del interno a la prueba, en los términos ya explicados.</w:t>
      </w:r>
    </w:p>
    <w:p w:rsidR="008107C7" w:rsidRDefault="008107C7" w:rsidP="008107C7">
      <w:pPr>
        <w:pStyle w:val="TextoNormal"/>
      </w:pPr>
      <w:r>
        <w:t>Como recuerda la STC 169/1996, cuando lo que se alega es principalmente la vulneración del derecho de defensa en el procedimiento disciplinario, refiriéndose al hecho de no haber obtenido respuesta a la solicitud de práctica de determinadas pruebas de descargo, y esta era la auténtica causa de pedir en el presente recurso de amparo, es decir, el fundamento de su pretensión, era obligado desde la perspectiva de las exigencias constitucionales, que el órgano judicial diera una respuesta motivada lo que, como ya se dijo, no se hizo.</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CONCEDE LA CONSTITUCION DE LA NACION ESPAÑOLA,</w:t>
      </w:r>
    </w:p>
    <w:p w:rsidR="008107C7" w:rsidRDefault="008107C7" w:rsidP="008107C7">
      <w:pPr>
        <w:pStyle w:val="TextoNormal"/>
      </w:pPr>
    </w:p>
    <w:p w:rsidR="008107C7" w:rsidRDefault="008107C7" w:rsidP="008107C7">
      <w:pPr>
        <w:pStyle w:val="TextoNormalCentrado"/>
        <w:keepNext/>
      </w:pPr>
      <w:r>
        <w:lastRenderedPageBreak/>
        <w:t>Ha decidido</w:t>
      </w:r>
    </w:p>
    <w:p w:rsidR="008107C7" w:rsidRDefault="008107C7" w:rsidP="008107C7">
      <w:pPr>
        <w:pStyle w:val="TextoNormalCentrado"/>
        <w:keepNext/>
      </w:pPr>
    </w:p>
    <w:p w:rsidR="008107C7" w:rsidRDefault="008107C7" w:rsidP="008107C7">
      <w:pPr>
        <w:pStyle w:val="TextoNormal"/>
      </w:pPr>
      <w:r>
        <w:t>Otorgar el amparo solicitado por don Jesús González Limón y, en su virtud :</w:t>
      </w:r>
    </w:p>
    <w:p w:rsidR="008107C7" w:rsidRDefault="008107C7" w:rsidP="008107C7">
      <w:pPr>
        <w:pStyle w:val="TextoNormal"/>
      </w:pPr>
      <w:r>
        <w:t>1º. Reconocer al recurrente su derecho a utilizar los medios de prueba pertinentes para su propia defensa (art. 24.2 C.E.).</w:t>
      </w:r>
    </w:p>
    <w:p w:rsidR="008107C7" w:rsidRDefault="008107C7" w:rsidP="008107C7">
      <w:pPr>
        <w:pStyle w:val="TextoNormal"/>
      </w:pPr>
      <w:r>
        <w:t>2º. Anular los Autos de 22 de julio y 10 de septiembre de 1994, dictados por el Juzgado de Vigilancia Penitenciaria núm. 1 de Madrid.</w:t>
      </w:r>
    </w:p>
    <w:p w:rsidR="008107C7" w:rsidRDefault="008107C7" w:rsidP="008107C7">
      <w:pPr>
        <w:pStyle w:val="TextoNormal"/>
      </w:pPr>
      <w:r>
        <w:t>3º. Retrotraer las actuaciones al momento procesal oportuno, a los efectos de que se resuelva sobre la prueba testifical propuesta.</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veinticinco de febrero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39" w:name="SENTENCIA_1997_36"/>
      <w:r>
        <w:lastRenderedPageBreak/>
        <w:t>SENTENCIA 36/1997, de 25 de febrero de 1997</w:t>
      </w:r>
    </w:p>
    <w:bookmarkEnd w:id="39"/>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78, de 1 de abril de 1997)</w:t>
      </w:r>
    </w:p>
    <w:p w:rsidR="008107C7" w:rsidRDefault="008107C7" w:rsidP="008107C7">
      <w:pPr>
        <w:pStyle w:val="TtuloBOE"/>
      </w:pPr>
    </w:p>
    <w:p w:rsidR="008107C7" w:rsidRDefault="008107C7" w:rsidP="008107C7">
      <w:pPr>
        <w:pStyle w:val="SntesisDescriptiva"/>
      </w:pPr>
      <w:r>
        <w:t>ECLI:ES:TC:1997:36</w:t>
      </w:r>
    </w:p>
    <w:p w:rsidR="008107C7" w:rsidRDefault="008107C7" w:rsidP="008107C7">
      <w:pPr>
        <w:pStyle w:val="SntesisDescriptiva"/>
      </w:pPr>
    </w:p>
    <w:p w:rsidR="008107C7" w:rsidRDefault="008107C7" w:rsidP="008107C7">
      <w:pPr>
        <w:pStyle w:val="SntesisDescriptiva"/>
      </w:pPr>
      <w:r>
        <w:t>Recurso de amparo 3.390/1994. Contra Autos del T.S.J. de Galicia (Sala de lo Contencioso- Administrativo) que declararon caducado el recurso interpuesto contra Resolución del Alcalde de O Grove imponiendo una multa por infracción urbanística.</w:t>
      </w:r>
    </w:p>
    <w:p w:rsidR="008107C7" w:rsidRDefault="008107C7" w:rsidP="008107C7">
      <w:pPr>
        <w:pStyle w:val="SntesisDescriptiva"/>
      </w:pPr>
    </w:p>
    <w:p w:rsidR="008107C7" w:rsidRDefault="008107C7" w:rsidP="008107C7">
      <w:pPr>
        <w:pStyle w:val="SntesisAnaltica"/>
      </w:pPr>
      <w:r>
        <w:t>Vulneración del derecho a la tutela judicial efectiva: denegación de acceso a la jurisdicción.</w:t>
      </w:r>
    </w:p>
    <w:p w:rsidR="008107C7" w:rsidRDefault="008107C7" w:rsidP="008107C7">
      <w:pPr>
        <w:pStyle w:val="SntesisAnaltica"/>
      </w:pPr>
    </w:p>
    <w:p w:rsidR="008107C7" w:rsidRDefault="008107C7" w:rsidP="008107C7">
      <w:pPr>
        <w:pStyle w:val="Extracto"/>
      </w:pPr>
      <w:r>
        <w:t>1.</w:t>
      </w:r>
      <w:r>
        <w:tab/>
        <w:t>El principio «pro actione» opera con toda su intensidad en el momento decisivo de acceder a la justicia, «dada la diferente trascendencia que cabe otorgar -desde la perspectiva constitucional- a los requisitos de acceso al proceso, en tanto puedan obstaculizar o eliminar el derecho de los ciudadanos a someter el caso al conocimiento y pronunciamiento de un Juez y, por tanto, causar indefensión, y a los requisitos de inadmisión de los recursos legalmente establecidos, en que se pretende la revisión de la respuesta judicial ya contenida en la Sentencia de instancia previamente dictada, que ya habría satisfecho el núcleo de su derecho fundamental», salvo, claro está, en materia penal (SSTC 37/1995 y 55/1995). Esta idea cobra especial fuerza cuando se trata de un proceso contencioso-administrativo en el que se dilucida el sometimiento de la actuación de la Administración, en el ejercicio de su potestad sancionadora, a la Ley y al Derecho; control que la Constitución ha confiado al poder judicial (arts. 103.1 y 106.1 C.E.). Así lo ha resaltado nuestra jurisprudencia, ya que la plenitud del sometimiento de la actuación administrativa a la Ley y al Derecho (art. 103.1 C.E.), así como de la función jurisdiccional de control de dicha actuación (art. 106.1 C.E.), y la efectividad que se predica del derecho a la tutela judicial (art. 24 C.E.) impiden que puedan existir comportamientos de la Administración pública -positivos o negativos- inmunes al control judicial (STC 294/1994). [F.J. 3]</w:t>
      </w:r>
    </w:p>
    <w:p w:rsidR="008107C7" w:rsidRDefault="008107C7" w:rsidP="008107C7">
      <w:pPr>
        <w:pStyle w:val="Extracto"/>
      </w:pPr>
    </w:p>
    <w:p w:rsidR="008107C7" w:rsidRDefault="008107C7" w:rsidP="008107C7">
      <w:pPr>
        <w:pStyle w:val="Extracto"/>
      </w:pPr>
      <w:r>
        <w:t>2.</w:t>
      </w:r>
      <w:r>
        <w:tab/>
        <w:t>Los defectos cometidos por la representación procesal del actor son merecedores de reproche. Pero no pueden conducir a que se deniegue, sin más, una Sentencia sobre el fondo del asunto. El carácter esencial que tiene el derecho de acceso a la justicia debe llevar a permitir la continuación del proceso, salvo que el actor, tras el pertinente requerimiento, persistiese en su actuación pasiva o errónea . [F.J. 4]</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Alvaro Rodríguez Bereijo, Presidente, don Pedro Cruz Villalón, don Enrique Ruíz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lastRenderedPageBreak/>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3.390/94, promovido por Xunqueiriña, S.L., representada por el Procurador de los Tribunales don Argimiro Vázquez Guillén, y asistida del Abogado don José Avelino Ochoa Gondar, contra los Autos emitidos por el Tribunal Superior de Justicia de Galicia (Sala de lo Contencioso- Administrativo, Sección Segunda), de 17 de junio y 23 de septiembre de 1994 (autos núm. 4.420/94), que declararon caducado el recurso interpuesto contra la Resolución del Alcalde de O Grove que le había impuesto una multa por infracción urbanística. Ha comparecido el Ayuntamiento de O Grove (Pontevedra), representado por la Procuradora doña Mª Luisa Noya Otero y defendido por el Abogado don Francisco Javier Rodríguez Vázquez. Ha intervenido el Ministerio Fiscal, y ha sido Ponente el Presidente don Alvaro Rodríguez Bereijo,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Por escrito, registrado el 21 de octubre de 1994, presentado en el Juzgado de Guardia de Madrid el día anterior, se interpuso el recurso de amparo de referencia. En él se pide que se anulen los autos judiciales impugnados, y que se retrotraigan las actuaciones al momento inmediatamente anterior a dictarlos, teniendo por formulada demanda en el recurso contencioso administrativo núm. 4.420/94, y todo lo demás que en Derecho proceda.</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hechos de los que nace la pretensión de amparo son los siguientes: </w:t>
      </w:r>
    </w:p>
    <w:p w:rsidR="008107C7" w:rsidRDefault="008107C7" w:rsidP="008107C7">
      <w:pPr>
        <w:pStyle w:val="TextoNormal"/>
      </w:pPr>
      <w:r>
        <w:t xml:space="preserve">a) El Alcalde de O Grove, mediante Resolución de 3 de diciembre de 1993, dictada en el expediente sancionador núm. 12/93, impuso a Xunqueiriña, S.L. una multa de 3.982.800 pesetas. En el mismo acto, el Alcalde impuso una multa de idéntica cuantía a la sociedad Outón y Fernández, S.L. La razón era que habían construido una cuarta y una quinta planta sobre la rasante, así como un ático habitable, en la rua Castelao, núm. 29, careciendo de licencia municipal para dichas obras. Xunqueiriña, S.L., era la promotora de las obras, y la otra entidad era la constructora. </w:t>
      </w:r>
    </w:p>
    <w:p w:rsidR="008107C7" w:rsidRDefault="008107C7" w:rsidP="008107C7">
      <w:pPr>
        <w:pStyle w:val="TextoNormal"/>
      </w:pPr>
      <w:r>
        <w:t xml:space="preserve">b) Don José Manuel Fernández Domínguez y don Manuel Outón Limeres, en representación de Xunqueiriña, S.L., y de Outón y Fernández, S.L., comunicaron ante el Ayuntamiento la interposición de recurso judicial. </w:t>
      </w:r>
    </w:p>
    <w:p w:rsidR="008107C7" w:rsidRDefault="008107C7" w:rsidP="008107C7">
      <w:pPr>
        <w:pStyle w:val="TextoNormal"/>
      </w:pPr>
      <w:r>
        <w:t xml:space="preserve">La Procuradora doña Mª Dolores Bermejo Gómez, asistida por el Abogado Sr. Ochoa Gondar, interpuso dos recursos contencioso- administrativos. El primero, en nombre de Outón y Fernández S.L., fue registrado con el núm. 4.419/94 por la Sala de lo Contencioso-Administrativo de La Coruña. El segundo recurso, en nombre de Xunqueiriña, S.L., fue registrado con el núm. 4.420/94. </w:t>
      </w:r>
    </w:p>
    <w:p w:rsidR="008107C7" w:rsidRDefault="008107C7" w:rsidP="008107C7">
      <w:pPr>
        <w:pStyle w:val="TextoNormal"/>
      </w:pPr>
      <w:r>
        <w:t xml:space="preserve">c) La Sala tuvo por interpuesto el recurso a nombre de Xunqueiriña S.L., mediante providencia de 11 de abril de 1994. El Ayuntamiento remitió, debidamente foliado, sellado y cosido, el expediente núm. 12/93 para que surtiera efectos en los recursos núms. 4.419/94 y 4.420/94. </w:t>
      </w:r>
    </w:p>
    <w:p w:rsidR="008107C7" w:rsidRDefault="008107C7" w:rsidP="008107C7">
      <w:pPr>
        <w:pStyle w:val="TextoNormal"/>
      </w:pPr>
      <w:r>
        <w:lastRenderedPageBreak/>
        <w:t xml:space="preserve">El 10 de mayo se personó el Procurador don Antonio Pardo Fabeiro, en nombre del Ayuntamiento, “en el recurso contencioso- administrativo núm. 4.420/94 y 4.419/94 interpuestos por Xunqueiriña, S.L., y Outón y Fernández, S.L., contra mi representado”. </w:t>
      </w:r>
    </w:p>
    <w:p w:rsidR="008107C7" w:rsidRDefault="008107C7" w:rsidP="008107C7">
      <w:pPr>
        <w:pStyle w:val="TextoNormal"/>
      </w:pPr>
      <w:r>
        <w:t xml:space="preserve">d) La Sala hizo entrega del expediente administrativo a la misma representación procesal de ambas entidades, para que dedujera demanda dentro del plazo de veinte días, de acuerdo con el art. 67 L.J.C.A. </w:t>
      </w:r>
    </w:p>
    <w:p w:rsidR="008107C7" w:rsidRDefault="008107C7" w:rsidP="008107C7">
      <w:pPr>
        <w:pStyle w:val="TextoNormal"/>
      </w:pPr>
      <w:r>
        <w:t xml:space="preserve">El 11 de junio de 1994, último día del plazo en el recurso 4.419/94, se presentó demanda con el siguiente encabezamiento literal: “Mª Dolores Bermejo Gómez, Procuradora de los Tribunales y de Xunqueiriña, S.L., y de Outón y Fernández, S.L., según tiene acreditado en el recurso núm. 02/0004419 y 20/1994, como mejor en derecho proceda, DIGO: ...” El escrito terminaba suplicando que “se tenga por formulada demanda en el recurso contencioso- administrativo 02/0004419 y 20 y siguiendo los trámites establecidos se dicte en su día Sentencia por la que se anule la resolución sancionadora dictada por el Alcalde de O Grove en el expediente sancionador 12/93, en lo que afecta a nuestras representadas y con imposición de costas a la Administración recurrida”. </w:t>
      </w:r>
    </w:p>
    <w:p w:rsidR="008107C7" w:rsidRDefault="008107C7" w:rsidP="008107C7">
      <w:pPr>
        <w:pStyle w:val="TextoNormal"/>
      </w:pPr>
      <w:r>
        <w:t xml:space="preserve">e) Mediante diligencia de 17 de junio de 1994 la Secretaría de Sala hizo constar, en los autos del recurso núm. 4.419/94, “que por la oficina de Registro y Notificaciones del Tribunal Superior de Justicia de Galicia, ha sido remitido el anterior escrito de demanda por la Procuradora Sra. Bermejo Gómez, común a los recursos 4.419 y 4.420/94". </w:t>
      </w:r>
    </w:p>
    <w:p w:rsidR="008107C7" w:rsidRDefault="008107C7" w:rsidP="008107C7">
      <w:pPr>
        <w:pStyle w:val="TextoNormal"/>
      </w:pPr>
      <w:r>
        <w:t xml:space="preserve">El mismo día dictó la Sala la siguiente providencia: “Dada cuenta, se tiene por deducida la demanda correspondiente exclusivamente al presente recurso contencioso administrativo núm. 4.419/94; hágase entrega del expediente administrativo al Procurador Sr. Pardo Fabeiro, para que en nombre y representación del Ayuntamiento de O Grove conteste a la demanda dentro del plazo de veinte días. El expediente correspondiente al recurso contencioso-administrativo núm. 4.420/94 aportado aquel acompañado al referido escrito de demanda, llévese a dicho recurso núm. 4.420/94". </w:t>
      </w:r>
    </w:p>
    <w:p w:rsidR="008107C7" w:rsidRDefault="008107C7" w:rsidP="008107C7">
      <w:pPr>
        <w:pStyle w:val="TextoNormal"/>
      </w:pPr>
      <w:r>
        <w:t xml:space="preserve">f) El mismo día 17 de junio de 1994, en el recurso 4.420/94, la Secretaria de Sala extendió una diligencia para hacer constar que había transcurrido el plazo sin que se hubiera presentado escrito formalizando la demanda. </w:t>
      </w:r>
    </w:p>
    <w:p w:rsidR="008107C7" w:rsidRDefault="008107C7" w:rsidP="008107C7">
      <w:pPr>
        <w:pStyle w:val="TextoNormal"/>
      </w:pPr>
      <w:r>
        <w:t xml:space="preserve">Ese mismo día, la misma Sección Segunda dictó un Auto acordando declarar de oficio caducado el recurso contencioso- administrativo 4.420/94, y requiriendo a la representación procesal de Xunqueiriña, S.L., para que en el término de una audiencia devolviera el expediente administrativo. </w:t>
      </w:r>
    </w:p>
    <w:p w:rsidR="008107C7" w:rsidRDefault="008107C7" w:rsidP="008107C7">
      <w:pPr>
        <w:pStyle w:val="TextoNormal"/>
      </w:pPr>
      <w:r>
        <w:t xml:space="preserve">g) La parte demandante formuló recurso de súplica, alegando que la demanda había sido interpuesta en plazo y forma, en representación de las dos sociedades que habían sido multadas por la Administración demandada. Además, mencionó que el mismo art. 121 L.J.C.A., que hay que poner en relación con el art. 25 C.E. sic, permite la presentación dentro del día en que se notifica la providencia de caducidad; con más razón debe admitirse si la presentación era anterior a dicha declaración, citando diversas Sentencias del Tribunal Supremo que aplican el criterio antiformalista, de acuerdo con el principio de tutela judicial efectiva y el art. 11.3 L.O.P.J. (SSTS 5 de febrero de 1986, Az. 2149, 11 de febrero de 1987, Az. 2970, y ATS 7 de mayo de 1987, Az. 4174). </w:t>
      </w:r>
    </w:p>
    <w:p w:rsidR="008107C7" w:rsidRDefault="008107C7" w:rsidP="008107C7">
      <w:pPr>
        <w:pStyle w:val="TextoNormal"/>
      </w:pPr>
      <w:r>
        <w:t xml:space="preserve">El recurso fue desestimado por Auto de 23 septiembre 1994. En él se afirma que no es de aplicación el art. 121 L.J.C.A., pues no se aportó la demanda el mismo día en que se le notificó el Auto de caducidad, el 25 de junio de 1994, interponiendo recurso de súplica el siguiente día 30, sin aportar además la demanda, “cuya supuesta presentación en el recurso 4.419/94 ni es cierta aunque lo fuera a nombre de las dos sociedades que indica pues basta la lectura para observar que se refiere exclusivamente al recurso 4.419/94 ni en cualquier </w:t>
      </w:r>
      <w:r>
        <w:lastRenderedPageBreak/>
        <w:t>caso podría surtir los efectos pretendidos en el presente, al que por cierto ninguna copia de la demanda de aquél se unió”. Funda su criterio en la jurisprudencia mayoritaria de la Sala Tercera del Tribunal Supremo (mencionando el Auto de 6 de abril de 1993 y la Sentencia de 22 de junio de 1987), indicando que la benigna interpretación de la Ley efectuada por la Sentencia de 26 de mayo de 1989 no ha tenido continuación en la jurisprudencia, y se opone a preceptos legales cuya constitucionalidad nadie ha puesto en tela de juicio, que establece un término de caducidad irreversible para presentar la demanda, mediante la categórica e imperativa disposición contenida en el art. 67.2 L.J.C.A.</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La demanda de amparo alega que se ha vulnerado el derecho de la sociedad actora a obtener un pronunciamiento judicial sobre el fondo de la cuestión litigiosa, a pesar de constar, por propia diligencia procesal, la presentación de demanda en ambos recursos 4.419 y 4.420 de 1994. Consta expresamente en el caso la voluntad de la actora de recurrir y demandar, por lo que la declaración de caducidad no es conforme con el art. 24.1 C.E., que el Tribunal ha indicado reiteradamente que debe favorecer el acceso al proceso, citando párrafos de numerosas Sentencias en este sentido. </w:t>
      </w:r>
    </w:p>
    <w:p w:rsidR="008107C7" w:rsidRDefault="008107C7" w:rsidP="008107C7">
      <w:pPr>
        <w:pStyle w:val="TextoNormal"/>
      </w:pPr>
      <w:r>
        <w:t>Alega que el Tribunal pudo acumular los dos procedimientos, en virtud del art. 47 L.J.C.A., pues existe entre ellos una absoluta identidad, y pudo permitir una subsanación del defecto, con arreglo al art. 121.1 de dicha Ley, teniendo en cuenta, además, que al interponer el recurso de súplica esta parte había solicitado la acumulación.</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Por providencia, de 14 de noviembre de 1994, la Sección Primera acordó requerir atentamente a la Sala de lo Contencioso- Administrativo del Tribunal Superior de Justicia de Galicia para que remitiera testimonio del escrito de demanda del recurso núm. </w:t>
      </w:r>
    </w:p>
    <w:p w:rsidR="008107C7" w:rsidRDefault="008107C7" w:rsidP="008107C7">
      <w:pPr>
        <w:pStyle w:val="TextoNormal"/>
      </w:pPr>
      <w:r>
        <w:t xml:space="preserve">4419/94, ex art. 88 LOTC. El siguiente 16 de enero efectuó nuevamente el requerimiento, ya que el testimonio remitido era del escrito de contestación a la demanda. </w:t>
      </w:r>
    </w:p>
    <w:p w:rsidR="008107C7" w:rsidRDefault="008107C7" w:rsidP="008107C7">
      <w:pPr>
        <w:pStyle w:val="TextoNormal"/>
      </w:pPr>
      <w:r>
        <w:t>Finalmente, fue recibido el testimonio solicitado el 1 de febrero de 1995.</w:t>
      </w:r>
    </w:p>
    <w:p w:rsidR="008107C7" w:rsidRDefault="008107C7" w:rsidP="008107C7">
      <w:pPr>
        <w:pStyle w:val="TextoNormal"/>
      </w:pPr>
    </w:p>
    <w:p w:rsidR="008107C7" w:rsidRDefault="008107C7" w:rsidP="008107C7">
      <w:pPr>
        <w:pStyle w:val="TextoNormal"/>
      </w:pPr>
      <w:r w:rsidRPr="008107C7">
        <w:rPr>
          <w:rStyle w:val="NumeroAFNegritaCaracter"/>
        </w:rPr>
        <w:t>5</w:t>
      </w:r>
      <w:r>
        <w:t xml:space="preserve">. El recurso fue admitido a trámite por providencia, de 20 de febrero de 1995, requiriendo testimonio de las actuaciones judiciales y administrativas. </w:t>
      </w:r>
    </w:p>
    <w:p w:rsidR="008107C7" w:rsidRDefault="008107C7" w:rsidP="008107C7">
      <w:pPr>
        <w:pStyle w:val="TextoNormal"/>
      </w:pPr>
      <w:r>
        <w:t>El Procurador don Argimiro Vázquez Guillén se personó en el recurso de amparo, en nombre del Ayuntamiento de O Grove, por escrito de 15 de marzo de 1995. Por providencia de 16 de mayo la Sección le devolvió el escrito y poder presentado, toda vez que el mencionado Procurador ya intervenía en nombre y representación de la entidad Xunqueiriña S.L., cuyos intereses son contrarios a los del Ayuntamiento, otorgando un plazo a este último para que compareciera con otro Procurador del Colegio de Madrid. Lo cual fue efectuado el siguiente día 20.</w:t>
      </w:r>
    </w:p>
    <w:p w:rsidR="008107C7" w:rsidRDefault="008107C7" w:rsidP="008107C7">
      <w:pPr>
        <w:pStyle w:val="TextoNormal"/>
      </w:pPr>
    </w:p>
    <w:p w:rsidR="008107C7" w:rsidRDefault="008107C7" w:rsidP="008107C7">
      <w:pPr>
        <w:pStyle w:val="TextoNormal"/>
      </w:pPr>
      <w:r w:rsidRPr="008107C7">
        <w:rPr>
          <w:rStyle w:val="NumeroAFNegritaCaracter"/>
        </w:rPr>
        <w:t>6</w:t>
      </w:r>
      <w:r>
        <w:t>. El 29 de mayo de 1995 se abrió trámite de alegaciones, de conformidad con el art. 52 LOTC.</w:t>
      </w:r>
    </w:p>
    <w:p w:rsidR="008107C7" w:rsidRDefault="008107C7" w:rsidP="008107C7">
      <w:pPr>
        <w:pStyle w:val="TextoNormal"/>
      </w:pPr>
    </w:p>
    <w:p w:rsidR="008107C7" w:rsidRDefault="008107C7" w:rsidP="008107C7">
      <w:pPr>
        <w:pStyle w:val="TextoNormal"/>
      </w:pPr>
      <w:r w:rsidRPr="008107C7">
        <w:rPr>
          <w:rStyle w:val="NumeroAFNegritaCaracter"/>
        </w:rPr>
        <w:t>7</w:t>
      </w:r>
      <w:r>
        <w:t xml:space="preserve">. La representación del Ayuntamiento de O Grove impugnó el recurso de amparo, pidiendo su desestimación el 15 de junio. Subraya que la recurrente formuló voluntariamente dos recursos contencioso-administrativos, cuando, como es evidente, debería de haber formulado solamente uno. Lo que se pretendía con esa doble tramitación procesal permanece en el más absoluto de los misterios, a excepción de que entendiera que, al dividir la cuantía, </w:t>
      </w:r>
      <w:r>
        <w:lastRenderedPageBreak/>
        <w:t xml:space="preserve">podía privar a esta parte del acceso a la casación. Nadie pretende privar a la recurrente del ejercicio de sus derechos, pero sus propios actos no pueden ser invocados de contrario. </w:t>
      </w:r>
    </w:p>
    <w:p w:rsidR="008107C7" w:rsidRDefault="008107C7" w:rsidP="008107C7">
      <w:pPr>
        <w:pStyle w:val="TextoNormal"/>
      </w:pPr>
      <w:r>
        <w:t>Alega que contra el Auto impugnado existía la posibilidad de formular recurso de casación y, en su caso, el de queja, ya que el valor de la pretensión, objeto del recurso, es el valor de lo que se pide en conexión con la relación jurídica a base de la cual se pide, afectando al acto en su totalidad. Tampoco invocó en momento alguno la violación que ahora se pretende. Por lo que incumplió el art. 44.1 LOTC.</w:t>
      </w:r>
    </w:p>
    <w:p w:rsidR="008107C7" w:rsidRDefault="008107C7" w:rsidP="008107C7">
      <w:pPr>
        <w:pStyle w:val="TextoNormal"/>
      </w:pPr>
    </w:p>
    <w:p w:rsidR="008107C7" w:rsidRDefault="008107C7" w:rsidP="008107C7">
      <w:pPr>
        <w:pStyle w:val="TextoNormal"/>
      </w:pPr>
      <w:r w:rsidRPr="008107C7">
        <w:rPr>
          <w:rStyle w:val="NumeroAFNegritaCaracter"/>
        </w:rPr>
        <w:t>8</w:t>
      </w:r>
      <w:r>
        <w:t>. La entidad demandante formuló alegaciones el día 23 de junio, reafirmando y resumiendo las formuladas en su escrito inicial. La polémica sobre si al escrito de demanda le es de aplicación exclusivamente el art. 67.2 L.J.C.A. o también su art. 121.1, debe resolverse en favor de la mayor garantía de los derechos a la luz de una interpretación constitucional. En el caso, sin embargo, aun aplicando el precepto más severo se ha infringido la doctrina pro actione que se extrae de la Constitución, porque efectivamente se presentó la demanda, tal como consta en su texto y como recogió la Secretaría de la Sala. Por lo que el Auto ha cercenado la posibilidad de obtener un pronunciamiento judicial, mediante una interpretación del ordenamiento procesal en el sentido más desfavorable para la efectividad de derecho a la prestación de la Justicia. Añade que, mediante Sentencia dictada en el proceso núm. 4.419/94, el Tribunal Superior de Justicia de Galicia dictó Sentencia declarando nula la resolución recurrida, adjuntando copia.</w:t>
      </w:r>
    </w:p>
    <w:p w:rsidR="008107C7" w:rsidRDefault="008107C7" w:rsidP="008107C7">
      <w:pPr>
        <w:pStyle w:val="TextoNormal"/>
      </w:pPr>
    </w:p>
    <w:p w:rsidR="008107C7" w:rsidRDefault="008107C7" w:rsidP="008107C7">
      <w:pPr>
        <w:pStyle w:val="TextoNormal"/>
      </w:pPr>
      <w:r w:rsidRPr="008107C7">
        <w:rPr>
          <w:rStyle w:val="NumeroAFNegritaCaracter"/>
        </w:rPr>
        <w:t>9</w:t>
      </w:r>
      <w:r>
        <w:t xml:space="preserve">. El Ministerio Fiscal presentó informe el 26 de julio de 1995, favorable al otorgamiento del amparo. No duda en calificar la actuación de la solicitante de amparo como conducta indiligente, pues tras presentar dos escritos separados de interposición de recurso, que dieron lugar a dos procedimientos, idénticos entre sí, aunque dirigidos contra sanciones a personas jurídicas distintas, optó por presentar un escrito de demanda común a ambos, en lugar de continuar con la doble tramitación de los dos recursos, o de solicitar desde el principio su acumulación. No cabe duda que tal actitud es anómala, y no se encuentra prevista en el ordenamiento procesal; lo que obliga a dilucidar qué efectos pueden anudarse a dicha conducta indiligente, y más precisamente a decidir si la consecuencia extraída por el Auto impugnado es proporcionada a la negligencia de la parte. </w:t>
      </w:r>
    </w:p>
    <w:p w:rsidR="008107C7" w:rsidRDefault="008107C7" w:rsidP="008107C7">
      <w:pPr>
        <w:pStyle w:val="TextoNormal"/>
      </w:pPr>
      <w:r>
        <w:t xml:space="preserve">No nos encontramos ante un supuesto defecto subsanable, por lo que el problema es si puede exigirse a la Sala que efectúe una copia del escrito de demanda presentado en los autos núm. 4.419/94 (pues se presentó sin copias), y lo incorpore al recurso 4.420/94. No cabe duda que la tutela judicial es un derecho prestacional, pero lo que se plantea es si la prestación que han de realizar los órganos judiciales debe llegar a esos extremos para que pueda calificarse de efectiva. Aunque la demandante invoca el art. 121 L.J.C.A., no acompañó copia alguna del escrito de formalización de demanda junto con su recurso de súplica. </w:t>
      </w:r>
    </w:p>
    <w:p w:rsidR="008107C7" w:rsidRDefault="008107C7" w:rsidP="008107C7">
      <w:pPr>
        <w:pStyle w:val="TextoNormal"/>
      </w:pPr>
      <w:r>
        <w:t>En definitiva, si alguna normativa procesal puede interpretarse de forma más favorable fue la relativa a la caducidad del segundo recurso, y ello pasaba por incorporar copia de la única demanda a dicho recurso. Tras citar la STC 32/1984 y 331/1994, y advertir que este supuesto se encuentra en el límite del fiel de la balanza para ponderar la proporcionalidad entre el defecto cometido y la sanción que debe acarrear, subraya que el derecho a la tutela judicial desarrolla toda su efectividad en el momento inicial de acceder a la jurisdicción (SSTC 37/1995, 55/1995 y 58/1995). Ese elemento valorativo inclina al Ministerio Fiscal a entender que la ponderación efectuada por la Sala no fue acertada pues puede tacharse de rígida y formalista. No cabía duda de la intención de la parte y no era difícil incorporar los efectos del escrito presentado a ambos procedimientos judiciales.</w:t>
      </w:r>
    </w:p>
    <w:p w:rsidR="008107C7" w:rsidRDefault="008107C7" w:rsidP="008107C7">
      <w:pPr>
        <w:pStyle w:val="TextoNormal"/>
      </w:pPr>
    </w:p>
    <w:p w:rsidR="008107C7" w:rsidRDefault="008107C7" w:rsidP="008107C7">
      <w:pPr>
        <w:pStyle w:val="TextoNormal"/>
      </w:pPr>
      <w:r w:rsidRPr="008107C7">
        <w:rPr>
          <w:rStyle w:val="NumeroAFNegritaCaracter"/>
        </w:rPr>
        <w:t>10</w:t>
      </w:r>
      <w:r>
        <w:t xml:space="preserve">. El 20 de mayo de 1996, en virtud del art. 84 LOTC, la Sección dio audiencia a las partes acerca de la eventual existencia de un motivo determinante de la pérdida de objeto del proceso de amparo, al haber sido anulada la multa municipal por la Sentencia del Tribunal Superior de Justicia de Galicia de 12 de abril de 1995 (autos 4419/94). </w:t>
      </w:r>
    </w:p>
    <w:p w:rsidR="008107C7" w:rsidRDefault="008107C7" w:rsidP="008107C7">
      <w:pPr>
        <w:pStyle w:val="TextoNormal"/>
      </w:pPr>
      <w:r>
        <w:t>El Ministerio Fiscal informó el siguiente día 28 negando la pérdida de objeto, pues la Sentencia afectaba a una sanción distinta de la recurrida impuesta a una persona jurídica que no es la solicitante de amparo. El 1 de junio la parte demandante alegó que el recurso no carecía de objeto, porque la declaración de caducidad del recurso 4.420/94 permite inferir que la Resolución administrativa dictada por el Ayuntamiento, imponiendo una multa a Xunqueiriña, es firme y, por lo tanto, podría ser exigido su pago.</w:t>
      </w:r>
    </w:p>
    <w:p w:rsidR="008107C7" w:rsidRDefault="008107C7" w:rsidP="008107C7">
      <w:pPr>
        <w:pStyle w:val="TextoNormal"/>
      </w:pPr>
    </w:p>
    <w:p w:rsidR="008107C7" w:rsidRDefault="008107C7" w:rsidP="008107C7">
      <w:pPr>
        <w:pStyle w:val="TextoNormal"/>
      </w:pPr>
      <w:r w:rsidRPr="008107C7">
        <w:rPr>
          <w:rStyle w:val="NumeroAFNegritaCaracter"/>
        </w:rPr>
        <w:t>11</w:t>
      </w:r>
      <w:r>
        <w:t>. Por providencia de fecha 24 de febrero de 1997 se acordó señalar para la deliberación y votación de la presente Sentencia el día 25 de febrero del presente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La entidad demandante de amparo, Xunqueiriña S.L., se encuentra íntimamente ligada con otra, Outón y Fernández S.L., integrada por los mismos socios.  Ambas fueron multadas por el Ayuntamiento de O Grove por llevar a cabo una obra con infracción de la legalidad urbanística, aquélla como promotora de la obra y ésta como constructora. Las dos sanciones fueron impuestas mediante una única Resolución, dictada por el Alcalde tras tramitar un expediente administrativo conjunto para todos los implicados en la construcción del sobrealzado de la casa.</w:t>
      </w:r>
    </w:p>
    <w:p w:rsidR="008107C7" w:rsidRDefault="008107C7" w:rsidP="008107C7">
      <w:pPr>
        <w:pStyle w:val="TextoNormal"/>
      </w:pPr>
      <w:r>
        <w:t>Cada una de las sociedades mercantiles interpuso por separado recurso contencioso- administrativo ante el Tribunal Superior de Justicia, que fueron registrados por la Sala de lo Contencioso-Administrativo bajo dos números diferentes y sucesivos (el núm.  4.419/94, para el presentado por Outón y Fernández, y el núm. 4.420/94, para el promovido por Xunqueiriña). En ambos recursos, las sociedades se encontraban representadas por la misma Procuradora, y defendidas por el mismo Abogado.</w:t>
      </w:r>
    </w:p>
    <w:p w:rsidR="008107C7" w:rsidRDefault="008107C7" w:rsidP="008107C7">
      <w:pPr>
        <w:pStyle w:val="TextoNormal"/>
      </w:pPr>
      <w:r>
        <w:t>Dichos profesionales, a quienes se les había entregado el expediente administrativo remitido por el Ayuntamiento, formularon un escrito de demanda común a ambos procesos, en nombre de las dos sociedades. Sin embargo, como advierte el Fiscal ante este Tribunal, ni habían pedido la acumulación de autos, que no había sido acordada por la Sala, ni tampoco aportaron copia de la demanda común, para su incorporación a los autos de los dos procesos. La Sección Segunda de la Sala de lo Contencioso-Administrativo del Tribunal Superior de Justicia de Galicia acordó tener por presentada la demanda en el primero de los recursos, el núm. 4.419/94, y declaró caducado el segundo por no haber presentado demanda dentro del plazo establecido, mediante las resoluciones impugnadas en esta sede constitucional.</w:t>
      </w:r>
    </w:p>
    <w:p w:rsidR="008107C7" w:rsidRDefault="008107C7" w:rsidP="008107C7">
      <w:pPr>
        <w:pStyle w:val="TextoNormal"/>
      </w:pPr>
    </w:p>
    <w:p w:rsidR="008107C7" w:rsidRDefault="008107C7" w:rsidP="008107C7">
      <w:pPr>
        <w:pStyle w:val="TextoNormal"/>
      </w:pPr>
      <w:r w:rsidRPr="008107C7">
        <w:rPr>
          <w:rStyle w:val="NumeroAFNegritaCaracter"/>
        </w:rPr>
        <w:t>2</w:t>
      </w:r>
      <w:r>
        <w:t>. Antes de entrar en el fondo del recurso, procede dar respuesta a las objeciones procesales de admisibilidad planteadas por la representación del Ayuntamiento demandado, consistentes en la falta de agotamiento de la vía judicial previa y la falta de invocación, en el proceso judicial, del derecho fundamental vulnerado [art. 44.1 a) LOTC].  Ninguna de ellas puede, sin embargo, prosperar.</w:t>
      </w:r>
    </w:p>
    <w:p w:rsidR="008107C7" w:rsidRDefault="008107C7" w:rsidP="008107C7">
      <w:pPr>
        <w:pStyle w:val="TextoNormal"/>
      </w:pPr>
      <w:r>
        <w:lastRenderedPageBreak/>
        <w:t>La posibilidad de interponer recurso de casación contra el Auto que, en súplica, confirmó la declaración de caducidad es más que problemática. A la vista de lo dispuesto en los arts. 94.1 a) en relación con el 93.2 b), ambos de la L.J.C.A., procede considerar cumplido el requisito del agotamiento de la vía judicial previa.</w:t>
      </w:r>
    </w:p>
    <w:p w:rsidR="008107C7" w:rsidRDefault="008107C7" w:rsidP="008107C7">
      <w:pPr>
        <w:pStyle w:val="TextoNormal"/>
      </w:pPr>
      <w:r>
        <w:t>En segundo lugar, es claro que la representación de la entidad actora invocó expresamente el derecho fundamental a la tutela judicial efectiva al recurrir en súplica contra la declaración de caducidad, transcribiendo incluso resoluciones del Tribunal Supremo que correctamente vinculan la adopción de un criterio flexible y antiformalista en la admisión de escritos de demanda con el mandato enunciado por el art. 24.1 C.E., dando así oportunidad a los órganos judiciales de pronunciarse y, en definitiva, remediar la lesión invocada del derecho fundamental.</w:t>
      </w:r>
    </w:p>
    <w:p w:rsidR="008107C7" w:rsidRDefault="008107C7" w:rsidP="008107C7">
      <w:pPr>
        <w:pStyle w:val="TextoNormal"/>
      </w:pPr>
    </w:p>
    <w:p w:rsidR="008107C7" w:rsidRDefault="008107C7" w:rsidP="008107C7">
      <w:pPr>
        <w:pStyle w:val="TextoNormal"/>
      </w:pPr>
      <w:r w:rsidRPr="008107C7">
        <w:rPr>
          <w:rStyle w:val="NumeroAFNegritaCaracter"/>
        </w:rPr>
        <w:t>3</w:t>
      </w:r>
      <w:r>
        <w:t>. El examen del fondo de la cuestión suscitada por el presente recurso, el derecho fundamental a la tutela judicial efectiva y sin indefensión, lleva al otorgamiento del amparo solicitado.</w:t>
      </w:r>
    </w:p>
    <w:p w:rsidR="008107C7" w:rsidRDefault="008107C7" w:rsidP="008107C7">
      <w:pPr>
        <w:pStyle w:val="TextoNormal"/>
      </w:pPr>
      <w:r>
        <w:t>En efecto, según nuestra reiterada jurisprudencia el núcleo de ese derecho constitucional consiste en el acceso a la jurisdicción: que un Tribunal resuelva en el fondo la controversia de derechos e intereses legítimos ante él planteada, salvo que se lo impida una razón fundada en un precepto expreso de una Ley, que a su vez sea respetuoso con el contenido esencial del derecho fundamental [SSTC 13/1981, fundamento jurídico 1º; 21/1981, fundamento jurídico 15; 119/1983, fundamento jurídico 1º; 93/1984, fundamento jurídico 5º a) y 40/1996, fundamento jurídico 2º]. Si bien la interpretación judicial del correspondiente obstáculo procesal debe guiarse por un criterio pro actione que, teniendo siempre presente la ratio de la norma y un criterio de proporcionalidad entre la entidad del defecto advertido y la sanción derivada del mismo, no impida la cognición del fondo de un asunto sobre la base de meros formalismos o de entendimientos no razonables de las normas procesales [SSTC 126/1984, fundamento jurídico 3º c); 164/1986, fundamento jurídico 2º; y 120/1993, fundamento jurídico 5º].  Principio pro actione, que opera con toda su intensidad en el momento decisivo de acceder a la justicia, «dada la diferente trascendencia que cabe otorgar -desde la perspectiva constitucional- a los requisitos de acceso al proceso, en tanto puedan obstaculizar o eliminar el derecho de los ciudadanos a someter el caso al conocimiento y pronunciamiento de un Juez y, por tanto, causar indefensión, y a los requisitos de inadmisión de los recursos legalmente establecidos, en que se pretende la revisión de la respuesta judicial ya contenida en la Sentencia de instancia previamente dictada, que ya habría satisfecho el núcleo de su derecho fundamental», salvo, claro está, en materia penal [SSTC 37/1995, fundamento jurídico 5º; y 55/1995, fundamento jurídico 2º).</w:t>
      </w:r>
    </w:p>
    <w:p w:rsidR="008107C7" w:rsidRDefault="008107C7" w:rsidP="008107C7">
      <w:pPr>
        <w:pStyle w:val="TextoNormal"/>
      </w:pPr>
      <w:r>
        <w:t>Esta idea cobra especial fuerza cuando se trata de un proceso contencioso-administrativo en el que se dilucida el sometimiento de la actuación de la Administración, en el ejercicio de su potestad sancionadora, a la Ley y al Derecho; control que la Constitución ha confiado al poder judicial (arts.  103.1 y 106.1 C.E.). Así lo ha resaltado nuestra jurisprudencia (SSTC 80/1983, fundamento jurídico 1º, y 136/1995, fundamento jurídico 3º), ya que la “plenitud del sometimiento de la actuación administrativa a la Ley y al Derecho (art. 103.1 C.E.), así como de la función jurisdiccional de control de dicha actuación (art.  106.1 C.E.), y la efectividad que se predica del derecho a la tutela judicial (art. 24 C.E.)  impiden que puedan existir comportamientos de la Administración pública -positivos o negativos- inmunes al control judicial” (STC 294/1994, fundamento jurídico 4º).</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4</w:t>
      </w:r>
      <w:r>
        <w:t>. Es cierto que la defensa profesional de la actora no aprovechó las posibilidades procesales para, por distintas vías, llegar a una situación favorable a los intereses de su representado.  Esta falta de diligencia en la conducta procesal del demandante en el proceso previo habría sido determinante, si se tratara del acceso a un recurso legalmente establecido dentro de los siguientes grados procesales y no, como es ahora el caso, del acceso mismo a la justicia para impetrar la protección de los Jueces y Tribunales (SSTC 37/1995 y 55/1995. fundamento jurídico 2º). Sin embargo, la resolución declarando la caducidad frente a la que se pide el amparo niega un pronunciamiento judicial sobre el fondo del litigio por lo que, como ya hemos indicado, afecta al núcleo del derecho a la tutela judicial efectiva que reconoce el art. 24.1 C.E.</w:t>
      </w:r>
    </w:p>
    <w:p w:rsidR="008107C7" w:rsidRDefault="008107C7" w:rsidP="008107C7">
      <w:pPr>
        <w:pStyle w:val="TextoNormal"/>
      </w:pPr>
      <w:r>
        <w:t>Los defectos cometidos por la representación procesal del actor son merecedores de reproche.  Pero, no pueden conducir a que se deniegue, sin más, una Sentencia sobre el fondo del asunto. El carácter esencial que tiene el derecho de acceso a la justicia debe llevar a permitir la continuación del proceso, salvo que el actor, tras el pertinente requerimiento, persistiese en su actuación pasiva o errónea.</w:t>
      </w:r>
    </w:p>
    <w:p w:rsidR="008107C7" w:rsidRDefault="008107C7" w:rsidP="008107C7">
      <w:pPr>
        <w:pStyle w:val="TextoNormal"/>
      </w:pPr>
      <w:r>
        <w:t>Desde la perspectiva constitucional, es indiferente el medio procesal que la Sala de lo Contencioso-Administrativo pudo y puede seguir para llegar a resolver el fondo de las pretensiones ejercitadas por la empresa demandante frente al Ayuntamiento demandado. Lo decisivo, desde el punto de vista del derecho fundamental, es que se preste una tutela judicial efectiva, siendo indiferentes los medios procesales que emplee el Tribunal competente para hacerlo.</w:t>
      </w:r>
    </w:p>
    <w:p w:rsidR="008107C7" w:rsidRDefault="008107C7" w:rsidP="008107C7">
      <w:pPr>
        <w:pStyle w:val="TextoNormal"/>
      </w:pPr>
    </w:p>
    <w:p w:rsidR="008107C7" w:rsidRDefault="008107C7" w:rsidP="008107C7">
      <w:pPr>
        <w:pStyle w:val="TextoNormal"/>
      </w:pPr>
      <w:r w:rsidRPr="008107C7">
        <w:rPr>
          <w:rStyle w:val="NumeroAFNegritaCaracter"/>
        </w:rPr>
        <w:t>5</w:t>
      </w:r>
      <w:r>
        <w:t>. Es de resaltar que la peculiar actuación de la entidad recurrente en ningún momento indujo a error o perjudicó a la contraparte. El Ayuntamiento demandado se personó, de hecho, mediante el mismo escrito “en el recurso contencioso- administrativo núm.  4.420/94 y 4.419/94 interpuestos por Xunqueiriña, S.L., y Outón y Fernández, S.L., contra mi representado”. Por consiguiente, es claro que la caducidad decretada por el Tribunal Contencioso-Administrativo impuso una consecuencia desproporcionada al defecto cometido por la recurrente, perfectamente subsanable sin perjuicio para la contraparte, y que no justifica la pérdida definitiva e irremediable de su derecho a una resolución sobre el fondo del litigio.</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Otorgar el amparo solicitado y, en consecuencia:</w:t>
      </w:r>
    </w:p>
    <w:p w:rsidR="008107C7" w:rsidRDefault="008107C7" w:rsidP="008107C7">
      <w:pPr>
        <w:pStyle w:val="TextoNormal"/>
      </w:pPr>
      <w:r>
        <w:t>1º. Reconocer el derecho de la recurrente a la tutela judicial efectiva.</w:t>
      </w:r>
    </w:p>
    <w:p w:rsidR="008107C7" w:rsidRDefault="008107C7" w:rsidP="008107C7">
      <w:pPr>
        <w:pStyle w:val="TextoNormal"/>
      </w:pPr>
      <w:r>
        <w:t>2º. Anular los Autos dictados por el Tribunal Superior de Justicia de Galicia (Sala de lo Contencioso-Administrativo, Sección Segunda), de 17 de junio y 23 de septiembre de 1994, en el proceso registrado con el núm. 4.420/94.</w:t>
      </w:r>
    </w:p>
    <w:p w:rsidR="008107C7" w:rsidRDefault="008107C7" w:rsidP="008107C7">
      <w:pPr>
        <w:pStyle w:val="TextoNormal"/>
      </w:pPr>
      <w:r>
        <w:t>3º. Restablecer a la recurrente en su derecho fundamental, retrotrayendo las actuaciones judiciales al momento procesal oportuno, para que la Sección Segunda de la Sala de lo Con</w:t>
      </w:r>
      <w:r>
        <w:lastRenderedPageBreak/>
        <w:t>tencioso-Administrativo del Tribunal Superior de Justicia de Galicia proceda, de conformidad con el art. 24.1 C.E., a continuar la sustanciación del recurso contencioso- administrativo.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veinticinco de febrero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40" w:name="SENTENCIA_1997_37"/>
      <w:r>
        <w:lastRenderedPageBreak/>
        <w:t>SENTENCIA 37/1997, de 27 de febrero de 1997</w:t>
      </w:r>
    </w:p>
    <w:bookmarkEnd w:id="40"/>
    <w:p w:rsidR="008107C7" w:rsidRDefault="008107C7" w:rsidP="008107C7">
      <w:pPr>
        <w:pStyle w:val="TtuloResolucin"/>
      </w:pPr>
      <w:r>
        <w:t>Pleno</w:t>
      </w:r>
    </w:p>
    <w:p w:rsidR="008107C7" w:rsidRDefault="008107C7" w:rsidP="008107C7">
      <w:pPr>
        <w:pStyle w:val="TtuloResolucin"/>
      </w:pPr>
    </w:p>
    <w:p w:rsidR="008107C7" w:rsidRDefault="008107C7" w:rsidP="008107C7">
      <w:pPr>
        <w:pStyle w:val="TtuloBOE"/>
      </w:pPr>
      <w:r>
        <w:t>("BOE" núm. 78, de 1 de abril de 1997)</w:t>
      </w:r>
    </w:p>
    <w:p w:rsidR="008107C7" w:rsidRDefault="008107C7" w:rsidP="008107C7">
      <w:pPr>
        <w:pStyle w:val="TtuloBOE"/>
      </w:pPr>
    </w:p>
    <w:p w:rsidR="008107C7" w:rsidRDefault="008107C7" w:rsidP="008107C7">
      <w:pPr>
        <w:pStyle w:val="SntesisDescriptiva"/>
      </w:pPr>
      <w:r>
        <w:t>ECLI:ES:TC:1997:37</w:t>
      </w:r>
    </w:p>
    <w:p w:rsidR="008107C7" w:rsidRDefault="008107C7" w:rsidP="008107C7">
      <w:pPr>
        <w:pStyle w:val="SntesisDescriptiva"/>
      </w:pPr>
    </w:p>
    <w:p w:rsidR="008107C7" w:rsidRDefault="008107C7" w:rsidP="008107C7">
      <w:pPr>
        <w:pStyle w:val="SntesisDescriptiva"/>
      </w:pPr>
      <w:r>
        <w:t>Conflicto positivo de competencia 456/1988 462/1988 (acumulados). Promovidos, respectivamente, por el Gobierno Vasco y por el Consejo Ejecutivo de la Generalidad de Cataluña en relación, el primero, con la disposición adicional del Real Decreto 1.369/1987, de 18 de septiembre, por el que se crea el Sistema Nacional de Compensación Electrónica y, el segundo, con los arts. 1 y 2.2 y la Disposición adicional del mismo Real Decreto.</w:t>
      </w:r>
    </w:p>
    <w:p w:rsidR="008107C7" w:rsidRDefault="008107C7" w:rsidP="008107C7">
      <w:pPr>
        <w:pStyle w:val="SntesisDescriptiva"/>
      </w:pPr>
    </w:p>
    <w:p w:rsidR="008107C7" w:rsidRDefault="008107C7" w:rsidP="008107C7">
      <w:pPr>
        <w:pStyle w:val="SntesisAnaltica"/>
      </w:pPr>
    </w:p>
    <w:p w:rsidR="008107C7" w:rsidRDefault="008107C7" w:rsidP="008107C7">
      <w:pPr>
        <w:pStyle w:val="SntesisAnaltica"/>
      </w:pPr>
    </w:p>
    <w:p w:rsidR="008107C7" w:rsidRDefault="008107C7" w:rsidP="008107C7">
      <w:pPr>
        <w:pStyle w:val="Extracto"/>
      </w:pPr>
      <w:r>
        <w:t>1.</w:t>
      </w:r>
      <w:r>
        <w:tab/>
        <w:t>En las ya numerosas ocasiones en las que este Tribunal ha tenido que precisar los límites entre la competencia sobre legislación mercantil y otras materias afines o colindantes, lo primero que ha destacado es la dificultad que esta operación entraña en las sociedades que siguen el modelo de la economía de mercado, en las que la actividad mercantil aparece disciplinada por un conjunto de normas en donde se mezclan de forma inextricable el Derecho Público y el Derecho Privado, dentro del que hay que situar el Derecho Mercantil (STC 37/1981). Con todo, desde esta temprana Sentencia se han ido perfilando unos criterios de delimitación competencial a cuya luz podemos resolver el presente conflicto. [F.J. 2]</w:t>
      </w:r>
    </w:p>
    <w:p w:rsidR="008107C7" w:rsidRDefault="008107C7" w:rsidP="008107C7">
      <w:pPr>
        <w:pStyle w:val="Extracto"/>
      </w:pPr>
    </w:p>
    <w:p w:rsidR="008107C7" w:rsidRDefault="008107C7" w:rsidP="008107C7">
      <w:pPr>
        <w:pStyle w:val="Extracto"/>
      </w:pPr>
      <w:r>
        <w:t>2.</w:t>
      </w:r>
      <w:r>
        <w:tab/>
        <w:t xml:space="preserve">El punto de partida argumental de todas nuestras resoluciones al respecto ha sido siempre el de la distinción cuidadosa entre, de un lado, lo que es regulación de las relaciones «inter privatos» y, de otro lado, la regulación de la intervención de los poderes públicos en estas relaciones contractuales -mediante, por ejemplo, actividades de policía administrativa (STC 71/1982) o de establecimiento de servicios de vigilancia, inspección o régimen disciplinario ( STC 62/1991)-. El primer tipo de regulaciones se ha encuadrado en la materia de legislación civil o mercantil -afirmando que «sólo las reglas de Derecho privado quedarán comprendidas en la reserva al Estado de la legislación mercantil» (SSTC 37/1981 y 14/1986) e incluyendo en ellas el establecimiento de las condiciones generales de contratación, las modalidades de contratos (STC 71/1982), la delimitación de su contenido típico (STC 37/1981), de los derechos y obligaciones en el marco de relaciones contractuales privadas (SSTC 88/1986 y 62/1991), la forma en la que nacen y se extinguen los derechos y las obligaciones de los empresarios (SSTC 37/1981 y 88/1986) o las condiciones de validez de los contratos privados (STC 62/1991)-, en tanto que las actividades públicas del segundo grupo se han incluido en las materias de comercio, defensa de los consumidores, seguros o cooperativas. Así, por ejemplo, en la reciente STC 96/1996, con cita de la STC 37/1981, se hace la distinción entre las normas que disciplinan el contrato de arrendamiento financiero, que, por incluir «la regulación de las relaciones jurídico-privadas de los empresarios mercantiles o comerciantes en cuanto tales», deben encuadrarse en la materia de legislación mercantil, y las normas que regulan las sociedades de arrendamiento financiero y en especial las que contienen habilitaciones a favor del Gobierno de la Nación para </w:t>
      </w:r>
      <w:r>
        <w:lastRenderedPageBreak/>
        <w:t>intervenir en este ámbito, que se integran en la materia de ordenación del crédito y la banca. Más concretamente,  debe recordarse que este Tribunal ha distinguido siempre, a efectos de calificación competencial, entre la competencia sobre legislación mercantil y la relativa a la creación y ordenación de los mercados y lugares de contratación en los que se lleva a cabo el tráfico mercantil mediante contratación sometida a este tipo de legislación (por todas, STC 88/1986). [F.J. 2]</w:t>
      </w:r>
    </w:p>
    <w:p w:rsidR="008107C7" w:rsidRDefault="008107C7" w:rsidP="008107C7">
      <w:pPr>
        <w:pStyle w:val="Extracto"/>
      </w:pPr>
    </w:p>
    <w:p w:rsidR="008107C7" w:rsidRDefault="008107C7" w:rsidP="008107C7">
      <w:pPr>
        <w:pStyle w:val="Extracto"/>
      </w:pPr>
      <w:r>
        <w:t>3.</w:t>
      </w:r>
      <w:r>
        <w:tab/>
        <w:t>Aun reiterando las dificultades que entraña la delimitación entre la materia de legislación mercantil y las demás materias que también inciden en la regulación de las relaciones mercantiles, puede afirmarse que, en cuanto a su encuadramiento competencial, en el art. 1 objeto de conflicto, en la medida en que se limita a crear un sistema público de compensación, sin introducir innovación alguna en el instituto privado de la compensación, prima el aspecto de la regulación de la intervención de los poderes públicos en las relaciones interbancarias, sobre lo que son los efectos indirectos que esta creación pueda tener en las relaciones «inter privatos», que directamente no se regula. Esta conclusión es trasladable con mayor claridad todavía a los otros dos preceptos controvertidos (art. 2.2 y Disposición adicional), ya que el establecimiento de la Comisión asesora del Banco de España, así como la decisión de mantener las Cámaras de compensación existentes y la atribución a la Administración de una potestad autorizatoria respecto de los convenios de compensación entre Entidades, no constituyen regulación alguna de relaciones entre sujetos privados, sino de una intervención de los poderes públicos en el ámbito del sistema crediticio y bancario. Sólo de forma indirecta puede considerarse afectada la legislación mercantil. Por ello, como queda dicho, los preceptos objeto del presente conflicto de competencias deben entenderse integrados en la materia competencial de ordenación del crédito y la banca. [F.J. 3]</w:t>
      </w:r>
    </w:p>
    <w:p w:rsidR="008107C7" w:rsidRDefault="008107C7" w:rsidP="008107C7">
      <w:pPr>
        <w:pStyle w:val="Extracto"/>
      </w:pPr>
    </w:p>
    <w:p w:rsidR="008107C7" w:rsidRDefault="008107C7" w:rsidP="008107C7">
      <w:pPr>
        <w:pStyle w:val="Extracto"/>
      </w:pPr>
      <w:r>
        <w:t>4.</w:t>
      </w:r>
      <w:r>
        <w:tab/>
        <w:t>Este Tribunal ha ido perfilando en múltiples resoluciones el posible alcance de lo básico en la materia de ordenación del crédito y la banca. En la mayor parte de los casos el objeto controvertido eran actividades públicas de control, vigilancia, inspección y sanción relacionadas con la estructura, organización, funcionamiento interno y funciones y actividades financieras de las entidades de crédito. En estos supuestos los criterios comúnmente empleados por la doctrina constitucional para atribuir carácter básico a una determinada actividad han sido el de garantía de la solvencia y transparencia de las referidas entidades y el de la estabilidad del sistema financiero. No obstante, estos no son los únicos criterios utilizados, ya que en otras ocasiones para delimitar lo básico se ha recurrido a criterios más genéricos como, por lo que aquí interesa, el de actividades que requieren forzosamente tratamiento unitario y supraautonómico y son fundamentales para asegurar el eficaz funcionamiento del sistema monetario y crediticio nacional (entre otras, SSTC 96/1996, 386/1993 y 155/1993). Por último, debe recordarse que en este ámbito material el Tribunal ha aceptado el carácter básico, no solamente de actividades normativas, sino también, aunque de forma excepcional, de actos de mera ejecución cuando su carácter unitario y su extensión supracomunitaria eran indispensables para alcanzar los objetivos básicos de garantía de transparencia, solvencia, estabilidad y eficaz funcionamiento del sistema crediticio (entre otras, SSTC 57/1983, 91/1984, 220/1988 y 178/1992) . [F.J. 4]</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El Pleno del Tribunal Constitucional, compuesto por don Alvaro Rodríguez Bereijo, Presidente, don José Gabaldón López, don Fernando García-Mon y González-Regueral, don Julio Diego González Campos, don Pedro Cruz Villalón, don Carles Viver Pi-Sunyer, don Enrique Ruiz Vadillo, don Manuel Jiménez de Parga y Cabrera, don Tomás S. Vives Antón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los conflictos positivos de competencia núms. 456/88 y 462/88, acumulados, promovidos, respectivamente, por el Gobierno Vasco, representado por el Letrado don Ion Gurutz Echave y Aranzábal, y por el Consejo Ejecutivo de la Generalidad de Cataluña, representado por el Letrado don Ramón Riu i Fortuny, en relación, el primero, con la Disposición adicional del Real Decreto 1.369/1987, de 18 de septiembre, por el que se crea el Sistema Nacional de Compensación Electrónica y, el segundo, con los arts. 1 y 2.2 y la Disposición adicional del mismo Real Decreto. Ha comparecido el Letrado del Estado, en la representación que legalmente ostenta. Ha sido Ponente el Magistrado don Carles Viver Pi-Sunyer, quien expresa el parecer del Tribunal.</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Con fecha 15 de marzo de 1988, y tras haber sido rechazado el correspondiente requerimiento de incompetencia, el Letrado don Ion Gurutz Echave y Aranzábal, en nombre del Gobierno Vasco, promovió conflicto positivo de competencia frente al Gobierno de la Nación por estimar que la Disposición adicional del Real Decreto 1.369/1987, de 18 de septiembre, por el que se crea el Sistema Nacional de Compensación Electrónica, no respeta el orden de competencias establecido en la Constitución y en el Estatuto de Autonomía del País Vasco.</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términos del conflicto, según resulta de la demanda y documentación adjunta, se resumen en lo siguiente: </w:t>
      </w:r>
    </w:p>
    <w:p w:rsidR="008107C7" w:rsidRDefault="008107C7" w:rsidP="008107C7">
      <w:pPr>
        <w:pStyle w:val="TextoNormal"/>
      </w:pPr>
      <w:r>
        <w:t xml:space="preserve">El escrito del Gobierno Vasco se inicia con una exposición de los antecedentes normativos en el ámbito de la compensación bancaria en la que se destaca que: a) Las instituciones y organizaciones de compensación bancaria son asociaciones creadas por los Bancos y Cajas de Ahorro; b) Por razón de la relevancia de las operaciones bancarias y en uso de su facultad de ordenación del crédito y la banca, la Administración ha intervenido en tales sistemas compensatorios, no imponiendo el establecimiento de estas instituciones y organizaciones, sino tutelando su existencia; y, c) Por tanto, las funciones atribuidas al Banco de España en relación a la autorización de instituciones similares a las Cámaras de Compensación (oficiales y privadas), procedimientos, organizaciones o servicios compensadores lo son en razón de las funciones de ordenación del crédito y la banca que competen al Estado. </w:t>
      </w:r>
    </w:p>
    <w:p w:rsidR="008107C7" w:rsidRDefault="008107C7" w:rsidP="008107C7">
      <w:pPr>
        <w:pStyle w:val="TextoNormal"/>
      </w:pPr>
      <w:r>
        <w:lastRenderedPageBreak/>
        <w:t xml:space="preserve">El escrito se centra, a continuación en el examen del Real Decreto 1.369/1987, de 18 de septiembre, señalando, en primer lugar, que su publicación obedece a una primera causa: De un lado, a la necesidad de poner al día la normativa que regula las instituciones y organizaciones de compensación bancaria. Necesidad que deriva no tanto de la presunta obsolescencia de las normas reguladoras de las Cámaras de Compensación cuanto de un desarrollo tecnológico que permite sustituir la presentación material, para su compensación, de efectos mercantiles en un lugar concreto (la sede de la Cámara) por la transmisión de información en forma de registros magnéticos. Así, los «procedimientos, organizaciones o servicios» de compensación diferentes de las Cámaras y previstos con carácter residual en el segundo párrafo del art. 2 de la Orden de 2 de febrero de 1949 tienden a convertirse en los protagonistas de las operaciones compensatorias. Esta tendencia impone una reforma de la regulación normativa de la compensación bancaria que pasa por reconocerla expresamente e, incluso, anticiparse a su real implantación, como pretende hacer, precisamente, el Real Decreto 1.369/1987. </w:t>
      </w:r>
    </w:p>
    <w:p w:rsidR="008107C7" w:rsidRDefault="008107C7" w:rsidP="008107C7">
      <w:pPr>
        <w:pStyle w:val="TextoNormal"/>
      </w:pPr>
      <w:r>
        <w:t xml:space="preserve">De otro, el art. 2.2 del Real Decreto determina la posibilidad de compensar a través del Sistema Nacional de Compensación Electrónica las letras de cambio, pagarés y cheques que presenten las entidades miembro, de acuerdo con lo previsto en la Ley 19/1985, Cambiaria y del Cheque, regulando en su art. 6 las cuestiones relativas a la declaración en la que se deniegue el pago de aquellos documentos presentados a compensación en el Sistema Nacional, de conformidad con lo previsto en los arts. 51 y 146 c) de la citada Ley 19/1985. La declaración de impago de una letra, cheque o pagaré -continúa el escrito- efectuada por la Cámara de Compensación (o el Sistema Nacional) produce los mismos efectos que el protesto notarial (evita el perjuicio del título) y constituye una de las grandes innovaciones que introduce la Ley Cambiaria y del Cheque. Para posibilitar este "protesto alternativo", la Disposición final primera de la Ley 19/1985 determina que «reglamentariamente se regularán las Cámaras o sistemas de Compensación y la forma en que habrán de presentarse en ellos las letras de cambio». El Real Decreto 1.369/1987 tiene también su origen en este mandato legal. </w:t>
      </w:r>
    </w:p>
    <w:p w:rsidR="008107C7" w:rsidRDefault="008107C7" w:rsidP="008107C7">
      <w:pPr>
        <w:pStyle w:val="TextoNormal"/>
      </w:pPr>
      <w:r>
        <w:t xml:space="preserve">El Real Decreto crea y regula un sistema de compensación electrónica cuyo ámbito geográfico se extiende a todo el territorio del Estado y con arreglo al cual se compensarán mediante procedimientos electrónicos todos aquellos documentos, medios de pago y transmisiones de fondos que presenten al mismo las entidades miembro. En línea con la tradición normativa en la materia, la pertenencia al Sistema es voluntaria (art. 3), permaneciendo simultáneamente en activo las Cámaras de Compensación (oficiales y privadas), así como los procedimientos y sistemas que, voluntariamente, convengan las entidades financieras para compensar medios de pago entre sí (Disposición adicional). No obstante -y esto es una novedad- el Sistema pierde la consideración de Asociación de Bancos para convertirse en una organización creada, regulada, administrada y gestionada por el Estado, a través del Banco de España. </w:t>
      </w:r>
    </w:p>
    <w:p w:rsidR="008107C7" w:rsidRDefault="008107C7" w:rsidP="008107C7">
      <w:pPr>
        <w:pStyle w:val="TextoNormal"/>
      </w:pPr>
      <w:r>
        <w:t xml:space="preserve">De conformidad con lo dispuesto en el art. 1.2, en relación con la Disposición final, es esencial a la inteligencia de esta norma comprobar que los efectos para el ejercicio de las acciones cambiarias previstas en los arts. 51 y 146 c) de la Ley 19/1985 sólo se producirán respecto de aquéllos documentos que se presenten a compensación a través del Sistema Nacional. La presentación en una Cámara de Compensación o institución similar producirá únicamente efectos entre las entidades de crédito asociadas, pero no respecto de los créditos a que responden aquellos documentos, exigiéndose, por tanto, para evitar su perjuicio, levantar el oportuno protesto notarial. </w:t>
      </w:r>
    </w:p>
    <w:p w:rsidR="008107C7" w:rsidRDefault="008107C7" w:rsidP="008107C7">
      <w:pPr>
        <w:pStyle w:val="TextoNormal"/>
      </w:pPr>
      <w:r>
        <w:lastRenderedPageBreak/>
        <w:t xml:space="preserve">De esta forma, continúa el Gobierno Vasco, puede concluirse que el panorama de las organizaciones de compensación bancaria queda definido por: a) Las Asociaciones constituidas por entidades de crédito para compensación de medios de pago (Cámaras de Compensación Bancaria, instituciones similares y otros sistemas); y, b) El Sistema Nacional de Compensación Electrónica, organismo dependiente del Estado, a través del Banco de España. Ambos tipos de instituciones cumplen la función de organismos compensadores de medios de pago, pero sólo la compensación a través del Sistema Nacional produce los efectos previstos en la Ley 19/1985 respecto de su presentación al pago y del ejercicio de las acciones cambiarias. </w:t>
      </w:r>
    </w:p>
    <w:p w:rsidR="008107C7" w:rsidRDefault="008107C7" w:rsidP="008107C7">
      <w:pPr>
        <w:pStyle w:val="TextoNormal"/>
      </w:pPr>
      <w:r>
        <w:t xml:space="preserve">El Gobierno Vasco se detiene, a continuación, en el análisis de la Disposición adicional del Real Decreto 1.369/1987, objeto de conflicto. En dicha Disposición se declara que las actuales Cámaras de Compensación podrán seguir desarrollando sus funciones habituales de acuerdo con la normativa específica que les sea de aplicación. Se dispone, asimismo, que podrán compensarse en el Sistema Nacional los documentos, medios de pago o transmisión de fondos apoyados en soporte electrónico para cuya compensación existan normas en el Sistema Nacional, sin perjuicio de que dos o más entidades convengan de forma voluntaria en definir un sistema para compensar entre sí medios de pago. Esta posibilidad, a juicio del Gobierno Vasco, deriva tanto de lo que resulta de los arts. 1.195 a 1.202 del Código Civil como de los principios de autonomía de la voluntad y libre pacto, base de la compensación voluntaria. </w:t>
      </w:r>
    </w:p>
    <w:p w:rsidR="008107C7" w:rsidRDefault="008107C7" w:rsidP="008107C7">
      <w:pPr>
        <w:pStyle w:val="TextoNormal"/>
      </w:pPr>
      <w:r>
        <w:t xml:space="preserve">Sin embargo, en el inciso final de la Disposición se establece que «tanto la modificación del presente ámbito de actuación de las Cámaras hoy existentes como los Convenios entre entidades para crear sistemas de compensación electrónica diferentes del Nacional quedarán sometidos a la previa autorización del Banco de España». Para el Gobierno Vasco, la función de autorización se enmarca claramente en la actividad administrativa de ordenación del crédito y la banca, al hacer referencia a una función de tutela sobre la articulación operativa de sistemas electrónicos que posibiliten la compensación, tratándose de un aspecto instrumental que en nada afecta a la legislación civil y mercantil, que, en cuanto tal, no precisa de tutela administrativa alguna; lo que, en su caso, integrará la legislación civil y mercantil será la regulación del instituto jurídico de la compensación, pero en ningún caso la exigencia de intervención administrativa prevista en la Disposición adicional. </w:t>
      </w:r>
    </w:p>
    <w:p w:rsidR="008107C7" w:rsidRDefault="008107C7" w:rsidP="008107C7">
      <w:pPr>
        <w:pStyle w:val="TextoNormal"/>
      </w:pPr>
      <w:r>
        <w:t xml:space="preserve">El escrito del Gobierno Vasco se detiene, a continuación, en el examen del reparto competencial operado por la Constitución y el Estatuto de Autonomía del País Vasco en esta materia. Se alega, en esta línea, que la Constitución atribuye al Estado competencia exclusiva sobre las bases de la ordenación del crédito y la banca (art. 149.1.11) y, en concordancia, el Estatuto atribuye al País Vasco, desde una óptica institucional, la competencia exclusiva sobre instituciones de crédito corporativo, público y territorial, y Cajas de Ahorro en el marco de las bases que sobre ordenación del crédito y la banca dicte el Estado y de la política monetaria general (art. 10.26), y, también, conforme al art. 11.2 a) E.A.P.V., desde la óptica de la actividad, el desarrollo legislativo y la ejecución en su territorio de las bases, en los términos que las mismas señalen, en materia de ordenación del crédito y la banca. </w:t>
      </w:r>
    </w:p>
    <w:p w:rsidR="008107C7" w:rsidRDefault="008107C7" w:rsidP="008107C7">
      <w:pPr>
        <w:pStyle w:val="TextoNormal"/>
      </w:pPr>
      <w:r>
        <w:t xml:space="preserve">Es evidente, para el Gobierno Vasco, que la Constitución ha querido dar una presencia activa a las Comunidades Autónomas en la ordenación del crédito y la banca, reservando, en consecuencia, exclusivamente al Estado la determinación de las bases en esta materia; presencia que deberá concretarse en cada Estatuto, como así se ha hecho en los arts. 10.26 y 11.2 a) E.A.P.V. al dotar al País Vasco de competencia de desarrollo legislativo y ejecución de las bases. </w:t>
      </w:r>
    </w:p>
    <w:p w:rsidR="008107C7" w:rsidRDefault="008107C7" w:rsidP="008107C7">
      <w:pPr>
        <w:pStyle w:val="TextoNormal"/>
      </w:pPr>
      <w:r>
        <w:lastRenderedPageBreak/>
        <w:t xml:space="preserve">Con independencia de cuál pueda llegar a ser el alcance de tales bases (teniendo en cuenta, además, el posible entrecruzamiento de otros títulos competenciales reservados al Estado, como pueda ser el contenido en el art. 149.1.13 C.E.), no pueden llegar a negar con carácter general la posibilidad de su desarrollo legislativo por la Comunidad Autónoma del País Vasco, es decir, la posibilidad de que por esta Comunidad se dicten normas disciplinadoras en la materia (STC 1/1982). </w:t>
      </w:r>
    </w:p>
    <w:p w:rsidR="008107C7" w:rsidRDefault="008107C7" w:rsidP="008107C7">
      <w:pPr>
        <w:pStyle w:val="TextoNormal"/>
      </w:pPr>
      <w:r>
        <w:t xml:space="preserve">Pero, continúa el Gobierno Vasco, la competencia asumida por el País Vasco incluye la ejecución tanto de las normas básicas establecidas por el Gobierno como de las normas dictadas en desarrollo de aquéllas por la propia Comunidad Autónoma. Y es en este campo de la ejecución en el que se inscribe la función autorizatoria de los Convenios que la Disposición adicional atribuye al Banco de España. Reconoce el Gobierno Vasco que este Tribunal ha declarado en varias ocasiones que la competencia estatal de fijación de bases puede incluir, en ocasiones, actividades de ejecución. Pero esta posibilidad ha de entenderse de forma sumamente limitada y restrictiva por cuanto supone una alteración radical del reparto competencial existente entre el Estado y las Comunidades Autónomas y ha de venir motivado necesariamente por tratarse de la única manera de garantizar la conclusión de los intereses generales perseguidos por la regulación estatal de las bases del crédito y la banca. Y, a juicio del Gobierno Vasco, no se alcanza a ver en qué medida la función autorizadora reservada al Banco de España supone el ejercicio de decisión alguna que afecte directamente a la política económica general, financiera o monetaria. Antes al contrario, la autorización previa no tiene otro objeto que tutelar la correcta actuación de las entidades parte en el Convenio a fin de comprobar la adecuación del mismo a la normativa que pudiera resultar de aplicación, habida cuenta de que la decisión de crear un sistema propio de compensación entre dos o más entidades de crédito permanece en el ámbito de la autonomía de la voluntad, cuyo límite, en el caso que nos ocupa, se encuentra en no incidir en las funciones que la normativa reserve ya al Sistema Nacional de Compensación Electrónica, ya al resto de instituciones de compensación bancaria. Tales comprobaciones constituyen el exclusivo objeto de la autorización previa. El contraste formal y material de legalidad que se produce entre un proyecto concreto de Convenio y la norma de referencia no puede tener el carácter de base material del sector de ordenación bancaria. </w:t>
      </w:r>
    </w:p>
    <w:p w:rsidR="008107C7" w:rsidRDefault="008107C7" w:rsidP="008107C7">
      <w:pPr>
        <w:pStyle w:val="TextoNormal"/>
      </w:pPr>
      <w:r>
        <w:t xml:space="preserve">Estamos, así, ante un nuevo ejemplo que demuestra la necesidad de adaptar las funciones del Banco de España al sistema de distribución de competencias diseñado por la Constitución y los Estatutos de Autonomía. </w:t>
      </w:r>
    </w:p>
    <w:p w:rsidR="008107C7" w:rsidRDefault="008107C7" w:rsidP="008107C7">
      <w:pPr>
        <w:pStyle w:val="TextoNormal"/>
      </w:pPr>
      <w:r>
        <w:t xml:space="preserve">Por último, alega el Gobierno Vasco que no puede sostenerse, como hizo el Gobierno en contestación a su requerimiento previo, que la intervención del Banco de España constituye una necesidad técnica de la funcionalidad del Sistema Nacional; y ello porque técnicamente en nada puede afectar al Sistema Nacional un sistema particular de determinadas entidades, pues se trata de sistemas paralelos sin conexión entre sí, a no ser que los organizados voluntariamente pretendan integrarse en el Nacional, integración que deberá realizarse en las condiciones que determine el Banco de España. </w:t>
      </w:r>
    </w:p>
    <w:p w:rsidR="008107C7" w:rsidRDefault="008107C7" w:rsidP="008107C7">
      <w:pPr>
        <w:pStyle w:val="TextoNormal"/>
      </w:pPr>
      <w:r>
        <w:t xml:space="preserve">En consecuencia, para el Gobierno Vasco, ha de concluirse que la competencia para autorizar con carácter previo los Convenios entre entidades de crédito radicadas en la Comunidad Autónoma del País Vasco constituye una competencia de ejecución cuyo ejercicio corresponde al órgano competente de la Comunidad Autónoma del País Vasco. Por ello, se solicita de este Tribunal que dicte Sentencia por la que se declare que la Disposición adicional del Real Decreto 1.369/1987, de 18 de septiembre, por el que se crea el Sistema Nacional de Compensación Electrónica, no respeta el orden de competencias establecido en </w:t>
      </w:r>
      <w:r>
        <w:lastRenderedPageBreak/>
        <w:t>la Constitución y en el Estatuto de Autonomía del País Vasco y, consiguientemente, se declare que es de la titularidad de esta Comunidad Autónoma la competencia controvertida.</w:t>
      </w:r>
    </w:p>
    <w:p w:rsidR="008107C7" w:rsidRDefault="008107C7" w:rsidP="008107C7">
      <w:pPr>
        <w:pStyle w:val="TextoNormal"/>
      </w:pPr>
    </w:p>
    <w:p w:rsidR="008107C7" w:rsidRDefault="008107C7" w:rsidP="008107C7">
      <w:pPr>
        <w:pStyle w:val="TextoNormal"/>
      </w:pPr>
      <w:r w:rsidRPr="008107C7">
        <w:rPr>
          <w:rStyle w:val="NumeroAFNegritaCaracter"/>
        </w:rPr>
        <w:t>3</w:t>
      </w:r>
      <w:r>
        <w:t>. Por providencia de 6 de abril de 1988, la Sección Segunda de este Tribunal acordó admitir a trámite el presente conflicto positivo de competencia y dar traslado al Gobierno, por conducto de su Presidente, de la demanda y documentos adjuntos al objeto de que aportara, en el plazo de veinte días y por medio de representación procesal, cuantas alegaciones y documentos estimara pertinentes. Asimismo, se acordó dirigir oficio al Presidente del Tribunal Supremo para conocimiento de la Sala de lo Contencioso-Administrativo correspondiente por si ante ella estuviere impugnado o se impugnare el Real Decreto 1.369/1987, así como publicar la incoación del conflicto en el Boletín Oficial del Estado y en el del País Vasco, para general conocimiento.</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Con fecha 15 de marzo de 1988, y tras haber sido rechazado el correspondiente requerimiento de incompetencia, el Letrado don Ramón Riu i Fortuny, en nombre del Consejo Ejecutivo de la Generalidad de Cataluña, promovió conflicto positivo de competencia frente al Gobierno de la Nación por estimar que los arts. 1 y 2.2 y la Disposición adicional del Real Decreto 1.369/1987, de 18 de septiembre, por el que se crea el Sistema Nacional de Compensación Electrónica, no respeta el orden de competencias establecido en la Constitución y en el Estatuto de Autonomía de Cataluña. </w:t>
      </w:r>
    </w:p>
    <w:p w:rsidR="008107C7" w:rsidRDefault="008107C7" w:rsidP="008107C7">
      <w:pPr>
        <w:pStyle w:val="TextoNormal"/>
      </w:pPr>
      <w:r>
        <w:t xml:space="preserve">El art. 1 establece que "1. Se crea en el Banco de España el «Sistema Nacional de Compensación Electrónica» (en adelante, Sistema Nacional), a través del cual se llevará a cabo la compensación de documentos, medios de pago y transmisiones de fondos que, mediante sistemas y procedimientos electrónicos, presenten al mismo las Entidades miembros. El ámbito geográfico del Sistema Nacional se extiende a todo el territorio del Estado. 2. A través del Sistema Nacional se llevará a cabo la compensación de las letras de cambio, pagarés y cheques que presenten al mismo las Entidades miembros, de acuerdo con lo previsto en la Ley 19/1985, de 16 de julio, Cambiaria y del Cheque. 3. Las normas que se dicten en desarrollo del presente Real Decreto contendrán la enumeración de los demás documentos, medios de pago o transmisión de fondos, que puedan ser objeto de compensación en el Sistema Nacional. </w:t>
      </w:r>
    </w:p>
    <w:p w:rsidR="008107C7" w:rsidRDefault="008107C7" w:rsidP="008107C7">
      <w:pPr>
        <w:pStyle w:val="TextoNormal"/>
      </w:pPr>
      <w:r>
        <w:t xml:space="preserve">El art. 2.2 dispone que "En el desempeño de las funciones mencionadas en el número anterior, el Banco de España contará con el asesoramiento de una Comisión presidida por un representante del mismo, designado por su Consejo Ejecutivo, y constituida por cuatro representantes designados por el Consejo Superior Bancario, un representante designado por el Instituto de Crédito Oficial, dos representantes designados por la Confederación Española de Cajas de Ahorro y un representante designado por la Caja Postal de Ahorros. En el caso de que el volumen de documentos, medios de pago o transmisiones de fondos presentados al sistema por las Cooperativas de crédito llegue a superar el 2 por 100 del total, podrá formar parte de la mencionada Comisión un representante de las mismas designado en la forma que se determine en las normas de desarrollo de este Real Decreto.". </w:t>
      </w:r>
    </w:p>
    <w:p w:rsidR="008107C7" w:rsidRDefault="008107C7" w:rsidP="008107C7">
      <w:pPr>
        <w:pStyle w:val="TextoNormal"/>
      </w:pPr>
      <w:r>
        <w:t xml:space="preserve">Por fin, la Disposición adicional afirma que "A la entrada en vigor del presente Real Decreto, las actuales Cámaras de Compensación, ya san éstas oficiales o privadas, podrán seguir desarrollando sus funciones habituales de acuerdo con la normativa específica que les es aplicable. Igualmente, y a partir de la misma fecha, los documentos, medios de pago o transmisión de fondos apoyados en soporte electrónico, para cuya compensación existan normas del Sistema Nacional, se compensarán en este; todo ello sin perjuicio de que dos o más Entidades convengan de forma voluntaria en definir un sistema para compensar entre </w:t>
      </w:r>
      <w:r>
        <w:lastRenderedPageBreak/>
        <w:t>sí medios de pago. Tanto la modificación del presente ámbito de actuación de las Cámaras hoy existentes como los Convenios entre Entidades para crear sistemas de compensación electrónica diferentes del Nacional, quedarán sometidos a la previa autorización del Banco de España.".</w:t>
      </w:r>
    </w:p>
    <w:p w:rsidR="008107C7" w:rsidRDefault="008107C7" w:rsidP="008107C7">
      <w:pPr>
        <w:pStyle w:val="TextoNormal"/>
      </w:pPr>
    </w:p>
    <w:p w:rsidR="008107C7" w:rsidRDefault="008107C7" w:rsidP="008107C7">
      <w:pPr>
        <w:pStyle w:val="TextoNormal"/>
      </w:pPr>
      <w:r w:rsidRPr="008107C7">
        <w:rPr>
          <w:rStyle w:val="NumeroAFNegritaCaracter"/>
        </w:rPr>
        <w:t>5</w:t>
      </w:r>
      <w:r>
        <w:t xml:space="preserve">. Los términos del conflicto, según resulta de la demanda y documentación adjunta, se resumen en lo siguiente: </w:t>
      </w:r>
    </w:p>
    <w:p w:rsidR="008107C7" w:rsidRDefault="008107C7" w:rsidP="008107C7">
      <w:pPr>
        <w:pStyle w:val="TextoNormal"/>
      </w:pPr>
      <w:r>
        <w:t xml:space="preserve">El Consejo Ejecutivo tras referirse a los avatares previos al presente procedimiento, detenerse en el análisis de la figura de la compensación de créditos y detallar el ámbito material y el marco competencial del conflicto suscitado, se centra en el examen de los preceptos impugnados. Así, en su opinión, el art. 1 del Real Decreto 1.369/1987 debe reputarse inconstitucional en la medida en que, reforzado por la Disposición adicional, estructura un sistema de compensación única y centralizado, excluyente -en el plazo que determine el Ministerio de Economía y Hacienda- de los sistemas de compensación existentes a través de Cámaras de Compensación de alcance territorial, so capa de la complejidad técnica del sistema. Con ello se desconocen las competencias de la Generalidad sobre ordenación del crédito, banca y seguros y sobre Cajas de Ahorro, sin que el Estado pueda aducir un título competencial que le autorice para esta invasión de competencias. No puede serlo el título de la legislación mercantil, pues la norma impugnada no incide en cuestiones mercantiles, sino en un aspecto organizativo y, por tanto, administrativo de la actividad bancaria. Tampoco lo es la competencia para establecer las bases de la ordenación bancaria; la facultad para regular las bases no significa que el Estado pueda recabar para sí todos los aspectos de la legislación bancaria ni de su ejecución. En este sentido, recuerda el Consejo Ejecutivo que la jurisprudencia constitucional no ha perdido ocasión de pronunciarse en pro de la diversidad y en contra de uniformismos innecesarios; de acuerdo con ella, lo que se persigue es que las bases «tengan una regulación normativa uniforme y de vigencia en toda la Nación», porque con ellas se proporciona al sistema normativo un denominador común a partir del cual cada Comunidad podrá desarrollar sus propias competencias (STC de 28 de abril de 1983). Además, el establecimiento de las bases de la ordenación no puede llegar a tal grado de desarrollo que deje vacía de contenido la correlativa competencia autonómica (SSTC 1/1982 y 5/1982). </w:t>
      </w:r>
    </w:p>
    <w:p w:rsidR="008107C7" w:rsidRDefault="008107C7" w:rsidP="008107C7">
      <w:pPr>
        <w:pStyle w:val="TextoNormal"/>
      </w:pPr>
      <w:r>
        <w:t xml:space="preserve">Alega, a continuación, el Consejo Ejecutivo que la atribución de competencias exclusivas en favor de un organismo estatal -lo que se consigue por la vía subrepticia de declarar sujeta al sistema estatal no la actividad en sí misma, sino la utilización para esta actividad de un medio técnico generalizado- no viene justificada ni por la política económica general ni por la política monetaria. En opinión del Consejo Ejecutivo, no puede desconocerse que la compensación es un elemento complementario de la actividad bancaria, un mecanismo de simplificación para el cumplimiento de obligaciones que en ningún caso puede considerarse pilar de la política monetaria, pues no afecta ni a la solvencia de las entidades ni al volumen de los medios de pago, sino que es una consecuencia de éstos y de otras medidas de política monetaria que el Estado haya podido arbitrar. Tampoco la unidad económica nacional puede alegarse como título unificador de competencias, pues la propia existencia durante décadas de Cámaras de Compensación territoriales demuestra que nunca ha peligrado la unidad económica por causa de esa pluralidad. </w:t>
      </w:r>
    </w:p>
    <w:p w:rsidR="008107C7" w:rsidRDefault="008107C7" w:rsidP="008107C7">
      <w:pPr>
        <w:pStyle w:val="TextoNormal"/>
      </w:pPr>
      <w:r>
        <w:t>El Consejo Ejecutivo no discute, en cambio, la conveniencia de crear un sistema de compensación nacional, de forma que no elimine otros sistemas, sino que los aglutine y com</w:t>
      </w:r>
      <w:r>
        <w:lastRenderedPageBreak/>
        <w:t xml:space="preserve">plemente, a modo de clave de bóveda de la actuación de otras entidades. A tal fin se encaminaba la propuesta de la Generalidad incorporada al requerimiento previo dirigido al Gobierno de agregar un apartado 4 al art. 1. </w:t>
      </w:r>
    </w:p>
    <w:p w:rsidR="008107C7" w:rsidRDefault="008107C7" w:rsidP="008107C7">
      <w:pPr>
        <w:pStyle w:val="TextoNormal"/>
      </w:pPr>
      <w:r>
        <w:t xml:space="preserve">En relación con el art. 2.2 del Real Decreto 1.369/1987, se alega que el mismo muestra la escasa sensibilidad del Gobierno respecto del hecho autonómico. Cuando en su contestación al requerimiento manifiesta que la Comisión Asesora no es un órgano de coordinación, el Gobierno sólo puede asentar tal afirmación en la premisa de haber hecho tabla rasa de las competencias autonómicas. Por tal motivo, desde el momento en que el Gobierno está obligado a respetar las competencias autonómicas sobre las Cámaras y los sistemas de compensación de ámbito territorial, igualmente está obligado a reconocer la presencia de las Comunidades Autónomas en un órgano que lógicamente ha de coordinar la actuación de tales sistemas territoriales en el seno del sistema nacional. </w:t>
      </w:r>
    </w:p>
    <w:p w:rsidR="008107C7" w:rsidRDefault="008107C7" w:rsidP="008107C7">
      <w:pPr>
        <w:pStyle w:val="TextoNormal"/>
      </w:pPr>
      <w:r>
        <w:t xml:space="preserve">Por último, la Disposición adicional del Real Decreto sería inconstitucional por cuanto: a) Obliga a que toda compensación sobre soporte electrónico se centralice en el Banco de España, cuando es evidente que no existe título alguno en la Constitución que permita atribuir los sistemas electrónicos a la competencia exclusiva del Estado y que el puro carácter instrumental de ese soporte hace imposible que esté determinando por sí mismo competencia alguna; b) Condena a la desaparición a las actuales Cámaras de Compensación, siguiendo una política de vaciado de competencias autonómicas consistente no en negar tales competencias, sino en suprimir las instituciones sobre las que se ejercen; c) Reserva exclusivamente al Banco de España la facultad de autorizar la modificación del ámbito de actuación de las Cámaras existentes y de aprobar los convenios entre entidades para crear sistemas de compensación electrónica distintos del Nacional, desconociendo y vulnerando así las facultades de ejecución que corresponden a la Generalidad en materia de ordenación bancaria (art. 10.1.4 E.A.C.). Facultades cuyo ejercicio no impediría facilitar cuanta información fuera precisa al Banco de España o a cualquier órgano de la Administración del Estado en relación con las actividades llevadas a cabo por la Generalidad. </w:t>
      </w:r>
    </w:p>
    <w:p w:rsidR="008107C7" w:rsidRDefault="008107C7" w:rsidP="008107C7">
      <w:pPr>
        <w:pStyle w:val="TextoNormal"/>
      </w:pPr>
      <w:r>
        <w:t>En consecuencia, el Consejo Ejecutivo interesa de este Tribunal que dicte Sentencia por la que se declare que la competencia controvertida corresponde a la Generalidad de Cataluña y se declaren inaplicables en su territorio los preceptos impugnados.</w:t>
      </w:r>
    </w:p>
    <w:p w:rsidR="008107C7" w:rsidRDefault="008107C7" w:rsidP="008107C7">
      <w:pPr>
        <w:pStyle w:val="TextoNormal"/>
      </w:pPr>
    </w:p>
    <w:p w:rsidR="008107C7" w:rsidRDefault="008107C7" w:rsidP="008107C7">
      <w:pPr>
        <w:pStyle w:val="TextoNormal"/>
      </w:pPr>
      <w:r w:rsidRPr="008107C7">
        <w:rPr>
          <w:rStyle w:val="NumeroAFNegritaCaracter"/>
        </w:rPr>
        <w:t>6</w:t>
      </w:r>
      <w:r>
        <w:t>. Por providencia de 6 de abril de 1988, la Sección Segunda de este Tribunal acordó admitir a trámite el presente conflicto positivo de competencia y dar traslado de la demanda y documentos adjuntos al Gobierno, por conducto de su Presidente, al objeto de que aportara, en el plazo de veinte días y por medio de representación procesal, cuantas alegaciones y documentos estimara pertinentes. Asimismo, se acordó dirigir oficio al Presidente del Tribunal Supremo para conocimiento de la Sala de lo Contencioso-Administrativo correspondiente por si ante ella estuviere impugnado o se impugnare el Real Decreto 1.369/1987, así como publicar la incoación del conflicto en el Boletín Oficial del Estado y en el Diario Oficial de la Generalidad de Cataluña, para general conocimiento.</w:t>
      </w:r>
    </w:p>
    <w:p w:rsidR="008107C7" w:rsidRDefault="008107C7" w:rsidP="008107C7">
      <w:pPr>
        <w:pStyle w:val="TextoNormal"/>
      </w:pPr>
    </w:p>
    <w:p w:rsidR="008107C7" w:rsidRDefault="008107C7" w:rsidP="008107C7">
      <w:pPr>
        <w:pStyle w:val="TextoNormal"/>
      </w:pPr>
      <w:r w:rsidRPr="008107C7">
        <w:rPr>
          <w:rStyle w:val="NumeroAFNegritaCaracter"/>
        </w:rPr>
        <w:t>7</w:t>
      </w:r>
      <w:r>
        <w:t>. Mediante providencia de 18 de abril de 1988, la Sección acordó incorporar a las actuaciones el escrito remitido por el Abogado del Estado con fecha del día 11 anterior y dar traslado del mismo a las partes personadas en el conflicto positivo de competencia núm. 456/88 para que en el plazo común de diez días expusieran lo que tuvieran por conveniente en relación con la acumulación de ambos procesos, interesada en el referido escrito por el Abogado del Estado.</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8</w:t>
      </w:r>
      <w:r>
        <w:t>. Evacuadas las alegaciones de las partes, el Pleno del Tribunal, por Auto de 24 de mayo de 1988, acordó acumular los conflictos positivos de competencia núms. 456/88 y 462/88 y conceder plazo de veinte días al Abogado del Estado para que presentara sus alegaciones.</w:t>
      </w:r>
    </w:p>
    <w:p w:rsidR="008107C7" w:rsidRDefault="008107C7" w:rsidP="008107C7">
      <w:pPr>
        <w:pStyle w:val="TextoNormal"/>
      </w:pPr>
    </w:p>
    <w:p w:rsidR="008107C7" w:rsidRDefault="008107C7" w:rsidP="008107C7">
      <w:pPr>
        <w:pStyle w:val="TextoNormal"/>
      </w:pPr>
      <w:r w:rsidRPr="008107C7">
        <w:rPr>
          <w:rStyle w:val="NumeroAFNegritaCaracter"/>
        </w:rPr>
        <w:t>9</w:t>
      </w:r>
      <w:r>
        <w:t xml:space="preserve">. El escrito de alegaciones del Abogado del Estado se registró en este Tribunal el 23 de junio de 1988. Tras una serie de consideraciones referidas a la naturaleza de la compensación de créditos, se centra en la identificación de los títulos competenciales que habilitan al Estado para dictar la regulación combatida. A su juicio, el Real Decreto 1.369/1987 se sitúa en el ámbito de la competencia prevista en el art. 149.1.6 C.E. Esta ubicación resulta de un sencillo análisis de la condición de los sujetos y del objeto del tráfico sobre el que se proyecta la regulación y no se ve desvirtuada ni por el mayor o menor grado de autonomía de la voluntad ni por el supuesto carácter asociativo de las Cámaras de Compensación. Aquélla atañe sólo al contenido de la regulación y no al sector competencial ni a la disciplina jurídica de la institución; de otro lado, ni las Cámaras son asociaciones en sentido propio ni su supuesta condición asociativa es incompatible con la regulación mercantil, del mismo modo que las ferias y mercados, siendo lugares de reunión, no pierden su carácter mercantil por ser manifestaciones del derecho de reunión. De otro lado, y al margen de la naturaleza mercantil de la institución, las dos demandas vienen a reconocer la significación básica de una norma que regule un sistema nacional de compensación, siquiera se cuestione su alcance, y, además, en la del Gobierno Vasco se admite la necesidad de poner al día la normativa que regula las instituciones de compensación, debiendo observarse que no se ha suscitado ninguna controversia competencial en relación con la normativa precedente. </w:t>
      </w:r>
    </w:p>
    <w:p w:rsidR="008107C7" w:rsidRDefault="008107C7" w:rsidP="008107C7">
      <w:pPr>
        <w:pStyle w:val="TextoNormal"/>
      </w:pPr>
      <w:r>
        <w:t xml:space="preserve">Examinando ya los concretos preceptos impugnados, alega el Abogado del Estado que el art. 1 se califica de inconstitucional «en la medida en que, reforzado por la Disposición Adicional, estructura un sistema de compensación única y centralizado». A su juicio, esa expresión demuestra que la impugnación no se ha basado tanto en el texto del precepto cuanto en el contexto de todo el Real Decreto y en el significado relacional que alcanza mediante la interpretación conjunta de sus normas. En realidad, el art. 1 crea una forma de mercado que llama «Sistema Nacional de Compensación Electrónica» con la finalidad de llevar a cabo la compensación de documentos, medios de pago y transmisiones de fondos, definiendo también su ámbito geográfico. Para el Abogado del Estado, es difícil inferir de este precepto una invasión competencial. La creación de mercados, lugares de contratación o mercados singulares de carácter mercantil ha de ser competencia del Estado, no ya por constituir un elemento disciplinario y configurador de relaciones mercantiles, sino en consideración al carácter y ámbito del mercado, que se diseña como un mercado nacional. </w:t>
      </w:r>
    </w:p>
    <w:p w:rsidR="008107C7" w:rsidRDefault="008107C7" w:rsidP="008107C7">
      <w:pPr>
        <w:pStyle w:val="TextoNormal"/>
      </w:pPr>
      <w:r>
        <w:t xml:space="preserve">La propia Generalidad, continúa el escrito de alegaciones, dice no discutir la conveniencia de crear un sistema de compensación nacional, aunque sólo en la medida en que «no elimine otros sistemas, sino que los aglutine y complemente, a modo de clave de bóveda de la actuación de otras entidades». Para el Abogado del Estado, esta consideración parece trasladar mecánicamente una idea -sistema y subsistemas- que puede no responder a las necesidades y exigencias concretas de la institución regulada. Ha de pensarse que la compensación mercantil representa una forma de extinción de las obligaciones basada en un elemento de reciprocidad de crédito y deuda; por ello, la configuración del conjunto es definitoria, necesariamente, de unos resultados distintos, pues la relación de reciprocidad será también diferente según cuál sea el ámbito del mercado y de los sujetos que en él intervienen. La compensación electrónica no es una suerte de actuación de tipo asistencial que tolere fácilmente una forma de gradación, una acción central y unas acciones territoriales que </w:t>
      </w:r>
      <w:r>
        <w:lastRenderedPageBreak/>
        <w:t xml:space="preserve">desarrollan la primera. La compensación es un mecanismo preciso y concreto que de producirse en un ámbito no alcanza repercusión en otro. Si antes existían diversas Cámaras ello era debido a las particularidades mecánicas u operativas del sistema de compensación, basado en la presentación material de los medios de pago y en la realización efectiva de los movimientos de fondos. En un sistema basado en el soporte electrónico, por el contrario, se obtiene un altísimo grado de rapidez, siempre que existan unos esquemas organizativos simples y dinámicos, sometidos a una disciplina común. </w:t>
      </w:r>
    </w:p>
    <w:p w:rsidR="008107C7" w:rsidRDefault="008107C7" w:rsidP="008107C7">
      <w:pPr>
        <w:pStyle w:val="TextoNormal"/>
      </w:pPr>
      <w:r>
        <w:t xml:space="preserve">En relación con el art. 2 del Real Decreto, sostiene el Abogado del Estado que frente al carácter coordinador de la Comisión ha de destacarse su configuración positiva como órgano de asesoramiento del Banco de España, respondiendo su composición al propósito de integrar miembros de los intereses afectados, bancos y Cajas de Ahorro, todo ello de acuerdo con una cierta tradición de autoadministración. </w:t>
      </w:r>
    </w:p>
    <w:p w:rsidR="008107C7" w:rsidRDefault="008107C7" w:rsidP="008107C7">
      <w:pPr>
        <w:pStyle w:val="TextoNormal"/>
      </w:pPr>
      <w:r>
        <w:t xml:space="preserve">Por lo que se refiere a la Disposición adicional, entiende el Abogado del Estado que resulta contradictorio que el Gobierno Vasco impugne las previsiones en ella contenidas en punto a la autorización de sistemas distintos del nacional y, en cambio, admita la necesidad de que exista un sistema nacional de compensación. En su opinión, es absolutamente natural y coherente con un sistema el que aspire a comprender la totalidad de las operaciones que hayan de integrarlo. La objeción formulada viene a negar, en último término, la idea de sistema que se dice compartir. En contestación a la Generalidad de Cataluña, se afirma en el escrito de alegaciones que su objeción de que no puede fundarse en un elemento instrumental como es el soporte electrónico una competencia exclusiva del Estado no repara en el hecho de que el aspecto puramente técnico es el materialmente definitorio del sistema, cuyo objeto son las relaciones mercantiles. La competencia estatal no se funda en la electrónica, sino en el carácter mercantil de las relaciones que la electrónica refleja. </w:t>
      </w:r>
    </w:p>
    <w:p w:rsidR="008107C7" w:rsidRDefault="008107C7" w:rsidP="008107C7">
      <w:pPr>
        <w:pStyle w:val="TextoNormal"/>
      </w:pPr>
      <w:r>
        <w:t xml:space="preserve">Del mismo modo, finaliza el escrito de alegaciones, tampoco ha de reconocerse en las Cámaras hoy existentes una especie de garantía institucional de permanencia que obligue a prescindir de métodos generalizados ya en otros países. Además de que esas Cámaras son instituciones sin ninguna conexión con las competencias autonómicas, no puede dejar de observarse que su desaparición de hecho -pronosticada por la Generalidad- no derivaría del Real Decreto, sino de las ventajas comparativas del sistema que éste introduce. </w:t>
      </w:r>
    </w:p>
    <w:p w:rsidR="008107C7" w:rsidRDefault="008107C7" w:rsidP="008107C7">
      <w:pPr>
        <w:pStyle w:val="TextoNormal"/>
      </w:pPr>
      <w:r>
        <w:t>Por lo expuesto, se interesa del Tribunal que dicte Sentencia desestimatoria por la que se declare que corresponde al Estado la controversia controvertida.</w:t>
      </w:r>
    </w:p>
    <w:p w:rsidR="008107C7" w:rsidRDefault="008107C7" w:rsidP="008107C7">
      <w:pPr>
        <w:pStyle w:val="TextoNormal"/>
      </w:pPr>
    </w:p>
    <w:p w:rsidR="008107C7" w:rsidRDefault="008107C7" w:rsidP="008107C7">
      <w:pPr>
        <w:pStyle w:val="TextoNormal"/>
      </w:pPr>
      <w:r w:rsidRPr="008107C7">
        <w:rPr>
          <w:rStyle w:val="NumeroAFNegritaCaracter"/>
        </w:rPr>
        <w:t>10</w:t>
      </w:r>
      <w:r>
        <w:t>. Por providencia de 25 de febrero de 1997, se señaló para deliberación y votación de los presentes conflictos positivos de competencia el día 27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El presente conflicto ha sido suscitado en relación con los arts. 1 y 2.2 y la Disposición adicional del Real Decreto 1.369/1987, de 18 de septiembre, por el que se crea el Sistema Nacional de Compensación Electrónica. El Consejo Ejecutivo de la Generalidad de Cataluña sostiene que el art. 1 es inconstitucional, por invasión de competencias, en la medida en que, reforzado por la Disposición adicional, "estructura un sistema de compensación único y centralizado, excluyente en el plazo que determina el Ministro de Economía y Hacienda de los sistemas de compensación existentes a través de Cámaras de Compensación de alcance territorial"; a su juicio, se desconocen así las competencias de la Generalidad </w:t>
      </w:r>
      <w:r>
        <w:lastRenderedPageBreak/>
        <w:t>sobre ordenación del crédito, banca y seguros, sin que el Estado pueda aducir un título competencial que le autorice para la instauración de un sistema con estas características. Por su parte, el art.  2.2 tampoco respetaría las competencias autonómicas sobre las Cámaras y los sistemas de compensación de ámbito territorial, pues no se da cabida a las Comunidades Autónomas en la administración y gestión del Sistema Nacional, en cuyo seno es preciso coordinar la actuación de los sistemas territoriales. Por último, la Disposición adicional es objeto de impugnación tanto por parte de la Generalidad como por el Gobierno Vasco, aunque éste sólo se centra en su inciso final. Entiende el Consejo Ejecutivo que aquella Disposición incurre en inconstitucionalidad por cuanto impone que toda compensación electrónica se centralice en el Banco de España, cuando es evidente que no existe título competencial que permita atribuir los sistemas electrónicos a la competencia exclusiva del Estado, además, condena a la desaparición a las Cámaras de Compensación y reserva al Banco de España la facultad de autorizar la modificación del ámbito de actuación de las Cámaras existentes y de aprobar los convenios entre entidades para crear sistemas distintos del nacional, con lo que se vulneran las facultades de ejecución que corresponden a la Generalidad en materia de ordenación bancaria. El Gobierno Vasco, por su parte, alega que la previsión contenida en el inciso final de la Disposición (autorización del Banco de España de los Convenios entre Entidades para crear sistemas de compensación electrónica) se enmarca claramente en la actividad administrativa de ordenación del crédito y la banca, pues hace referencia a una función de tutela sobre la articulación operativa de sistemas electrónicos, lo que constituye un aspecto instrumental que en nada afecta a la legislación civil y mercantil.</w:t>
      </w:r>
    </w:p>
    <w:p w:rsidR="008107C7" w:rsidRDefault="008107C7" w:rsidP="008107C7">
      <w:pPr>
        <w:pStyle w:val="TextoNormal"/>
      </w:pPr>
      <w:r>
        <w:t>A todo lo anterior opone el Abogado del Estado que el Real Decreto 1.369/1987 se sitúa en el ámbito de la competencia sobre legislación mercantil prevista en el art. 149.1.6 C.E., ya que, aun "siendo incuestionable la finalidad básica de estos preceptos en ordenar la economía y dentro de ella el aspecto principalísimo de la ordenación bancaria, no puede dudarse del carácter mercantil de las relaciones que ordenan". Concretamente, en relación con el art. 1 sostiene que la creación de mercados, lugares de contratación o mercados singulares de carácter mercantil ha de ser competencia del Estado, no ya por constituir un elemento disciplinario y configurador de relaciones mercantiles, sino en consideración al carácter y ámbito del mercado, que se diseña como un mercado nacional. El art. 2, por su parte, dispone la existencia de una Comisión de asesoramiento del Banco de España cuya composición responde al propósito de integrar a representantes de los intereses afectados, de acuerdo con una cierta tradición de autoadministración. Por último, sostiene el Abogado del Estado que no tiene sentido que el Gobierno Vasco admita la conveniencia de crear un Sistema Nacional y discuta, al tiempo, las previsiones establecidas para la autorización de otros sistemas, pues es perfectamente natural que un sistema aspire a comprender la totalidad de las operaciones que hayan de integrarlo.  De otro lado, y en contestación a las objeciones de la Generalidad, alega el Abogado del Estado que la competencia del Estado no se funda en la electrónica, sino en el carácter mercantil de las operaciones que la electrónica refleja.</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Así planteado el conflicto, es claro que para resolverlo lo primero que debemos dilucidar es la materia competencial a la que pertenecen los preceptos controvertidos.  Estos artículos, cuyo tenor literal se ha reproducido en el antecedente 4º de esta Sentencia, se limitan: a) a crear en el Banco de España el "Sistema Nacional de Compensación Electrónica" y a precisar sus funciones y el ámbito geográfico en el que éstas se ejercerán (art. 1); b) a crear y determinar la composición de una Comisión encargada de asesorar al Banco de España en el desempeño de sus funciones de administración y gestión del referido Sistema </w:t>
      </w:r>
      <w:r>
        <w:lastRenderedPageBreak/>
        <w:t>Nacional de Compensación (art. 2.2); y c) a declarar la pervivencia de las Cámaras de Compensación, oficiales y privadas, aunque precisa que los documentos para cuya compensación electrónica existen normas del Sistema Nacional se compensarán en éste; prevé igualmente la posibilidad de que dos o más Entidades convengan de forma voluntaria la constitución de un sistema de compensación, sometiendo a la autorización del Banco de España tanto la modificación del ámbito de actuación de las Cámaras hoy existentes como la celebración de los mentados Convenios cuando creen sistemas de compensación electrónica (Disposición adicional).</w:t>
      </w:r>
    </w:p>
    <w:p w:rsidR="008107C7" w:rsidRDefault="008107C7" w:rsidP="008107C7">
      <w:pPr>
        <w:pStyle w:val="TextoNormal"/>
      </w:pPr>
      <w:r>
        <w:t>En las ya numerosas ocasiones en las que este Tribunal ha tenido que precisar los límites entre la competencia sobre legislación mercantil y otras materias afines o colindantes, lo primero que ha destacado es la dificultad que esta operación entraña en las sociedades que siguen el modelo de la economía de mercado, en las que la actividad mercantil aparece disciplinada por un conjunto de normas en donde se mezclan de forma inextricable el Derecho Público y el Derecho Privado, dentro del que hay que situar el Derecho Mercantil (STC 37/1981). Con todo, desde esta temprana Sentencia se han ido perfilando unos criterios de delimitación competencial a cuya luz podemos resolver el presente conflicto.</w:t>
      </w:r>
    </w:p>
    <w:p w:rsidR="008107C7" w:rsidRDefault="008107C7" w:rsidP="008107C7">
      <w:pPr>
        <w:pStyle w:val="TextoNormal"/>
      </w:pPr>
      <w:r>
        <w:t>En efecto, desde la Sentencia citada el Tribunal ha delimitado el alcance de la legislación contractual, civil y mercantil, en relación con otras materias competenciales como el comercio interior, la defensa de consumidores y usuarios (SSTC 71/1982, 88/1986, 61/1991), los Centros de Contratación de Mercancías (STC 37/1981), la ordenación de los seguros (STC 86/1989) y las cooperativas (STC 72/1983). El punto de partida argumental de todas las resoluciones ha sido siempre el de la distinción cuidadosa entre, de un lado, lo que es regulación de las relaciones inter privatos y, de otro lado, la regulación de la intervención de los poderes públicos en estas relaciones contractuales -mediante, por ejemplo, actividades de policía administrativa (STC 71/1982, fundamento jurídico 16) o de establecimiento de servicios de vigilancia, inspección o régimen disciplinario (STC 62/1991, fundamento jurídico 4º)-. El primer tipo de regulaciones se ha encuadrado en la materia de legislación civil o mercantil -afirmando que "sólo las reglas de Derecho privado quedarán comprendidas en la reserva al Estado de la legislación mercantil" (STC 37/1981, 14/1986) e incluyendo en ellas el establecimiento de las condiciones generales de contratación, las modalidades de contratos (STC 71/1982), la delimitación de su contenido típico (STC 37/1981), de los derechos y obligaciones en el marco de relaciones contractuales privadas (SSTC 88/1986, 62/1991), la forma en la que nacen y se extinguen los derechos y las obligaciones de los empresarios (STC 37/1981, 88/1986) o las condiciones de validez de los contratos privados (STC 62/1991)-, en tanto que las actividades públicas del segundo grupo se han incluido en las materias de comercio, defensa de los consumidores, seguros o cooperativas.</w:t>
      </w:r>
    </w:p>
    <w:p w:rsidR="008107C7" w:rsidRDefault="008107C7" w:rsidP="008107C7">
      <w:pPr>
        <w:pStyle w:val="TextoNormal"/>
      </w:pPr>
      <w:r>
        <w:t>Así, por ejemplo, en la reciente STC 96/1996, con cita de la STC 37/1981, se hace la distinción entre las normas que disciplinan el contrato de arrendamiento financiero, que, por incluir "la regulación de las relaciones jurídico-privadas de los empresarios mercantiles o comerciantes en cuanto tales", deben encuadrarse en la materia de legislación mercantil, y las normas que regulan las sociedades de arrendamiento financiero y en especial las que contienen habilitaciones a favor del Gobierno de la Nación para intervenir en este ámbito, que se integran en la materia de ordenación del crédito y la banca. Más concretamente, frente a las alegaciones del Abogado del Estado, debe recordarse que este Tribunal ha distinguido siempre, a efectos de calificación competencial, entre la competencia sobre legislación mercantil y la relativa a la creación y ordenación de los mercados y lugares de contratación en los que se lleva a cabo el tráfico mercantil mediante contratación sometida a este tipo de legislación [por todas, STC 88/1986, fundamento jurídico 8 b)].</w:t>
      </w:r>
    </w:p>
    <w:p w:rsidR="008107C7" w:rsidRDefault="008107C7" w:rsidP="008107C7">
      <w:pPr>
        <w:pStyle w:val="TextoNormal"/>
      </w:pPr>
    </w:p>
    <w:p w:rsidR="008107C7" w:rsidRDefault="008107C7" w:rsidP="008107C7">
      <w:pPr>
        <w:pStyle w:val="TextoNormal"/>
      </w:pPr>
      <w:r w:rsidRPr="008107C7">
        <w:rPr>
          <w:rStyle w:val="NumeroAFNegritaCaracter"/>
        </w:rPr>
        <w:t>3</w:t>
      </w:r>
      <w:r>
        <w:t>. Aplicando estas premisas a los preceptos aquí enjuiciados debe concluirse que la materia más directamente implicada es la de ordenación del crédito y la banca. Es cierto que el art. 1 del Real Decreto 1.369/1987, al crear en el Banco de España el Sistema Nacional de Compensación Electrónica y atribuirle la función de compensación de documentos, medios de pago y transmisiones de fondos que presenten al mismo las Entidades de crédito miembros del Sistema, está estableciendo una forma de extinción de las obligaciones cuya regulación corresponde a la legislación mercantil. Sin embargo, este precepto se limita a aplicar, sin innovar, las previsiones contenidas en la citada legislación y lo hace precisamente cumpliendo un mandato explícito en ella contenido y mediante el establecimiento de una estructura administrativa destinada a permitir una intervención de los poderes públicos en el tráfico interbancario facilitando y tutelando las relaciones de intercambio. En este precepto no se regula la relación de compensación inter privatos, sino que tiene como único objeto la creación de un organismo a través del cual las Entidades de crédito van a poder llevar a cabo la compensación siguiendo, por supuesto, lo establecido en la legislación mercantil vigente.</w:t>
      </w:r>
    </w:p>
    <w:p w:rsidR="008107C7" w:rsidRDefault="008107C7" w:rsidP="008107C7">
      <w:pPr>
        <w:pStyle w:val="TextoNormal"/>
      </w:pPr>
      <w:r>
        <w:t>En efecto, aunque el objeto último sobre el que recae la actuación del Sistema Nacional de Compensación Interbancaria es la actividad de compensación interbancaria, lo cierto es que su creación no supone regulación del instituto jurídico privado de la compensación, no se introduce innovación alguna "en el seno de los derechos y obligaciones definidos en el marco de las relaciones contractuales privadas" (STC 62/1991, fundamento jurídico 4º), no se establecen condiciones generales de contratación o modalidades de contrato (STC 71/1982, fundamento jurídico 14), ni se prevén nuevas obligaciones, ni nuevos efectos jurídicos relativos a la extinción de las mismas. Por ejemplo, respecto de las letras de cambio, cheques y pagarés -que son los documentos que en un primer momento se convirtieron en objeto de compensación del nuevo Sistema Nacional-, la previsión de la compensación como forma de extinción de las obligaciones, sus efectos y los rasgos fundamentales de la forma en la que ésta debía producirse se hallaban establecidos en la Ley 19/1985, de 16 de julio, Cambiaria y del Cheque, que contemplaba también la previsión de que la declaración de impago de uno de estos documentos presentados al Sistema equivalga al protesto [entre otros, arts. 51, 137, 146.c), Disposición final primera, de la Ley 19/1985, de 16 de julio, Cambiaria y del Cheque].</w:t>
      </w:r>
    </w:p>
    <w:p w:rsidR="008107C7" w:rsidRDefault="008107C7" w:rsidP="008107C7">
      <w:pPr>
        <w:pStyle w:val="TextoNormal"/>
      </w:pPr>
      <w:r>
        <w:t>En suma, aun reiterando las dificultades que entraña la delimitación entre la materia de legislación mercantil y las demás materias que también inciden en la regulación de las relaciones mercantiles, puede afirmarse que, en cuanto a su encuadramiento competencial, en el artículo objeto de conflicto, en la medida en que se limita a crear un sistema público de compensación, sin introducir innovación alguna en el instituto privado de la compensación, prima el aspecto de la regulación de la intervención de los poderes públicos en las relaciones interbancarias, sobre lo que son los efectos indirectos que esta creación pueda tener en las relaciones inter privatos, que directamente no se regula.</w:t>
      </w:r>
    </w:p>
    <w:p w:rsidR="008107C7" w:rsidRDefault="008107C7" w:rsidP="008107C7">
      <w:pPr>
        <w:pStyle w:val="TextoNormal"/>
      </w:pPr>
      <w:r>
        <w:t xml:space="preserve">Esta conclusión es trasladable con mayor claridad todavía a los otros dos preceptos controvertidos (art. 2.2 y Disposición adicional), ya que el establecimiento de la Comisión asesora del Banco de España, así como la decisión de mantener las Cámaras de compensación existentes y la atribución a la Administración de una potestad autorizatoria respecto de los convenios de compensación entre Entidades, no constituyen regulación alguna de relaciones entre sujetos privados, sino de una intervención de los poderes públicos en el ámbito del sistema crediticio y bancario. Sólo de forma indirecta puede considerarse afectada la legislación mercantil. Por ello, como queda dicho, los preceptos objeto del presente conflicto de </w:t>
      </w:r>
      <w:r>
        <w:lastRenderedPageBreak/>
        <w:t>competencias deben entenderse integrados en la materia competencial de ordenación del crédito y la banca.</w:t>
      </w:r>
    </w:p>
    <w:p w:rsidR="008107C7" w:rsidRDefault="008107C7" w:rsidP="008107C7">
      <w:pPr>
        <w:pStyle w:val="TextoNormal"/>
      </w:pPr>
      <w:r>
        <w:t>En este ámbito material, según recuerdan las partes en conflicto, el Estado tiene atribuida la función de establecer las bases (art. 149.1.11 C.E.)  y las Comunidades Autónomas recurrentes el desarrollo legislativo y la ejecución [art. 11.2 a) E.A.P.V.  y 10.1.4 E.A.C.]. Debemos determinar, pues, si los artículos objeto de conflicto pueden o no incluirse entre las bases de la ordenación del crédito y la banca.</w:t>
      </w:r>
    </w:p>
    <w:p w:rsidR="008107C7" w:rsidRDefault="008107C7" w:rsidP="008107C7">
      <w:pPr>
        <w:pStyle w:val="TextoNormal"/>
      </w:pPr>
    </w:p>
    <w:p w:rsidR="008107C7" w:rsidRDefault="008107C7" w:rsidP="008107C7">
      <w:pPr>
        <w:pStyle w:val="TextoNormal"/>
      </w:pPr>
      <w:r w:rsidRPr="008107C7">
        <w:rPr>
          <w:rStyle w:val="NumeroAFNegritaCaracter"/>
        </w:rPr>
        <w:t>4</w:t>
      </w:r>
      <w:r>
        <w:t>. Este Tribunal ha ido perfilando en múltiples resoluciones el posible alcance de lo básico en la materia de ordenación del crédito y la banca. En la mayor parte de los casos el objeto controvertido eran actividades públicas de control, vigilancia, inspección y sanción relacionadas con la estructura, organización, funcionamiento interno y funciones y actividades financieras de las entidades de crédito. En estos supuestos los criterios comúnmente empleados por la doctrina constitucional para atribuir carácter básico a una determinada actividad han sido el de garantía de la solvencia y transparencia de las referidas entidades y el de la estabilidad del sistema financiero (así, por ejemplo, SSTC 155/1992, fundamento jurídico 5º; 178/1992, fundamentos jurídicos 2º y 3º; 204/1993, fundamento jurídico 5º).  No obstante, estos no son los únicos criterios utilizados, ya que en otras ocasiones para delimitar lo básico se ha recurrido a criterios más genéricos como, por lo que aquí interesa, el de actividades que requieren forzosamente tratamiento unitario y supraautonómico y son fundamentales para asegurar el eficaz funcionamiento del sistema monetario y crediticio nacional (entre otras, SSTC 96/1996, fundamentos jurídicos 8º, 16 Y 25; 386/1993, fundamento jurídico 3º; 155/1993, fundamento jurídico 6º).</w:t>
      </w:r>
    </w:p>
    <w:p w:rsidR="008107C7" w:rsidRDefault="008107C7" w:rsidP="008107C7">
      <w:pPr>
        <w:pStyle w:val="TextoNormal"/>
      </w:pPr>
      <w:r>
        <w:t>Por último, debe recordarse que en este ámbito material el Tribunal ha aceptado el carácter básico, no solamente de actividades normativas, sino también, aunque de forma excepcional, de actos de mera ejecución cuando su carácter unitario y su extensión supracomunitaria eran indispensables para alcanzar los objetivos básicos de garantía de transparencia, solvencia, estabilidad y eficaz funcionamiento del sistema crediticio (entre otras, SSTC 57/1983, fundamento jurídico 7º; 91/1984, fundamento jurídico 4º; 220/1988, fundamento jurídico 3º; 178/1992, fundamento jurídico 2º).</w:t>
      </w:r>
    </w:p>
    <w:p w:rsidR="008107C7" w:rsidRDefault="008107C7" w:rsidP="008107C7">
      <w:pPr>
        <w:pStyle w:val="TextoNormal"/>
      </w:pPr>
    </w:p>
    <w:p w:rsidR="008107C7" w:rsidRDefault="008107C7" w:rsidP="008107C7">
      <w:pPr>
        <w:pStyle w:val="TextoNormal"/>
      </w:pPr>
      <w:r w:rsidRPr="008107C7">
        <w:rPr>
          <w:rStyle w:val="NumeroAFNegritaCaracter"/>
        </w:rPr>
        <w:t>5</w:t>
      </w:r>
      <w:r>
        <w:t>. Entrando ya en el análisis y enjuiciamiento de los artículos objeto del presente proceso constitucional, lo primero que debe advertirse es que la norma cuestionada tiene por finalidad -como ya nos consta- la creación en el Banco de España del Sistema Nacional de Compensación Electrónica "a través del cual se llevará a cabo la compensación de documentos, medios de pago y transmisiones de fondos que, mediante sistemas y procedimientos electrónicos, presenten al mismo las Entidades miembros" (art. 1).  La localización del Sistema en el Banco de España se justifica como se afirma en el Preámbulo no sólo por el protagonismo que en materia de compensación le han venido reconociendo las disposiciones que desde hace años se han ido dictando a propósito de la misma, sino también y sobre todo por la función en la que sin duda alguna se inscribe la tarea de centralizar y tutelar la compensación de obligaciones recíprocas entre las Entidades de Depósito. La importancia de esta función es destacada por la Ley 13/1994, de 1 de junio, de Autonomía del Banco de España (en adelante, L.A.B.E.).</w:t>
      </w:r>
    </w:p>
    <w:p w:rsidR="008107C7" w:rsidRDefault="008107C7" w:rsidP="008107C7">
      <w:pPr>
        <w:pStyle w:val="TextoNormal"/>
      </w:pPr>
      <w:r>
        <w:t xml:space="preserve">El art. 7.3 de esta Ley establece en su apartado b) que compete al Banco de España la función de "promover el buen funcionamiento y la estabilidad del sistema financiero y, en particular, conforme estable la sección 4ª del sistema de pagos".  En la citada sección 4ª, el art. 16 establece lo siguiente: "a fin de promover el buen funcionamiento del sistema de </w:t>
      </w:r>
      <w:r>
        <w:lastRenderedPageBreak/>
        <w:t>pagos, el Banco de España podrá regular, de acuerdo con lo dispuesto en el art. 3, los mercados interbancarios y de divisas, gestionando, en su caso, los sistemas de compensación y liquidación correspondientes".</w:t>
      </w:r>
    </w:p>
    <w:p w:rsidR="008107C7" w:rsidRDefault="008107C7" w:rsidP="008107C7">
      <w:pPr>
        <w:pStyle w:val="TextoNormal"/>
      </w:pPr>
      <w:r>
        <w:t>Esta función es, por lo demás, una función propia o común a los bancos centrales, en particular, a los que formarán parte del Sistema Europeo de Bancos Centrales (en adelante, S.E.B.C.). En efecto, el art. 105.2 del Tratado constitutivo de la Comunidad Europea (modificado por el Tratado de la Unión Europea) dispone que una de las funciones básicas que se llevarán a cabo a través del S.E.B.C. será la de "promover el buen funcionamiento de los sistemas de pagos". El art. 3.1 de los Estatutos del Sistema Europeo de Bancos Centrales y del Banco Central Europeo (aprobado por el Protocolo XVIII del Tratado de la Unión Europea como anexo al Tratado Constitutivo de la Comunidad Europea) reitera esta función. Además el art. 22 de estos Estatutos dispone que: "el Banco Central Europeo y los bancos centrales nacionales podrán proporcionar medios y el Banco Central Europeo dictar reglamentos, destinados a garantizar unos sistemas de compensación y liquidación eficientes y solventes dentro de la Comunidad, así como con otros países".</w:t>
      </w:r>
    </w:p>
    <w:p w:rsidR="008107C7" w:rsidRDefault="008107C7" w:rsidP="008107C7">
      <w:pPr>
        <w:pStyle w:val="TextoNormal"/>
      </w:pPr>
      <w:r>
        <w:t>Esta función debe ser considerada desde la más general y esencial que le corresponde a algunos Bancos Centrales y al Banco de España, en particular, relativa a la supervisión del sistema financiero para garantizar su estabilidad [art. 7.3 b) L.A.B.E.].  Es coherente, pues, que el buen funcionamiento de los sistemas de pagos, su eficiencia y solvencia estén tutelados por el Banco de España porque está en juego la estabilidad del conjunto del sistema financiero. Es indudable que una de las vías para alcanzar estos objetivos es la de la creación de un Sistema Nacional de Compensación Electrónica en el Banco de España, por lo tanto, bajo su tutela.</w:t>
      </w:r>
    </w:p>
    <w:p w:rsidR="008107C7" w:rsidRDefault="008107C7" w:rsidP="008107C7">
      <w:pPr>
        <w:pStyle w:val="TextoNormal"/>
      </w:pPr>
      <w:r>
        <w:t>Ningún reproche de constitucionalidad cabe realizar a esta medida porque encaja en la competencia estatal relativa a las bases de la ordenación de crédito, banca y seguros (art. 149.1.11 C.E.). Ya en la STC 178/1992 afirmábamos (con cita de las numerosas Sentencias recaídas en este asunto) que es "incuestionable que la competencia estatal sobre las bases de la ordenación del crédito puede alcanzar y englobar aspectos puramente ejecutivos -ya lo sea porque se encuentren afectados directamente intereses supraautonómicos, o porque se trate de decisiones y actuaciones que transcienden del caso particular y de las situaciones concretas afectadas, dada la interdependencia de éstas en todo el territorio nacional, o, en fin, porque el acto de ejecución comporte, por necesidad intrínseca de la materia, márgenes tan amplios de discrecionalidad que sólo pueda ser adoptado por instancias que no tengan a su cuidado intereses peculiares distintos a los puramente generales".  E incluso se añadía -con cita de la STC 135/1992 (fundamento jurídico 3º)- que "la ordenación básica del crédito y la banca, en su aspecto institucional, corresponde no sólo a los Cuerpos colegisladores y al Gobierno, sino también, en un nivel operativo, al Banco de España".</w:t>
      </w:r>
    </w:p>
    <w:p w:rsidR="008107C7" w:rsidRDefault="008107C7" w:rsidP="008107C7">
      <w:pPr>
        <w:pStyle w:val="TextoNormal"/>
      </w:pPr>
      <w:r>
        <w:t>La justificación de la regulación y gestión del Sistema Nacional de Compensación Electrónica en los términos contenidos en el Real Decreto 1.369/1987 viene dada por las razones a las que se refiere la STC 178/1992.  Basta constatar un hecho: a través de la garantía del buen funcionamiento, solvencia y eficiencia del Sistema Nacional de Compensación se pretende garantizar el buen funcionamiento, solvencia y eficiencia del sistema de pagos. No es necesario justificar la importancia que tiene este sistema respecto del conjunto del sistema económico. Por lo tanto, la regulación y gestión del Sistema Nacional de Compensación Electrónica creado por el Real Decreto 1.369/1987 en los términos a los que se refiere esta norma sirve, en última instancia, a la preservación del sistema económico en su conjunto.  Desde este punto de vista no cabe formular ninguna tacha de inconstitucionalidad, desde la perspectiva competencial, al art. 1 del Real Decreto impugnado.</w:t>
      </w:r>
    </w:p>
    <w:p w:rsidR="008107C7" w:rsidRDefault="008107C7" w:rsidP="008107C7">
      <w:pPr>
        <w:pStyle w:val="TextoNormal"/>
      </w:pPr>
      <w:r>
        <w:lastRenderedPageBreak/>
        <w:t>En realidad, las Comunidades Autónomas que promueven este conflicto aceptan la "conveniencia" de crear este Sistema Nacional. Concretamente, el Gobierno Vasco no impugna el art. 1 del Real Decreto, en tanto que el Consejo Ejecutivo de la Generalidad de Cataluña, aunque sí lo hace y al comienzo de su escrito de demanda niega la constitucionalidad de esa creación, al desarrollar sus alegaciones acaba admitiendo que el Estado puede establecer un Sistema Nacional.</w:t>
      </w:r>
    </w:p>
    <w:p w:rsidR="008107C7" w:rsidRDefault="008107C7" w:rsidP="008107C7">
      <w:pPr>
        <w:pStyle w:val="TextoNormal"/>
      </w:pPr>
      <w:r>
        <w:t>Sin embargo, relacionado este precepto con el art. 2.2 y con la Disposición adicional, formula las tres alegaciones ya expuestas: en relación con el art.  2.2 sostiene que el Sistema Nacional debe coexistir con otros sistemas de alcance territorial autonómico a los que debe limitarse a coordinar, incorporando, por ello, a representantes de la Comunidad Autónoma en el órgano asesor del Banco de España; y, en relación con la Disposición adicional, afirma que el Sistema Nacional establecido vulnera las competencias autonómicas de desarrollo legislativo y de ejecución en la materia de ordenación del crédito y la banca, ya que este Sistema impide la existencia de sistemas públicos y privados de compensación electrónica y exige la autorización del Banco de España tanto para la modificación del presente ámbito de actuación de las Cámaras hoy existentes como para los Convenios entre Entidades que tengan por objeto la creación de sistemas de compensación electrónica diferentes del Nacional. Como queda dicho, el Gobierno Vasco únicamente impugna el último inciso relativo a la autorización de los Convenios.</w:t>
      </w:r>
    </w:p>
    <w:p w:rsidR="008107C7" w:rsidRDefault="008107C7" w:rsidP="008107C7">
      <w:pPr>
        <w:pStyle w:val="TextoNormal"/>
      </w:pPr>
    </w:p>
    <w:p w:rsidR="008107C7" w:rsidRDefault="008107C7" w:rsidP="008107C7">
      <w:pPr>
        <w:pStyle w:val="TextoNormal"/>
      </w:pPr>
      <w:r w:rsidRPr="008107C7">
        <w:rPr>
          <w:rStyle w:val="NumeroAFNegritaCaracter"/>
        </w:rPr>
        <w:t>6</w:t>
      </w:r>
      <w:r>
        <w:t>. Es cierto que, como sostiene la Generalidad de Cataluña, el art. 2.2 del Real Decreto 1.369/1987, al establecer la composición de la Comisión que debe asesorar al Banco de España en la administración y gestión del Sistema Nacional de Compensación Electrónica, no ha previsto la participación en la misma de las Comunidades Autónomas y que ello se debe a que el Gobierno ha diseñado ese Sistema no en clave de coordinación de una pluralidad de sistemas territoriales, sino como un sistema "cuyo ámbito geográfico (...)  se extiende a todo el territorio del Estado" (art. 1.1). El Gobierno podía, en hipótesis, haber optado por un modelo nacional en el que se articularan varios sistemas territoriales; en este supuesto, la participación autonómica en su administración y gestión hubiera sido inevitable. Sin embargo, la opción del Gobierno por tal sistema también puede sin dificultad considerarse básica, ya que, en realidad, las finalidades perseguidas al establecerlo -ofrecer un marco único y global de compensación para reducir costes, tiempo e inseguridad en las compensaciones- difícilmente cabe pensar que pudieran obtenerse con un modelo de coordinación de sistemas territoriales parciales.</w:t>
      </w:r>
    </w:p>
    <w:p w:rsidR="008107C7" w:rsidRDefault="008107C7" w:rsidP="008107C7">
      <w:pPr>
        <w:pStyle w:val="TextoNormal"/>
      </w:pPr>
    </w:p>
    <w:p w:rsidR="008107C7" w:rsidRDefault="008107C7" w:rsidP="008107C7">
      <w:pPr>
        <w:pStyle w:val="TextoNormal"/>
      </w:pPr>
      <w:r w:rsidRPr="008107C7">
        <w:rPr>
          <w:rStyle w:val="NumeroAFNegritaCaracter"/>
        </w:rPr>
        <w:t>7</w:t>
      </w:r>
      <w:r>
        <w:t>. Respecto a la alegación de que, a tenor de la Disposición adicional, las Cámaras de Compensación existentes, oficiales y privadas, no podrán compensar electrónicamente los documentos, medios de pago o transmisiones de fondos para cuya compensación existan normas del Sistema Nacional, debe afirmarse que, aunque ciertamente esto es lo establecido en este precepto, ninguna tacha de inconstitucionalidad puede efectuársele ya que, como afirma el Abogado del Estado, con esta previsión se pretende garantizar que el Sistema Nacional funcione como un verdadero sistema que aspira a comprender la totalidad de las operaciones que hayan de integrarlo, evitando interferencias y duplicidades.  Cabe, pues, encuadrar este segundo inciso de la Disposición adicional entre las bases de la ordenación de la banca.</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8</w:t>
      </w:r>
      <w:r>
        <w:t>. Finalmente, en cuanto a las autorizaciones que en el último inciso de la mencionada Disposición adicional se atribuyen al Banco de España debe concluirse: primero, que, en relación con la relativa a la modificación del presente ámbito de actuación de las Cámaras, se trata de un acto discrecional cuya atribución al Banco de España resulta básica puesto que con esta actividad, en última instancia, se pretende garantizar el correcto funcionamiento de estos sistemas de compensación y liquidación y éstas son funciones típicas e irrenunciables del Banco de España en tanto que supervisor y garante del sistema de pagos.</w:t>
      </w:r>
    </w:p>
    <w:p w:rsidR="008107C7" w:rsidRDefault="008107C7" w:rsidP="008107C7">
      <w:pPr>
        <w:pStyle w:val="TextoNormal"/>
      </w:pPr>
      <w:r>
        <w:t>Respecto a la autorización de los convenios entre Entidades, lo primero que debe tenerse presente es que el alcance de la autorización atribuida al Banco de España ha sido precisado por la norma novena, 2 del Reglamento del Sistema Nacional de Compensación Electrónica al establecer que "El Banco de España, una vez oído el correspondiente informe de la Comisión, concederá esta autorización, salvo que la iniciativa o innovación propuesta genere obligaciones, respecto de operaciones ya incluidas en el Sistema Nacional, al resto de Entidades miembros de éste".</w:t>
      </w:r>
    </w:p>
    <w:p w:rsidR="008107C7" w:rsidRDefault="008107C7" w:rsidP="008107C7">
      <w:pPr>
        <w:pStyle w:val="TextoNormal"/>
      </w:pPr>
      <w:r>
        <w:t>A la vista de esta configuración legal no cabe duda que la referida autorización es una actividad reglada de ejecución en materia de ordenación del crédito y la banca. Sin embargo, a pesar de este carácter ejecutivo y reglado no puede negársele el carácter básico puesto que su función no es otra que la de garantizar la integridad del Sistema Nacional evitando interferencias, derivadas de la eventual creación de obligaciones al resto de Entidades miembros del mismo respecto de operaciones ya incluidas en el Sistema Nacional, que podrían poner en peligro las funciones básicas que este Sistema Nacional lleva a cabo en orden a asegurar el eficaz funcionamiento del sistema de pagos en su conjunto cuya tutela es una de las funciones fundamentales del Banco de España [arts. 7.3 b) y 16 de la Ley 13/1994 de Autonomía del Banco de España].</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Declarar que corresponde al Estado la titularidad de la competencia controvertida en relación con los arts. 1 y 2.2 y la Disposición adicional del Real Decreto 1.369/1987.</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veintisiete de febrero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41" w:name="SENTENCIA_1997_38"/>
      <w:r>
        <w:lastRenderedPageBreak/>
        <w:t>SENTENCIA 38/1997, de 27 de febrero de 1997</w:t>
      </w:r>
    </w:p>
    <w:bookmarkEnd w:id="41"/>
    <w:p w:rsidR="008107C7" w:rsidRDefault="008107C7" w:rsidP="008107C7">
      <w:pPr>
        <w:pStyle w:val="TtuloResolucin"/>
      </w:pPr>
      <w:r>
        <w:t>Pleno</w:t>
      </w:r>
    </w:p>
    <w:p w:rsidR="008107C7" w:rsidRDefault="008107C7" w:rsidP="008107C7">
      <w:pPr>
        <w:pStyle w:val="TtuloResolucin"/>
      </w:pPr>
    </w:p>
    <w:p w:rsidR="008107C7" w:rsidRDefault="008107C7" w:rsidP="008107C7">
      <w:pPr>
        <w:pStyle w:val="TtuloBOE"/>
      </w:pPr>
      <w:r>
        <w:t>("BOE" núm. 78, de 1 de abril de 1997)</w:t>
      </w:r>
    </w:p>
    <w:p w:rsidR="008107C7" w:rsidRDefault="008107C7" w:rsidP="008107C7">
      <w:pPr>
        <w:pStyle w:val="TtuloBOE"/>
      </w:pPr>
    </w:p>
    <w:p w:rsidR="008107C7" w:rsidRDefault="008107C7" w:rsidP="008107C7">
      <w:pPr>
        <w:pStyle w:val="SntesisDescriptiva"/>
      </w:pPr>
      <w:r>
        <w:t>ECLI:ES:TC:1997:38</w:t>
      </w:r>
    </w:p>
    <w:p w:rsidR="008107C7" w:rsidRDefault="008107C7" w:rsidP="008107C7">
      <w:pPr>
        <w:pStyle w:val="SntesisDescriptiva"/>
      </w:pPr>
    </w:p>
    <w:p w:rsidR="008107C7" w:rsidRDefault="008107C7" w:rsidP="008107C7">
      <w:pPr>
        <w:pStyle w:val="SntesisDescriptiva"/>
      </w:pPr>
      <w:r>
        <w:t>Cuestión de inconstitucionalidad 88-1992. En relación con determinados artículos de la Ley 20/1989, de 28 de julio, de adaptación del Impuesto sobre la Renta de las Personas Físicas y del Impuesto Extraordinario sobre el Patrimonio de las Personas Físicas.</w:t>
      </w:r>
    </w:p>
    <w:p w:rsidR="008107C7" w:rsidRDefault="008107C7" w:rsidP="008107C7">
      <w:pPr>
        <w:pStyle w:val="SntesisDescriptiva"/>
      </w:pPr>
    </w:p>
    <w:p w:rsidR="008107C7" w:rsidRDefault="008107C7" w:rsidP="008107C7">
      <w:pPr>
        <w:pStyle w:val="SntesisAnaltica"/>
      </w:pPr>
    </w:p>
    <w:p w:rsidR="008107C7" w:rsidRDefault="008107C7" w:rsidP="008107C7">
      <w:pPr>
        <w:pStyle w:val="SntesisAnaltica"/>
      </w:pPr>
    </w:p>
    <w:p w:rsidR="008107C7" w:rsidRDefault="008107C7" w:rsidP="008107C7">
      <w:pPr>
        <w:pStyle w:val="Extracto"/>
      </w:pPr>
      <w:r>
        <w:t>1.</w:t>
      </w:r>
      <w:r>
        <w:tab/>
        <w:t>Cierto es que el Auto de planteamiento no exterioriza formalmente el juicio de relevancia, pero de tal dato no puede deducirse la inadmisión de la cuestión. En el primero de sus fundamentos de Derecho relata los hechos que constituyen la premisa del recurso contencioso-administrativo, y en el quinto expone el contenido de los preceptos cuestionados. La interpretación conjunta de ambos fundamentos permite concluir que el órgano proponente ha considerado que los preceptos sobre cuya constitucionalidad alberga dudas son determinantes del fallo que deba dictar . [F.J. 1]</w:t>
      </w:r>
    </w:p>
    <w:p w:rsidR="008107C7" w:rsidRDefault="008107C7" w:rsidP="008107C7">
      <w:pPr>
        <w:pStyle w:val="Extracto"/>
      </w:pPr>
    </w:p>
    <w:p w:rsidR="008107C7" w:rsidRDefault="008107C7" w:rsidP="008107C7">
      <w:pPr>
        <w:pStyle w:val="Extracto"/>
      </w:pPr>
      <w:r>
        <w:t>2.</w:t>
      </w:r>
      <w:r>
        <w:tab/>
        <w:t>No es tampoco determinante a estos efectos que los actos administrativos impugnados no mencionen expresamente los preceptos ahora cuestionados. La aplicación por las actas de la Inspección de los citados artículos de la Ley 20/1989 puede deducirse sin excesivas dificultades contrastando la fecha en que se extienden las actas y los períodos impositivos a que se refieren . [F.J. 1]</w:t>
      </w:r>
    </w:p>
    <w:p w:rsidR="008107C7" w:rsidRDefault="008107C7" w:rsidP="008107C7">
      <w:pPr>
        <w:pStyle w:val="Extracto"/>
      </w:pPr>
    </w:p>
    <w:p w:rsidR="008107C7" w:rsidRDefault="008107C7" w:rsidP="008107C7">
      <w:pPr>
        <w:pStyle w:val="Extracto"/>
      </w:pPr>
      <w:r>
        <w:t>3.</w:t>
      </w:r>
      <w:r>
        <w:tab/>
        <w:t>De los artículos cuestionados debe admitirse la relevancia del art. 15.3 para la decisión del proceso «a quo». La liquidación impugnada en la vía contencioso-administrativa entra en las previsiones de dicho precepto y no se advierten razones suficientes que impidan su aplicación al caso enjuiciado; puesto que la selección de la norma que estima de aplicación al caso, por imperativo del art. 117.3 C.E. corresponde al órgano judicial proponente de la cuestión, debe considerarse que optó por el párrafo 3 del citado art. 15, y éste debe ser el objeto de nuestra decisión . [F.J. 1]</w:t>
      </w:r>
    </w:p>
    <w:p w:rsidR="008107C7" w:rsidRDefault="008107C7" w:rsidP="008107C7">
      <w:pPr>
        <w:pStyle w:val="Extracto"/>
      </w:pPr>
    </w:p>
    <w:p w:rsidR="008107C7" w:rsidRDefault="008107C7" w:rsidP="008107C7">
      <w:pPr>
        <w:pStyle w:val="Extracto"/>
      </w:pPr>
      <w:r>
        <w:t>4.</w:t>
      </w:r>
      <w:r>
        <w:tab/>
        <w:t xml:space="preserve">La pretendida «laguna parcial» producida por nuestra STC 45/1989 no se refiere a la existencia de la deuda tributaria ni, en su caso, a la de la infracción y la sanción, sino sólo a la ausencia temporal de reglas con las que determinar la cuantía concreta de aquélla. Mas esa transitoria imposibilidad de fijación de la cuantía de la deuda (y, por tanto, de la sanción) desapareció cuando, de acuerdo con nuestra Sentencia, se promulgó la ley aquí cuestionada. No hay, pues, laguna punitiva alguna al existir predeterminación legal tanto respecto de la infracción como de la sanción. Un diferente entendimiento de los efectos de nuestra STC 45/1989, así como de la pretendida existencia de una laguna legal en la regulación del Impuesto sobre la Renta de las Personas Físicas, conduciría a resultados incompatibles con </w:t>
      </w:r>
      <w:r>
        <w:lastRenderedPageBreak/>
        <w:t>las exigencias del deber general de contribuir al sostenimiento de los gastos públicos mediante un sistema tributario justo consagrado en el art. 31.1 de la Constitución. [F.J. 3]</w:t>
      </w:r>
    </w:p>
    <w:p w:rsidR="008107C7" w:rsidRDefault="008107C7" w:rsidP="008107C7">
      <w:pPr>
        <w:pStyle w:val="Extracto"/>
      </w:pPr>
    </w:p>
    <w:p w:rsidR="008107C7" w:rsidRDefault="008107C7" w:rsidP="008107C7">
      <w:pPr>
        <w:pStyle w:val="Extracto"/>
      </w:pPr>
      <w:r>
        <w:t>5.</w:t>
      </w:r>
      <w:r>
        <w:tab/>
        <w:t>Es evidente que la Ley 20/1989 puede tener efectos retroactivos en cuanto la nueva normativa del impuesto que ella articula cumpliendo la Sentencia de este Tribunal habrá de aplicarse a ciertos hechos acaecidos durante la vigencia de la Ley anterior. Con todo, debe tenerse presente que la retroactividad del art. 15. 3 de la citada Ley no se refiere a la tipificación de una infracción tributaria ni tampoco a su sanción, de suerte que lo aplicable no serán unas nuevas normas sancionadoras sino los preceptos correspondientes de la Ley General Tributaria que previamente las establecían . [F.J. 5]</w:t>
      </w:r>
    </w:p>
    <w:p w:rsidR="008107C7" w:rsidRDefault="008107C7" w:rsidP="008107C7">
      <w:pPr>
        <w:pStyle w:val="Extracto"/>
      </w:pPr>
    </w:p>
    <w:p w:rsidR="008107C7" w:rsidRDefault="008107C7" w:rsidP="008107C7">
      <w:pPr>
        <w:pStyle w:val="Extracto"/>
      </w:pPr>
      <w:r>
        <w:t>6.</w:t>
      </w:r>
      <w:r>
        <w:tab/>
        <w:t>No cabe la menor duda de que cuando el art. 15.3 de la Ley 20/1989 establece que en los ejercicios anteriores a 1988 se podrán practicar las liquidaciones complementarias que procedan, incluidas, en su caso, las sanciones o intereses de demora, «según las reglas y criterios de tributación establecidos» en la propia Ley, está admitiendo la aplicación retroactiva de una disposición que, al constituir el complemento indispensable de las normas sancionadoras, participa también de este carácter a los efectos constitucionales. En efecto, la aplicación de la Ley 20/1989 a períodos impositivos anteriores a su entrada en vigor no incide en el tipo infractor descrito en el art. 79 a) L.G.T., dado que éste, a diferencia de lo que sucede con el delito de defraudación tributaria, se perfecciona con el mero dejar de ingresar todo o parte de la deuda tributaria, mediante la falta de presentación de la declaración o la presentación de la misma con omisiones o falsedades. Distinta debe ser la conclusión, sin embargo, para las sanciones que establece el art. 87 L.G.T., que, cuantificadas en función de la cuota tributaria dejada de ingresar, se ven modificadas en el «quantum» por una decisión del legislativo -la Ley 20/1989- posterior al momento del comportamiento ilícito, circunstancia ésta que puede afectar de modo significativo a la seguridad jurídica de los eventuales sujetos infractores y, por tanto, al principio de legalidad penal establecido en el art. 25 de la Constitución, que «implica también la predeterminación de las penas» (STC 36/1991), y a la prohibición de retroactividad de las normas sancionadoras del art. 9.3 C.E., que garantiza al ciudadano «que no será sorprendido «a posteriori» con una calificación de delito o con una pena no prevista o más grave que la señalada al tiempo del hecho ilícito» (STC 21/1993). . [F.J. 5]</w:t>
      </w:r>
    </w:p>
    <w:p w:rsidR="008107C7" w:rsidRDefault="008107C7" w:rsidP="008107C7">
      <w:pPr>
        <w:pStyle w:val="Extracto"/>
      </w:pPr>
    </w:p>
    <w:p w:rsidR="008107C7" w:rsidRDefault="008107C7" w:rsidP="008107C7">
      <w:pPr>
        <w:pStyle w:val="Extracto"/>
      </w:pPr>
      <w:r>
        <w:t>7.</w:t>
      </w:r>
      <w:r>
        <w:tab/>
        <w:t>Según hemos dicho en constante jurisprudencia, la estricta prohibición de retroactividad que establecen tales preceptos está referida únicamente «a la retroactividad en perjuicio del reo, dado que aquélla ha de ceder allí donde, en lugar de cumplirse el fin perseguido por la irretroactividad -protección del autor frente a las penas sobrevenidas-, se produciría un perjuicio para el sujeto» (STC 21/1993; también, SSTC 8/1981, 21/1993 y 177/1994, entre otras); precisamente por este motivo, el art. 2 del Código Penal, aprobado por Ley Orgánica 10/1995, al igual que hacía el art. 24 del anterior, tras garantizar en su apartado 1. que no será castigado ningún delito ni falta con pena que no se halle prevista por Ley anterior a su perpetración, establece en su apartado 2. que tendrán efecto retroactivo aque</w:t>
      </w:r>
      <w:r>
        <w:lastRenderedPageBreak/>
        <w:t>llas leyes penales que favorezcan al reo, previsión ésta que, para el ámbito administrativo sancionador, recoge también expresamente el art. 128.2 de la Ley 30/1992, de Régimen Jurídico de las Administraciones Públicas y del Procedimiento Administrativo Común . [F.J. 6]</w:t>
      </w:r>
    </w:p>
    <w:p w:rsidR="008107C7" w:rsidRDefault="008107C7" w:rsidP="008107C7">
      <w:pPr>
        <w:pStyle w:val="Extracto"/>
      </w:pPr>
    </w:p>
    <w:p w:rsidR="008107C7" w:rsidRDefault="008107C7" w:rsidP="008107C7">
      <w:pPr>
        <w:pStyle w:val="Extracto"/>
      </w:pPr>
    </w:p>
    <w:p w:rsidR="008107C7" w:rsidRDefault="008107C7" w:rsidP="008107C7">
      <w:pPr>
        <w:pStyle w:val="Extracto"/>
      </w:pPr>
      <w:r>
        <w:t xml:space="preserve">El Pleno del Tribunal Constitucional, compuesto por </w:t>
      </w:r>
    </w:p>
    <w:p w:rsidR="008107C7" w:rsidRDefault="008107C7" w:rsidP="008107C7">
      <w:pPr>
        <w:pStyle w:val="TextoNormal"/>
      </w:pPr>
      <w:r>
        <w:t>don Álvaro Rodríguez Bereijo, Presidente, don José Gabaldón López, don Fernando García- Mon y González-Regueral, don Rafael de Mendizábal Allende, don Julio Diego González Campos, don Pedro Cruz Villalón, don Carles Viver Pi-Sunyer, don Enrique Ruíz Vadillo, don Manuel Jiménez de Parga y Cabrera, don Tomás S. Vives Antón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la cuestión de inconstitucionalidad núm. 88/92, planteada por la Sala de lo Contencioso- Administrativo del Tribunal Superior de Justicia de la Comunidad Valenciana en relación con los arts. 15.3, 17 y 19 de la Ley 20/1989, de 28 de julio, de adaptación del Impuesto sobre la Renta de las Personas Físicas y del Impuesto Extraordinario sobre el Patrimonio de las Personas Físicas, por supuesta vulneración de los arts. 9.3 y 25 de la Constitución. Han intervenido en el procedimiento el Abogado del Estado y el Fiscal General del Estado. Ha sido Ponente el Magistrado don José Gabaldón López, quien expresa el parecer del Tribunal.</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El día 15 de enero de 1992 tuvo entrada en el Registro General de este Tribunal la cuestión de inconstitucionalidad núm. 88/92, elevada por la Sala de lo Contencioso-Administrativo del Tribunal Superior de Justicia de la Comunidad Valenciana en relación con los arts. 15.3, 17 y 19 de la Ley 20/1989, de 28 de julio, de Adaptación del Impuesto sobre la Renta de las Personas Físicas y del Impuesto Extraordinario sobre el Patrimonio de las Personas Físicas, por supuesta vulneración de lo dispuesto en los arts. 9.3 y 25 C.E.</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La cuestión encuentra su origen en el recurso contencioso administrativo interpuesto por la representación de un ciudadano contra tres actas de la Inspección de los Tributos de la Delegación de Hacienda de Castellón, así como contra las liquidaciones contenidas en dichas actas. </w:t>
      </w:r>
    </w:p>
    <w:p w:rsidR="008107C7" w:rsidRDefault="008107C7" w:rsidP="008107C7">
      <w:pPr>
        <w:pStyle w:val="TextoNormal"/>
      </w:pPr>
      <w:r>
        <w:t xml:space="preserve">Estas se refieren a los ejercicios tributarios de 1986, 1987 y 1988 y, en relación con ellos, con las declaraciones relativas al impuesto sobre la renta de las personas físicas realizadas </w:t>
      </w:r>
      <w:r>
        <w:lastRenderedPageBreak/>
        <w:t xml:space="preserve">por el recurrente y su esposa. En las actas se constata, a juicio de la Administración Tributaria, la existencia de infracciones tributarias, de resultas de lo cual se practican las oportunas liquidaciones y se imponen las sanciones correspondientes. </w:t>
      </w:r>
    </w:p>
    <w:p w:rsidR="008107C7" w:rsidRDefault="008107C7" w:rsidP="008107C7">
      <w:pPr>
        <w:pStyle w:val="TextoNormal"/>
      </w:pPr>
      <w:r>
        <w:t>Quien luego fuera recurrente prestó su conformidad con las actas y expresó su opción por la declaración conjunta.</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Con fecha 16 de mayo de 1991, la representación del ciudadano objeto de la inspección tributaria interpuso, como se ha dicho, recurso contencioso-administrativo contra las referidas actas y las liquidaciones de ellas resultantes, recurso que se tramitó por el procedimiento previsto en la Ley 62/78, de protección jurisdiccional de los derechos fundamentales de la persona. </w:t>
      </w:r>
    </w:p>
    <w:p w:rsidR="008107C7" w:rsidRDefault="008107C7" w:rsidP="008107C7">
      <w:pPr>
        <w:pStyle w:val="TextoNormal"/>
      </w:pPr>
      <w:r>
        <w:t>Con fecha 23 de mayo de 1991 la Sala de lo Contencioso- Administrativo del Tribunal Superior de Justicia de la Comunidad Valenciana tuvo por presentado e interpuesto el recurso, que fue formalizado por el demandante el 17 de junio del mismo año. La demanda se basaba en que solamente el recurrente había sido citado por la Inspección de la Delegación de Hacienda, y sólo él suscribió las actas, de tal suerte que ninguna intervención tuvo su cónyuge. Se suscitan, además, diversas alegaciones de pura legalidad sobre la liquidación de los intereses de demora y, por último, se aduce que la sanción impuesta adolece de inconstitucionalidad por carecer de tipificación legal. En resumen, según el demandante, las actas infringen los arts. 14 a 29 de la C.E. Ello derivaría, por una parte, de que la cónyuge del recurrente no fue citada y, por consiguiente, no pudo prestar su consentimiento respecto de las actas que son, por tanto, nulas. Por otro lado, la STC 45/1989 produjo un vacío normativo que impide imponer sanciones y liquidar intereses de demora por los ejercicios de 1986 y 1987. Se pedía por todo ello, en definitiva, la declaración de nulidad de las actas.</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Se dio traslado de la demanda al Ministerio Fiscal y al Abogado del Estado, que solicitaron su desestimación y, tras declararse conclusos los autos y señalarse día para la votación, la Sala dictó Auto, con fecha 18 de septiembre de 1991, en el que se resolvía oír a las partes y al Ministerio Fiscal para que alegasen lo que estimasen conveniente sobre la pertinencia de plantear la cuestión de inconstitucionalidad respecto de los arts. 15.3, 17 y 19 de la Ley 20/1989, en cuanto pudieran oponerse a los arts. 9.3 y 25 de la C.E. En dicho Auto se fundamentaba la presunta contradicción de los preceptos legales aludidos respecto de los constitucionales también citados en que aquellos suponen una aplicación retroactiva de normas sancionadoras. </w:t>
      </w:r>
    </w:p>
    <w:p w:rsidR="008107C7" w:rsidRDefault="008107C7" w:rsidP="008107C7">
      <w:pPr>
        <w:pStyle w:val="TextoNormal"/>
      </w:pPr>
      <w:r>
        <w:t xml:space="preserve">El Ministerio Fiscal presentó alegaciones en las que, en definitiva, decía que, en relación con los mismos preceptos cuestionados se había presentado el recurso de inconstitucionalidad núm. 171/1989, por lo que procedía suspender las actuaciones hasta tanto el Tribunal Constitucional se pronunciase sobre el fondo del asunto. </w:t>
      </w:r>
    </w:p>
    <w:p w:rsidR="008107C7" w:rsidRDefault="008107C7" w:rsidP="008107C7">
      <w:pPr>
        <w:pStyle w:val="TextoNormal"/>
      </w:pPr>
      <w:r>
        <w:t xml:space="preserve">El Abogado del Estado, por su parte, también presentó alegaciones. En ellas señala que el recurrente manifestó su conformidad con las actas. Además, apuntaba, que los preceptos controvertidos no inciden en el aspecto sancionador, sino que sólo afectan a aspectos concretos -la declaración individual o conjunta de la declaración tributaria-, negándose, por consiguiente, la existencia de retroactividad alguna. En suma, solicita que se dicte resolución por la que se declare la improcedencia de plantear la cuestión de inconstitucionalidad. </w:t>
      </w:r>
    </w:p>
    <w:p w:rsidR="008107C7" w:rsidRDefault="008107C7" w:rsidP="008107C7">
      <w:pPr>
        <w:pStyle w:val="TextoNormal"/>
      </w:pPr>
      <w:r>
        <w:t>Por último, el actor también presentó alegaciones, en las que alude, de nuevo, al vacío legislativo que se produjo como consecuencia de la STC 45/1989 de este Tribunal, por lo que se muestra favorable al planteamiento de la cuestión de inconstitucionalidad.</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5</w:t>
      </w:r>
      <w:r>
        <w:t xml:space="preserve">. La Sala, en definitiva, dictó Auto, con fecha 28 de noviembre de 1991, en el que acordaba elevar a este Tribunal la cuestión de inconstitucionalidad. </w:t>
      </w:r>
    </w:p>
    <w:p w:rsidR="008107C7" w:rsidRDefault="008107C7" w:rsidP="008107C7">
      <w:pPr>
        <w:pStyle w:val="TextoNormal"/>
      </w:pPr>
      <w:r>
        <w:t xml:space="preserve">Tras una exposición de los antecedentes de hecho, el Auto señala que la cuestión de fondo consiste en determinar si la aplicación retroactiva al recurrente de la Ley 20/1989 es conforme con el art. 25 de la Constitución en cuanto consagra el principio de tipicidad, al señalar que nadie puede ser sancionado por acciones u omisiones que no constituyan infracción administrativa en el momento de cometerse. </w:t>
      </w:r>
    </w:p>
    <w:p w:rsidR="008107C7" w:rsidRDefault="008107C7" w:rsidP="008107C7">
      <w:pPr>
        <w:pStyle w:val="TextoNormal"/>
      </w:pPr>
      <w:r>
        <w:t xml:space="preserve">Para ello, el Auto parte del alcance retroactivo de la STC 45/1989, de indudable aplicación según dice a este supuesto. Se citan, a estos efectos, los fundamentos jurídicos de la reseñada Sentencia, y de ello deriva varias consecuencias: en primer lugar, la Sentencia produce la inexistencia del régimen legal aplicable a quienes estaban incardinados en los supuestos de los preceptos declarados inconstitucionales, en particular a quienes venían obligados a efectuar la declaración conjunta; en segundo lugar, la referencia de la Sentencia a que el impuesto no puede ser liquidado ni exigido en 1988 no supone que puedan liquidarse antes de la ley sustitutoria los ejercicios anteriores; en tercer lugar, la Sentencia no predetermina la retroactividad o irretroactividad de la ley sustitutoria. Según la Sala cuestionante, de todo ello se deduce la constitucionalidad de las normas retroactivas siempre que no conculquen los derechos fundamentales o protectores de la persona; pero, además, apunta el Auto, la irretroactividad ha de conectarse con la arbitrariedad para enjuiciar la constitucionalidad. </w:t>
      </w:r>
    </w:p>
    <w:p w:rsidR="008107C7" w:rsidRDefault="008107C7" w:rsidP="008107C7">
      <w:pPr>
        <w:pStyle w:val="TextoNormal"/>
      </w:pPr>
      <w:r>
        <w:t xml:space="preserve">Se citan a continuación diversos párrafos de distintas Sentencias de este Tribunal y, en resumen, se concluye que el art. 15.3 de la Ley 20/1989 es claro en cuanto a su voluntad de mantener las sanciones para los períodos anteriores a su entrada en vigor. Igual sucede con el art. 17 de la misma norma, así como con su art. 19. Sin embargo, en materia de Derecho sancionador son de aplicación los principios básicos del Derecho Penal por tratarse de manifestaciones de la misma potestad; y uno de esos principios básicos es la irretroactividad absoluta de las normas, salvo que resulten mas favorables. </w:t>
      </w:r>
    </w:p>
    <w:p w:rsidR="008107C7" w:rsidRDefault="008107C7" w:rsidP="008107C7">
      <w:pPr>
        <w:pStyle w:val="TextoNormal"/>
      </w:pPr>
      <w:r>
        <w:t xml:space="preserve">De todo ello se deduce que la STC 45/1989 produce "una laguna legal" que impide practicar la liquidación por el impuesto al declarar inconstitucionales determinados preceptos del impuesto sobre la renta. Afirma el Auto que queda claro para todos, incluso para la Administración que ordenó suspender la gestión de las liquidaciones, que durante el vacío normativo no se podía sancionar a nadie puesto que no se podía liquidar. La consecuencia es que si se aplica retroactivamente el nuevo sistema se vulnera el principio de irretroactividad en materia sancionadora, máxime si se considera que la situación de los recurrentes, antes obligados a declarar conjuntamente, resultaría o no sancionable por la aplicación retroactiva de la nueva ley en razón del contenido de ésta. </w:t>
      </w:r>
    </w:p>
    <w:p w:rsidR="008107C7" w:rsidRDefault="008107C7" w:rsidP="008107C7">
      <w:pPr>
        <w:pStyle w:val="TextoNormal"/>
      </w:pPr>
      <w:r>
        <w:t xml:space="preserve">Se realizan a continuación algunas apreciaciones sobre la actuación del legislador y se concluye que los recurrentes estaban obligados a contribuir por una ley declarada nula por inconstitucional, declaración que produjo un vacío legal que impide la liquidación del impuesto y, por ello, la sanción, que deriva de una nueva ley que se les aplica retroactivamente. Además, aun cuando se argumente que las infracciones y sanciones no han sido alteradas, tal cosa sería admisible, aún cuando discutible, en determinados supuestos de infracciones formales, pero no en aquellos casos en los que la infracción consiste en la fijación de un tipo en blanco que remite a preceptos legales que son imprescindibles para la configuración del tipo y han sido declarados inconstitucionales. </w:t>
      </w:r>
    </w:p>
    <w:p w:rsidR="008107C7" w:rsidRDefault="008107C7" w:rsidP="008107C7">
      <w:pPr>
        <w:pStyle w:val="TextoNormal"/>
      </w:pPr>
      <w:r>
        <w:t>Por todo ello, la Sala acordó elevar a este Tribunal cuestión de inconstitucionalidad acerca de los arts. 15.3, 17 y 19 de la Ley 20/89, en cuanto pudieran vulnerar los arts. 9.3 y 25 de la C.E.</w:t>
      </w:r>
    </w:p>
    <w:p w:rsidR="008107C7" w:rsidRDefault="008107C7" w:rsidP="008107C7">
      <w:pPr>
        <w:pStyle w:val="TextoNormal"/>
      </w:pPr>
    </w:p>
    <w:p w:rsidR="008107C7" w:rsidRDefault="008107C7" w:rsidP="008107C7">
      <w:pPr>
        <w:pStyle w:val="TextoNormal"/>
      </w:pPr>
      <w:r w:rsidRPr="008107C7">
        <w:rPr>
          <w:rStyle w:val="NumeroAFNegritaCaracter"/>
        </w:rPr>
        <w:t>6</w:t>
      </w:r>
      <w:r>
        <w:t>. La Sección Cuarta de este Tribunal acordó, con fecha 10 de febrero de 1992, admitir a trámite la cuestión de inconstitucionalidad y dar traslado de las actuaciones al Congreso de los Diputados, al Senado, al Gobierno y al Fiscal General del Estado, así como publicar la incoación de la cuestión en el Boletín Oficial del Estado. Con la misma fecha se verificaron los traslados acordados.</w:t>
      </w:r>
    </w:p>
    <w:p w:rsidR="008107C7" w:rsidRDefault="008107C7" w:rsidP="008107C7">
      <w:pPr>
        <w:pStyle w:val="TextoNormal"/>
      </w:pPr>
    </w:p>
    <w:p w:rsidR="008107C7" w:rsidRDefault="008107C7" w:rsidP="008107C7">
      <w:pPr>
        <w:pStyle w:val="TextoNormal"/>
      </w:pPr>
      <w:r w:rsidRPr="008107C7">
        <w:rPr>
          <w:rStyle w:val="NumeroAFNegritaCaracter"/>
        </w:rPr>
        <w:t>7</w:t>
      </w:r>
      <w:r>
        <w:t xml:space="preserve">. El Fiscal General del Estado formuló alegaciones. En ellas y tras reseñar los antecedentes, se comienza realizando diversas consideraciones respecto del cumplimiento de los requisitos de admisibilidad de la cuestión de inconstitucionalidad, en particular en lo referido a la obligación, que el art. 35.2 LOTC impone al órgano judicial promotor de la cuestión, de especificar y justificar en qué medida la decisión del proceso depende de la validez de la norma en cuestión, requisito que, aduce el Fiscal General del Estado, es imprescindible para situar la cuestión dentro de la finalidad que le es propia. </w:t>
      </w:r>
    </w:p>
    <w:p w:rsidR="008107C7" w:rsidRDefault="008107C7" w:rsidP="008107C7">
      <w:pPr>
        <w:pStyle w:val="TextoNormal"/>
      </w:pPr>
      <w:r>
        <w:t xml:space="preserve">Se colacionan, a este respecto, diversas resoluciones de este Tribunal, como el ATC 664/1985, en el que se señalaba que es necesario que de la validez de la norma dependa la resolución que haya de dictarse, por lo que es exigible que el órgano promotor de la cuestión especifique y justifique en que medida la decisión del proceso depende de la validez de la norma cuestionada, añadiéndose que, a falta de tal especificación, no le es posible al Tribunal Constitucional, sin exceder sus competencias, verificar si se cumplen los requisitos establecidos en los arts. 163 C.E. y 35.2 LOTC. </w:t>
      </w:r>
    </w:p>
    <w:p w:rsidR="008107C7" w:rsidRDefault="008107C7" w:rsidP="008107C7">
      <w:pPr>
        <w:pStyle w:val="TextoNormal"/>
      </w:pPr>
      <w:r>
        <w:t xml:space="preserve">En opinión del Fiscal General del Estado, el Auto por el que se eleva la cuestión no explica en ningún momento, ni siquiera mínimamente, que las normas de cuya constitucionalidad se duda sean determinantes para el fallo del proceso subyacente. Los preceptos cuestionados no son mencionados ni en los actos administrativo recurridos ni en la demanda contra ellos interpuesta, y no corresponde que se proceda ahora a declarar, ante la omisión de la especificación exigible, y sustituyendo lo que se debió hacer, que la aplicación de los preceptos cuestionados sea ineludible. Además si se abordara esta tarea sería imposible encontrar una relación directa y lógica entre los que ha de enjuiciarse y los arts. 17 y 19 cuestionados. Por su parte, el art. 15.3 no contiene más que instrucciones sobre la practica de liquidaciones complementarias. En todo caso, correspondía a la Sala haber justificado la dependencia del fallo que se le pedía respecto de los preceptos cuestionados. Por consiguiente, la cuestión que nos ocupa no observa los requisitos formales exigidos en el art. 35.1 LOTC, por lo que procede decretar su inadmisión. Nada impide que tal inadmisión se acuerde ahora puesto que, según el reiterado criterio de este Tribunal, cabe apreciar en Sentencia con sentido desestimatorio, la ausencia de los requisitos procesales (STC 6/1991). </w:t>
      </w:r>
    </w:p>
    <w:p w:rsidR="008107C7" w:rsidRDefault="008107C7" w:rsidP="008107C7">
      <w:pPr>
        <w:pStyle w:val="TextoNormal"/>
      </w:pPr>
      <w:r>
        <w:t xml:space="preserve">Subsidiariamente, y aun a los efectos de que, de ser desestimada la cuestión por incumplimiento de los requisitos formales, la Sala la reprodujese salvando las omisiones en que ahora se incurre, algo de lo que hay precedentes, el Fiscal General del Estado se adentra en el fondo del asunto. </w:t>
      </w:r>
    </w:p>
    <w:p w:rsidR="008107C7" w:rsidRDefault="008107C7" w:rsidP="008107C7">
      <w:pPr>
        <w:pStyle w:val="TextoNormal"/>
      </w:pPr>
      <w:r>
        <w:t xml:space="preserve">A este fin, comienza señalando que si el precepto constitucional que se reputa infringido es el atinente a la legalidad sancionadora, la presunta inconstitucionalidad quedará circunscrita a aquello que suponga sanción. Por tanto, la liquidación y los intereses de demora, que no son constitutivos de sanción, resultan intachables. Además, la retroactividad de las normas fiscales no se encuentra prohibida por el art. 9.3 C.E., que se contrae al carácter sancionador o restrictivo de derechos (STC 126/1987). </w:t>
      </w:r>
    </w:p>
    <w:p w:rsidR="008107C7" w:rsidRDefault="008107C7" w:rsidP="008107C7">
      <w:pPr>
        <w:pStyle w:val="TextoNormal"/>
      </w:pPr>
      <w:r>
        <w:t xml:space="preserve">Por otro lado, un estudio de los períodos impositivos revela que no hay retroactividad alguna en el acta levantada con relación al año 1988, pues la STC 45/1989 precisó que dicho </w:t>
      </w:r>
      <w:r>
        <w:lastRenderedPageBreak/>
        <w:t xml:space="preserve">período impositivo habría de regularse según la nueva legislación que se dictase, a lo que hay que añadir que el cuestionado art. 15.3 de la Ley 20/1989 ninguna relación guarda con este acta. Por consiguiente, el análisis debe constreñirse a las actas correspondientes a los años 1986 y 1987. </w:t>
      </w:r>
    </w:p>
    <w:p w:rsidR="008107C7" w:rsidRDefault="008107C7" w:rsidP="008107C7">
      <w:pPr>
        <w:pStyle w:val="TextoNormal"/>
      </w:pPr>
      <w:r>
        <w:t xml:space="preserve">Pues bien, alega el Fiscal General del Estado que la Ley 20/1989 en absoluto regula sanciones por incumplimientos fiscales: la remisión efectuada por el art. 15.3 de dicha Ley se refiere exclusivamente a las normas de tributación, y las sanciones y recargos son los mismos que existían en las disposiciones anteriores, que no resultaron afectadas por los preceptos declarados inconstitucionales. Las sanciones, de hecho, ni siquiera están reguladas en la ley de renta sino en la Ley General Tributaria y las normas de desarrollo de ésta. </w:t>
      </w:r>
    </w:p>
    <w:p w:rsidR="008107C7" w:rsidRDefault="008107C7" w:rsidP="008107C7">
      <w:pPr>
        <w:pStyle w:val="TextoNormal"/>
      </w:pPr>
      <w:r>
        <w:t xml:space="preserve">La norma sancionadora existía con anterioridad a los hechos inspeccionados: de existir algo no es retroactividad, sino ultraactividad, pues lo que la Ley 20/1989 ha hecho es extender la actividad de las disposiciones sancionatorias hacia el futuro después de que, según se entiende, fueran excluidas del ordenamiento jurídico. La cuestión reside en saber si se ha producido tal exclusión. </w:t>
      </w:r>
    </w:p>
    <w:p w:rsidR="008107C7" w:rsidRDefault="008107C7" w:rsidP="008107C7">
      <w:pPr>
        <w:pStyle w:val="TextoNormal"/>
      </w:pPr>
      <w:r>
        <w:t xml:space="preserve">A su juicio, la inconstitucionalidad declarada por la STC 45/1989 residía en los supuestos en los que la declaración conjunta implicase un incremento de la cuota a pagar; en aquellos otros en los que la declaración conjunta no suponía perjuicio, sino beneficio, no había inconstitucionalidad. Por consiguiente, no se ve clara la nulidad de la declaración conjunta, esto es, el precepto que la establecía no quedó expulsado del ordenamiento. </w:t>
      </w:r>
    </w:p>
    <w:p w:rsidR="008107C7" w:rsidRDefault="008107C7" w:rsidP="008107C7">
      <w:pPr>
        <w:pStyle w:val="TextoNormal"/>
      </w:pPr>
      <w:r>
        <w:t xml:space="preserve">Así pues, la citada Sentencia deja incólume el IRPF, por lo que una liquidación correspondiente a anualidades anteriores será válida si se practica conforme a lo ordenado por la Sentencia. De ello se sigue que el art. 4.2 de la Ley no era inconstitucional para los supuestos en los que la declaración conjunta no suponía incremento para los contribuyentes, y ese es aquí el caso. La declaración conjunta siempre le fue favorable al interesado, como demuestra que la eligió para la anualidad de 1988, en la que ya cabía la declaración individual. Por consiguiente, en nada le ha afectado la declaración de inconstitucionalidad y no hay tampoco, pues, efectos retroactivos, como tampoco son retroactivas las consecuencias sancionatorias derivadas de sus omisiones. </w:t>
      </w:r>
    </w:p>
    <w:p w:rsidR="008107C7" w:rsidRDefault="008107C7" w:rsidP="008107C7">
      <w:pPr>
        <w:pStyle w:val="TextoNormal"/>
      </w:pPr>
      <w:r>
        <w:t xml:space="preserve">El carácter concreto de la cuestión de inconstitucionalidad impide hablar de inconstitucionalidad en el modo en que se liquidó el I.R.P.F., y el planteamiento de una posible retroactividad queda extramuros de la cuestión aquí planteada. Además, si se acepta la práctica de liquidaciones para períodos impositivos anteriores no prescritos, no cabe apartar las consecuencias sancionatorias de esas nuevas liquidaciones. La ley no introduce sanciones nuevas ni, mucho menos, un tratamiento innovador y comparativamente desfavorable que autorice la invocación del art. 9.3. C.E. </w:t>
      </w:r>
    </w:p>
    <w:p w:rsidR="008107C7" w:rsidRDefault="008107C7" w:rsidP="008107C7">
      <w:pPr>
        <w:pStyle w:val="TextoNormal"/>
      </w:pPr>
      <w:r>
        <w:t xml:space="preserve">Por último, el Fiscal General del Estado puntualiza que nuestro fallo en la repetidamente citada STC 45/1989 no fundamenta pretensión alguna de restitución. No se infiere de él que las autoliquidaciones practicadas no administrativamente firmes no puedan ser inspeccionadas y obtenidas todas las consecuencias legales de los fraudes y evasiones fiscales comprobados. Cualquier otra solución sería contraria a la exigencia constitucional de contribuir al sostenimiento de las cargas públicas. </w:t>
      </w:r>
    </w:p>
    <w:p w:rsidR="008107C7" w:rsidRDefault="008107C7" w:rsidP="008107C7">
      <w:pPr>
        <w:pStyle w:val="TextoNormal"/>
      </w:pPr>
      <w:r>
        <w:t>Por todo ello, el Fiscal General del Estado concluye solicitando que se desestime la presente cuestión declarando su inadmisibilidad por incumplir las condiciones procesales dispuestas en el art. 35.2 LOTC y, en todo caso, por no ser los preceptos cuestionados contrarios a los principios de legalidad y retroactividad de las disposiciones sancionadoras no favorables establecidas en los arts. 25.1 y 9.3 C.E.</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8</w:t>
      </w:r>
      <w:r>
        <w:t xml:space="preserve">. Se personó en el procedimiento, y formuló alegaciones, como queda dicho, el Abogado del Estado, quien comienza realizando unas precisiones iniciales sobre el objeto y alcance de esta cuestión de inconstitucionalidad. Señala que los preceptos cuestionados se deben integrar por los que regulan las sanciones, que no se encuentran en la Ley 20/1989, y por los que establecen las normas de la propia Ley 20/1989 para determinar las liquidaciones complementarias. </w:t>
      </w:r>
    </w:p>
    <w:p w:rsidR="008107C7" w:rsidRDefault="008107C7" w:rsidP="008107C7">
      <w:pPr>
        <w:pStyle w:val="TextoNormal"/>
      </w:pPr>
      <w:r>
        <w:t xml:space="preserve">Añade que en el procedimiento tributario el contribuyente optó por la declaración conjunta, tanto ante la Inspección Tributaria cuanto en su declaración correspondiente a 1988. Por consiguiente, no ha sido preciso, para calcular su deuda tributaria, aplicar las normas tributarias sustantivas de la Ley 20/1989: sólo se han aplicado los criterios y normas contenidos en los arts. 1 a 8 y 20 de dicha Ley, y de esos preceptos el único que tiene trascendencia sobre el cálculo de la deuda tributaria es el art. 4, que es favorable al contribuyente. </w:t>
      </w:r>
    </w:p>
    <w:p w:rsidR="008107C7" w:rsidRDefault="008107C7" w:rsidP="008107C7">
      <w:pPr>
        <w:pStyle w:val="TextoNormal"/>
      </w:pPr>
      <w:r>
        <w:t xml:space="preserve">No hay, pues, vacío legal alguno: las normas que se han aplicado son, en cuanto a la determinación de la cuota, las del antiguo impuesto, y sobre la cuota se han aplicado las sanciones previstas en la Ley General Tributaria en la redacción de 1985, no afectadas por la STC 45/1989. En definitiva, al optar el contribuyente por la tributación conjunta le son de aplicación las normas anteriores, que sólo fueron anuladas por este Tribunal en cuanto fuesen de aplicación necesaria. No hay pues, retroactividad alguna, pues no era necesario para el proceso a quo la aplicación de la Ley 20/1989. </w:t>
      </w:r>
    </w:p>
    <w:p w:rsidR="008107C7" w:rsidRDefault="008107C7" w:rsidP="008107C7">
      <w:pPr>
        <w:pStyle w:val="TextoNormal"/>
      </w:pPr>
      <w:r>
        <w:t xml:space="preserve">Es irrelevante, dice el Abogado del Estado, que el recurrente discuta la eficacia de su propia opción, y también lo es que no aparezca la firma de su cónyuge, pues habría bastado la solicitud de la misma para que se aplicase la tributación individual. Todo ello le hace dudar de que se cumplan las condiciones exigidas para el planteamiento de la cuestión de inconstitucionalidad en cuanto atañe al juicio de relevancia. Pero, además, cuando el contribuyente ha optado por la tributación conjunta la aplicación de los arts. 15.3, 17 y 19 ahora cuestionados no comporta retroactividad alguna en materia de sanciones, pues la deuda tributaria se determina conforme a las normas anteriores. </w:t>
      </w:r>
    </w:p>
    <w:p w:rsidR="008107C7" w:rsidRDefault="008107C7" w:rsidP="008107C7">
      <w:pPr>
        <w:pStyle w:val="TextoNormal"/>
      </w:pPr>
      <w:r>
        <w:t xml:space="preserve">Tampoco cree que haya inconstitucionalidad en los preceptos cuestionados. En primer lugar, el tipo de las infracciones no ha sido en nada modificado por la Ley 20/1989. Los preceptos que regulaban el tipo, anteriores a esta Ley, se encontraban vigentes cuando se realizó la conducta del contribuyente, que fue antijurídica antes de la STC 45/1989 y de la Ley 20/1989, y que lo siguió siendo después. </w:t>
      </w:r>
    </w:p>
    <w:p w:rsidR="008107C7" w:rsidRDefault="008107C7" w:rsidP="008107C7">
      <w:pPr>
        <w:pStyle w:val="TextoNormal"/>
      </w:pPr>
      <w:r>
        <w:t xml:space="preserve">En cuanto a las sanciones, la cuantificación de las mismas tampoco ha variado: se encontraba en vigor al realizarse la conducta antijurídica y sigue subsistiendo después de la modificación legal. Lo único que ha variado es la forma de cálculo del montante de la sanción, ya que ésta se establece sobre la base de la deuda, y la cuantía de ésta puede variar por aplicación de la Ley 20/1989. Pero tampoco este elemento de la sanción varía el tipo ni los demás conceptos de la deuda. </w:t>
      </w:r>
    </w:p>
    <w:p w:rsidR="008107C7" w:rsidRDefault="008107C7" w:rsidP="008107C7">
      <w:pPr>
        <w:pStyle w:val="TextoNormal"/>
      </w:pPr>
      <w:r>
        <w:t xml:space="preserve">El elemento de retroactividad que se incorpora no sólo es mínimo, sino que ni siquiera existe auténtica retroactividad. El Auto que promueve la cuestión la sustenta en el vacío legal producido por la STC 45/1989, luego llenado por las normas de la Ley 20/1989. De la STC 45/1989 no se extrae la inexistencia de un régimen legal aplicable: lo único que se dice es que los preceptos allí enjuiciados no pueden aplicarse al ejercicio de 1988, pero sólo esos preceptos, no la totalidad del régimen legal del impuesto. Por consiguiente, no concurre inexistencia del régimen legal aplicable, y el impuesto se devengó realmente y con título legal. En definitiva, la Ley 20/1989 no contiene innovaciones y, por ello, no hay retroactividad. </w:t>
      </w:r>
    </w:p>
    <w:p w:rsidR="008107C7" w:rsidRDefault="008107C7" w:rsidP="008107C7">
      <w:pPr>
        <w:pStyle w:val="TextoNormal"/>
      </w:pPr>
      <w:r>
        <w:lastRenderedPageBreak/>
        <w:t xml:space="preserve">Por lo demás, aunque se considere que existen elementos de retroactividad, no hay infracción constitucional alguna. Tal retroactividad sería constitucionalmente lícita, y la propia Sala promotora de la cuestión no la discute. Ello se deduce de la STC 126/1987, cuya doctrina conduce a la declaración de constitucionalidad de los preceptos impugnados. La justificación de la norma es la adaptación del impuesto a la doctrina de la STC 45/1989, y no hay sorpresa ni arbitrariedad para los contribuyentes. Además, la Ley 20/1989 no altera los elementos esenciales del tributo, por lo que no se vulnera el principio de protección de la confianza. El tipo de la sanción permanece inalterado y también, por tanto, la antijuridicidad de la conducta ilícita. Al recaer la posible retroactividad de la Ley sobre un aspecto concreto del cálculo de la deuda no existe sorpresa posible ni sospecha de arbitrariedad del legislador en relación con el contribuyente infractor, que es en todo momento conocedor de su condición de tal. </w:t>
      </w:r>
    </w:p>
    <w:p w:rsidR="008107C7" w:rsidRDefault="008107C7" w:rsidP="008107C7">
      <w:pPr>
        <w:pStyle w:val="TextoNormal"/>
      </w:pPr>
      <w:r>
        <w:t xml:space="preserve">Por otro lado, la eventual retroactividad de la Ley 20/1989 tiene un resultado favorable para el contribuyente infractor. Es generalmente admitida la legitimidad de las disposiciones sancionadoras favorables y retroactivas. Ese es precisamente el caso: la aplicación de la ley a los períodos anteriores a 1988, si se opta por la tributación individual, supone necesariamente una reducción de la deuda tributaria. La sanción se aplica sobre esa deuda menor y será asimismo, por lo tanto, menor. La aplicación de la Ley 20/1989 determina, pues, una sanción de cuantía inferior. </w:t>
      </w:r>
    </w:p>
    <w:p w:rsidR="008107C7" w:rsidRDefault="008107C7" w:rsidP="008107C7">
      <w:pPr>
        <w:pStyle w:val="TextoNormal"/>
      </w:pPr>
      <w:r>
        <w:t>Por todo ello, concluye solicitando que se dicte sentencia por la que se declare que los preceptos cuestionados son conformes con la Constitución.</w:t>
      </w:r>
    </w:p>
    <w:p w:rsidR="008107C7" w:rsidRDefault="008107C7" w:rsidP="008107C7">
      <w:pPr>
        <w:pStyle w:val="TextoNormal"/>
      </w:pPr>
    </w:p>
    <w:p w:rsidR="008107C7" w:rsidRDefault="008107C7" w:rsidP="008107C7">
      <w:pPr>
        <w:pStyle w:val="TextoNormal"/>
      </w:pPr>
      <w:r w:rsidRPr="008107C7">
        <w:rPr>
          <w:rStyle w:val="NumeroAFNegritaCaracter"/>
        </w:rPr>
        <w:t>9</w:t>
      </w:r>
      <w:r>
        <w:t>. Por providencia de 25 de febrero de 1997, se señaló para la deliberación y fallo de la presente cuestión el día 27 del mismo mes.</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La cuestión de inconstitucionalidad que plantea el Auto de la Sala de lo Contencioso- Administrativo del Tribunal Superior de Justicia de la Comunidad Valenciana se refiere a los arts. 15.3, 17 y 19 de la Ley 20/1989, de 28 de julio, de adaptación de los Impuestos sobre la Renta y el Patrimonio de las Personas Físicas, que admiten la imposición de sanciones por dejar de ingresar las cantidades debidas en relación con los períodos impositivos anteriores a 1988, porque entiende que pueden vulnerar los arts. 9.3 y 25 de la Constitución.</w:t>
      </w:r>
    </w:p>
    <w:p w:rsidR="008107C7" w:rsidRDefault="008107C7" w:rsidP="008107C7">
      <w:pPr>
        <w:pStyle w:val="TextoNormal"/>
      </w:pPr>
      <w:r>
        <w:t>Procede antes de entrar en dicha cuestión resolver las objeciones sobre la admisibilidad de la cuestión formuladas por el Fiscal General del Estado e, implícitamente, por el Abogado del Estado. En concreto, el Fiscal General señala que ni la Sala de Valencia ha explicado por qué las normas cuya constitucionalidad reprueba son determinantes del fallo ni los actos administrativos recurridos mencionaban los preceptos ahora cuestionados.  Tampoco existe en su opinión una relación directa y lógica entre los preceptos cuestionados y la decisión que haya de adoptarse. En consecuencia, no se habría cumplido con el requisito, previsto en el art. 35.2 LOTC, de justificar en qué medida la decisión del proceso depende de la validez de la norma en cuestión, por lo que procedería declarar su inadmisión, ahora desestimación.</w:t>
      </w:r>
    </w:p>
    <w:p w:rsidR="008107C7" w:rsidRDefault="008107C7" w:rsidP="008107C7">
      <w:pPr>
        <w:pStyle w:val="TextoNormal"/>
      </w:pPr>
      <w:r>
        <w:t xml:space="preserve">Cierto es que el Auto de planteamiento no exterioriza formalmente el juicio de relevancia, pero de tal dato no puede deducirse el efecto pretendido. En el primero de sus fundamentos de Derecho relata los hechos que constituyen la premisa del recurso contencioso- administrativo y en el quinto expone el contenido de los preceptos cuestionados. La interpretación conjunta de ambos fundamentos permite concluir que el órgano proponente ha </w:t>
      </w:r>
      <w:r>
        <w:lastRenderedPageBreak/>
        <w:t>considerado que los preceptos sobre cuya constitucionalidad alberga dudas son determinantes del fallo que deba dictar.</w:t>
      </w:r>
    </w:p>
    <w:p w:rsidR="008107C7" w:rsidRDefault="008107C7" w:rsidP="008107C7">
      <w:pPr>
        <w:pStyle w:val="TextoNormal"/>
      </w:pPr>
      <w:r>
        <w:t>No es tampoco determinante a estos efectos que los actos administrativos impugnados no mencionen expresamente los preceptos ahora cuestionados. La invocación expresa en las actas de inspección del art. 79 a) de la Ley General Tributaria (L.G.T.)  según la redacción de la Ley 10/1985, y la falta de toda mención de los preceptos de la Ley 20/1989 puede explicarse por la relación existente entre ambos bloques normativos. Los preceptos ahora cuestionados se limitan a prever genéricamente la imposición de sanciones tras la entrada en vigor de esta última Ley en relación con los períodos impositivos anteriores a 1988; pero no tipifican las infracciones ni determinan las sanciones, función encomendada en nuestro ordenamiento a la L.G.T. Por lo tanto, la cita expresa en las actas inspectoras del mencionado art. 79 a) de la L.G.T. presupone, lógicamente, la aplicación de los preceptos del Capítulo Tercero de la Ley 20/1989, entre los que se encuentran los ahora cuestionados. La aplicación por las actas de la Inspección de los citados artículos de la Ley 20/1989 puede deducirse sin excesivas dificultades contrastando la fecha en que se extienden las actas y los períodos impositivos a que se refieren.</w:t>
      </w:r>
    </w:p>
    <w:p w:rsidR="008107C7" w:rsidRDefault="008107C7" w:rsidP="008107C7">
      <w:pPr>
        <w:pStyle w:val="TextoNormal"/>
      </w:pPr>
      <w:r>
        <w:t>En cuanto a la relación entre los artículos cuestionados y la decisión que deba adoptarse en el proceso a quo hay que convenir con lo alegado por el Fiscal General del Estado cuando pone de manifiesto la falta de una relación directa y lógica entre lo que haya de resolverse y los arts. 17 y 19 de la Ley 20/1989. El 17 se refiere literalmente a "las actuaciones iniciadas por la Inspección de los Tributos con posterioridad al 2 de marzo de 1989, en relación con los sujetos pasivos que no presentaron declaración ni autoliquidación del Impuesto sobre la Renta de las Personas Físicas o el Impuesto Extraordinario sobre el Patrimonio de las Personas Físicas correspondientes al período impositivo 1987 o anteriores no prescritos"; pero tanto las actas de la Inspección como el fundamento jurídico 1º del Auto de planteamiento de la cuestión señalan que el sujeto pasivo y su esposa presentaron en el plazo reglamentario las correspondientes liquidaciones, lo que excluye la aplicabilidad en el caso controvertido del mencionado art. 17.  A su vez, el art. 19 de la citada Ley 20/1989 regula las nuevas liquidaciones que se practiquen a consecuencia de la anulación de los procedimientos recaudatorios en curso; pero ni del contenido de los actos de la Inspección, ni del relato de los hechos incluido en el Auto de planteamiento, puede deducirse que concurran los presupuestos exigidos para la aplicación del mencionado precepto.</w:t>
      </w:r>
    </w:p>
    <w:p w:rsidR="008107C7" w:rsidRDefault="008107C7" w:rsidP="008107C7">
      <w:pPr>
        <w:pStyle w:val="TextoNormal"/>
      </w:pPr>
      <w:r>
        <w:t>Sí debe en cambio admitirse la relevancia del art. 15.3 para la decisión del proceso a quo. La liquidación impugnada en la vía contencioso-administrativa entra en las previsiones de dicho precepto y no se advierten razones suficientes que impidan su aplicación al caso enjuiciado. Podría discutirse si sería aplicable el apartado tercero del art. 15 o alguno de los apartados sucesivos; pero puesto que la selección de la norma que estima de aplicación al caso, por imperativo del art. 117.3 C.E.  corresponde al órgano judicial proponente de la cuestión, debe considerarse que optó por el párrafo 3º del citado art. 15 y éste debe ser el objeto de nuestra decisión.</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Dicho art. 15.3 de la Ley 20/1989, que forma parte del Capítulo Tercero sobre régimen transitorio de los períodos impositivos anteriores a 1988, dispone: "Sin perjuicio de lo previsto en los apartados siguientes, cuando la Administración Tributaria revise actos firmes o practique cualquier tipo de liquidación con posterioridad al 2 de marzo de 1989, en relación con las autoliquidaciones o liquidaciones citadas, las deudas tributarias pagadas, determinadas o liquidadas inicialmente tendrán la consideración de mínimas a efectos del Impuesto sobre la Renta de las Personas Físicas o del Impuesto Extraordinario sobre el Patrimonio de </w:t>
      </w:r>
      <w:r>
        <w:lastRenderedPageBreak/>
        <w:t>las Personas Físicas, practicándose exclusivamente las liquidaciones complementarias que puedan proceder, incluidas, en su caso, sanciones o intereses de demora, según las reglas y criterios de tributación establecidos en los Capítulos anteriores de la presente Ley. A estos efectos las deudas tributarias satisfechas o adeudadas conjuntamente por los sujetos pasivos componentes de una unidad familiar se prorratearán entre ellos, según las rentas o patrimonio correspondientes a cada uno".</w:t>
      </w:r>
    </w:p>
    <w:p w:rsidR="008107C7" w:rsidRDefault="008107C7" w:rsidP="008107C7">
      <w:pPr>
        <w:pStyle w:val="TextoNormal"/>
      </w:pPr>
      <w:r>
        <w:t>La cuestión de inconstitucionalidad no se promueve respecto de la totalidad del precepto transcrito. De la argumentación expuesta en el Auto de planteamiento y de la identificación de los preceptos constitucionales que se consideran vulnerados se desprende que se suscita únicamente respecto del inciso que permite en su caso incluir sanciones en las liquidaciones complementarias que puedan proceder. Por otra parte, las liquidaciones impugnadas en el recurso contencioso- administrativo corresponden a los períodos impositivos de 1986, 1987 y 1988, pero el art. 15.3 de la citada Ley 20/1989, sólo puede ser aplicado a los ejercicios de 1986 y 1987, pues el 1988 se rige por el Capítulo Primero, como claramente resulta de la inserción sistemática de aquéllos en el Capítulo Tercero y de su tenor literal.</w:t>
      </w:r>
    </w:p>
    <w:p w:rsidR="008107C7" w:rsidRDefault="008107C7" w:rsidP="008107C7">
      <w:pPr>
        <w:pStyle w:val="TextoNormal"/>
      </w:pPr>
    </w:p>
    <w:p w:rsidR="008107C7" w:rsidRDefault="008107C7" w:rsidP="008107C7">
      <w:pPr>
        <w:pStyle w:val="TextoNormal"/>
      </w:pPr>
      <w:r w:rsidRPr="008107C7">
        <w:rPr>
          <w:rStyle w:val="NumeroAFNegritaCaracter"/>
        </w:rPr>
        <w:t>3</w:t>
      </w:r>
      <w:r>
        <w:t>. Según el Auto de planteamiento de la cuestión, la STC 45/1989 produjo una laguna legal, un vacío normativo que impide practicar la liquidación al haber declarado inconstitucionales determinados preceptos de la Ley reguladora del impuesto, lo que a su vez no permitiría imponer sanciones. En consecuencia, si se aplicara retroactivamente el nuevo sistema, regulado por la Ley 20/1989, se estaría vulnerando el principio de irretroactividad en materia sancionadora.</w:t>
      </w:r>
    </w:p>
    <w:p w:rsidR="008107C7" w:rsidRDefault="008107C7" w:rsidP="008107C7">
      <w:pPr>
        <w:pStyle w:val="TextoNormal"/>
      </w:pPr>
      <w:r>
        <w:t>Esa alegación de vacio normativo nos lleva a comenzar negando que un tal vacío se haya producido. La STC 45/1989, al declarar la inconstitucionalidad de diversos preceptos de la Ley 44/1978, reguladores de la tributación conjunta en el I.R.P.F., no produjo una "laguna legal" que impidiese liquidar la deuda tributaria de las unidades familiares en los ejercicios anteriores a 1988.</w:t>
      </w:r>
    </w:p>
    <w:p w:rsidR="008107C7" w:rsidRDefault="008107C7" w:rsidP="008107C7">
      <w:pPr>
        <w:pStyle w:val="TextoNormal"/>
      </w:pPr>
      <w:r>
        <w:t>Dicha Sentencia al declarar la inconstitucionalidad y nulidad de diversos preceptos de la Ley 44/1978 (los arts. 7.3, 31.2 y 34.6) y sólo la inconstitucionalidad de otros (los arts.  4.2 y 24 b), este último en la redacción anterior a la Ley 37/1988) pretendió justamente evitar que se produjese este vacío, aunque en el fundamento jurídico 11, precisando el alcance de dicha declaración de inconstitucionalidad, afirmaba que dichos preceptos «formaban parte de un sistema legal cuya plena acomodación a la Constitución no puede alcanzarse mediante la sola anulación de aquellas reglas, pues la sanción de nulidad, como medida estrictamente negativa, es manifiestamente incapaz para reordenar el régimen del Impuesto sobre la Renta de las Personas Físicas en términos compatibles con la Constitución», y que «la infracción del principio constitucional de igualdad no podría ser reparada, en este caso, mediante la pura y simple extensión a los contribuyentes integrados en unidades familiares del régimen legal establecido para la tributación de quienes no lo están».</w:t>
      </w:r>
    </w:p>
    <w:p w:rsidR="008107C7" w:rsidRDefault="008107C7" w:rsidP="008107C7">
      <w:pPr>
        <w:pStyle w:val="TextoNormal"/>
      </w:pPr>
      <w:r>
        <w:t xml:space="preserve">Pero de tales afirmaciones no es posible inferir que se hubiese producido el alegado vacío normativo que ya no permitiera practicar las liquidaciones del I.R.P.F. por los ejercicios 1986 y 1987. Nada de esto se expresa en el citado fundamento jurídico 11, que, como señalábamos en la STC 146/1994 (fundamento jurídico 1º), se limita a afirmar la imposibilidad de aplicar al ejercicio 1988 y no a otros, los preceptos cuya inconstitucionalidad declaraba.  Las afirmaciones transcritas, de las que el Órgano proponente pretende derivar la existencia de una laguna legal, estaban referidas únicamente a la futura ordenación del I.R.P.F., y tenían como fin evitar que de la declaración de inconstitucionalidad de unos preceptos que formaban parte de un sistema cerrado y articulado -"trabado", decíamos en la STC 45/1989- </w:t>
      </w:r>
      <w:r>
        <w:lastRenderedPageBreak/>
        <w:t>resultara un régimen del impuesto distinto al pretendido por quien tiene la correspondiente potestad. Por ello advertíamos que, una vez expulsados del ordenamiento determinados preceptos de la Ley reguladora del I.R.P.F. integrados en su sistema, la reordenación del mismo no correspondía a este Tribunal sino al legislador, a quien, efectivamente, cumplía «llevar a cabo las modificaciones o adaptaciones pertinentes en el régimen legal del impuesto, sirviéndose para ello de su propia libertad de configuración normativa», que «no puede ser ni desconocida ni sustituida por este Tribunal Constitucional», al que «sólo le corresponde apreciar la conformidad o disconformidad con la Constitución de los preceptos enjuiciados». Y es la Ley 20/1989 la que da cumplimiento a dichos pronunciamientos, estableciendo el nuevo sistema aplicable al ejercicio de 1988 y en el futuro.</w:t>
      </w:r>
    </w:p>
    <w:p w:rsidR="008107C7" w:rsidRDefault="008107C7" w:rsidP="008107C7">
      <w:pPr>
        <w:pStyle w:val="TextoNormal"/>
      </w:pPr>
      <w:r>
        <w:t>En los ejercicios anteriores a 1988, aún vigente el sistema objeto luego de la STC 45/1989 con todos los derechos y obligaciones derivados del mismo, ningún obstáculo existía a la presentación y liquidación de las declaraciones y, en relación con ello, nada impedía que pudieran cometerse infracciones en el cumplimiento de obligaciones tributarias, se omitiese la presentación de declaraciones, se dejara de abonar la totalidad o parte de la cuota autoliquidada, se omitiesen partidas de ingresos, etc. y se aplicasen en consecuencia las sanciones correspondientes. Es sólo al ejercicio de 1988 al que expresamente se refiere el fundamento jurídico 11 de la STC 45/1989 cuando dice que la ilegitimidad constitucional de los preceptos enjuiciados "hace jurídicamente imposible su aplicación al ejercicio de 1988, puesto que el impuesto a él correspondiente, aunque ya devengado, no puede ser liquidado y exigido de acuerdo con preceptos contrarios a la Constitución" y cuya expulsión del ordenamiento sólo pudo producirse a partir del momento de la publicación de la Sentencia en el Boletín Oficial del Estado.</w:t>
      </w:r>
    </w:p>
    <w:p w:rsidR="008107C7" w:rsidRDefault="008107C7" w:rsidP="008107C7">
      <w:pPr>
        <w:pStyle w:val="TextoNormal"/>
      </w:pPr>
      <w:r>
        <w:t>La denominada "laguna parcial" no se refiere a la existencia de la deuda tributaria ni, en su caso, a la de la infracción y la sanción, sino sólo a la ausencia temporal de reglas con las que determinar la cuantía concreta de aquélla. Mas, esa transitoria imposibilidad de fijación de la cuantía de la deuda (y, por tanto de la sanción) desapareció cuando, de acuerdo con nuestra Sentencia, se promulgó la ley aquí cuestionada. No hay, pues, laguna punitiva alguna, al existir predeterminación legal tanto respecto de la infracción como de la sanción.</w:t>
      </w:r>
    </w:p>
    <w:p w:rsidR="008107C7" w:rsidRDefault="008107C7" w:rsidP="008107C7">
      <w:pPr>
        <w:pStyle w:val="TextoNormal"/>
      </w:pPr>
      <w:r>
        <w:t>Un diferente entendimiento de los efectos de nuestra STC 45/1989, así como de la pretendida existencia de una laguna legal en la regulación del Impuesto sobre la Renta de las Personas Físicas, conduciría a resultados incompatibles con las exigencias del deber general de contribuir al sostenimiento de los gastos públicos mediante un sistema tributario justo consagrado en el art.  31.1 de la Constitución. Y ello, no sólo por la impunidad de comportamientos atentatorios al interés constitucionalmente tutelado de la Hacienda Pública, sino también porque vendría a hacer de mejor condición a quienes incumplieron sus obligaciones fiscales respecto de aquellos contribuyentes respetuosos y cumplidores de sus deberes para con la Hacienda Pública.</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La Ley 20/1989, que adapta la normativa del Impuesto a lo resuelto por la STC 45/1989, cumple también con la necesidad determinada por ésta de llevar a cabo las modificaciones o adaptaciones en el régimen legal para "posibilitar la declaración de los hechos imponibles correspondientes a 1988 que ha tenido que ser aplazada", (así lo dice su Exposición de Motivos) y el art. 1 la declara en consecuencia aplicable "a los períodos impositivos comprendidos entre el 1 de enero de 1988 y el 31 de diciembre de 1989". Pero además, como también señala la Exposición de Motivos, "igualmente resulta necesario regular los criterios aplicables en el desarrollo y resolución de los procedimientos relacionados con períodos impositivos anteriores no prescritos" para lo cual el Capítulo Tercerlo articula el </w:t>
      </w:r>
      <w:r>
        <w:lastRenderedPageBreak/>
        <w:t>que denomina Régimen Transitorio de los períodos impositivos anteriores a 1988, es decir, los ejercicios en los que, como hemos dicho, no existía ningún tipo de vacío legal por hallarse en vigor los preceptos más tarde declarados inconstitucionales. Se refiere a aquellos supuestos en los que por cualquier circunstancia (y no precisamente la de carencia de normativa aplicable) no hubiesen tenido lugar o se hubiesen interrumpido ciertas actuaciones de la Administracion tributaria que por ello hubieran de practicarse después y a las cuales se aplica la normativa articulada por la propia ley, con los efectos del sistema de opción por la declaración conjunta o separada a las liquidaciones que tengan lugar ahora.  Supuestos que están contemplados en el art. 15 (revision de actos firmes o liquidaciones que se practiquen después de 2 de marzo de 1989, actuaciones de comprobación o investigación); 16 (resolución de expedientes en tramitación); y 17 (actuaciones inspectoras respecto de sujetos que no declararon).  Supuestos en los cuales los preceptos citados prescriben que se impondrán las sanciones correspondientes.</w:t>
      </w:r>
    </w:p>
    <w:p w:rsidR="008107C7" w:rsidRDefault="008107C7" w:rsidP="008107C7">
      <w:pPr>
        <w:pStyle w:val="TextoNormal"/>
      </w:pPr>
    </w:p>
    <w:p w:rsidR="008107C7" w:rsidRDefault="008107C7" w:rsidP="008107C7">
      <w:pPr>
        <w:pStyle w:val="TextoNormal"/>
      </w:pPr>
      <w:r w:rsidRPr="008107C7">
        <w:rPr>
          <w:rStyle w:val="NumeroAFNegritaCaracter"/>
        </w:rPr>
        <w:t>5</w:t>
      </w:r>
      <w:r>
        <w:t>. Es evidente que la Ley 20/1989 puede tener efectos retroactivos en cuanto la nueva normativa del impuesto que ella articula cumpliendo la Sentencia de este Tribunal habrá de aplicarse a ciertos hechos acaecidos durante la vigencia de la Ley anterior.  Y así, el art. 15.3 dispone que la práctica de liquidaciones complementarias relativas a ejercicios anteriores a 1988 tengan lugar "según las reglas y criterios de tributación establecidos en los capítulos anteriores de la presente Ley".</w:t>
      </w:r>
    </w:p>
    <w:p w:rsidR="008107C7" w:rsidRDefault="008107C7" w:rsidP="008107C7">
      <w:pPr>
        <w:pStyle w:val="TextoNormal"/>
      </w:pPr>
      <w:r>
        <w:t>Con todo, debe tenerse presente que la retroactividad del art. 15.3 de la citada Ley no se refiere a la tipificación de una infracción tributaria ni tampoco a su sanción, de suerte que lo aplicable no serán unas nuevas normas sancionadoras sino los preceptos correspondientes de la Ley General Tributaria que previamente las establecían.</w:t>
      </w:r>
    </w:p>
    <w:p w:rsidR="008107C7" w:rsidRDefault="008107C7" w:rsidP="008107C7">
      <w:pPr>
        <w:pStyle w:val="TextoNormal"/>
      </w:pPr>
      <w:r>
        <w:t>En efecto, aquella Ley no ha significado formalmente innovación alguna del tipo de la infracción definido en el artículo 79 a) L.G.T. en la redacción dada por la Ley 10/1985 y que consiste en dejar de ingresar la totalidad o una parte de la deuda tributaria dentro de los plazos reglamentariamente señalados. Lo mismo cabe afirmar respecto de las sanciones correspondientes a las infracciones graves que, de acuerdo con el art. 87.1 L.G.T. (versión Ley 10/1985), debían ser sancionadas "con multa pecuniaria proporcional del medio al triplo" de la cuota defraudada.</w:t>
      </w:r>
    </w:p>
    <w:p w:rsidR="008107C7" w:rsidRDefault="008107C7" w:rsidP="008107C7">
      <w:pPr>
        <w:pStyle w:val="TextoNormal"/>
      </w:pPr>
      <w:r>
        <w:t>En el caso que ha suscitado la cuestión de inconstitucionalidad que se nos plantea, la integración del tipo infractor que describe el art. 79 a) L.G.T. y de las sanciones definidas en el art. 87.1 del mismo texto legal debe hacerse a través de las normas reguladoras del I.R.P.F. en los ejercicios 1986 y 1987.  Y es evidente que tales normas, entre las que hay que incluir la Ley 20/1989, en virtud de su art. 15.3, en tanto que integran disposiciones de carácter sancionador, deben también respetar las garantías establecidas en los arts.  9.3 y 25 C.E., en particular, el principio general de irretroactividad in peius de las normas sancionadoras.</w:t>
      </w:r>
    </w:p>
    <w:p w:rsidR="008107C7" w:rsidRDefault="008107C7" w:rsidP="008107C7">
      <w:pPr>
        <w:pStyle w:val="TextoNormal"/>
      </w:pPr>
      <w:r>
        <w:t xml:space="preserve">Pues bien, no cabe la menor duda de que cuando el art. 15.3 de la Ley 20/1989 establece que en los ejercicios anteriores a 1988 se podrán practicar las liquidaciones complementarias que procedan, incluidas, en su caso, las sanciones o intereses de demora, «según las reglas y criterios de tributación establecidos» en la propia Ley, está admitiendo la aplicación retroactiva de una disposición que, al constituir el complemento indispensable de las normas sancionadoras, como acabamos de señalar, participa también de este carácter a los efectos constitucionales. En efecto, la aplicación de la Ley 20/1989 a períodos impositivos anteriores a su entrada en vigor no incide en el tipo infractor descrito en el art. 79 a) L.G.T., dado </w:t>
      </w:r>
      <w:r>
        <w:lastRenderedPageBreak/>
        <w:t>que éste, a diferencia de lo que sucede con el delito de defraudación tributaria, se perfecciona con el mero dejar de ingresar todo o parte de la deuda tributaria, mediante la falta de presentación de la declaración o la presentación de la misma con omisiones o falsedades.  Distinta debe ser la conclusión, sin embargo, para las sanciones que establece el art. 87 L.G.T., que, cuantificadas en función de la cuota tributaria dejada de ingresar, se ven modificadas en el quantum por una decisión del legislativo -la Ley 20/1989- posterior al momento del comportamiento ilícito, circunstancia ésta que puede afectar de modo significativo a la seguridad jurídica de los eventuales sujetos infractores y, por tanto, al principio de legalidad penal establecido en el art. 25 de la Constitución, que «implica también la predeterminación de las penas» (STC 36/1991, fundamento jurídico 8º), y a la prohibición de retroactividad de las normas sancionadoras del art. 9.3 C.E., que garantiza al ciudadano «que no será sorprendido a posteriori con una calificación de delito o con una pena no prevista o más grave que la señalada al tiempo del hecho ilícito» (STC 21/1993, fundamento jurídico 5º).</w:t>
      </w:r>
    </w:p>
    <w:p w:rsidR="008107C7" w:rsidRDefault="008107C7" w:rsidP="008107C7">
      <w:pPr>
        <w:pStyle w:val="TextoNormal"/>
      </w:pPr>
      <w:r>
        <w:t>Constatado, pues, el efecto retroactivo de la norma legal cuestionada, procede examinar ahora si dicha retroactividad es o no contraria a la Constitución.</w:t>
      </w:r>
    </w:p>
    <w:p w:rsidR="008107C7" w:rsidRDefault="008107C7" w:rsidP="008107C7">
      <w:pPr>
        <w:pStyle w:val="TextoNormal"/>
      </w:pPr>
    </w:p>
    <w:p w:rsidR="008107C7" w:rsidRDefault="008107C7" w:rsidP="008107C7">
      <w:pPr>
        <w:pStyle w:val="TextoNormal"/>
      </w:pPr>
      <w:r w:rsidRPr="008107C7">
        <w:rPr>
          <w:rStyle w:val="NumeroAFNegritaCaracter"/>
        </w:rPr>
        <w:t>6</w:t>
      </w:r>
      <w:r>
        <w:t>. Como veníamos diciendo, es evidente que el art. 15.3 de la Ley 20/1989, en tanto norma que integra otra de carácter sancionador (concretamente, el art.  87.1 L.G.T., que determina la sanción aplicable a las infracciones graves tipificadas en el art.  79 a) L.G.T.), supone la aplicación retroactiva de una norma de dicho carácter; sin embargo, no por ello vulnera los artículos 9.3 y 25 de la Constitución.</w:t>
      </w:r>
    </w:p>
    <w:p w:rsidR="008107C7" w:rsidRDefault="008107C7" w:rsidP="008107C7">
      <w:pPr>
        <w:pStyle w:val="TextoNormal"/>
      </w:pPr>
      <w:r>
        <w:t>En efecto, según hemos dicho en constante jurisprudencia, la estricta prohibición de retroactividad que establecen tales preceptos está referida únicamente «a la retroactividad en perjuicio del reo, dado que aquélla ha de ceder allí donde, en lugar de cumplirse el fin perseguido por la irretroactividad - protección del autor frente a las penas sobrevenidas-, se produciría un perjuicio para el sujeto» (STC 21/1993, fundamento jurídico 5º; también, SSTC 8/1981, 21/1993 y 177/1994, entre otras); precisamente por este motivo, el art. 2 del Código Penal aprobado por Ley Orgánica 10/1995, de 23 de noviembre, al igual que hacía el art. 24 del anterior, tras garantizar en su apartado 1º que no será castigado ningún delito ni falta con pena que no se halle prevista por Ley anterior a su perpetración, establece en su apartado 2º que tendrán efecto retroactivo aquellas leyes penales que favorezcan al reo, previsión ésta que, para el ámbito administrativo sancionador recoge también expresamente el art. 128.2 de la Ley 30/1992, de 26 de noviembre, de Régimen Jurídico de las Administraciones Públicas y del Procedimiento Administrativo Común.</w:t>
      </w:r>
    </w:p>
    <w:p w:rsidR="008107C7" w:rsidRDefault="008107C7" w:rsidP="008107C7">
      <w:pPr>
        <w:pStyle w:val="TextoNormal"/>
      </w:pPr>
      <w:r>
        <w:t xml:space="preserve">Pues bien, con ocasión de un pronunciamiento anterior sobre el art. 15.3 de la Ley 20/1989 (aunque en relación a una cuestión distinta), ya señalamos en nuestra STC 146/1994 que «las nuevas reglas de tributación de los sujetos integrados en unidades familiares, incorporadas por la Ley 20/1989, son, por regla general, más favorables a los sujetos pasivos» [fundamento jurídico 7º A)]; y, desde luego -debemos añadir ahora- como apuntan el Fiscal General del Estado y el Abogado del Estado, la aplicación de dicha ley a los ejercicios anteriores a 1988, si se opta por la tributación individual (alternativa que en todo caso ofrece el art. 2 de la Ley 20/1989), debe suponer una reducción de la deuda tributaria a pagar, esto es, en definitiva, de la cuota eventualmente dejada de ingresar en los citados períodos impositivos y, por ende, de la sanción que pudiera resultar aplicable a la conducta infractora definida en el art. 79 a) L.G.T.  Determinando la Ley 20/1989 una sanción de cuantía inferior a la que correspondía antes de su entrada en vigor, hay que concluir necesariamente que su aplicación retroactiva -retroacción in bonum- no vulnera los arts. 9.3 y </w:t>
      </w:r>
      <w:r>
        <w:lastRenderedPageBreak/>
        <w:t>25 C.E. Siendo éste el efecto general de la Ley 20/1989, aun admitiendo en hipótesis, que de su aplicación pudiera derivarse en algún caso (que no se nos alcanza) en el ámbito punitivo un efecto perjudicial para los obligados tributarios, tampoco cabría declarar la inconstitucionalidad de la citada norma particularmente teniendo en cuenta que en tales supuestos sería suficiente con aplicar la norma de resultado más favorable al determinar la sanción para respetar el art. 9.3 C.E., que prohibe la aplicación de «una ley desfavorable a hechos ocurridos con anterioridad a su entrada en vigor» (STC 21/1993).</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Desestimar la cuestión de inconstitucionalidad.</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veintisiete de febrero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42" w:name="SENTENCIA_1997_39"/>
      <w:r>
        <w:lastRenderedPageBreak/>
        <w:t>SENTENCIA 39/1997, de 27 de febrero de 1997</w:t>
      </w:r>
    </w:p>
    <w:bookmarkEnd w:id="42"/>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78, de 1 de abril de 1997)</w:t>
      </w:r>
    </w:p>
    <w:p w:rsidR="008107C7" w:rsidRDefault="008107C7" w:rsidP="008107C7">
      <w:pPr>
        <w:pStyle w:val="TtuloBOE"/>
      </w:pPr>
    </w:p>
    <w:p w:rsidR="008107C7" w:rsidRDefault="008107C7" w:rsidP="008107C7">
      <w:pPr>
        <w:pStyle w:val="SntesisDescriptiva"/>
      </w:pPr>
      <w:r>
        <w:t>ECLI:ES:TC:1997:39</w:t>
      </w:r>
    </w:p>
    <w:p w:rsidR="008107C7" w:rsidRDefault="008107C7" w:rsidP="008107C7">
      <w:pPr>
        <w:pStyle w:val="SntesisDescriptiva"/>
      </w:pPr>
    </w:p>
    <w:p w:rsidR="008107C7" w:rsidRDefault="008107C7" w:rsidP="008107C7">
      <w:pPr>
        <w:pStyle w:val="SntesisDescriptiva"/>
      </w:pPr>
      <w:r>
        <w:t>Recurso de amparo 1.622/1995. Contra Acuerdo sancionador de la Junta de Régimen y Administración del Centro Penitenciario de Cumplimiento Puerto de Santa Maria I, recaído en expediente sancionador, contra Autos del Juzgado de Vigilancia Penitenciaria de El Puerto de Santa María.</w:t>
      </w:r>
    </w:p>
    <w:p w:rsidR="008107C7" w:rsidRDefault="008107C7" w:rsidP="008107C7">
      <w:pPr>
        <w:pStyle w:val="SntesisDescriptiva"/>
      </w:pPr>
    </w:p>
    <w:p w:rsidR="008107C7" w:rsidRDefault="008107C7" w:rsidP="008107C7">
      <w:pPr>
        <w:pStyle w:val="SntesisAnaltica"/>
      </w:pPr>
      <w:r>
        <w:t>Vulneración del derecho a la tutela judicial efectiva (incongruencia omisiva) y a la utilización de los medios de prueba pertinentes.</w:t>
      </w:r>
    </w:p>
    <w:p w:rsidR="008107C7" w:rsidRDefault="008107C7" w:rsidP="008107C7">
      <w:pPr>
        <w:pStyle w:val="SntesisAnaltica"/>
      </w:pPr>
    </w:p>
    <w:p w:rsidR="008107C7" w:rsidRDefault="008107C7" w:rsidP="008107C7">
      <w:pPr>
        <w:pStyle w:val="Extracto"/>
      </w:pPr>
      <w:r>
        <w:t>1.</w:t>
      </w:r>
      <w:r>
        <w:tab/>
        <w:t>El recurrente, en ninguno de los recursos dirigidos al Juzgado de Vigilancia Penitenciaria, solicitó el nombramiento de Abogado, por lo que la alegada indefensión por carecer de asistencia letrada, no obligatoria en este caso, sólo sería imputable a la falta de diligencia del actor, es decir, a su no solicitud. Baste añadir que, en cualquier caso, la alegada indefensión no resulta ni mucho menos evidente, dado que los recursos interpuestos se hallan suficientemente fundamentados, planteando de forma correcta la defensa, por lo que no concurrían los presupuestos para el surgimiento del derecho a la asistencia letrada gratuita en un proceso en el que es posible la comparecencia personal. [F.J. 3]</w:t>
      </w:r>
    </w:p>
    <w:p w:rsidR="008107C7" w:rsidRDefault="008107C7" w:rsidP="008107C7">
      <w:pPr>
        <w:pStyle w:val="Extracto"/>
      </w:pPr>
    </w:p>
    <w:p w:rsidR="008107C7" w:rsidRDefault="008107C7" w:rsidP="008107C7">
      <w:pPr>
        <w:pStyle w:val="Extracto"/>
      </w:pPr>
      <w:r>
        <w:t>2.</w:t>
      </w:r>
      <w:r>
        <w:tab/>
        <w:t>Los Autos del Juzgado de Vigilancia Penitenciaria tan sólo pueden interpretarse como una desestimación de las alegaciones del actor tendentes a negar los hechos sancionados; pero recordemos que el actor sustentaba la impugnación del Acuerdo también en las irregularidades procedimentales cometidas, en la inobservancia de lo prescrito en el art. 45 L.O.G.P., así como en la prescripción de la falta sancionada y en la vulneración de sus derechos durante la tramitación del expediente. Las resoluciones analizadas prescinden totalmente de estos motivos del recurso, no conteniendo razonamiento alguno que permita entender el silencio judicial sobre estas importantes cuestiones como una desestimación tácita de las mismas, ni mucho menos vislumbrar las razones de ésta. Los impugnados Autos incurren, pues, en un vicio de incongruencia omisiva lesivo del derecho a la tutela judicial efectiva . [F.J. 4]</w:t>
      </w:r>
    </w:p>
    <w:p w:rsidR="008107C7" w:rsidRDefault="008107C7" w:rsidP="008107C7">
      <w:pPr>
        <w:pStyle w:val="Extracto"/>
      </w:pPr>
    </w:p>
    <w:p w:rsidR="008107C7" w:rsidRDefault="008107C7" w:rsidP="008107C7">
      <w:pPr>
        <w:pStyle w:val="Extracto"/>
      </w:pPr>
      <w:r>
        <w:t>3.</w:t>
      </w:r>
      <w:r>
        <w:tab/>
        <w:t xml:space="preserve">La denegación inmotivada de medios de prueba, respecto de los cuales, ciertamente, lo único que consta a este Tribunal Constitucional es que fueron solicitados, supone una vulneración del citado derecho fundamental. Ya desde su STC 18/1981 viene declarando este Tribunal que las garantías procesales establecidas en el art. 24.2 C.E. son aplicables no sólo en el proceso penal, sino también en los procedimientos administrativos sancionadores con las matizaciones que resulten de su propia naturaleza, en cuanto que en ambos casos se ejerce la potestad punitiva del Estado (SSTC 2/1987, 2/1990, 145/1993, 297/1993, 97/1995, 143/1995, 195/1995, etc.). Y en lo que afecta al presente recurso ha de precisarse que este Tribunal viene destacando que, tratándose de sanciones disciplinarias impuestas a internos </w:t>
      </w:r>
      <w:r>
        <w:lastRenderedPageBreak/>
        <w:t>penitenciarios, este conjunto de garantías se aplica con especial rigor, al considerar que la sanción supone una grave limitación a la ya restringida libertad inherente al cumplimiento de una pena (SSTC 74/1985, 2/1987, 297/1993, 97/1995, 128/1996, etc.), resultando además evidente que las peculiaridades del internamiento en un establecimiento penitenciario no pueden implicar que «la justicia se detenga en la puerta de las prisiones» (SSTC 2/1987, 297/1993, 97/1995 y Sentencia del T.E.D.H., Campbell y Fell, de 28 de junio de 1994) . [F.J. 6]</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1.622/95, promovido por don Agustín Morote Cegarra, representado por la Procuradora de los Tribunales doña María Dolores de la Rubia Ruiz y bajo la dirección letrada de don Lorenzo Martínez-Fresneda Barrera, contra el Acuerdo sancionador de la Junta de Régimen y Administración del Centro Penitenciario de Cumplimiento Puerto de Santa María I, de 10 de noviembre de 1994, recaído en el expediente sancionador núm. 633/94, contra los Autos del Juzgado de Vigilancia Penitenciaria de El Puerto de Santa María, de 9 de enero y 13 de febrero de 1995. Han comparecido el Ministerio Fiscal y el Abogado del Estado. Ha sido Ponente el Magistrado don Pedro Cruz Villalón,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de 24 de abril de 1995 y con fecha de entrada en el Registro General de este Tribunal de 5 de marzo de 1995, don Agustín Morote Cegarra solicitaba el beneficio de justicia gratuita para formalizar demanda de amparo contra las resoluciones a las que se ha hecho mención en el encabezamiento.</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Designados por el turno de oficio, tras la necesaria tramitación, Procurador y Letrado para la representación y defensa del recurrente, se formuló demanda de amparo, que fue presentada en este Tribunal el 14 de julio de 1995. A la luz de la demanda de amparo y de las actuaciones remitidas cabe reseñar como relevantes los siguientes hechos: </w:t>
      </w:r>
    </w:p>
    <w:p w:rsidR="008107C7" w:rsidRDefault="008107C7" w:rsidP="008107C7">
      <w:pPr>
        <w:pStyle w:val="TextoNormal"/>
      </w:pPr>
      <w:r>
        <w:t xml:space="preserve">a) A consecuencia de un parte de los funcionarios del Centro Penitenciario de Puerto I, se incoa contra el recurrente expediente sancionador núm. 633/94. El 25 de octubre de 1994 se le notifica pliego de cargos, en el que se le imputan los siguientes hechos: "El día 29 de </w:t>
      </w:r>
      <w:r>
        <w:lastRenderedPageBreak/>
        <w:t xml:space="preserve">agosto de 1994, a las 7'50 horas, cuando se le avisó que se preparara para salir en conducción, se negó rotundamente a ello y no quiso levantarse de la cama, teniendo que ser cogido por varios funcionarios hasta entregarlo a la Guardia Civil", haciendo constar que tales hechos podían ser constitutivos de una falta de resistencia activa al cumplimiento de órdenes, recogida en el art. 108 d) R.P. </w:t>
      </w:r>
    </w:p>
    <w:p w:rsidR="008107C7" w:rsidRDefault="008107C7" w:rsidP="008107C7">
      <w:pPr>
        <w:pStyle w:val="TextoNormal"/>
      </w:pPr>
      <w:r>
        <w:t xml:space="preserve">b) Según las actuaciones remitidas, el recurrente no presentó escrito de contestación al pliego de cargos, sí estando presente en la reunión de la Junta de Régimen y Administración que se celebró el 10 de noviembre de 1994. En el acta de dicha reunión, difícilmente legible, firmada por el interno, se hace constar que éste manifiesta "Que estaba en huelga de hambre y se encontraba muy mal, es verdad que doce horas antes le había visto el médico, pero que volvió a solicitarlo. ¿.....? en este momento alegaciones por escrito y solicita que se oiga a don Ángel, amén de otras pruebas que se especifican. Que desea que no se retrase el Acuerdo, aunque no comparezca el Letrado". </w:t>
      </w:r>
    </w:p>
    <w:p w:rsidR="008107C7" w:rsidRDefault="008107C7" w:rsidP="008107C7">
      <w:pPr>
        <w:pStyle w:val="TextoNormal"/>
      </w:pPr>
      <w:r>
        <w:t xml:space="preserve">c) El mismo día recae Acuerdo sancionador en el que se califican los hechos como una falta grave del art. 108 d) y se castigan con cuatro fines de semana de aislamiento [111 b) R.P.]. Asimismo se hace constar que la propuesta, consistente en el testimonio del funcionario al que se identifica como "don Ángel", se desestima porque dicho don Ángel no estaba de servicio. </w:t>
      </w:r>
    </w:p>
    <w:p w:rsidR="008107C7" w:rsidRDefault="008107C7" w:rsidP="008107C7">
      <w:pPr>
        <w:pStyle w:val="TextoNormal"/>
      </w:pPr>
      <w:r>
        <w:t xml:space="preserve">d) Contra dicho Acuerdo el sancionado interpuso recurso ante el Juzgado de Vigilancia Penitenciaria. En él denuncia que no se practicó la prueba solicitada consistente en el informe médico de 29 de agosto de 1994, existente en el Centro Penitenciario de Málaga, en el que consta que fue objeto de malos tratos el día de los hechos, ni tampoco la prueba consistente en que el médico forense informara, una vez examinado el expediente médico del interno, sobre las posibilidades reales de resistencia activa y de que realmente se encontrase mal el día de los hechos, dado que llevaba treinta días en huelga de hambre. No constando, además, en el Acuerdo sancionador referencia alguna de la desestimación de tales pruebas, en contra de lo establecido en el art. 130.2 R.P. </w:t>
      </w:r>
    </w:p>
    <w:p w:rsidR="008107C7" w:rsidRDefault="008107C7" w:rsidP="008107C7">
      <w:pPr>
        <w:pStyle w:val="TextoNormal"/>
      </w:pPr>
      <w:r>
        <w:t xml:space="preserve">También pone de manifiesto la prescripción de la falta, de acuerdo con lo previsto en el art. 125 R.P., por haber estado paralizado el procedimiento más de dos meses. </w:t>
      </w:r>
    </w:p>
    <w:p w:rsidR="008107C7" w:rsidRDefault="008107C7" w:rsidP="008107C7">
      <w:pPr>
        <w:pStyle w:val="TextoNormal"/>
      </w:pPr>
      <w:r>
        <w:t xml:space="preserve">Asimismo denuncia el recurrente el incumplimiento de lo dispuesto en el art. 45 L.O.G.P., según el cual, la utilización de la fuerza física por parte de los funcionarios del Centro obliga a poner los hechos inmediatamente en conocimiento del Juez, exigencia que no se cumplió en el presente caso. La aplicación de fuerza física sobre el interno quedaría probada por el informe médico existente en el Centro Penitenciario de Málaga. Por último, se queja el recurrente de que no se le permitió el acceso al material probatorio de cargo, ni le se avisó del lugar y hora en que iban a ser practicadas las pruebas para poder estar presente, ni se permitió la presencia de su Abogado, pese haber realizado todas estas peticiones en tiempo y forma. </w:t>
      </w:r>
    </w:p>
    <w:p w:rsidR="008107C7" w:rsidRDefault="008107C7" w:rsidP="008107C7">
      <w:pPr>
        <w:pStyle w:val="TextoNormal"/>
      </w:pPr>
      <w:r>
        <w:t xml:space="preserve">e) El 9 de enero de 1995 recae Auto del Juzgado de Vigilancia Penitenciaria de El Puerto de Santa María por el que se desestima el recurso, al entender que "el recurrente no desvirtúa, ni siquiera de forma indiciaria, los hechos que motivaron el Acuerdo recurrido, los cuales fueron denunciados en su día por el funcionario competente, ratificados con posterioridad, previa la pertinente investigación por el Jefe de Servicio, y aceptados íntegramente por la Junta de Régimen y Administración del Establecimiento; y esto, junto a la corrección que se estima tanto en la tipificación de la falta calificada, como en la sanción impuesta, determina la procedencia de una resolución desestimatoria.....". </w:t>
      </w:r>
    </w:p>
    <w:p w:rsidR="008107C7" w:rsidRDefault="008107C7" w:rsidP="008107C7">
      <w:pPr>
        <w:pStyle w:val="TextoNormal"/>
      </w:pPr>
      <w:r>
        <w:lastRenderedPageBreak/>
        <w:t xml:space="preserve">f) Contra el anterior Auto se interpone recurso de reforma. En él se denuncia el carácter estereotipado y la falta de motivación del Auto recurrido, desmintiendo su fundamento jurídico único, pues el actor sí había intentado desvirtuar los hechos ofreciendo su versión sobre los mismos y solicitando diversas pruebas que no habrían sido practicadas. </w:t>
      </w:r>
    </w:p>
    <w:p w:rsidR="008107C7" w:rsidRDefault="008107C7" w:rsidP="008107C7">
      <w:pPr>
        <w:pStyle w:val="TextoNormal"/>
      </w:pPr>
      <w:r>
        <w:t>g) Dicho recurso de reforma fue desestimado por el Juzgado de Vigilancia Penitenciaria de El Puerto de Santa María mediante Auto de 13 de febrero de 1995. Su fundamento jurídico único era del siguiente tenor: "Visto el informe del Ministerio Fiscal y teniendo en cuenta que por parte del interno recurrente no se ha articulado prueba alguna que motive la modificación de la resolución recurrida, procede la confirmación de la misma en todos sus extremos, en base a las consideraciones que en ella se expresan".</w:t>
      </w:r>
    </w:p>
    <w:p w:rsidR="008107C7" w:rsidRDefault="008107C7" w:rsidP="008107C7">
      <w:pPr>
        <w:pStyle w:val="TextoNormal"/>
      </w:pPr>
    </w:p>
    <w:p w:rsidR="008107C7" w:rsidRDefault="008107C7" w:rsidP="008107C7">
      <w:pPr>
        <w:pStyle w:val="TextoNormal"/>
      </w:pPr>
      <w:r w:rsidRPr="008107C7">
        <w:rPr>
          <w:rStyle w:val="NumeroAFNegritaCaracter"/>
        </w:rPr>
        <w:t>3</w:t>
      </w:r>
      <w:r>
        <w:t>. La demanda de amparo invoca como vulnerado el derecho a la utilización de los medios de prueba pertinentes para la defensa (art. 24.2 C.E.), al no haberse practicado, ni haber obtenido respuesta el recurrente, tanto por parte de la Administración Penitenciaria como por el Juzgado de Vigilancia Penitenciaria, acerca de la prueba solicitada consistente en informe médico sobre su estado de salud el día de los hechos. También se denuncia lesión del derecho a la asistencia letrada (art. 24.2 C.E.), al no haber informado el Juzgado de Vigilancia Penitenciaria al actor de la necesidad de asistencia letrada para la interposición del recurso de reforma, conforme prevé el art. 221 L.E.Crim., lo que habría generado el resultado de indefensión proscrito en el art. 24.1 C.E. Aparte de estas supuestas vulneraciones constitucionales, el actor, en su solicitud inicial de amparo, centraba su queja en la lesión del derecho a la tutela judicial efectiva (art. 24.1 C.E.), que imputaba al Juzgado de Vigilancia Penitenciaria por haber dictado Autos infundamentados y estereotipados, en los que no se daba respuesta a las cuestiones suscitadas.</w:t>
      </w:r>
    </w:p>
    <w:p w:rsidR="008107C7" w:rsidRDefault="008107C7" w:rsidP="008107C7">
      <w:pPr>
        <w:pStyle w:val="TextoNormal"/>
      </w:pPr>
    </w:p>
    <w:p w:rsidR="008107C7" w:rsidRDefault="008107C7" w:rsidP="008107C7">
      <w:pPr>
        <w:pStyle w:val="TextoNormal"/>
      </w:pPr>
      <w:r w:rsidRPr="008107C7">
        <w:rPr>
          <w:rStyle w:val="NumeroAFNegritaCaracter"/>
        </w:rPr>
        <w:t>4</w:t>
      </w:r>
      <w:r>
        <w:t>. Por providencia de 20 de noviembre de 1995, la Sección Primera de este Tribunal acordó admitir a trámite la demanda de amparo y, a tenor de lo dispuesto en el art. 51 LOTC, emplazar al Abogado del Estado para que, en el plazo de diez días, pudiera comparecer en el proceso constitucional, comparecencia que se verificó mediante escrito registrado en este Tribunal el 30 de noviembre de 1995.</w:t>
      </w:r>
    </w:p>
    <w:p w:rsidR="008107C7" w:rsidRDefault="008107C7" w:rsidP="008107C7">
      <w:pPr>
        <w:pStyle w:val="TextoNormal"/>
      </w:pPr>
    </w:p>
    <w:p w:rsidR="008107C7" w:rsidRDefault="008107C7" w:rsidP="008107C7">
      <w:pPr>
        <w:pStyle w:val="TextoNormal"/>
      </w:pPr>
      <w:r w:rsidRPr="008107C7">
        <w:rPr>
          <w:rStyle w:val="NumeroAFNegritaCaracter"/>
        </w:rPr>
        <w:t>5</w:t>
      </w:r>
      <w:r>
        <w:t>. La Sección Primera, mediante providencia de 18 de diciembre de 1995, acordó tener por personado y parte en el recurso al Abogado del Estado y, a tenor de lo dispuesto en el art. 52 LOTC, dar vista de todas las actuaciones, por plazo común de veinte días, al Ministerio Fiscal, Abogado del Estado y al solicitante de amparo, para que pudieran presentar las alegaciones que a su derecho conviniesen.</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El 28 de diciembre de 1995 fue presentado el escrito de alegaciones del Abogado del Estado, en el que solicita se dicte Sentencia desestimatoria del amparo, al no apreciar la efectiva vulneración de los derechos invocados. Respecto del derecho a la prueba (art. 24.2 C.E.), pone de manifiesto que el recurrente no solicitó ningún informe médico en el momento procesal pertinente para ello, que no es sino el de contestación al pliego de cargos, sino que se limitó a pedir que "se oyese a don Ángel", solicitud que el Acuerdo sancionador denegó razonadamente, porque cuando ocurrieron los hechos "don Ángel no estaba de servicio". Tampoco al Juzgado de Vigilancia Penitenciaria cabría imputar tal lesión constitucional, puesto que en los recursos de alzada y reforma el actor no solicitó la práctica de prueba alguna. </w:t>
      </w:r>
    </w:p>
    <w:p w:rsidR="008107C7" w:rsidRDefault="008107C7" w:rsidP="008107C7">
      <w:pPr>
        <w:pStyle w:val="TextoNormal"/>
      </w:pPr>
      <w:r>
        <w:lastRenderedPageBreak/>
        <w:t>Asimismo, carecería de fundamento la alegada vulneración del derecho a la asistencia letrada (art. 24.2 C.E.), puesto que, según reiterada jurisprudencia constitucional, la plena asistencia letrada sólo es exigible en los procesos judiciales y cuando los intereses de la justicia lo requieran.</w:t>
      </w:r>
    </w:p>
    <w:p w:rsidR="008107C7" w:rsidRDefault="008107C7" w:rsidP="008107C7">
      <w:pPr>
        <w:pStyle w:val="TextoNormal"/>
      </w:pPr>
    </w:p>
    <w:p w:rsidR="008107C7" w:rsidRDefault="008107C7" w:rsidP="008107C7">
      <w:pPr>
        <w:pStyle w:val="TextoNormal"/>
      </w:pPr>
      <w:r w:rsidRPr="008107C7">
        <w:rPr>
          <w:rStyle w:val="NumeroAFNegritaCaracter"/>
        </w:rPr>
        <w:t>7</w:t>
      </w:r>
      <w:r>
        <w:t>. Mediante escrito registrado en este Tribunal el 14 de marzo de 1996, la representación procesal del recurrente solicitaba se tuvieran por reproducidas las alegaciones ya realizadas en la demanda, salvo la petición de retrotraer las actuaciones a la fase inicial del expediente, pues, dado el tiempo transcurrido, los hechos sancionados deberían considerarse prescritos.</w:t>
      </w:r>
    </w:p>
    <w:p w:rsidR="008107C7" w:rsidRDefault="008107C7" w:rsidP="008107C7">
      <w:pPr>
        <w:pStyle w:val="TextoNormal"/>
      </w:pPr>
    </w:p>
    <w:p w:rsidR="008107C7" w:rsidRDefault="008107C7" w:rsidP="008107C7">
      <w:pPr>
        <w:pStyle w:val="TextoNormal"/>
      </w:pPr>
      <w:r w:rsidRPr="008107C7">
        <w:rPr>
          <w:rStyle w:val="NumeroAFNegritaCaracter"/>
        </w:rPr>
        <w:t>8</w:t>
      </w:r>
      <w:r>
        <w:t xml:space="preserve">. El Ministerio Fiscal presentó escrito de alegaciones el 26 de enero de 1996, interesando la estimación del amparo. En primer lugar, sería imputable al Juzgado de Vigilancia Penitenciaria la lesión del derecho a la tutela judicial efectiva (art. 24.1 C.E.), denunciada por el actor en su solicitud inicial de amparo, pues el órgano judicial se limitó a ofrecer una respuesta estereotipada, sin contestar a múltiples denuncias planteadas por el actor, entre ellas la prescripción de la falta sancionada, lo que supondría un vicio de incongruencia omisiva lesivo del art. 24.1 C.E., sin que tal falta de respuesta pueda considerarse una desestimación tácita a las pretensiones deducidas. También entiende el Ministerio Fiscal conculcado el derecho a la utilización de los medios de prueba pertinentes (art. 24.2 C.E.), porque la Junta de Régimen y Administración, ante la proposición de varias pruebas por el actor, como constaría en su comparecencia del día 10 de noviembre de 1994, deniega una de ellas y silencia y no practica las otras, silencio también imputable al órgano judicial en cuanto el actor reprodujo tal propuesta de pruebas ante el Juzgado de Vigilancia Penitenciaria, sin que quepa excluir la relevancia en relación con los hechos sancionados del informe médico que, como prueba, fue solicitado. </w:t>
      </w:r>
    </w:p>
    <w:p w:rsidR="008107C7" w:rsidRDefault="008107C7" w:rsidP="008107C7">
      <w:pPr>
        <w:pStyle w:val="TextoNormal"/>
      </w:pPr>
      <w:r>
        <w:t>Por el contrario, carecería de fundamento la denunciada lesión del derecho a la asistencia letrada (art. 24.2 C.E.), puesto que, aunque el actor hubiese solicitado el asesoramiento de su Letrado cuando le fue comunicado el pliego de cargos, sin embargo, en su comparecencia ante la Junta manifestó "que desea que no se retrase el Acuerdo aunque no comparezca el Letrado". Ello excluiría la vulneración alegada, que tampoco se habría producido en sede judicial, ya que la Disposición adicional quinta de la L.O.P.J. no exige expresamente dicha intervención en la formulación e interposición del recurso de reforma.</w:t>
      </w:r>
    </w:p>
    <w:p w:rsidR="008107C7" w:rsidRDefault="008107C7" w:rsidP="008107C7">
      <w:pPr>
        <w:pStyle w:val="TextoNormal"/>
      </w:pPr>
    </w:p>
    <w:p w:rsidR="008107C7" w:rsidRDefault="008107C7" w:rsidP="008107C7">
      <w:pPr>
        <w:pStyle w:val="TextoNormal"/>
      </w:pPr>
      <w:r w:rsidRPr="008107C7">
        <w:rPr>
          <w:rStyle w:val="NumeroAFNegritaCaracter"/>
        </w:rPr>
        <w:t>9</w:t>
      </w:r>
      <w:r>
        <w:t>. Por providencia de fecha 26 de febrero de 1997 se señaló para la deliberación y votación de la presente Sentencia el siguiente día 27 de febrero.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El sucinto escrito por el que se formaliza la presente demanda de amparo considera infringido el derecho fundamental del recurrente, interno en establecimiento penitenciario, a la utilización de los medios de prueba pertinentes para su defensa (art.  24.2 C.E.)  al no haber practicado la Administración Penitenciaria la prueba propuesta, consistente en la incorporación de un determinado informe médico al expediente sancionador.  En segundo lugar, se consideran infringidos los dos apartados del art.  24 C.E.  por parte del Juez de Vigilancia Penitenciaria al no haber informado éste de la necesidad de asistencia letrada en el oportuno recurso de reforma.  Previamente, en el escrito del propio recurrente por el que </w:t>
      </w:r>
      <w:r>
        <w:lastRenderedPageBreak/>
        <w:t>se anunciaba la interposición del recurso y se solicitaba el nombramiento de abogado y procurador de oficio, se ponía de manifiesto "que el recurso de amparo que se interesa se fundamenta en la denegación técnica de justicia, o incongruencia omisiva, denominación que ese alto tribunal da a los autos no fundamentados o estereotipados que lesiona el derecho a la tutela judicial efectiva (art. 24 C.E.)".</w:t>
      </w:r>
    </w:p>
    <w:p w:rsidR="008107C7" w:rsidRDefault="008107C7" w:rsidP="008107C7">
      <w:pPr>
        <w:pStyle w:val="TextoNormal"/>
      </w:pPr>
      <w:r>
        <w:t>El Abogado del Estado interesa la desestimación de la demanda al haber sido respetado el derecho a la utilización de los medios de prueba; la única prueba propuesta, en efecto, que se oyese a un determinado funcionario del Centro Penitenciario, fue rechazada motivadamente, mediante la manifestación de que no estaba de servicio.</w:t>
      </w:r>
    </w:p>
    <w:p w:rsidR="008107C7" w:rsidRDefault="008107C7" w:rsidP="008107C7">
      <w:pPr>
        <w:pStyle w:val="TextoNormal"/>
      </w:pPr>
      <w:r>
        <w:t>El Ministerio Fiscal, finalmente, ha interesado el otorgamiento del amparo al haber incurrido los Autos del Juzgado de Vigilancia Penitenciaria en incongruencia omisiva; también considera vulnerado el derecho a la utilización de los medios de prueba al haber sido denegados éstos sin justificación alguna. Por el contrario, no considera vulnerado el derecho a la asistencia letrada.</w:t>
      </w:r>
    </w:p>
    <w:p w:rsidR="008107C7" w:rsidRDefault="008107C7" w:rsidP="008107C7">
      <w:pPr>
        <w:pStyle w:val="TextoNormal"/>
      </w:pPr>
    </w:p>
    <w:p w:rsidR="008107C7" w:rsidRDefault="008107C7" w:rsidP="008107C7">
      <w:pPr>
        <w:pStyle w:val="TextoNormal"/>
      </w:pPr>
      <w:r w:rsidRPr="008107C7">
        <w:rPr>
          <w:rStyle w:val="NumeroAFNegritaCaracter"/>
        </w:rPr>
        <w:t>2</w:t>
      </w:r>
      <w:r>
        <w:t>. La naturaleza mixta de la demanda, dirigida tanto frente a actos de la Administración (art.  43 LOTC) como, subsiguientemente, frente a resoluciones judiciales que no habrían dado respuesta a diversas cuestiones de legalidad y de constitucionalidad suscitadas frente a dichos actos, con vulneración, además, del derecho a la asistencia letrada (art. 44 LOTC), exige una respuesta diferenciada, de tal manera que quede despejada, ante todo, esta segunda queja dirigida frente al órgano judicial, de forma previa a pasar, en su caso, a la vulneración originaria del art. 24.2 C.E. Como venimos declarando, debe tenerse en cuenta, a estos efectos, "el relevante papel que en nuestro sistema penitenciario tiene encomendado el Juzgado de Vigilancia Penitenciaria, a quien corresponde no sólo 'resolver por vía de recurso las reclamaciones que formulen los internos sobre sanciones disciplinarias' [art.  76.2 e) de la Ley Orgánica General penitenciaria y art. 94 Ley Orgánica Poder Judicial], sino, en general 'salvaguardar los derechos de los internos y corregir los abusos y desviaciones que en el cumplimiento de los preceptos del régimen penitenciario puedan producirse' (art. 76.1 de la Ley Orgánica General Penitenciaria)" (STC 128/1996, fundamento jurídico 5º).</w:t>
      </w:r>
    </w:p>
    <w:p w:rsidR="008107C7" w:rsidRDefault="008107C7" w:rsidP="008107C7">
      <w:pPr>
        <w:pStyle w:val="TextoNormal"/>
      </w:pPr>
    </w:p>
    <w:p w:rsidR="008107C7" w:rsidRDefault="008107C7" w:rsidP="008107C7">
      <w:pPr>
        <w:pStyle w:val="TextoNormal"/>
      </w:pPr>
      <w:r w:rsidRPr="008107C7">
        <w:rPr>
          <w:rStyle w:val="NumeroAFNegritaCaracter"/>
        </w:rPr>
        <w:t>3</w:t>
      </w:r>
      <w:r>
        <w:t>. Las resoluciones judiciales impugnadas, ante todo, no han vulnerado el derecho fundamental del recurrente a la asistencia letrada por el hecho de que no se haya informado al recurrente de la necesidad de Abogado para interponer recurso de reforma, de acuerdo con lo dispuesto en el art. 221 L.E.Crim., con el consiguiente resultado de indefensión.</w:t>
      </w:r>
    </w:p>
    <w:p w:rsidR="008107C7" w:rsidRDefault="008107C7" w:rsidP="008107C7">
      <w:pPr>
        <w:pStyle w:val="TextoNormal"/>
      </w:pPr>
      <w:r>
        <w:t xml:space="preserve">Para poner de manifiesto la falta de fundamento de la presente queja baste señalar que, en contra de lo que se afirma en la demanda, para la interposición del recurso de reforma frente a los Autos del Juzgado de Vigilancia Penitenciaria no es necesario asistencia letrada, según lo establecido en el núm. 5 de la Disposición adicional quinta de la L.O.P.J., reguladora del sistema de recursos contra los Autos de un Juzgado de Vigilancia Penitenciaria, y que establece lo siguiente: "Se aplicará a los recursos lo dispuesto en la Ley de Enjuiciamiento Criminal, si bien sólo podrán recurrir el Ministerio Fiscal y el interno o liberado condicional, sin que estos últimos precisen asistencia letrada o representación por Procurador en cuanto al recurso de reforma ....". Es cierto que, como ya declaró este Tribunal en su STC 47/1987, el que se trate de un proceso en el que, como ocurre en el que se verifica en la jurisdicción de vigilancia penitenciaria, se permite la comparecencia personal, no implica que en ningún caso se tenga derecho a la asistencia letrada gratuita, constituyendo su denegación una vulneración constitucional "si la autodefensa ejercitada por aquel a quien se le </w:t>
      </w:r>
      <w:r>
        <w:lastRenderedPageBreak/>
        <w:t>niega el derecho se manifiesta incapaz de compensar la ausencia de Abogado que lo defienda y, por lo tanto, de contribuir satisfactoriamente al examen de las cuestiones jurídicas suscitadas en el proceso, lo cual será determinable, en cada caso concreto, atendiendo a la mayor o menor complejidad del debate procesal y a la cultura y conocimientos jurídicos del comparecido personalmente, deducidos de la forma y nivel técnico con que haya realizado su defensa".</w:t>
      </w:r>
    </w:p>
    <w:p w:rsidR="008107C7" w:rsidRDefault="008107C7" w:rsidP="008107C7">
      <w:pPr>
        <w:pStyle w:val="TextoNormal"/>
      </w:pPr>
      <w:r>
        <w:t>No obstante esta matización, la queja del actor no puede prosperar, pues el recurrente en ninguno de los recursos dirigidos al Juzgado de Vigilancia Penitenciaria solicitó el nombramiento de Abogado, por lo que la alegada indefensión por carecer de asistencia letrada, no obligatoria como hemos visto, sólo sería imputable a la falta de diligencia del actor, es decir, a su no solicitud (En este sentido, SSTC 68/1986, 58/1988, 50/1991, 334/1993, 11/1995, etc.). Baste añadir que, en cualquier caso, la alegada indefensión, que la demanda de amparo no concreta, no resulta ni mucho menos evidente, dado que los recursos interpuestos se hallan suficientemente fundamentados, planteando de forma correcta la defensa, por lo que no concurrían los presupuestos para el surgimiento del derecho a la asistencia letrada gratuita en un proceso en el que es posible la comparecencia personal.</w:t>
      </w:r>
    </w:p>
    <w:p w:rsidR="008107C7" w:rsidRDefault="008107C7" w:rsidP="008107C7">
      <w:pPr>
        <w:pStyle w:val="TextoNormal"/>
      </w:pPr>
    </w:p>
    <w:p w:rsidR="008107C7" w:rsidRDefault="008107C7" w:rsidP="008107C7">
      <w:pPr>
        <w:pStyle w:val="TextoNormal"/>
      </w:pPr>
      <w:r w:rsidRPr="008107C7">
        <w:rPr>
          <w:rStyle w:val="NumeroAFNegritaCaracter"/>
        </w:rPr>
        <w:t>4</w:t>
      </w:r>
      <w:r>
        <w:t>. Por el contrario, los Autos del Juzgado de Vigilancia Penitenciaria han vulnerado el derecho fundamental del recurrente a la tutela judicial efectiva al no haber dado respuesta a las cuestiones planteadas por el mismo en los recursos por él interpuestos frente al Acuerdo sancionador por el que se le imponía una sanción de cuatro fines de semana de aislamiento, incurriendo así dichos Autos en un supuesto de incongruencia omisiva vedado por la Constitución.</w:t>
      </w:r>
    </w:p>
    <w:p w:rsidR="008107C7" w:rsidRDefault="008107C7" w:rsidP="008107C7">
      <w:pPr>
        <w:pStyle w:val="TextoNormal"/>
      </w:pPr>
      <w:r>
        <w:t>En efecto, el demandante de amparo impugnó el mencionado acuerdo sancionador con base en diversas infracciones de orden constitucional y legal inferidas, a su juicio, por la Administración Penitenciaria durante la tramitación del expediente. Además de la vulneración analizada del derecho a la prueba, se quejaba el actor de la no constancia en el pliego de cargos de la sanción con cuya imposición se le amenazaba, de la tardanza en la notificación del Acuerdo, de que no le fuese permitido el acceso al material probatorio de cargo, ni la presencia de su Abogado. También denunciaba el hecho de que la Administración Penitenciaria, en contra de los previsto en el art. 45 L.O.G.P.  no hubiera puesto inmediatamente en conocimiento del Juez de Vigilancia la utilización de medios coercitivos.  Por último, alegaba la prescripción de la falta, de acuerdo con lo previsto en el art. 125 del Reglamento Penitenciario entonces vigente, por haber transcurrido más de dos meses desde los hechos imputados hasta que se realizaron las alegaciones ante la Junta.</w:t>
      </w:r>
    </w:p>
    <w:p w:rsidR="008107C7" w:rsidRDefault="008107C7" w:rsidP="008107C7">
      <w:pPr>
        <w:pStyle w:val="TextoNormal"/>
      </w:pPr>
      <w:r>
        <w:t>A tan diversas alegaciones contestó el Juzgado de Vigilancia Penitenciaria de El Puerto de Santa María el 9 de enero de 1995 con un Auto, previamente impreso, cuyo razonamiento jurídico único es del siguiente tenor: "El recurrente no desvirtúa, ni siquiera de forma indiciaria, los hechos que motivaron el Acuerdo recurrido, los cuales fueron denunciados en su día por el funcionario competente, ratificados con posterioridad previa la pertinente investigación, por el Jefe de Servicio, y aceptados íntegramente por la Junta de Régimen y Administración del Establecimiento; y esto, junto con la corrección que se estima tanto en la tipificación de la falta calificada como en la sanción impuesta, determina la procedencia de una resolución desestimatoria de este recurso de alzada interpuesto y sustanciado".</w:t>
      </w:r>
    </w:p>
    <w:p w:rsidR="008107C7" w:rsidRDefault="008107C7" w:rsidP="008107C7">
      <w:pPr>
        <w:pStyle w:val="TextoNormal"/>
      </w:pPr>
      <w:r>
        <w:t xml:space="preserve">Contra este Auto el interno formuló recurso de reforma, en el que, además de hacer hincapié en su versión exculpatoria de los hechos solicitando la práctica de la prueba tácitamente denegada por la Administración Penitenciaria, denunciaba el carácter estereotipado </w:t>
      </w:r>
      <w:r>
        <w:lastRenderedPageBreak/>
        <w:t>y la falta de motivación del Auto recurrido. El Juzgado de Vigilancia Penitenciaria desestima la reforma solicitada el 13 de febrero de 1995 mediante, nuevamente, un impreso de Auto con el siguiente razonamiento jurídico: "Visto el informe del Ministerio Fiscal y teniendo en cuenta que por parte del interno recurrente no se ha articulado prueba alguna que motive la modificación de la resolución recurrida, procede la confirmación de la misma en todos sus extremos, en base a las mismas consideraciones que en ella se expresaban".</w:t>
      </w:r>
    </w:p>
    <w:p w:rsidR="008107C7" w:rsidRDefault="008107C7" w:rsidP="008107C7">
      <w:pPr>
        <w:pStyle w:val="TextoNormal"/>
      </w:pPr>
      <w:r>
        <w:t>La aplicación a los hechos relatados de la doctrina constitucional acerca de la exigencia de motivación de las resoluciones judiciales conlleva, como a continuación comprobaremos, la necesidad de estimar el presente motivo del amparo.</w:t>
      </w:r>
    </w:p>
    <w:p w:rsidR="008107C7" w:rsidRDefault="008107C7" w:rsidP="008107C7">
      <w:pPr>
        <w:pStyle w:val="TextoNormal"/>
      </w:pPr>
      <w:r>
        <w:t>Respecto al uso en las resoluciones judiciales de modelos impresos o formularios estereotipados, hemos tenido múltiples ocasiones de afirmar que, aunque desaconsejable su utilización por ser potencialmente contraria al derecho a la tutela judicial efectiva, no implica necesariamente una falta o insuficiencia de la motivación (SSTC 184/1988, 125/1989, 74/1990, 169/1996 y ATC 73/1996), pues "peticiones idénticas pueden recibir respuestas idénticas, sin que la reiteración en la fundamentación suponga ausencia de ésta" (ATC 73/1993), debiendo analizarse el caso concreto para determinar la suficiencia de la respuesta ofrecida. También reiteradamente ha precisado este Tribunal que la exigencia constitucional de motivación no obliga a un razonamiento exhaustivo y pormenorizado de todos los aspectos y perspectivas que tengan las partes de la cuestión que se decide, siendo suficiente, desde el prisma del art. 24.1 C.E., que las resoluciones judiciales vengan apoyadas en razones que permitan conocer cuáles han sido los criterios jurídicos esenciales fundamentadores de la decisión, es decir, "la ratio decidendi" que ha determinado aquélla (SSTC 14/1991, 28/1994, 153/1995, 32/1996, 66/1996, etc.).</w:t>
      </w:r>
    </w:p>
    <w:p w:rsidR="008107C7" w:rsidRDefault="008107C7" w:rsidP="008107C7">
      <w:pPr>
        <w:pStyle w:val="TextoNormal"/>
      </w:pPr>
      <w:r>
        <w:t>No obstante las anteriores matizaciones, no cabe sino declarar lesivo del derecho a la tutela judicial efectiva los Autos recurridos, pues la respuesta en ellos ofrecida tan sólo podría reputarse suficiente para rechazar una diferente versión de los hechos mantenida por el actor, o una hipotética invocación del derecho a la presunción de inocencia. Sin embargo, como hemos tenido ocasión de comprobar, los recursos del actor no se centraban en tal cuestión. Respecto a las irregularidades padecidas durante la tramitación del expediente sancionador, a la queja relativa a la no comunicación de la utilización de medios coercitivos, así como respecto a la pretensión de prescripción de la falta cometida, cuestiones todas ellas esgrimidas por el actor, el Juzgado de Vigilancia Penitenciaria guarda absoluto silencio. Como puede apreciarse, nos hallamos, más que ante una insuficiencia de la motivación ofrecida, ante un vicio de incongruencia omisiva.</w:t>
      </w:r>
    </w:p>
    <w:p w:rsidR="008107C7" w:rsidRDefault="008107C7" w:rsidP="008107C7">
      <w:pPr>
        <w:pStyle w:val="TextoNormal"/>
      </w:pPr>
      <w:r>
        <w:t xml:space="preserve">Este Tribunal, desde su STC 20/1982, ha venido elaborando un cuerpo de doctrina acerca del vicio de incongruencia y, en lo que se refiere a la incongruencia omisiva, en múltiples ocasiones ha reiterado que no todos los supuestos son susceptibles de una solución unívoca, debiendo ponderarse las circunstancias concurrentes en cada caso para determinar si el silencio de la resolución judicial constituye una auténtica lesión del art. 24.1 C.E., o si, por el contrario, puede razonablemente interpretarse como una desestimación tácita que satisfaga las exigencias del derecho a la tutela judicial efectiva (SSTC 175/1990, 198/1990, 88/1992, 163/1992, 226/1992, 101/1993, 169/1994, 91/1995, 143/1995, 58/1996, 128/1996, etc.). No es esto último lo que sucede en el supuesto que nos ocupa. Los Autos del Juzgado de Vigilancia Penitenciaria de El Puerto de Santa María tan sólo pueden interpretarse como una desestimación de las alegaciones del actor tendentes a negar los hechos sancionados; pero recordemos que el actor sustentaba la impugnación del Acuerdo también en las irregularidades procedimentales cometidas, en la inobservancia de lo prescrito en el art. 45 L.O.G.P., </w:t>
      </w:r>
      <w:r>
        <w:lastRenderedPageBreak/>
        <w:t>así como en la prescripción de la falta sancionada y en la vulneración de sus derechos durante la tramitación del expediente. Las resoluciones analizadas prescinden totalmente de estos motivos del recurso, no conteniendo razonamiento alguno que permita entender el silencio judicial sobre estas importantes cuestiones como una desestimación tácita de las mismas, ni mucho menos vislumbrar las razones de ésta. Los impugnados Autos incurren, pues, en un vicio de incongruencia omisiva lesivo del derecho a la tutela judicial efectiva.</w:t>
      </w:r>
    </w:p>
    <w:p w:rsidR="008107C7" w:rsidRDefault="008107C7" w:rsidP="008107C7">
      <w:pPr>
        <w:pStyle w:val="TextoNormal"/>
      </w:pPr>
    </w:p>
    <w:p w:rsidR="008107C7" w:rsidRDefault="008107C7" w:rsidP="008107C7">
      <w:pPr>
        <w:pStyle w:val="TextoNormal"/>
      </w:pPr>
      <w:r w:rsidRPr="008107C7">
        <w:rPr>
          <w:rStyle w:val="NumeroAFNegritaCaracter"/>
        </w:rPr>
        <w:t>5</w:t>
      </w:r>
      <w:r>
        <w:t>. La falta de respuesta del órgano judicial a diversas infracciones alegadas como producidas en la tramitación del expediente sancionador con relevancia no sólo legal sino también constitucional, concretamente en relación con el derecho fundamental a la utilización de los medios de prueba pertinentes para la defensa, conduce en el presente caso a que no debamos limitarnos a constatar el referido resultado de incongruencia omisiva, siendo necesario pasar al examen de la actividad sancionadora de la Administración Penitenciaria. En la presente demanda, en efecto, se nos pide amparo también frente a la denegación de pruebas por parte de la Administración Penitenciaria en la tramitación del citado expediente.</w:t>
      </w:r>
    </w:p>
    <w:p w:rsidR="008107C7" w:rsidRDefault="008107C7" w:rsidP="008107C7">
      <w:pPr>
        <w:pStyle w:val="TextoNormal"/>
      </w:pPr>
    </w:p>
    <w:p w:rsidR="008107C7" w:rsidRDefault="008107C7" w:rsidP="008107C7">
      <w:pPr>
        <w:pStyle w:val="TextoNormal"/>
      </w:pPr>
      <w:r w:rsidRPr="008107C7">
        <w:rPr>
          <w:rStyle w:val="NumeroAFNegritaCaracter"/>
        </w:rPr>
        <w:t>6</w:t>
      </w:r>
      <w:r>
        <w:t>. El derecho fundamental a la utilización de los medios de prueba pertinentes para la defensa reconocido en el art. 24.2 C.E. no ha sido respetado en la tramitación del expediente sancionador seguido frente al demandante de amparo. Sostiene el Abogado del Estado que, ante la Junta de Régimen y Administración del Centro Penitenciario, el interno se limitó a pedir que se oyese a un determinado funcionario, a lo que no se accedió, de forma razonada, en el Acuerdo sancionador con el argumento de que dicho funcionario no estaba de servicio.  Ahora bien, en el acta de reunión de la mencionada Junta se recoge que el interno propuso dicha toma de declaración "amén de otras pruebas que se especifican" en unas alegaciones por escrito entregadas en ese mismo acto, que no constan sin embargo en las actuaciones.  Sobre esas otras pruebas, se comprendan o no en ellas la posteriormente especificada en el recurso del interno ante el Juez de Vigilancia Penitenciaria, nada se responde por parte de la Administración.</w:t>
      </w:r>
    </w:p>
    <w:p w:rsidR="008107C7" w:rsidRDefault="008107C7" w:rsidP="008107C7">
      <w:pPr>
        <w:pStyle w:val="TextoNormal"/>
      </w:pPr>
      <w:r>
        <w:t>Esta denegación inmotivada de medios de prueba, respecto de los cuales, ciertamente, lo único que consta a este Tribunal Constitucional es que fueron solicitados, supone, como se ha señalado, una vulneración del citado derecho fundamental. Ya desde su STC 18/1981 viene declarando este Tribunal que las garantías procesales establecidas en el art.  24.2 C.E. son aplicables no sólo en el proceso penal, sino también en los procedimientos administrativos sancionadores con las matizaciones que resulten de su propia naturaleza, en cuanto que en ambos casos se ejerce la potestad punitiva del Estado (SSTC 2/1987, 2/1990, 145/1993, 297/1993, 97/1995, 143/1995, 195/1995, etc.). Y, en lo que afecta al presente recurso, ha de precisarse que este Tribunal viene destacando que, tratándose de sanciones disciplinarias impuestas a internos penitenciarios, este conjunto de garantías se aplica con especial rigor, al considerar que la sanción supone una grave limitación a la ya restringida libertad inherente al cumplimiento de una pena (SSTC 74/1985, 2/1987, 297/1993, 97/1995, 128/1996, etc.), resultando además evidente que las peculiaridades del internamiento en un establecimiento penitenciario no pueden implicar que "la justicia se detenga en la puerta de las prisiones" (SSTC 2/1987, 297/1993, 97/1995 y Sentencia del T.E.D.H. Campbell y Fell, de 28 de junio de 1994).</w:t>
      </w:r>
    </w:p>
    <w:p w:rsidR="008107C7" w:rsidRDefault="008107C7" w:rsidP="008107C7">
      <w:pPr>
        <w:pStyle w:val="TextoNormal"/>
      </w:pPr>
    </w:p>
    <w:p w:rsidR="008107C7" w:rsidRDefault="008107C7" w:rsidP="008107C7">
      <w:pPr>
        <w:pStyle w:val="TextoNormalCentrado"/>
        <w:keepNext/>
      </w:pPr>
      <w:r>
        <w:lastRenderedPageBreak/>
        <w:t>FALLO</w:t>
      </w:r>
    </w:p>
    <w:p w:rsidR="008107C7" w:rsidRDefault="008107C7" w:rsidP="008107C7">
      <w:pPr>
        <w:pStyle w:val="TextoNormalCentrado"/>
        <w:keepNext/>
      </w:pPr>
    </w:p>
    <w:p w:rsidR="008107C7" w:rsidRDefault="008107C7" w:rsidP="008107C7">
      <w:pPr>
        <w:pStyle w:val="TextoNormal"/>
      </w:pPr>
      <w:r>
        <w:t>En atención a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1º Reconocer al recurrente en amparo su derecho fundamental a la congruencia de las resoluciones judiciales comprendido en el derecho a la tutela efectiva de los Jueces y Tribunales (art. 24.1 C.E.), así como el derecho fundamental a utilizar los medios de prueba pertinentes para su defensa (art. 24.2 C.E.).</w:t>
      </w:r>
    </w:p>
    <w:p w:rsidR="008107C7" w:rsidRDefault="008107C7" w:rsidP="008107C7">
      <w:pPr>
        <w:pStyle w:val="TextoNormal"/>
      </w:pPr>
      <w:r>
        <w:t>2º Anular el Acuerdo Sancionador de la Junta de Régimen y Administración del Centro Penitenciario de Cumplimiento de Puerto I, de 10 de noviembre de 1994, así como los Autos del Juzgado de Vigilancia Penitenciaria de El Puerto de Santa María, de 9 de enero y 13 de febrero de 1995.</w:t>
      </w:r>
    </w:p>
    <w:p w:rsidR="008107C7" w:rsidRDefault="008107C7" w:rsidP="008107C7">
      <w:pPr>
        <w:pStyle w:val="TextoNormal"/>
      </w:pPr>
      <w:r>
        <w:t>3º Retrotraer las actuaciones al momento procedimental oportuno a fin de que por parte de la Junta de Régimen y Administración del Centro Penitenciario de Cumplimiento de Puerto I, se dicte la correspondiente resolución en el expediente sancionador de acuerdo con el contenido constitucionalmente declarado del mencionado derecho fundamental a utilizar los medios de prueba pertinentes para la propia defensa.</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veintisiete de febrero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43" w:name="SENTENCIA_1997_40"/>
      <w:r>
        <w:lastRenderedPageBreak/>
        <w:t>SENTENCIA 40/1997, de 27 de febrero de 1997</w:t>
      </w:r>
    </w:p>
    <w:bookmarkEnd w:id="43"/>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78, de 1 de abril de 1997)</w:t>
      </w:r>
    </w:p>
    <w:p w:rsidR="008107C7" w:rsidRDefault="008107C7" w:rsidP="008107C7">
      <w:pPr>
        <w:pStyle w:val="TtuloBOE"/>
      </w:pPr>
    </w:p>
    <w:p w:rsidR="008107C7" w:rsidRDefault="008107C7" w:rsidP="008107C7">
      <w:pPr>
        <w:pStyle w:val="SntesisDescriptiva"/>
      </w:pPr>
      <w:r>
        <w:t>ECLI:ES:TC:1997:40</w:t>
      </w:r>
    </w:p>
    <w:p w:rsidR="008107C7" w:rsidRDefault="008107C7" w:rsidP="008107C7">
      <w:pPr>
        <w:pStyle w:val="SntesisDescriptiva"/>
      </w:pPr>
    </w:p>
    <w:p w:rsidR="008107C7" w:rsidRDefault="008107C7" w:rsidP="008107C7">
      <w:pPr>
        <w:pStyle w:val="SntesisDescriptiva"/>
      </w:pPr>
      <w:r>
        <w:t>Recurso de amparo 4.445/1995. Contra Sentencia de la Audiencia Provincial de Cadiz dictada en recurso de apelación interpuesto por el quejoso contra Sentencia del Juzgado de lo Penal núm. 1 de Ceuta en procedimiento abreviado.</w:t>
      </w:r>
    </w:p>
    <w:p w:rsidR="008107C7" w:rsidRDefault="008107C7" w:rsidP="008107C7">
      <w:pPr>
        <w:pStyle w:val="SntesisDescriptiva"/>
      </w:pPr>
    </w:p>
    <w:p w:rsidR="008107C7" w:rsidRDefault="008107C7" w:rsidP="008107C7">
      <w:pPr>
        <w:pStyle w:val="SntesisAnaltica"/>
      </w:pPr>
      <w:r>
        <w:t>Vulneración del derecho a la presunción de inocencia: prueba de cargo insuficiente.</w:t>
      </w:r>
    </w:p>
    <w:p w:rsidR="008107C7" w:rsidRDefault="008107C7" w:rsidP="008107C7">
      <w:pPr>
        <w:pStyle w:val="SntesisAnaltica"/>
      </w:pPr>
    </w:p>
    <w:p w:rsidR="008107C7" w:rsidRDefault="008107C7" w:rsidP="008107C7">
      <w:pPr>
        <w:pStyle w:val="Extracto"/>
      </w:pPr>
      <w:r>
        <w:t>1.</w:t>
      </w:r>
      <w:r>
        <w:tab/>
        <w:t>En el presente supuesto, el reconocimiento fotográfico efectuado por la víctima ante la policía no ha dejado de ser una simple actividad de investigación, en cuya práctica no consta que estuviera presente el Letrado defensor del recurrente, como tampoco lo estuvo en la ratificación efectuada por la víctima ante el Juez instructor, por lo que, en principio, no fue practicada con la necesaria garantía de contradicción, ni tampoco fue introducido su resultado en el juicio oral a través de otro medio de prueba, con las exigencias que exige nuestra jurisprudencia, toda vez que no comparecieron en el acto de juicio oral ni la víctima, que se hallaba en paradero desconocido, ni los policías que practicaron tal reconocimiento . [F.J. 4]</w:t>
      </w:r>
    </w:p>
    <w:p w:rsidR="008107C7" w:rsidRDefault="008107C7" w:rsidP="008107C7">
      <w:pPr>
        <w:pStyle w:val="Extracto"/>
      </w:pPr>
    </w:p>
    <w:p w:rsidR="008107C7" w:rsidRDefault="008107C7" w:rsidP="008107C7">
      <w:pPr>
        <w:pStyle w:val="Extracto"/>
      </w:pPr>
      <w:r>
        <w:t>2.</w:t>
      </w:r>
      <w:r>
        <w:tab/>
        <w:t>Respecto de las declaraciones sumariales de la víctima, prestadas ante el Juez instructor y en presencia del Ministerio Fiscal cabe decir, igualmente, que no fueron realizadas con carácter contradictorio, a pesar de lo declarado en las Sentencias hoy impugnadas, pues se constata que su primera declaración fue efectuada el 22 de julio de 1993, sin que estuviesen presentes el Abogado defensor del recurrente, aunque sí los de los otros dos coencausados. La segunda declaración de la víctima se efectuó ante el Juez el 24 de septiembre de 1993, habiéndole sido designado Letrado al recurrente el día 24 de agosto de 1993, Letrado que, sin embargo, tampoco estuvo presente en esa declaración . [F.J. 5]</w:t>
      </w:r>
    </w:p>
    <w:p w:rsidR="008107C7" w:rsidRDefault="008107C7" w:rsidP="008107C7">
      <w:pPr>
        <w:pStyle w:val="Extracto"/>
      </w:pPr>
    </w:p>
    <w:p w:rsidR="008107C7" w:rsidRDefault="008107C7" w:rsidP="008107C7">
      <w:pPr>
        <w:pStyle w:val="Extracto"/>
      </w:pPr>
      <w:r>
        <w:t>3.</w:t>
      </w:r>
      <w:r>
        <w:tab/>
        <w:t>En principio y agotados los medios que la Ley procesal ofrece para hacer comparecer al testigo al acto de juicio oral, podría admitirse la lectura de su declaración sumarial. Sin embargo, tal y como hemos expuesto, nos encontramos con declaraciones que no fueron prestadas en la instrucción con las garantías de contradicción que exige la doctrina constitucional para que puedan ser consideradas como prueba preconstituida reproducible en el acto de juicio oral mediante su lectura. Ese vicio de origen (en el sumario) daña cualquier intento de reproducción válida y eficaz (en el juicio oral). En definitiva, además de ser condenado sin prueba de cargo que destruyese la presunción de inocencia, se le privó al hoy quejoso del derecho que el art. 6.3 d) del Convenio Europeo de Derechos Humanos reconoce a todo acusado: «Interrogar o hacer interrogar a los testigos que declaren contra él» . [F,J, 5]</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lastRenderedPageBreak/>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4.445/95, promovido por don Abselan Alami Mohamed, representado por el Procurador de los Tribunales don Fernando García Sevilla y asistido por el Letrado don José Antonio Gómez Díaz, contra la Sentencia de la Sección Tercera de la Audiencia Provincial de Cádiz núm. 58/95, de 30 de junio de 1995, dictada en el recurso de apelación interpuesto por el quejoso contra la Sentencia del Juzgado de lo Penal núm. 1 de Ceuta, en el procedimiento abreviado núm. 531/94, de 25 de noviembre de 1994. Ha intervenido el Ministerio Fiscal y ha sido Ponente el Magistrado don Manuel Jiménez de Parga y Cabrera,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que tuvo entrada en el Registro de este Tribunal el 28 de diciembre de 1995, don Fernando García Sevilla, Procurador de los Tribunales, en nombre y representación de don Abselan Alami Mohamed, interpuso recurso de amparo contra la Sentencia de la Sección Tercera de la Audiencia Provincial de Cádiz, de 30 de junio de 1995, que desestimó el recurso de apelación formulado contra la Sentencia del Juzgado de lo Penal núm. 1 de Ceuta, de 25 de noviembre de 1994, en el procedimiento abreviado núm. 531/94, por delito de lesiones.</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El recurso de amparo se fundamenta en los siguientes hechos: </w:t>
      </w:r>
    </w:p>
    <w:p w:rsidR="008107C7" w:rsidRDefault="008107C7" w:rsidP="008107C7">
      <w:pPr>
        <w:pStyle w:val="TextoNormal"/>
      </w:pPr>
      <w:r>
        <w:t xml:space="preserve">a) El Juzgado de Instrucción núm. 1 de Ceuta incoó diligencias previas núm. 631/93 por delito de lesiones contra el hoy recurrente y otras personas que posteriormente se transformaron en procedimiento abreviado, correspondiendo su enjuiciamiento al Juzgado de lo Penal núm. 1 de Ceuta. </w:t>
      </w:r>
    </w:p>
    <w:p w:rsidR="008107C7" w:rsidRDefault="008107C7" w:rsidP="008107C7">
      <w:pPr>
        <w:pStyle w:val="TextoNormal"/>
      </w:pPr>
      <w:r>
        <w:t xml:space="preserve">El juicio oral hubo de ser suspendido en cinco ocasiones sin que en ningún caso hubiese comparecido la víctima del delito, que se hallaba en paradero desconocido en Marruecos. </w:t>
      </w:r>
    </w:p>
    <w:p w:rsidR="008107C7" w:rsidRDefault="008107C7" w:rsidP="008107C7">
      <w:pPr>
        <w:pStyle w:val="TextoNormal"/>
      </w:pPr>
      <w:r>
        <w:t xml:space="preserve">Finalmente se señaló para la última sesión del juicio oral el 24 de noviembre de 1994, que se celebró sin la comparecencia de la víctima, al no acceder el Juzgado a una nueva suspensión, con la protesta del Ministerio Fiscal. </w:t>
      </w:r>
    </w:p>
    <w:p w:rsidR="008107C7" w:rsidRDefault="008107C7" w:rsidP="008107C7">
      <w:pPr>
        <w:pStyle w:val="TextoNormal"/>
      </w:pPr>
      <w:r>
        <w:t xml:space="preserve">La Sentencia del Juzgado de lo Penal núm. 1 de Ceuta condenó al hoy recurrente como autor criminalmente responsable de un delito de lesiones, con las circunstancias agravantes de reincidencia y cuadrilla, a la pena de seis años de prisión menor, accesorias legales, así </w:t>
      </w:r>
      <w:r>
        <w:lastRenderedPageBreak/>
        <w:t xml:space="preserve">como a indemnizar en concepto de responsabilidad civil a la víctima, conjunta y solidariamente con los demás condenados, mediante la suma de 500.000 ptas., y al pago de la tercera parte de las costas procesales. </w:t>
      </w:r>
    </w:p>
    <w:p w:rsidR="008107C7" w:rsidRDefault="008107C7" w:rsidP="008107C7">
      <w:pPr>
        <w:pStyle w:val="TextoNormal"/>
      </w:pPr>
      <w:r>
        <w:t>Contra la Sentencia interpuso el ahora quejoso y otro de los condenados recurso de apelación que fue desestimado por la Audiencia Provincial de Cádiz (Sentencia de 30 de junio de 1995).</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En la demanda de amparo se alega vulneración por ambas Sentencias del derecho fundamental a la presunción de inocencia (art. 24.2 C.E.). </w:t>
      </w:r>
    </w:p>
    <w:p w:rsidR="008107C7" w:rsidRDefault="008107C7" w:rsidP="008107C7">
      <w:pPr>
        <w:pStyle w:val="TextoNormal"/>
      </w:pPr>
      <w:r>
        <w:t xml:space="preserve">Se argumenta que la condena del recurrente no se fundamentó en auténticas pruebas de cargo, pues las dos únicas pruebas en las que se sustentó el fallo no merecen tal calificativo. Así, el reconocimiento fotográfico efectuado por la víctima ante la policía no fue llevado al juicio oral a través de otros medios de prueba, puesto que no comparecieron en el plenario ni la víctima ni los policías que intervinieron en tal diligencia. </w:t>
      </w:r>
    </w:p>
    <w:p w:rsidR="008107C7" w:rsidRDefault="008107C7" w:rsidP="008107C7">
      <w:pPr>
        <w:pStyle w:val="TextoNormal"/>
      </w:pPr>
      <w:r>
        <w:t xml:space="preserve">Respecto de la otra prueba, la lectura en el acto de juicio de las declaraciones de la víctima, efectuadas en la fase instructora, no puede ser considerada prueba sumarial preconstituída, toda vez que no se practicó con la necesaria garantía de contradicción, al no haber sido prestadas las declaraciones con asistencia del Abogado defensor del hoy demandante de amparo. </w:t>
      </w:r>
    </w:p>
    <w:p w:rsidR="008107C7" w:rsidRDefault="008107C7" w:rsidP="008107C7">
      <w:pPr>
        <w:pStyle w:val="TextoNormal"/>
      </w:pPr>
      <w:r>
        <w:t>Por todo lo anterior, solicita que se declare la nulidad de las resoluciones impugnadas y se le restablezca en su derecho a ser presumido inocente.</w:t>
      </w:r>
    </w:p>
    <w:p w:rsidR="008107C7" w:rsidRDefault="008107C7" w:rsidP="008107C7">
      <w:pPr>
        <w:pStyle w:val="TextoNormal"/>
      </w:pPr>
    </w:p>
    <w:p w:rsidR="008107C7" w:rsidRDefault="008107C7" w:rsidP="008107C7">
      <w:pPr>
        <w:pStyle w:val="TextoNormal"/>
      </w:pPr>
      <w:r w:rsidRPr="008107C7">
        <w:rPr>
          <w:rStyle w:val="NumeroAFNegritaCaracter"/>
        </w:rPr>
        <w:t>4</w:t>
      </w:r>
      <w:r>
        <w:t>. Mediante providencia de 22 de enero de 1996, la Sección Segunda de este Tribunal acordó, de conformidad con lo dispuesto en el art. 50.5 LOTC, conceder un plazo de diez días al Procurador, Sr. García Sevilla, para que dentro de dicho término presentare certificación acreditativa de la fecha de notificación de la resolución que puso fin a la vía judicial, a los efectos del cómputo del plazo establecido en la LOTC, para la interposición de la demanda de amparo.</w:t>
      </w:r>
    </w:p>
    <w:p w:rsidR="008107C7" w:rsidRDefault="008107C7" w:rsidP="008107C7">
      <w:pPr>
        <w:pStyle w:val="TextoNormal"/>
      </w:pPr>
    </w:p>
    <w:p w:rsidR="008107C7" w:rsidRDefault="008107C7" w:rsidP="008107C7">
      <w:pPr>
        <w:pStyle w:val="TextoNormal"/>
      </w:pPr>
      <w:r w:rsidRPr="008107C7">
        <w:rPr>
          <w:rStyle w:val="NumeroAFNegritaCaracter"/>
        </w:rPr>
        <w:t>5</w:t>
      </w:r>
      <w:r>
        <w:t xml:space="preserve">. Por escrito registrado el 5 de febrero de 1996, la representación procesal del recurrente manifestó la imposibilidad de cumplimentar el anterior proveído, interesando de este Tribunal que se requiriera a la Audiencia Provincial de Cádiz para que remitiese la citada certificación. </w:t>
      </w:r>
    </w:p>
    <w:p w:rsidR="008107C7" w:rsidRDefault="008107C7" w:rsidP="008107C7">
      <w:pPr>
        <w:pStyle w:val="TextoNormal"/>
      </w:pPr>
      <w:r>
        <w:t>Por providencia de 19 de febrero de 1996, la Sección Segunda accedió a lo solicitado por el Procurador Sr. García Sevilla. Igualmente, por providencia de 29 de abril de 1996 se acordó, de conformidad con lo prevenido en el art. 88 de la Ley Orgánica de este Tribunal, requerir atentamente a la Audiencia Provincial de Cádiz y al Juzgado de lo Penal núm. 1 de Ceuta, para que en el plazo de diez días remitiesen, respectivamente, testimonio del recurso de apelación núm. 58/95 y del procedimiento abreviado núm. 531/94.</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Por providencia de 28 de junio de 1996, la Sección acordó admitir a trámite la demanda de amparo, así como tener por recibidos los testimonios de actuaciones remitidos por la Audiencia Provincial de Cádiz y el Juzgado de lo Penal núm. 1 de Ceuta. </w:t>
      </w:r>
    </w:p>
    <w:p w:rsidR="008107C7" w:rsidRDefault="008107C7" w:rsidP="008107C7">
      <w:pPr>
        <w:pStyle w:val="TextoNormal"/>
      </w:pPr>
      <w:r>
        <w:t xml:space="preserve">En la misma providencia, a tenor de lo dispuesto en el art. 51 de la ley Orgánica del Tribunal Constitucional, se acordó requerir al Juzgado de lo Penal núm. 1 de Ceuta, para que dentro del plazo de diez días emplazase a quienes fueron parte en el procedimiento </w:t>
      </w:r>
      <w:r>
        <w:lastRenderedPageBreak/>
        <w:t>judicial del que trae causa el presente recurso, con excepción del recurrente en amparo, para que pudiera comparecer en este proceso constitucional.</w:t>
      </w:r>
    </w:p>
    <w:p w:rsidR="008107C7" w:rsidRDefault="008107C7" w:rsidP="008107C7">
      <w:pPr>
        <w:pStyle w:val="TextoNormal"/>
      </w:pPr>
    </w:p>
    <w:p w:rsidR="008107C7" w:rsidRDefault="008107C7" w:rsidP="008107C7">
      <w:pPr>
        <w:pStyle w:val="TextoNormal"/>
      </w:pPr>
      <w:r w:rsidRPr="008107C7">
        <w:rPr>
          <w:rStyle w:val="NumeroAFNegritaCaracter"/>
        </w:rPr>
        <w:t>7</w:t>
      </w:r>
      <w:r>
        <w:t>. La suspensión interesada de las Sentencias recurridas, fue denegada por Auto de 22 de julio de 1996, tras la preceptiva tramitación.</w:t>
      </w:r>
    </w:p>
    <w:p w:rsidR="008107C7" w:rsidRDefault="008107C7" w:rsidP="008107C7">
      <w:pPr>
        <w:pStyle w:val="TextoNormal"/>
      </w:pPr>
    </w:p>
    <w:p w:rsidR="008107C7" w:rsidRDefault="008107C7" w:rsidP="008107C7">
      <w:pPr>
        <w:pStyle w:val="TextoNormal"/>
      </w:pPr>
      <w:r w:rsidRPr="008107C7">
        <w:rPr>
          <w:rStyle w:val="NumeroAFNegritaCaracter"/>
        </w:rPr>
        <w:t>8</w:t>
      </w:r>
      <w:r>
        <w:t>. Mediante providencia de 11 de noviembre de 1996, la Sección acordó dar vista de todas las actuaciones del presente recurso de amparo, por un plazo común de veinte días, al Ministerio Fiscal y al solicitante de amparo para que dentro de dicho término pudieran presentar las alegaciones que estimaren pertinentes, de conformidad con lo dispuesto en el art. 52 LOTC.</w:t>
      </w:r>
    </w:p>
    <w:p w:rsidR="008107C7" w:rsidRDefault="008107C7" w:rsidP="008107C7">
      <w:pPr>
        <w:pStyle w:val="TextoNormal"/>
      </w:pPr>
    </w:p>
    <w:p w:rsidR="008107C7" w:rsidRDefault="008107C7" w:rsidP="008107C7">
      <w:pPr>
        <w:pStyle w:val="TextoNormal"/>
      </w:pPr>
      <w:r w:rsidRPr="008107C7">
        <w:rPr>
          <w:rStyle w:val="NumeroAFNegritaCaracter"/>
        </w:rPr>
        <w:t>9</w:t>
      </w:r>
      <w:r>
        <w:t>. La representación procesal del demandante de amparo evacuó el trámite de alegaciones por medio de escrito registrado el 5 de diciembre de 1996, ratificándose en el contenido de la demanda.</w:t>
      </w:r>
    </w:p>
    <w:p w:rsidR="008107C7" w:rsidRDefault="008107C7" w:rsidP="008107C7">
      <w:pPr>
        <w:pStyle w:val="TextoNormal"/>
      </w:pPr>
    </w:p>
    <w:p w:rsidR="008107C7" w:rsidRDefault="008107C7" w:rsidP="008107C7">
      <w:pPr>
        <w:pStyle w:val="TextoNormal"/>
      </w:pPr>
      <w:r w:rsidRPr="008107C7">
        <w:rPr>
          <w:rStyle w:val="NumeroAFNegritaCaracter"/>
        </w:rPr>
        <w:t>10</w:t>
      </w:r>
      <w:r>
        <w:t xml:space="preserve">. El Ministerio Fiscal presentó su escrito de alegaciones que fue registrado el 9 de diciembre de 1996. Una vez reseñados los hechos que han dado lugar al presente procedimiento y los motivos en los que se funda la demanda de amparo, el Fiscal considera que la declaración del testigo, que fue prestada con todas las garantías en fase sumarial, ha de ser calificada como prueba preconstituida, puesto que al haber sido imposible su práctica en el juicio oral, fue incorporada al mismo mediante su lectura, donde hubo efectivas condiciones de inmediación, haciendo posible el debate sobre su garantía y verosimilitud. </w:t>
      </w:r>
    </w:p>
    <w:p w:rsidR="008107C7" w:rsidRDefault="008107C7" w:rsidP="008107C7">
      <w:pPr>
        <w:pStyle w:val="TextoNormal"/>
      </w:pPr>
      <w:r>
        <w:t>En consecuencia afirma que la presunción de inocencia quedó desvirtuada y solicitó la desestimación de la demanda de amparo.</w:t>
      </w:r>
    </w:p>
    <w:p w:rsidR="008107C7" w:rsidRDefault="008107C7" w:rsidP="008107C7">
      <w:pPr>
        <w:pStyle w:val="TextoNormal"/>
      </w:pPr>
    </w:p>
    <w:p w:rsidR="008107C7" w:rsidRDefault="008107C7" w:rsidP="008107C7">
      <w:pPr>
        <w:pStyle w:val="TextoNormal"/>
      </w:pPr>
      <w:r w:rsidRPr="008107C7">
        <w:rPr>
          <w:rStyle w:val="NumeroAFNegritaCaracter"/>
        </w:rPr>
        <w:t>11</w:t>
      </w:r>
      <w:r>
        <w:t>. En providencia de 26 de febrero de 1997, se señaló para deliberación y votación de la presente Sentencia el día 27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En el presente recurso de amparo se plantea la vulneración del derecho constitucional a la presunción de inocencia (art. 24.2), dada la insuficiencia de la prueba de cargo -se alega- que permita fundar una Sentencia condenatoria.</w:t>
      </w:r>
    </w:p>
    <w:p w:rsidR="008107C7" w:rsidRDefault="008107C7" w:rsidP="008107C7">
      <w:pPr>
        <w:pStyle w:val="TextoNormal"/>
      </w:pPr>
      <w:r>
        <w:t>El demandante aduce que las Sentencias que le condenaron como autor criminalmente responsable de un delito de lesiones se han basado en un reconocimiento fotográfico efectuado por la víctima del delito ante la policía y no llevado en forma alguna al juicio oral, y en la declaración testifical de aquélla, prestada exclusivamente en el curso de la instrucción, sin que estuviera presente el Letrado del demandante de amparo y sin que dicha víctima compareciera posteriormente en el acto del juicio oral.</w:t>
      </w:r>
    </w:p>
    <w:p w:rsidR="008107C7" w:rsidRDefault="008107C7" w:rsidP="008107C7">
      <w:pPr>
        <w:pStyle w:val="TextoNormal"/>
      </w:pPr>
      <w:r>
        <w:t xml:space="preserve">El Ministerio Fiscal, por el contrario, sostiene que la Sentencia de Instancia considera que la prueba fundamental de cargo está constituida por las declaraciones de la víctima que se encontraba en paradero desconocido y, por tanto, no compareció en el acto del juicio oral. Sin embargo tales declaraciones, que según el Fiscal se prestaron con todas las garantías durante la tramitación de la causa, han de ser consideradas prueba preconstituída, que fue </w:t>
      </w:r>
      <w:r>
        <w:lastRenderedPageBreak/>
        <w:t>llevada al juicio oral mediante su lectura, por lo que entiende que sí existió prueba de cargo suficiente para desvirtuar la presunción de inocencia del recurrente en amparo.</w:t>
      </w:r>
    </w:p>
    <w:p w:rsidR="008107C7" w:rsidRDefault="008107C7" w:rsidP="008107C7">
      <w:pPr>
        <w:pStyle w:val="TextoNormal"/>
      </w:pPr>
    </w:p>
    <w:p w:rsidR="008107C7" w:rsidRDefault="008107C7" w:rsidP="008107C7">
      <w:pPr>
        <w:pStyle w:val="TextoNormal"/>
      </w:pPr>
      <w:r w:rsidRPr="008107C7">
        <w:rPr>
          <w:rStyle w:val="NumeroAFNegritaCaracter"/>
        </w:rPr>
        <w:t>2</w:t>
      </w:r>
      <w:r>
        <w:t>. Centrado así el objeto del presente recurso, hemos de recordar que, como regla general, "únicamente pueden considerarse auténticas pruebas que vinculen a los órganos judiciales en el momento de dictar Sentencia las practicadas en el juicio oral" (STC 51/1995, por todas).</w:t>
      </w:r>
    </w:p>
    <w:p w:rsidR="008107C7" w:rsidRDefault="008107C7" w:rsidP="008107C7">
      <w:pPr>
        <w:pStyle w:val="TextoNormal"/>
      </w:pPr>
      <w:r>
        <w:t>Según se expuso en la STC 217/1989, fundamento jurídico 2º, "es doctrina consolidada de este Tribunal desde su STC 31/1981, que únicamente pueden considerarse auténticas pruebas que vinculen a los órganos de la justicia penal en el momento de dictar Sentencia las practicadas en el juicio oral, pues el procedimiento probatorio ha de tener lugar necesariamente en el debate contradictorio que, en forma oral, se desarrolla ante el mismo Juez o Tribunal que ha de dictar Sentencia, de suerte que la convicción de éste sobre los hechos enjuiciados se alcance en contacto directo por los medios aportados a tal fin por las partes. Por el contrario, las diligencias sumariales son actos de investigación encaminados a la averiguación del delito e identificación del delincuente (art. 299 de la L.E.Crim.), que no constituyen en sí mismas pruebas de cargo, pues su finalidad específica no es la fijación definitiva de los hechos para que éstos trasciendan a la resolución judicial, sino la de preparar el juicio oral, proporcionando a tal efecto los elementos necesarios para la acusación y defensa y para la dirección del debate contradictorio atribuido al juzgador".</w:t>
      </w:r>
    </w:p>
    <w:p w:rsidR="008107C7" w:rsidRDefault="008107C7" w:rsidP="008107C7">
      <w:pPr>
        <w:pStyle w:val="TextoNormal"/>
      </w:pPr>
      <w:r>
        <w:t>Ahora bien, esta regla general no se aplica, como excepciones a la misma, a los actos de la instrucción constitutivos de prueba sumarial anticipada y preconstituída, siempre y cuando dichos actos de prueba se hayan obtenido con la estricta observancia de los requisitos que este Tribunal ha tenido ocasión de señalar:</w:t>
      </w:r>
    </w:p>
    <w:p w:rsidR="008107C7" w:rsidRDefault="008107C7" w:rsidP="008107C7">
      <w:pPr>
        <w:pStyle w:val="TextoNormal"/>
      </w:pPr>
      <w:r>
        <w:t>a) Material: que verse sobre hechos que, por su fugacidad, no puedan ser reproducidos el día de la celebración del juicio oral (SSTC 137/1988, 154/1990, 41/1991, 303/1993, 323/1993, 79/1994, 36/1995, 51/1995).</w:t>
      </w:r>
    </w:p>
    <w:p w:rsidR="008107C7" w:rsidRDefault="008107C7" w:rsidP="008107C7">
      <w:pPr>
        <w:pStyle w:val="TextoNormal"/>
      </w:pPr>
      <w:r>
        <w:t>b) Subjetivo: que sean intervenidas por la única autoridad dotada de la suficiente independencia para generar actos de prueba, cual es el Juez de instrucción (STC 303/1992).  Todo ello sin perjuicio de que, por especiales razones de urgencia, también esté habilitada la policía judicial para efectuar determinadas diligencias de constancia y a recoger y custodiar los elementos del cuerpo del delito (SSTC 107/1983, 201/1989, 138/1992 y 303/1993, entre otras).</w:t>
      </w:r>
    </w:p>
    <w:p w:rsidR="008107C7" w:rsidRDefault="008107C7" w:rsidP="008107C7">
      <w:pPr>
        <w:pStyle w:val="TextoNormal"/>
      </w:pPr>
      <w:r>
        <w:t>c) Objetivo: cual es la necesidad de que se garantice la contradicción, por lo cual, siempre que sea factible, se le ha de permitir a la defensa la posibilidad de comparecer en la ejecución de dicha prueba sumarial, a fin de que pueda interrogar al testigo o preguntar al perito infungible (STC 303/1993) y</w:t>
      </w:r>
    </w:p>
    <w:p w:rsidR="008107C7" w:rsidRDefault="008107C7" w:rsidP="008107C7">
      <w:pPr>
        <w:pStyle w:val="TextoNormal"/>
      </w:pPr>
      <w:r>
        <w:t>d) Formal: como lo es la exigencia, de un lado, de que el régimen de ejecución de la prueba sumarial sea el mismo que el del juicio oral, esto es, el de la cross examination, (diferenciándose de este modo de los correlativos actos de investigación en los que las preguntas de las partes han de formularse a través del Juez de Instrucción), así como, de otro, que su objeto sea introducido en dicho juicio público mediante la "lectura de documentos", la cual ha de posibilitar someter su contenido a confrontación con las demás declaraciones de los intervinientes en el juicio oral (SSTC 25/1988, 60/1988, 51/1990, 140/1991 y la última STC 200/1996, fundamento jurídico 2º).</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3</w:t>
      </w:r>
      <w:r>
        <w:t>. En el caso presente se constata que la condena del recurrente en amparo se fundamentó en las declaraciones sumariales de la víctima del delito que también efectuó un reconocimiento fotográfico del hoy quejoso ante la policía.</w:t>
      </w:r>
    </w:p>
    <w:p w:rsidR="008107C7" w:rsidRDefault="008107C7" w:rsidP="008107C7">
      <w:pPr>
        <w:pStyle w:val="TextoNormal"/>
      </w:pPr>
      <w:r>
        <w:t>Respecto de la diligencia de reconocimiento fotográfico se ha dicho por este Tribunal que "puede, sin duda, ser un medio válido de investigación en manos de la policía" (STC 36/1995, entre otras), dirigido a la identificación y determinación del inculpado; sin embargo, "para desvirtuar la presunción de inocencia será necesario que, aparte de la identificación y determinación del inculpado, se aporten medios de prueba, que referentes a los hechos y actividades que se le imputan, se produzcan con las necesarias garantías de inmediación y contradicción en la vista oral, pues el juicio lógicamente no versa sobre la identificación del inculpado como objeto de la acusación, sino sobre su culpabilidad o inocencia" (STC 10/1992).</w:t>
      </w:r>
    </w:p>
    <w:p w:rsidR="008107C7" w:rsidRDefault="008107C7" w:rsidP="008107C7">
      <w:pPr>
        <w:pStyle w:val="TextoNormal"/>
      </w:pPr>
    </w:p>
    <w:p w:rsidR="008107C7" w:rsidRDefault="008107C7" w:rsidP="008107C7">
      <w:pPr>
        <w:pStyle w:val="TextoNormal"/>
      </w:pPr>
      <w:r w:rsidRPr="008107C7">
        <w:rPr>
          <w:rStyle w:val="NumeroAFNegritaCaracter"/>
        </w:rPr>
        <w:t>4</w:t>
      </w:r>
      <w:r>
        <w:t>. Pues bien, en el supuesto que estamos enjuiciando, el reconocimiento fotográfico efectuado por la víctima ante la policía no ha dejado de ser una simple actividad de investigación, en cuya práctica no consta que estuviera presente el Letrado defensor del recurrente, como tampoco lo estuvo en la ratificación efectuada por la víctima ante el Juez instructor, por lo que, en principio, no fue practicada con la necesaria garantía de contradicción, ni tampoco fue introducido su resultado en el juicio oral a través de otro medio de prueba, con las exigencias que exige nuestra jurisprudencia, toda vez que no comparecieron en el acto de juicio oral ni la víctima, que se hallaba en paradero desconocido, ni los policías que practicaron tal reconocimiento.</w:t>
      </w:r>
    </w:p>
    <w:p w:rsidR="008107C7" w:rsidRDefault="008107C7" w:rsidP="008107C7">
      <w:pPr>
        <w:pStyle w:val="TextoNormal"/>
      </w:pPr>
    </w:p>
    <w:p w:rsidR="008107C7" w:rsidRDefault="008107C7" w:rsidP="008107C7">
      <w:pPr>
        <w:pStyle w:val="TextoNormal"/>
      </w:pPr>
      <w:r w:rsidRPr="008107C7">
        <w:rPr>
          <w:rStyle w:val="NumeroAFNegritaCaracter"/>
        </w:rPr>
        <w:t>5</w:t>
      </w:r>
      <w:r>
        <w:t>. Respecto de las declaraciones sumariales de la víctima, prestadas ante el Juez instructor y en presencia del Ministerio Fiscal cabe decir, igualmente, que no fueron realizadas con carácter contradictorio, a pesar de lo declarado en las Sentencias hoy impugnadas, pues se constata que su primera declaración fue efectuada el 22 de julio de 1993, sin que estuviesen presentes el Abogado defensor del recurrente, aunque sí los de los otros dos coencausados.</w:t>
      </w:r>
    </w:p>
    <w:p w:rsidR="008107C7" w:rsidRDefault="008107C7" w:rsidP="008107C7">
      <w:pPr>
        <w:pStyle w:val="TextoNormal"/>
      </w:pPr>
      <w:r>
        <w:t>La segunda declaración de la víctima se efectuó ante el Juez el 24 de septiembre de 1993, habiéndole sido designado Letrado al recurrente el día 24 de agosto de 1993, Letrado que, sin embargo, tampoco estuvo presente en esa declaración.</w:t>
      </w:r>
    </w:p>
    <w:p w:rsidR="008107C7" w:rsidRDefault="008107C7" w:rsidP="008107C7">
      <w:pPr>
        <w:pStyle w:val="TextoNormal"/>
      </w:pPr>
      <w:r>
        <w:t>Por tanto, aun cuando se ha dicho por este Tribunal que "la prueba testifical es, por su naturaleza, perfectamente reproducible en el juicio oral, para su debido contraste y contradicción por las partes de forma oral y sin mengua de los derechos de defensa del imputado " (STC 10/1992), en este caso fue irreproducible, toda vez que la víctima, de nacionalidad marroquí, se hallaba en paradero desconocido, habiéndose suspendido el juicio oral en reiteradas ocasiones ante su incomparecencia.</w:t>
      </w:r>
    </w:p>
    <w:p w:rsidR="008107C7" w:rsidRDefault="008107C7" w:rsidP="008107C7">
      <w:pPr>
        <w:pStyle w:val="TextoNormal"/>
      </w:pPr>
      <w:r>
        <w:t>En principio y agotados los medios que la Ley procesal ofrece para hacer comparecer al testigo al acto de juicio oral, podría admitirse la lectura de su declaración sumarial. Sin embargo, tal y como hemos expuesto, nos encontramos con declaraciones que no fueron prestadas en la instrucción con las garantías de contradicción que exige la doctrina constitucional para que puedan ser consideradas como prueba preconstituida reproducible en el acto de juicio oral mediante su lectura. Ese vicio de origen (en el sumario) daña cualquier intento de reproducción válida y eficaz (en el juicio oral).</w:t>
      </w:r>
    </w:p>
    <w:p w:rsidR="008107C7" w:rsidRDefault="008107C7" w:rsidP="008107C7">
      <w:pPr>
        <w:pStyle w:val="TextoNormal"/>
      </w:pPr>
      <w:r>
        <w:t xml:space="preserve">En definitiva, además de ser condenado sin prueba de cargo que destruyese la presunción de inocencia, se le privó al hoy quejoso del derecho que el art.  6.3 d) del Convenio Europeo </w:t>
      </w:r>
      <w:r>
        <w:lastRenderedPageBreak/>
        <w:t>de Derechos Humanos reconoce a todo acusado: "Interrogar o hacer interrogar a los testigos que declaren contra él".</w:t>
      </w:r>
    </w:p>
    <w:p w:rsidR="008107C7" w:rsidRDefault="008107C7" w:rsidP="008107C7">
      <w:pPr>
        <w:pStyle w:val="TextoNormal"/>
      </w:pPr>
    </w:p>
    <w:p w:rsidR="008107C7" w:rsidRDefault="008107C7" w:rsidP="008107C7">
      <w:pPr>
        <w:pStyle w:val="TextoNormal"/>
      </w:pPr>
      <w:r w:rsidRPr="008107C7">
        <w:rPr>
          <w:rStyle w:val="NumeroAFNegritaCaracter"/>
        </w:rPr>
        <w:t>6</w:t>
      </w:r>
      <w:r>
        <w:t>. Cuanto se ha dicho lleva a concluir que no existió en el juicio oral prueba de cargo practicada con las debidas garantías y, en consecuencia, no ha quedado desvirtuada la presunción constitucional de inocencia (art. 24.2 C.E.), lo que nos lleva derechamente al otorgamiento del amparo.</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Estimar el recurso de amparo y, en su virtud,</w:t>
      </w:r>
    </w:p>
    <w:p w:rsidR="008107C7" w:rsidRDefault="008107C7" w:rsidP="008107C7">
      <w:pPr>
        <w:pStyle w:val="TextoNormal"/>
      </w:pPr>
      <w:r>
        <w:t>1º Reconocer el derecho de don Abselan Alami Mohamed a la presunción de inocencia (art. 24.2 C.E.).</w:t>
      </w:r>
    </w:p>
    <w:p w:rsidR="008107C7" w:rsidRDefault="008107C7" w:rsidP="008107C7">
      <w:pPr>
        <w:pStyle w:val="TextoNormal"/>
      </w:pPr>
      <w:r>
        <w:t>2º Declarar la nulidad de las Sentencias del Juzgado de lo Penal núm. 1 de Ceuta, de 25 de noviembre de 1994, y de la Audiencia Provincial de Cádiz, de 30 de junio de 1995, confirmatoria de la anterior.</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veintisiete de febrero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44" w:name="SENTENCIA_1997_41"/>
      <w:r>
        <w:lastRenderedPageBreak/>
        <w:t>SENTENCIA 41/1997, de 10 de marzo de 1997</w:t>
      </w:r>
    </w:p>
    <w:bookmarkEnd w:id="44"/>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87, de 11 de abril de 1997)</w:t>
      </w:r>
    </w:p>
    <w:p w:rsidR="008107C7" w:rsidRDefault="008107C7" w:rsidP="008107C7">
      <w:pPr>
        <w:pStyle w:val="TtuloBOE"/>
      </w:pPr>
    </w:p>
    <w:p w:rsidR="008107C7" w:rsidRDefault="008107C7" w:rsidP="008107C7">
      <w:pPr>
        <w:pStyle w:val="SntesisDescriptiva"/>
      </w:pPr>
      <w:r>
        <w:t>ECLI:ES:TC:1997:41</w:t>
      </w:r>
    </w:p>
    <w:p w:rsidR="008107C7" w:rsidRDefault="008107C7" w:rsidP="008107C7">
      <w:pPr>
        <w:pStyle w:val="SntesisDescriptiva"/>
      </w:pPr>
    </w:p>
    <w:p w:rsidR="008107C7" w:rsidRDefault="008107C7" w:rsidP="008107C7">
      <w:pPr>
        <w:pStyle w:val="SntesisDescriptiva"/>
      </w:pPr>
      <w:r>
        <w:t>Recurso de amparo 1.479/1993. Contra Sentencia de la Sala Segunda del Tribunal Supremo que confirmó en casación la de la Audiencia Provincial de Barcelona que absolvió a los acusados de los delitos que les imputaron los ahora recurrentes en amparo, especialmente del delito de detención ilegal.</w:t>
      </w:r>
    </w:p>
    <w:p w:rsidR="008107C7" w:rsidRDefault="008107C7" w:rsidP="008107C7">
      <w:pPr>
        <w:pStyle w:val="SntesisDescriptiva"/>
      </w:pPr>
    </w:p>
    <w:p w:rsidR="008107C7" w:rsidRDefault="008107C7" w:rsidP="008107C7">
      <w:pPr>
        <w:pStyle w:val="SntesisAnaltica"/>
      </w:pPr>
      <w:r>
        <w:t>Supuesta vulneración del derecho a la tutela judicial efectiva: imposibilidad del ejercicio de la acción punitiva en sede de amparo constitucional.</w:t>
      </w:r>
    </w:p>
    <w:p w:rsidR="008107C7" w:rsidRDefault="008107C7" w:rsidP="008107C7">
      <w:pPr>
        <w:pStyle w:val="SntesisAnaltica"/>
      </w:pPr>
    </w:p>
    <w:p w:rsidR="008107C7" w:rsidRDefault="008107C7" w:rsidP="008107C7">
      <w:pPr>
        <w:pStyle w:val="Extracto"/>
      </w:pPr>
      <w:r>
        <w:t>1.</w:t>
      </w:r>
      <w:r>
        <w:tab/>
        <w:t>Más allá de lo que pudiera inferirse de algunas resoluciones (SSTC 170/1994 y 78/1995) que al otorgar el amparo por vulneración del derecho al honor anulan la Sentencia absolutoria correspondiente, la doctrina expresa, constante y reiterada de este Tribunal, cada vez que se le ha planteado específicamente el problema, se ha inclinado por la solución negativa (ATC 228/1987; SSTC 147/1985, 83/1989, 157/1990, 31/1996, 177/1996 y, por último, 199/1996). Como tajantemente afirman estas últimas resoluciones: «la Constitución no otorga ningún derecho a obtener condenas penales» . [F.J. 4]</w:t>
      </w:r>
    </w:p>
    <w:p w:rsidR="008107C7" w:rsidRDefault="008107C7" w:rsidP="008107C7">
      <w:pPr>
        <w:pStyle w:val="Extracto"/>
      </w:pPr>
    </w:p>
    <w:p w:rsidR="008107C7" w:rsidRDefault="008107C7" w:rsidP="008107C7">
      <w:pPr>
        <w:pStyle w:val="Extracto"/>
      </w:pPr>
      <w:r>
        <w:t>2.</w:t>
      </w:r>
      <w:r>
        <w:tab/>
        <w:t>La tutela penal no se anuda inmediatamente a la realización de cualquier conducta vulneradora de derechos fundamentales; sino que, para que pueda desplegar sus efectos, precisa la mediación de la ley, que es la que define los casos y circunstancias que dan lugar a la estimación del delito y a la aplicación de su consecuencia jurídica, la pena. La potestad punitiva, en cuanto poder concreto de castigar hechos concretos, nace, pues, de la ley, no de la Constitución. Y si bien la Constitución consagra en su art. 25.1 el principio de legalidad como derecho a no ser condenado ni sancionado sino por acciones u omisiones legalmente previstas, no existe un «principio de legalidad invertido», esto es, un derecho fundamental de la víctima a obtener la condena penal de otro, haya o no vulnerado sus derechos fundamentales, pues éstos son derechos de libertad, e introducir entre ellos la pretensión punitiva supondría alterar radicalmente su sentido . [F.J. 4]</w:t>
      </w:r>
    </w:p>
    <w:p w:rsidR="008107C7" w:rsidRDefault="008107C7" w:rsidP="008107C7">
      <w:pPr>
        <w:pStyle w:val="Extracto"/>
      </w:pPr>
    </w:p>
    <w:p w:rsidR="008107C7" w:rsidRDefault="008107C7" w:rsidP="008107C7">
      <w:pPr>
        <w:pStyle w:val="Extracto"/>
      </w:pPr>
      <w:r>
        <w:t>3.</w:t>
      </w:r>
      <w:r>
        <w:tab/>
        <w:t xml:space="preserve">En consonancia con ese planteamiento, el Tribunal Constitucional ha configurado el derecho de acción penal esencialmente como un «ius ut procedatur», es decir, no como parte de ningún otro derecho fundamental sustantivo, sino, estrictamente, como manifestación específica del derecho a la jurisdicción (SSTC 31/1996 y 199/1996, que contienen abundantes referencias a la doctrina anterior), que ha de enjuiciarse en sede de amparo constitucional desde la perspectiva del art. 24.1 C.E. y al que, desde luego, son aplicables las garantías del 24.2. La especificidad de esa manifestación del derecho a la jurisdicción viene dada por las peculiares características del proceso penal. Pues en él confluyen dos elementos (el derecho de acción y el derecho material de penar) que, como hemos destacado en diversas ocasiones (SSTC 83/1989, 157/1990, 211/1994 y 297/1994) no cabe confundir. Pero </w:t>
      </w:r>
      <w:r>
        <w:lastRenderedPageBreak/>
        <w:t>tampoco cabe olvidar que la acción penal se entabla para que el Estado, a través de la jurisdicción, ejerza la potestad punitiva. Esa característica otorga una configuración peculiar a ese «ius ut procedatur» en que la acción penal consiste. En efecto: al proceso penal se acude postulando la actuación del poder del Estado en su forma más extrema -la pena criminal-, actuación que implica una profunda injerencia en la libertad del imputado y en el núcleo más «sagrado» de sus derechos fundamentales. Por eso, cada una de sus fases -iniciación (STC 111/1995); imputación judicial (STC 153/1989); adopción de medidas cautelares (STC 108/1994); Sentencia condenatoria (SSTC 31/1981, 229/1991 y 259/1994); derecho al recurso (STC 190/1994), etc.- se halla sometida a exigencias específicas que garantizan en cada estadio de desarrollo de la pretensión punitiva, e incluso antes de que el mismo proceso penal empiece, la presunción de inocencia y las demas garantías constitucionales del imputado . [F.J. 5]</w:t>
      </w:r>
    </w:p>
    <w:p w:rsidR="008107C7" w:rsidRDefault="008107C7" w:rsidP="008107C7">
      <w:pPr>
        <w:pStyle w:val="Extracto"/>
      </w:pPr>
    </w:p>
    <w:p w:rsidR="008107C7" w:rsidRDefault="008107C7" w:rsidP="008107C7">
      <w:pPr>
        <w:pStyle w:val="Extracto"/>
      </w:pPr>
      <w:r>
        <w:t>4.</w:t>
      </w:r>
      <w:r>
        <w:tab/>
        <w:t>Desde la perspectiva inversa, al hecho de que en el proceso penal el derecho de acción sea el instrumento mediante el que se ejercita una potestad pública se anuda, además, una consecuencia específica en sede de amparo constitucional. En efecto: de manera reiterada (ATC 139/1985 y SSTC 257/1988, 123/1996 y 211/1996) hemos afirmado que el recurso de amparo «no constituye una vía abierta a los poderes públicos para la defensa de sus actos y de las potestades en que éstos se basan sino, justamente, un instrumento para la correcta limitación de tales potestades y para la eventual depuración en defensa de los derechos fundamentales y libertades públicas de los particulares». Doctrina que ha de aplicarse con mayor rigor a los casos en que no es ya que el Estado acuda al proceso para defender sus potestades, sino que -como sucede en el proceso penal- el ejercicio de la potestad punitiva constituye el objeto mismo del proceso. En conclusión, en el proceso penal las garantías constitucionales de una de las partes -el imputado- adquieren un especial relieve en sede de amparo constitucional, mientras que, como tal, la potestad pública de imponer penas que se ventila en él no es susceptible de ser amparada . [F.J. 5]</w:t>
      </w:r>
    </w:p>
    <w:p w:rsidR="008107C7" w:rsidRDefault="008107C7" w:rsidP="008107C7">
      <w:pPr>
        <w:pStyle w:val="Extracto"/>
      </w:pPr>
    </w:p>
    <w:p w:rsidR="008107C7" w:rsidRDefault="008107C7" w:rsidP="008107C7">
      <w:pPr>
        <w:pStyle w:val="Extracto"/>
      </w:pPr>
      <w:r>
        <w:t>5.</w:t>
      </w:r>
      <w:r>
        <w:tab/>
        <w:t xml:space="preserve">La jurisdicción penal sólo entra a conocer las cuestiones civiles, administrativas o constitucionales a los meros efectos de la represión (art. 3 L. E.Crim.). De modo que las decisiones que, al absolver, adopta respecto a derechos fundamentales de las partes acusadoras o cualesquiera otros temas distintos del castigo, ni causan ejecutoria, por no tener el valor de cosa juzgada, ni prejuzgan ni entorpecen la decisión que, en su caso, haya de adoptarse por la jurisdicción competente en el orden no represivo. En consecuencia, en modo alguno representan ninguna resolución sobre los derechos fundamentales sustantivos de quienes ejercen la acusación; sino que, desde esa perspectiva, son razonamientos que, de ser contrarios a la Constitución, podrían ser corregidos por este Tribunal (STC 177/1996). A ello conviene añadir una segunda precisión, y es la de que, ante la jurisdicción ordinaria, que es la naturalmente llamada a resolver sobre el ejercicio de la acción penal, no cabe ningún remedio contra tales Sentencias, hallándose, incluso, proscrito el recurso extraordinario de revisión. Las consideraciones que acaban de exponerse, unidas a la naturaleza de la jurisdicción constitucional de amparo que, como dijimos en la STC 114/1995, «no ha sido concebida sino para corregir posibles vulneraciones de los derechos fundamentales y libertades públicas» ponen de manifiesto </w:t>
      </w:r>
      <w:r>
        <w:lastRenderedPageBreak/>
        <w:t>la inviabilidad de anular en esta sede una Sentencia con pronunciamiento absolutorio de fondo que haya adquirido firmeza, sobre la base de un derecho de acción que el legislador, en virtud de un sólido fundamento constitucional, ha declarado ya extinguido, prolongando indebidamente, en sede de amparo, el proceso penal . [F.J. 6]</w:t>
      </w:r>
    </w:p>
    <w:p w:rsidR="008107C7" w:rsidRDefault="008107C7" w:rsidP="008107C7">
      <w:pPr>
        <w:pStyle w:val="Extracto"/>
      </w:pPr>
    </w:p>
    <w:p w:rsidR="008107C7" w:rsidRDefault="008107C7" w:rsidP="008107C7">
      <w:pPr>
        <w:pStyle w:val="Extracto"/>
      </w:pPr>
      <w:r>
        <w:t>6.</w:t>
      </w:r>
      <w:r>
        <w:tab/>
        <w:t>Las Sentencias absolutorias impugnadas no han desconocido los derechos de los recurrentes a la libre circulación por el territorio nacional ni a la libertad personal, ideológica, religiosa y de conciencia, puesto que sus diversas apreciaciones fácticas y jurídicas -acertadas o erróneas- se limitaron a declarar que el presupuesto para la imposición del castigo -el delito- no existía, sin que tal declaración, basada en una resultancia fáctica que este Tribunal no puede revisar [art. 44.1 b) LOTC], excluya que haya podido, efectivamente, haber vulneración de los derechos fundamentales aludidos ni que ésta pueda repararse en la vía procedente. Y, del mismo modo, se extrae la consecuencia de que ni hubo ni pudo haber en ellos lesión de la tutela judicial efectiva que pueda apreciarse en sede de amparo constitucional . [F.J. 8]</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1.479/93, interpuesto por don Javier Bruna Reverte, don José Víctor Riera Blume, doña María Teresa Sales Aige, Concepción Riera Blume, Elena Riera Blume, Amelia Casado Pérez, y María Luz Casado Pérez, representados por la Procuradora de los Tribunales, doña María Concepción Aporta Estévez y asistidos por el letrado don Emilio Rodríguez Menéndez, contra Sentencia de la Sala Segunda del Tribunal Supremo de fecha 23 de marzo de 1993. Ha intervenido el Ministerio Fiscal y la Generalidad de Cataluña, representada y asistida por sus propios servicios jurídicos. También se personó el procurador don Antonio Francisco García Díaz en nombre y representación de don Carlos Torras Rovira, don Luis Renau Folch y don Antonio Tarrida Viñas, asistidos por el Letrado don Juan Córdoba Roda, siendo Ponente el Magistrado don Tomás S. Vives Antón, quien expresa el parecer de la Sala.</w:t>
      </w:r>
    </w:p>
    <w:p w:rsidR="008107C7" w:rsidRDefault="008107C7" w:rsidP="008107C7">
      <w:pPr>
        <w:pStyle w:val="TextoNormal"/>
      </w:pPr>
    </w:p>
    <w:p w:rsidR="008107C7" w:rsidRDefault="008107C7" w:rsidP="008107C7">
      <w:pPr>
        <w:pStyle w:val="TextoNormalNegritaCentrado"/>
        <w:keepNext/>
      </w:pPr>
      <w:r>
        <w:lastRenderedPageBreak/>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presentado en el Juzgado de Guardia el 8 de mayo de 1993 que tuvo entrada en el Registro General de este Tribunal dos días después, doña María Concepción Aporta Estevez, Procuradora de los Tribunales y de don Javier Bruna Reverte, José Víctor Riera Blume, María Teresa Sales Aige, Concepción Riera Blume, Elena Riera Blume, Amelia Casado Pérez y María Luz Casado Pérez, interpone recurso de amparo contra la Sentencia dictada por la Sala Segunda del Tribunal Supremo, el 23 de marzo de 1993, resolutoria del recurso de casación núm. 4.406/90, interpuesto contra la Sentencia de la Sección Sexta de la Audiencia Provincial de Barcelona en la causa núm. 77/84, dimanante del Juzgado de Instrucción núm. 5, también de Barcelona.</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El presente recurso de amparo tiene su origen en los siguientes hechos: </w:t>
      </w:r>
    </w:p>
    <w:p w:rsidR="008107C7" w:rsidRDefault="008107C7" w:rsidP="008107C7">
      <w:pPr>
        <w:pStyle w:val="TextoNormal"/>
      </w:pPr>
      <w:r>
        <w:t xml:space="preserve">A) En fecha no precisada de 1983, la Dirección General de Seguridad Ciudadana del Departamento de Gobernación de la Generalidad de Cataluña recibió, a través de la Asociación Pro Juventud, solicitud de ayuda por parte de varias personas cuyos familiares habían sido captados por un grupo conocido como "CEIS" (Centro Esotérico de Investigaciones), cuyos dirigentes, según denunciaban, lograban un cambio total de la personalidad de los adeptos, haciéndoles perder sus lazos con familiares y amigos, incitándoles a la prostitución y a otras actividades encaminadas a la obtención de dinero para la organización. La Dirección General expresada, infiltró a un funcionario contratado, Antonio Tarrida Viñas, el referido grupo CEIS para comprobar la veracidad de las denuncias y, posteriormente, y a la vista de los resultados, puso los hechos en conocimiento del Fiscal Jefe de la Audiencia Territorial de Barcelona, quien remitió dicha denuncia y demás documentación a la autoridad judicial. A raíz de ello, el Juzgado de Instrucción núm. 6 de Barcelona incoó las diligencias previas núm. 2.830/84, transformadas luego en sumario núm. 88/84, dictando Autos por los que se autorizaba la entrada y registro en varios domicilios, cumplimentados el 20 de junio de 1993 por funcionarios de la policía autónoma, que tras incautar distintos objetos y efectos, detuvieron a numerosas personas entre las que figuraban los siete demandantes en amparo, que fueron puestas a disposición judicial. </w:t>
      </w:r>
    </w:p>
    <w:p w:rsidR="008107C7" w:rsidRDefault="008107C7" w:rsidP="008107C7">
      <w:pPr>
        <w:pStyle w:val="TextoNormal"/>
      </w:pPr>
      <w:r>
        <w:t xml:space="preserve">B) A resultas de las indicaciones de Antonio Tarrida Viñas -apoyado por el Fiscal-, según las cuales existía riesgo de reacciones imprevisibles, inclusive de suicidio por parte de los adeptos de la secta si eran puestos en libertad, el Juez de Guardia puso en libertad provisional, entre otros, a los recurrentes, ordenando verbalmente la entrega de las personas que habían quedado en libertad provisional a sus respectivas familias, al tiempo que les sugería la conveniencia de ingresarlas en un centro psiquiátrico para devolverles su estabilidad emocional, manteniendo sin embargo, el carácter voluntario del ingreso cuando los afectados fueran mayores de edad. Esta orden verbal fue reiterada mediante providencia de 26 de junio de 1984. </w:t>
      </w:r>
    </w:p>
    <w:p w:rsidR="008107C7" w:rsidRDefault="008107C7" w:rsidP="008107C7">
      <w:pPr>
        <w:pStyle w:val="TextoNormal"/>
      </w:pPr>
      <w:r>
        <w:t xml:space="preserve">Los recurrentes en amparo fueron trasladados de nuevo a la Dirección General de Seguridad Ciudadana y desde allí, el 21 de junio de 1984, conducidos en vehículos del Parque Móvil de la Generalidad y acompañados por miembros de la policía autónoma a un hotel -Can Rafael- situado en Corvera de Llobregat a 30 km. de Barcelona, donde les esperaban congregados sus familiares, a los que se entregó documentación oficial acreditativa de la situación personal en la que quedaban los recurrentes, y los miembros de la Asociación Pro Juventud. En el citado hotel se habían reservado, desde el mes de mayo, varias habitaciones en las que instalaron a los recurrentes, y en el que permanecieron sin salir durante los tres </w:t>
      </w:r>
      <w:r>
        <w:lastRenderedPageBreak/>
        <w:t xml:space="preserve">primeros días, sometidos a vigilancia por personas contratadas. Las ventanas de las habitaciones habían sido tapadas con listones de madera y también habían sido retirados los espejos. Durante su estancia en el hotel, los recurrentes fueron sometidos a un proceso de desprogramación y fueron interrogados por Carlos Torras, Subdirector General de Seguridad Ciudadana asistido por Antonio Tarrida Viñas, en presencia de un Abogado que no habían designado. El día 30 de junio de 1984, los recurrentes abandonaron el hotel. </w:t>
      </w:r>
    </w:p>
    <w:p w:rsidR="008107C7" w:rsidRDefault="008107C7" w:rsidP="008107C7">
      <w:pPr>
        <w:pStyle w:val="TextoNormal"/>
      </w:pPr>
      <w:r>
        <w:t xml:space="preserve">C) Al recobrar su libertad, interpusieron querella criminal contra Antonio Tarrida Viñas, Carlos Torrás Rovira y Luis Renau Folch, este último Director General de Seguridad Ciudadana, acusándoles de detención ilegal, de delitos contra el ejercicio de los derechos de las personas, de falsedad en documento público, malversación, usurpación de funciones y apropiación indebida. El Fiscal formuló también acusación por detención ilegal contra las mismas personas. Instruida la causa por el Juzgado de Instrucción núm. 5 de Barcelona, fue remitida para su enjuiciamiento con el núm. 77/84, a la Sección Sexta de la Audiencia Provincial de Barcelona. Mediante Sentencia de 7 de marzo de 1990, la Sala absolvió a los acusados de todos los delitos que se les imputaban, esencialmente y en relación al delito de detención ilegal, por apreciar que el móvil que guió su actuación fue filantrópico, legítimo y bien intencionado, y no se trató de privarles de su libertad por lo que no hay términos hábiles que permitan encuadrar el proceder de los acusados en la tipicidad penal base de la acusación mantenida (Sentencia del T.S. 24 octubre 1978). </w:t>
      </w:r>
    </w:p>
    <w:p w:rsidR="008107C7" w:rsidRDefault="008107C7" w:rsidP="008107C7">
      <w:pPr>
        <w:pStyle w:val="TextoNormal"/>
      </w:pPr>
      <w:r>
        <w:t xml:space="preserve">Además, precisó que los acusados no tuvieron un conocimiento preciso y exacto de los hechos tal y como posteriormente se desarrollaron. </w:t>
      </w:r>
    </w:p>
    <w:p w:rsidR="008107C7" w:rsidRDefault="008107C7" w:rsidP="008107C7">
      <w:pPr>
        <w:pStyle w:val="TextoNormal"/>
      </w:pPr>
      <w:r>
        <w:t>D) Tanto el Ministerio Fiscal como los recurrentes en amparo, interpusieron sendos recursos de casación que fueron tramitados con el núm. de rollo 4.406/90 por la Sala Segunda del Tribunal Supremo que dictó Sentencia de 23 de marzo de 1993 -notificada el 19 de abril del mismo año- declarando no haber lugar a los recursos interpuestos y condenando a la acusación particular al pago de las costas.</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La demanda de amparo alega múltiples vulneraciones de derechos fundamentales, de manera un tanto confusa y asistemática, pudiendo señalarse las siguientes: </w:t>
      </w:r>
    </w:p>
    <w:p w:rsidR="008107C7" w:rsidRDefault="008107C7" w:rsidP="008107C7">
      <w:pPr>
        <w:pStyle w:val="TextoNormal"/>
      </w:pPr>
      <w:r>
        <w:t xml:space="preserve">A) La del derecho a la libertad religiosa y de culto, garantizada por el art. 16 C.E., por el hecho de que a los recurrentes, todos ellos mayores de edad, se les sometiera, según se declara probado en la Sentencia de la Audiencia Provincial, a un proceso de desprogramación no aceptado voluntariamente. La supuesta finalidad de devolverlos a un estado de normalidad, no puede servir, según manifiestan, para coartar su opción religiosa, máxime cuando las acusaciones de alterar la personalidad de los asociados, dirigidas a la secta CEIS, no habían sido declaradas probadas por ningún Tribunal de Justicia. La imposición de un tratamiento de desprogramación a personas adultas carece, en una sociedad democrática, de toda justificación. No es posible ayudar a alguien en contra su voluntad, y en este punto es irrelevante la opinión de los familiares, por lo que, según los recurrentes, fueron víctimas de un delito del art. 205 del Código Penal al haber sido forzados a no profesar una creencia religiosa o a mudar la que profesaban, además de un delito del art. 194 del Código penal al serles impedido el ejercicio de sus derechos civiles. La demanda de amparo, refuerza estas afirmaciones, con base en consideraciones de carácter jurídico penal, concluyendo que los Tribunales debieron condenar a los querellados. </w:t>
      </w:r>
    </w:p>
    <w:p w:rsidR="008107C7" w:rsidRDefault="008107C7" w:rsidP="008107C7">
      <w:pPr>
        <w:pStyle w:val="TextoNormal"/>
      </w:pPr>
      <w:r>
        <w:t xml:space="preserve">B) La vulneración de su derecho a la libertad garantizado por el art. 17 C.E. </w:t>
      </w:r>
    </w:p>
    <w:p w:rsidR="008107C7" w:rsidRDefault="008107C7" w:rsidP="008107C7">
      <w:pPr>
        <w:pStyle w:val="TextoNormal"/>
      </w:pPr>
      <w:r>
        <w:t xml:space="preserve">Señalan más específicamente, que a pesar de haber acordado el Juez su libertad provisional fueron trasladados, en contra de su voluntad, hasta el Hotel donde permanecieron </w:t>
      </w:r>
      <w:r>
        <w:lastRenderedPageBreak/>
        <w:t xml:space="preserve">retenidos en habitaciones con las ventanas tapadas, durante un plazo que superaba ampliamente el máximo para ser puesto en libertad o a disposición de la autoridad judicial. Añaden que, su detención, no era necesaria para esclarecer los hechos, ni habían sido declarados incapaces o enajenados con anterioridad. No fueron informados de sus derechos, ni se les permitió ser asistidos por un Abogado, ni hubo un informe psiquiátrico que determinara la existencia de trastornos en la personalidad que supuestamente padecían. Citaron la STC 96/1986 y la doctrina del T.E.D.H. (caso "G", 6 noviembre de 1980), para afirmar que no existen situaciones intermedias entre la detención y la libertad. </w:t>
      </w:r>
    </w:p>
    <w:p w:rsidR="008107C7" w:rsidRDefault="008107C7" w:rsidP="008107C7">
      <w:pPr>
        <w:pStyle w:val="TextoNormal"/>
      </w:pPr>
      <w:r>
        <w:t xml:space="preserve">C) La vulneración del derecho a circular libremente por el territorio nacional, y entrar y salir libremente de España sin limitación por motivos ideológicos, establecido en el art. 19 C.E. se habría producido al ser arbitrariamente privados de su libertad. El derecho a la tutela judicial efectiva garantizado por el art. 24.1 C.E. resulta infringido por cuanto no han obtenido la tutela de los Tribunales que cifra en una Sentencia condenatoria frente a las vulneraciones de sus derechos fundamentales, cometidas por los funcionarios querellados, que resultaron absueltos. Señalan los recurrentes que su privación de libertad no obedecía a ninguna de las causas previstas en el art. 5 del Convenio Europeo de Derechos Humanos, y que no fueron puestos a disposición de ninguna autoridad judicial, ni fueron resarcidos por la ilegalidad de su detención como exige esta disposición ni se les permitió recurrir o solicitar la definición de su situación, por lo que consideran que su detención fue una arbitrariedad contraria al art. 9.3 C.E., sin que el criterio personal de los funcionarios querellados de que existía un riesgo de suicidio, pueda servir para justificar la conducta denunciada. Cita la doctrina del T.E.D.H. contenida en diversas resoluciones (casos Winterwerp, Jeng, Bajet y Van den Brink, para concluir que las limitaciones al derecho proclamado en el art. 5 del Convenio deberán interpretarse en forma restrictiva, precisando, por otra parte, las características que debe reunir la autoridad ante la que deben presentarse los detenidos). </w:t>
      </w:r>
    </w:p>
    <w:p w:rsidR="008107C7" w:rsidRDefault="008107C7" w:rsidP="008107C7">
      <w:pPr>
        <w:pStyle w:val="TextoNormal"/>
      </w:pPr>
      <w:r>
        <w:t xml:space="preserve">D) La vulneración de un derecho a un proceso con todas las garantías, recogido en el art. 24.2 C.E. por cuanto carecieron de asistencia letrada durante las diligencias y durante el período que estuvieron privados de libertad sin ser informados de la existencia de una acusación contra ellos, ni de los derechos a no declarar contra si mismos. El abogado que estuvo presente, cuando declararon ante el Subdirector General de Seguridad Ciudadana, no fue libremente designado, por lo cual, consideran que se ha vulnerado también los arts. 14.3.1 del Pacto Internacional de Derechos Humanos y Libertades Fundamentales, 6.3 c) del Convenio Europeo de Derechos Humanos y la doctrina del Tribunal Constitucional (STC de 24 de julio de 1981). </w:t>
      </w:r>
    </w:p>
    <w:p w:rsidR="008107C7" w:rsidRDefault="008107C7" w:rsidP="008107C7">
      <w:pPr>
        <w:pStyle w:val="TextoNormal"/>
      </w:pPr>
      <w:r>
        <w:t>La demanda de amparo termina solicitando la declaración de nulidad de las Sentencias objeto de recurso, y la condena a los funcionarios en su día denunciados, a indemnizar a los demandantes en la cantidad de cinco millones de pesetas con carácter solidario, declarando también la responsabilidad civil subsidiaria de la Generalidad de Cataluña.</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Mediante providencia de fecha 7 de febrero de 1993, la Sección acordó admitir a trámite la demanda, y en aplicación de lo dispuesto en el art. 51 de la LOTC, dirigir atenta comunicación a la Sala Segunda del Tribunal Supremo, y a la Sección Sexta de la Audiencia Provincial de Barcelona, para que en plazo no superior a diez días remitieran certificación o fotocopia adverada de las actuaciones correspondientes, debiendo emplazar previamente a quienes hubieran sido parte en el procedimiento antecedente, con excepción del recurrente en amparo, a fin de que en el término de diez días pudieran comparecer en el procedimiento de amparo para defender sus derechos, con exclusión de quienes quisieran coadyuvar con la parte recurrente o formular cualquier impugnación y les hubiera transcurrido el plazo para </w:t>
      </w:r>
      <w:r>
        <w:lastRenderedPageBreak/>
        <w:t>recurrir. Todo ello condicionado a la aportación por la Procuradora de los recurrentes del correspondiente poder notarial, otorgado por los mismos.</w:t>
      </w:r>
    </w:p>
    <w:p w:rsidR="008107C7" w:rsidRDefault="008107C7" w:rsidP="008107C7">
      <w:pPr>
        <w:pStyle w:val="TextoNormal"/>
      </w:pPr>
    </w:p>
    <w:p w:rsidR="008107C7" w:rsidRDefault="008107C7" w:rsidP="008107C7">
      <w:pPr>
        <w:pStyle w:val="TextoNormal"/>
      </w:pPr>
      <w:r w:rsidRPr="008107C7">
        <w:rPr>
          <w:rStyle w:val="NumeroAFNegritaCaracter"/>
        </w:rPr>
        <w:t>5</w:t>
      </w:r>
      <w:r>
        <w:t xml:space="preserve">. En virtud de providencia de fecha 7 de abril de 1994, la Sección acordó tener por personado y parte en el procedimiento, al Procurador don Antonio Francisco García Díaz , en nombre y representación de don Carlos Torras Rovira, don Luis Renau Folch, y don Antonio Tarrida Viñas, quienes lo solicitaron mediante escrito de fecha 20 de marzo de 1994, así como a la Generalidad de Cataluña representada por sus servicios jurídicos, que lo solicitó mediante escrito registrado en este Tribunal el 16 de marzo de 1994. </w:t>
      </w:r>
    </w:p>
    <w:p w:rsidR="008107C7" w:rsidRDefault="008107C7" w:rsidP="008107C7">
      <w:pPr>
        <w:pStyle w:val="TextoNormal"/>
      </w:pPr>
      <w:r>
        <w:t>También se acordó acusar recibo de las actuaciones a los órganos remitentes y dar vista de las mismas por plazo común de veinte días, para formular alegaciones, a las partes personadas y al Ministerio Fiscal.</w:t>
      </w:r>
    </w:p>
    <w:p w:rsidR="008107C7" w:rsidRDefault="008107C7" w:rsidP="008107C7">
      <w:pPr>
        <w:pStyle w:val="TextoNormal"/>
      </w:pPr>
    </w:p>
    <w:p w:rsidR="008107C7" w:rsidRDefault="008107C7" w:rsidP="008107C7">
      <w:pPr>
        <w:pStyle w:val="TextoNormal"/>
      </w:pPr>
      <w:r w:rsidRPr="008107C7">
        <w:rPr>
          <w:rStyle w:val="NumeroAFNegritaCaracter"/>
        </w:rPr>
        <w:t>6</w:t>
      </w:r>
      <w:r>
        <w:t>. Los recurrentes presentaron las suyas el 26 de abril siguiente, ratificando íntegramente lo dicho en el escrito de demanda. Sin embargo, el 14 de marzo de 1996, al no haber cumplimentado el requerimiento de comparecer con nuevo Procurador dada la baja del designado inicialmente, se tuvo, por decaído en su condición de recurrente a don José Víctor Riera Blume, quedando los demás representados por la Procuradora doña Rosario Sánchez Rodríguez.</w:t>
      </w:r>
    </w:p>
    <w:p w:rsidR="008107C7" w:rsidRDefault="008107C7" w:rsidP="008107C7">
      <w:pPr>
        <w:pStyle w:val="TextoNormal"/>
      </w:pPr>
    </w:p>
    <w:p w:rsidR="008107C7" w:rsidRDefault="008107C7" w:rsidP="008107C7">
      <w:pPr>
        <w:pStyle w:val="TextoNormal"/>
      </w:pPr>
      <w:r w:rsidRPr="008107C7">
        <w:rPr>
          <w:rStyle w:val="NumeroAFNegritaCaracter"/>
        </w:rPr>
        <w:t>7</w:t>
      </w:r>
      <w:r>
        <w:t xml:space="preserve">. El Procurador don Antonio Francisco García Díaz, por la representación que tiene conferida, presentó las suyas el 7 de mayo de 1994, negó que existiera contradicción alguna entre la declaración de hechos probados y la fundamentación jurídica de la Sentencia de instancia, insistiendo en la necesidad de contar como hechos probados inalterados e invariables, los de la primera Sentencia. Sostuvo que en ningún momento sus representados cometieron delito de detención ilegal, por lo que ninguna vulneración del art. 17 C.E. se ha producido con su actuación. </w:t>
      </w:r>
    </w:p>
    <w:p w:rsidR="008107C7" w:rsidRDefault="008107C7" w:rsidP="008107C7">
      <w:pPr>
        <w:pStyle w:val="TextoNormal"/>
      </w:pPr>
      <w:r>
        <w:t>Tampoco vulneraron el derecho de los recurrentes a la libertad religiosa, puesto que la secta "CEIS", tiene carácter clandestino y es de dudosa legalidad. A la vista de la falta de voluntad por parte de sus representados de privar de libertad a los recurrentes en amparo, tal y como puso de manifiesto la Sentencia de la Audiencia, no puede entenderse vulnerado el art. 17 C.E., por la circunstancia, también reconocida en la Sentencia, de que la entrega de los mismos, una vez liberados de la secta, se produjo, no en las dependencias policiales, sino en un Hostal situado en las afueras de Barcelona. Finalmente niega que la actuación de sus representados haya supuesto la vulneración para los recurrentes de su libertad deambulatoria, pues siempre actuaron a instancia de sus familiares y en ningún momento les coaccionaron ni impidieron la libertad de sus movimientos.</w:t>
      </w:r>
    </w:p>
    <w:p w:rsidR="008107C7" w:rsidRDefault="008107C7" w:rsidP="008107C7">
      <w:pPr>
        <w:pStyle w:val="TextoNormal"/>
      </w:pPr>
    </w:p>
    <w:p w:rsidR="008107C7" w:rsidRDefault="008107C7" w:rsidP="008107C7">
      <w:pPr>
        <w:pStyle w:val="TextoNormal"/>
      </w:pPr>
      <w:r w:rsidRPr="008107C7">
        <w:rPr>
          <w:rStyle w:val="NumeroAFNegritaCaracter"/>
        </w:rPr>
        <w:t>8</w:t>
      </w:r>
      <w:r>
        <w:t xml:space="preserve">. Por su parte la Generalidad de Cataluña, contestó la demanda, que calificó de temeraria, el 4 de mayo de 1994, para interesar su desestimación. </w:t>
      </w:r>
    </w:p>
    <w:p w:rsidR="008107C7" w:rsidRDefault="008107C7" w:rsidP="008107C7">
      <w:pPr>
        <w:pStyle w:val="TextoNormal"/>
      </w:pPr>
      <w:r>
        <w:t>La Generalidad sostuvo que los recurrentes confundieron en su demanda los límites de la jurisdicción constitucional y la ordinaria. Parte de una declaración de hechos probados que no coincide con la contenida en la Sentencia recurrida y además, discute desde el marco jurídico- constitucional, la valoración jurídico penal de esos hechos, su calificación e incluso, la ausencia de tipicidad por no concurrir el elemento subjetivo básico en el delito de detención ilegal.</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9</w:t>
      </w:r>
      <w:r>
        <w:t xml:space="preserve">. El Ministerio Fiscal formuló sus alegaciones el 9 de mayo siguiente. En primer lugar opuso la concurrencia de la causa de inadmisión consistente en la falta de agotamiento de la vía previa. En la demanda de amparo se alegaron violaciones de derechos fundamentales (libertad individual, de circulación, o ideológica), en un proceso penal dirigido no contra titulares de tales derechos sino contra las personas que fueron absueltas en aquel de delitos como falsedad, malversación, apropiación indebida, torturas, detención ilegal, y privación de derechos cívicos. Si los derechos fundamentales alegados se consideran vulnerados por la Sentencia absolutoria, se habría cumplido con el requisito formal de agotamiento de la vía previa pero se habría eludido la finalidad intrínseca del recurso de amparo, que es la reparación del derecho fundamental y ésta no se satisface con una simple declaración de derechos, ni con la condena de los recurridos, de difícil inserción técnica en el fallo de un proceso constitucional. Solamente podría entenderse vulnerado por el fallo absolutorio el derecho a la tutela judicial efectiva si el razonamiento contenido en la Sentencia fuera arbitrario o ilógico. Si por contra se entiende que la violación de derechos fundamentales no proviene de un fallo absolutorio para los acusados de detención ilegal o de violación de esos mismos derechos, no se habría agotado la vía judicial antes de acudir al amparo constitucional, pues el proceso previo debió pasar por la petición de habeas corpus, interesando del Juez la puesta en libertad de los detenidos, el recurso contencioso-administrativo, subsiguiente al expediente administrativo de ingreso de los miembros de la secta, y en último término el correspondiente proceso penal habido contra los dirigentes de la referida organización, al estimarse delictiva la conducta llevada por éstos a cabo, en el ejercicio de derechos fundamentales como las libertades ideológicas y religiosa. </w:t>
      </w:r>
    </w:p>
    <w:p w:rsidR="008107C7" w:rsidRDefault="008107C7" w:rsidP="008107C7">
      <w:pPr>
        <w:pStyle w:val="TextoNormal"/>
      </w:pPr>
      <w:r>
        <w:t xml:space="preserve">En cuanto al fondo del asunto, solicitó la desestimación de la demanda y calificó de meramente retórica la invocación de violación del art. 19 C.E., derecho a la libertad de circulación por el territorio nacional, pues en todo caso estaría incluida en la del art. 17 C.E., que analiza posteriormente. </w:t>
      </w:r>
    </w:p>
    <w:p w:rsidR="008107C7" w:rsidRDefault="008107C7" w:rsidP="008107C7">
      <w:pPr>
        <w:pStyle w:val="TextoNormal"/>
      </w:pPr>
      <w:r>
        <w:t xml:space="preserve">La denunciada infracción del derecho a la tutela judicial efectiva siempre se refiere a la interpretación de la normativa aplicada seguida por los Tribunales que condujo a la exculpación de los denunciados, sin alegar ningún defecto intrínseco de las Sentencias en sí mismo consideradas (falta de motivación, incongruencia, arbitrariedad o irrazonabilidad), por lo que debe rechazarse. </w:t>
      </w:r>
    </w:p>
    <w:p w:rsidR="008107C7" w:rsidRDefault="008107C7" w:rsidP="008107C7">
      <w:pPr>
        <w:pStyle w:val="TextoNormal"/>
      </w:pPr>
      <w:r>
        <w:t xml:space="preserve">En relación a la posible vulneración del art. 16 C.E., derecho a la libertad ideológica y religiosa, manifiesta el Fiscal que no cabe amparar en sede constitucional conductas delictivas (explotación para la Secta de los beneficios derivados del ejercicio de la prostitución), como las que se desarrollaban en CEIS según se recoge en el fundamento jurídico 5º de la Sentencia de la Audiencia, que en sí mismas constituyen un límite a la libertad que reconoce dicho precepto (art. 16.1 C.E.). </w:t>
      </w:r>
    </w:p>
    <w:p w:rsidR="008107C7" w:rsidRDefault="008107C7" w:rsidP="008107C7">
      <w:pPr>
        <w:pStyle w:val="TextoNormal"/>
      </w:pPr>
      <w:r>
        <w:t xml:space="preserve">Respecto de la queja constitucional fundada en el art. 17 C.E., por privación de libertad, recuerda la doctrina del ATC 228/1987, en el sentido de que el ciudadano al que se vulneren derechos fundamentales no adquiere un derecho subjetivo a obtener la condena penal del autor de la lesión, ni menos puede alegar en sede constitucional, como lesión del derecho fundamental, la falta de condena penal, y ello porque la calificación de unos hechos como delito o falta solo pude producirse tras el examen de los elementos del delito, y solo son competentes para ello, los Tribunales de Justicia. Por otra parte, el recurso de amparo se dirige al restablecimiento del derecho vulnerado y a la adopción de las medidas necesarias para su conservación, sin que su ámbito pueda extenderse mas allá. </w:t>
      </w:r>
    </w:p>
    <w:p w:rsidR="008107C7" w:rsidRDefault="008107C7" w:rsidP="008107C7">
      <w:pPr>
        <w:pStyle w:val="TextoNormal"/>
      </w:pPr>
      <w:r>
        <w:t xml:space="preserve">El propio art. 17.1 C.E. limita el derecho que garantiza, "en los casos y formas previstos en la ley", y si bien es evidente que los denunciados adoptaron la medida de internar a los </w:t>
      </w:r>
      <w:r>
        <w:lastRenderedPageBreak/>
        <w:t xml:space="preserve">recurrentes tras acordarse por el Juez su libertad, no lo es menos, como se destaca en las Sentencias, que se hizo por razones de urgencia ante el temor fundado de que se produjeran agresiones o incluso un suicidio colectivo, cuando conocieran los recurrentes la detención de otros miembros de la misma secta. </w:t>
      </w:r>
    </w:p>
    <w:p w:rsidR="008107C7" w:rsidRDefault="008107C7" w:rsidP="008107C7">
      <w:pPr>
        <w:pStyle w:val="TextoNormal"/>
      </w:pPr>
      <w:r>
        <w:t xml:space="preserve">Además también se recuerda que el internamiento fue tomado de común acuerdo con sus familiares y que los recurrentes fingieron someterse voluntariamente al mismo. </w:t>
      </w:r>
    </w:p>
    <w:p w:rsidR="008107C7" w:rsidRDefault="008107C7" w:rsidP="008107C7">
      <w:pPr>
        <w:pStyle w:val="TextoNormal"/>
      </w:pPr>
      <w:r>
        <w:t>En cualquier caso, las Sentencias dictadas están razonadas, y no solo no son arbitrarias sino que analizan con detalle los elementos del tipo y la concurrencias de todas las circunstancias. Así llegaron ambas a la conclusión de que no existió delito alguno, pues no fue intención de los acusados privar de libertad a los recurrentes, sino evitarles la causación de un mal.</w:t>
      </w:r>
    </w:p>
    <w:p w:rsidR="008107C7" w:rsidRDefault="008107C7" w:rsidP="008107C7">
      <w:pPr>
        <w:pStyle w:val="TextoNormal"/>
      </w:pPr>
    </w:p>
    <w:p w:rsidR="008107C7" w:rsidRDefault="008107C7" w:rsidP="008107C7">
      <w:pPr>
        <w:pStyle w:val="TextoNormal"/>
      </w:pPr>
      <w:r w:rsidRPr="008107C7">
        <w:rPr>
          <w:rStyle w:val="NumeroAFNegritaCaracter"/>
        </w:rPr>
        <w:t>10</w:t>
      </w:r>
      <w:r>
        <w:t>. Mediante providencia de fecha 6 de marzo de 1997, se señaló, para deliberación y votación de la presente Sentencia, el día 10 delmismo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Constituye el objeto del presente recurso de amparo la Sentencia absolutoria dictada por la Audiencia Provincial de Barcelona el 7 de marzo de 1990 en el sumario núm 77/84, que fue confirmada por el Tribunal Supremo, mediante nueva Sentencia de 23 de marzo de 1993.</w:t>
      </w:r>
    </w:p>
    <w:p w:rsidR="008107C7" w:rsidRDefault="008107C7" w:rsidP="008107C7">
      <w:pPr>
        <w:pStyle w:val="TextoNormal"/>
      </w:pPr>
      <w:r>
        <w:t>En virtud de estas resoluciones quedaron sin sanción penal los hechos declarados probados en las mismas, protagonizados por funcionarios y colaboradores de la Generalidad de Cataluña descritos en el antecedente segundo de esta resolución, hechos que, en virtud de lo dispuesto en el art.  44.1 b) de la LOTC, no pueden ser objeto de revisión en sede constitucional.</w:t>
      </w:r>
    </w:p>
    <w:p w:rsidR="008107C7" w:rsidRDefault="008107C7" w:rsidP="008107C7">
      <w:pPr>
        <w:pStyle w:val="TextoNormal"/>
      </w:pPr>
      <w:r>
        <w:t>En esa falta de protección penal, cifran los demandantes la vulneración de los derechos a un proceso con todas las garantías (art. 24.2 C.E.), a la tutela judicial efectiva (art. 24.1 C.E.), a la libre circulación por el territorio nacional (art. 19 C.E.), y los de libertad personal (art. 17 C.E.), ideológica, religiosa y de conciencia (art. 16 C.E.), por lo que solicitan la anulación de las aludidas Sentencias absolutorias.</w:t>
      </w:r>
    </w:p>
    <w:p w:rsidR="008107C7" w:rsidRDefault="008107C7" w:rsidP="008107C7">
      <w:pPr>
        <w:pStyle w:val="TextoNormal"/>
      </w:pPr>
    </w:p>
    <w:p w:rsidR="008107C7" w:rsidRDefault="008107C7" w:rsidP="008107C7">
      <w:pPr>
        <w:pStyle w:val="TextoNormal"/>
      </w:pPr>
      <w:r w:rsidRPr="008107C7">
        <w:rPr>
          <w:rStyle w:val="NumeroAFNegritaCaracter"/>
        </w:rPr>
        <w:t>2</w:t>
      </w:r>
      <w:r>
        <w:t>. Antes de entrar en el análisis de las distintas cuestiones planteadas, resulta obligado dar respuesta a la alegación del Ministerio Fiscal relativa a la posible concurrencia de una causa de inadmisión, consistente en la falta de agotamiento de la vía judicial previa por los recurrentes, antes de acudir al amparo constitucional.</w:t>
      </w:r>
    </w:p>
    <w:p w:rsidR="008107C7" w:rsidRDefault="008107C7" w:rsidP="008107C7">
      <w:pPr>
        <w:pStyle w:val="TextoNormal"/>
      </w:pPr>
      <w:r>
        <w:t>En síntesis, el Ministerio Público, no estima útil, a los efectos de conseguir una reparación plena del derecho supuestamente vulnerado, la denuncia de los hechos ante los Jueces penales, pues debió haberse intentado, bien el procedimiento de habeas corpus, o el contencioso- administrativo subsiguiente al correspondiente expediente administrativo de internamiento de los miembros de la secta.</w:t>
      </w:r>
    </w:p>
    <w:p w:rsidR="008107C7" w:rsidRDefault="008107C7" w:rsidP="008107C7">
      <w:pPr>
        <w:pStyle w:val="TextoNormal"/>
      </w:pPr>
      <w:r>
        <w:t>Nuestra jurisprudencia, si bien ha reconocido que el titular del derecho fundamental puede elegir la vía de reacción más conveniente contra las vulneraciones del mismo (SSTC 90/1985, fundamento jurídico 5º; 98/1986, fundamento jurídico 1º; 160/1991, fundamentos jurídicos 2º y 5º y 31/1996, fundamento jurídico 9º), también ha precisado que ello ha de entenderse "sin perjuicio, claro está, de las posibilidades que cada orden jurisdiccional ofrece" (STC 31/1996).</w:t>
      </w:r>
    </w:p>
    <w:p w:rsidR="008107C7" w:rsidRDefault="008107C7" w:rsidP="008107C7">
      <w:pPr>
        <w:pStyle w:val="TextoNormal"/>
      </w:pPr>
      <w:r>
        <w:lastRenderedPageBreak/>
        <w:t>Por lo tanto, resolver la cuestión planteada por el Ministerio Fiscal requeriría determinar cuáles son esas posibilidades en el orden jurisdiccional penal. Pero, en el presente caso no es necesario hacerlo, pues lo que aquí se impugna no es la actuación administrativa, sino las resoluciones judiciales.  Por tanto, el problema no es, ni puede ser, el de si se ha elegido o no la vía judicial procedente (art. 43.1 LOTC); sino el de si se han agotado los recursos utilizables en la vía judicial elegida [art.  44.1 a)], cosa que ni ha sido discutida, ni podría serlo, dado que los recurrentes llegaron en su empeño hasta la más alta instancia judicial, el Tribunal Supremo, que conoció del asunto en casación.</w:t>
      </w:r>
    </w:p>
    <w:p w:rsidR="008107C7" w:rsidRDefault="008107C7" w:rsidP="008107C7">
      <w:pPr>
        <w:pStyle w:val="TextoNormal"/>
      </w:pPr>
    </w:p>
    <w:p w:rsidR="008107C7" w:rsidRDefault="008107C7" w:rsidP="008107C7">
      <w:pPr>
        <w:pStyle w:val="TextoNormal"/>
      </w:pPr>
      <w:r w:rsidRPr="008107C7">
        <w:rPr>
          <w:rStyle w:val="NumeroAFNegritaCaracter"/>
        </w:rPr>
        <w:t>3</w:t>
      </w:r>
      <w:r>
        <w:t>. El objetivo principal pretendido por los recurrentes mediante la interposición del recurso de amparo, según expresamente se solicita en el suplico de la demanda, es la declaración de nulidad de las Sentencias impugnadas, recaídas en el seno de un proceso penal y que tienen el triple carácter de ser firmes, de fondo y absolutorias, para que se dicte una nueva Sentencia "con arreglo a Derecho". Además también se solicita que este Tribunal Constitucional condene a los en su día denunciados, a satisfacer en forma solidaria, la cantidad de cinco millones de pesetas, declarando la responsabilidad civil subsidiaria de la Generalidad de Cataluña, todo ello como consecuencia de la alegada vulneración de los distintos derechos fundamentales invocados.</w:t>
      </w:r>
    </w:p>
    <w:p w:rsidR="008107C7" w:rsidRDefault="008107C7" w:rsidP="008107C7">
      <w:pPr>
        <w:pStyle w:val="TextoNormal"/>
      </w:pPr>
      <w:r>
        <w:t>Planteada la cuestión en tales términos, para poder llegar a resolverla es preciso esclarecer previamente las relaciones entre jurisdicción constitucional de amparo y jurisdicción penal. Pues bien: el hecho innegable de que la pena puede erigirse en medio de tutela de los derechos fundamentales, cuando la vulneración frente a la que se solicita dicha tutela sea constitutiva de infracción criminal, basta para entender que, como concluíamos anteriormente, agotados todos los recursos utilizables en el proceso penal, se ha cumplido el requisito que el art. 44.1 a) de la LOTC exige para que pueda solicitarse el amparo constitucional.</w:t>
      </w:r>
    </w:p>
    <w:p w:rsidR="008107C7" w:rsidRDefault="008107C7" w:rsidP="008107C7">
      <w:pPr>
        <w:pStyle w:val="TextoNormal"/>
      </w:pPr>
      <w:r>
        <w:t>Pero, por sí sólo, ni supone que exista un derecho fundamental a obtener la condena penal de otra persona, ni hace posible que el Tribunal Constitucional ampare las presuntas lesiones de los derechos fundamentales anulando Sentencias de fondo absolutorias y firmes dictadas por la jurisdicción penal en el ejercicio de sus competencias. Las cuestiones que se suscitan al respecto son, pues, dos, por más que se hallen estrechamente relacionadas: la de si el contenido de los derechos fundamentales sustantivos comprende las pretensiones de tutela penal en caso de vulneración de los mismos y la de si la Sentencia penal firme, que absuelve en el fondo definitivamente al acusado, puede resultar anulada en el proceso constitucional. Por consiguiente, es preciso analizarlas separadamente para poder solventar la problemática planteada en el presente recurso.</w:t>
      </w:r>
    </w:p>
    <w:p w:rsidR="008107C7" w:rsidRDefault="008107C7" w:rsidP="008107C7">
      <w:pPr>
        <w:pStyle w:val="TextoNormal"/>
      </w:pPr>
    </w:p>
    <w:p w:rsidR="008107C7" w:rsidRDefault="008107C7" w:rsidP="008107C7">
      <w:pPr>
        <w:pStyle w:val="TextoNormal"/>
      </w:pPr>
      <w:r w:rsidRPr="008107C7">
        <w:rPr>
          <w:rStyle w:val="NumeroAFNegritaCaracter"/>
        </w:rPr>
        <w:t>4</w:t>
      </w:r>
      <w:r>
        <w:t>. Dilucidar si el contenido de los derechos fundamentales comprende la tutela que puede obtenerse a través de la concreta imposición de la pena en caso de vulneración de los mismos requiere un análisis de nuestra jurisprudencia al respecto.</w:t>
      </w:r>
    </w:p>
    <w:p w:rsidR="008107C7" w:rsidRDefault="008107C7" w:rsidP="008107C7">
      <w:pPr>
        <w:pStyle w:val="TextoNormal"/>
      </w:pPr>
      <w:r>
        <w:t>Más allá de lo que pudiera inferirse de algunas resoluciones (SSTC 170/1994 y 78/1995) que al otorgar el amparo por vulneración del derecho al honor anulan la Sentencia absolutoria correspondiente, la doctrina expresa, constante y reiterada de este Tribunal, cada vez que se le ha planteado específicamente el problema, se ha inclinado por la solución negativa (ATC 228/1987, fundamento jurídico 2º; SSTC 147/1985, fundamento jurídico 2º; 83/1989, fundamento jurídico 2º; 157/1990, fundamento jurídico 4º; 31/1996, fundamento jurídico 10; 177/1996, fundamento jurídico 11 y, por último, 199/1996, fundamento jurídico 5º). Como tajantemente afirman estas últimas resoluciones: "la Constitución no otorga ningún derecho a obtener condenas penales".</w:t>
      </w:r>
    </w:p>
    <w:p w:rsidR="008107C7" w:rsidRDefault="008107C7" w:rsidP="008107C7">
      <w:pPr>
        <w:pStyle w:val="TextoNormal"/>
      </w:pPr>
      <w:r>
        <w:lastRenderedPageBreak/>
        <w:t>Este ha de ser, pues, el criterio a aplicar en la resolución del presente caso.</w:t>
      </w:r>
    </w:p>
    <w:p w:rsidR="008107C7" w:rsidRDefault="008107C7" w:rsidP="008107C7">
      <w:pPr>
        <w:pStyle w:val="TextoNormal"/>
      </w:pPr>
      <w:r>
        <w:t>Y no podría ser de otro modo. Pues la tutela penal no se anuda inmediatamente a la realización de cualquier conducta vulneradora de derechos fundamentales; sino que, para que pueda desplegar sus efectos, precisa la mediación de la ley, que es la que define los casos y circunstancias que dan lugar a la estimación del delito y a la aplicación de su consecuencia jurídica, la pena.  La potestad punitiva, en cuanto poder concreto de castigar hechos concretos, nace, pues, de la ley, no de la Constitución.  Y, si bien la Constitución consagra en su art. 25.1 el principio de legalidad, como derecho a no ser condenado ni sancionado sino por acciones u omisiones legalmente previstas, no existe un "principio de legalidad invertido", esto es, un derecho fundamental de la víctima a obtener la condena penal de otro, haya o no vulnerado sus derechos fundamentales, pues éstos son derechos de libertad, e introducir entre ellos la pretensión punitiva supondría alterar radicalmente su sentido.</w:t>
      </w:r>
    </w:p>
    <w:p w:rsidR="008107C7" w:rsidRDefault="008107C7" w:rsidP="008107C7">
      <w:pPr>
        <w:pStyle w:val="TextoNormal"/>
      </w:pPr>
      <w:r>
        <w:t>La doctrina opuesta, según la cual la pretensión punitiva pertenecería al contenido de los derechos fundamentales, llevaría inexorablemente a este Tribunal a tener que apreciar en cada caso si se dan o pueden darse los presupuestos de la imposición de la pena, cuestión que excede del ámbito del proceso de amparo ya que hemos reiterado que son los Tribunales penales los únicos competentes para enjuiciar los hechos presentados por la acusación y la defensa, y para interpretar y aplicar la ley penal (SSTC 89/1983, fundamento jurídico 3º, 83/1989, fundamento jurídico 2º, 128/1995, fundamento jurídico 4º, 31/1996, fundamento jurídico 10, y 199/1996, fundamento jurídico 5º).</w:t>
      </w:r>
    </w:p>
    <w:p w:rsidR="008107C7" w:rsidRDefault="008107C7" w:rsidP="008107C7">
      <w:pPr>
        <w:pStyle w:val="TextoNormal"/>
      </w:pPr>
    </w:p>
    <w:p w:rsidR="008107C7" w:rsidRDefault="008107C7" w:rsidP="008107C7">
      <w:pPr>
        <w:pStyle w:val="TextoNormal"/>
      </w:pPr>
      <w:r w:rsidRPr="008107C7">
        <w:rPr>
          <w:rStyle w:val="NumeroAFNegritaCaracter"/>
        </w:rPr>
        <w:t>5</w:t>
      </w:r>
      <w:r>
        <w:t>. En consonancia con ese planteamiento, el Tribunal Constitucional ha configurado el derecho de acción penal esencialmente como un ius ut procedatur, es decir, no como parte de ningún otro derecho fundamental sustantivo, sino, estrictamente, como manifestación específica del derecho a la jurisdicción (SSTC 31/1996, fundamentos jurídicos 10 y 11 y 199/1996, fundamento jurídico 5º, que contienen abundantes referencias a la doctrina anterior), que ha de enjuiciarse en sede de amparo constitucional desde la perspectiva del art. 24.1 C.E. y al que, desde luego, son aplicables las garantías del 24.2.</w:t>
      </w:r>
    </w:p>
    <w:p w:rsidR="008107C7" w:rsidRDefault="008107C7" w:rsidP="008107C7">
      <w:pPr>
        <w:pStyle w:val="TextoNormal"/>
      </w:pPr>
      <w:r>
        <w:t>La especificidad de esa manifestación del derecho a la jurisdicción viene dada por las peculiares características del proceso penal. Pues en él confluyen dos elementos (el derecho de acción y el derecho material de penar) que, como hemos destacado en diversas ocasiones (SSTC 83/1989, fundamento jurídico 2º; 157/1990, fundamento jurídico 4º; 211/1994, fundamento jurídico 3º y 297/1994, fundamento jurídico 6º) no cabe confundir. Pero tampoco cabe olvidar que la acción penal se entabla para que el Estado, a través de la Jurisdicción, ejerza la potestad punitiva. Esa característica otorga una configuración peculiar a ese ius ut procedatur en que la acción penal consiste.</w:t>
      </w:r>
    </w:p>
    <w:p w:rsidR="008107C7" w:rsidRDefault="008107C7" w:rsidP="008107C7">
      <w:pPr>
        <w:pStyle w:val="TextoNormal"/>
      </w:pPr>
      <w:r>
        <w:t>En efecto: al proceso penal se acude postulando la actuación del poder del Estado en su forma más extrema -la pena criminal-, actuación que implica una profunda injerencia en la libertad del imputado y en el núcleo más "sagrado" de sus derechos fundamentales. Por eso, cada una de sus fases -iniciación (STC 111/1995, fundamento jurídico 3º); imputación judicial (STC 153/1989, fundamento jurídico 6º); adopción de medidas cautelares (STC 108/1994, fundamento jurídico 3º); sentencia condenatoria (SSTC 31/1981, 229/1991 y 259/1994) derecho al recurso (STC 190/1994, fundamento jurídico 2º), etc., se halla sometida a exigencias específicas que garantizan en cada estadio de desarrollo de la pretensión punitiva, e incluso antes de que el mismo proceso penal empiece (STC 109/1986, fundamento jurídico 1º), la presunción de inocencia y las demás garantías constitucionales del imputado.</w:t>
      </w:r>
    </w:p>
    <w:p w:rsidR="008107C7" w:rsidRDefault="008107C7" w:rsidP="008107C7">
      <w:pPr>
        <w:pStyle w:val="TextoNormal"/>
      </w:pPr>
      <w:r>
        <w:lastRenderedPageBreak/>
        <w:t>Y desde la perspectiva inversa, al hecho de que en el proceso penal el derecho de acción sea el instrumento mediante el que se ejercita una potestad pública se anuda, además, una consecuencia específica en sede de amparo constitucional. En efecto: de manera reiterada (ATC 139/1985, fundamento jurídico 2º y SSTC 257/1988, fundamento jurídico 5º; 123/1996, fundamento jurídico 3º y 4º y 211/1996, fundamento jurídico 4º) hemos afirmado que el recurso de amparo "no constituye una vía abierta a los poderes públicos para la defensa de sus actos y de las potestades en que estos se basan sino, justamente, un instrumento para la correcta limitación de tales potestades y para la eventual depuración en defensa de los derechos fundamentales y libertades públicas de los particulares". Doctrina que ha de aplicarse con mayor rigor a los casos en que no es ya que el Estado acuda al proceso para defender sus potestades, sino que -como sucede en el proceso penal- el ejercicio de la potestad punitiva constituye el objeto mismo del proceso.</w:t>
      </w:r>
    </w:p>
    <w:p w:rsidR="008107C7" w:rsidRDefault="008107C7" w:rsidP="008107C7">
      <w:pPr>
        <w:pStyle w:val="TextoNormal"/>
      </w:pPr>
      <w:r>
        <w:t>En conclusión, en el proceso penal las garantías constitucionales de una de las partes -el imputado- adquieren un especial relieve en sede de amparo constitucional, mientras que, como tal, la potestad pública de imponer penas que se ventila en él no es susceptible de ser amparada.</w:t>
      </w:r>
    </w:p>
    <w:p w:rsidR="008107C7" w:rsidRDefault="008107C7" w:rsidP="008107C7">
      <w:pPr>
        <w:pStyle w:val="TextoNormal"/>
      </w:pPr>
    </w:p>
    <w:p w:rsidR="008107C7" w:rsidRDefault="008107C7" w:rsidP="008107C7">
      <w:pPr>
        <w:pStyle w:val="TextoNormal"/>
      </w:pPr>
      <w:r w:rsidRPr="008107C7">
        <w:rPr>
          <w:rStyle w:val="NumeroAFNegritaCaracter"/>
        </w:rPr>
        <w:t>6</w:t>
      </w:r>
      <w:r>
        <w:t>. Esto sentado, cabe abordar el segundo de los problemas a que aludíamos en el fundamento jurídico 3º, a saber, el de si las Sentencias penales de fondo, firmes y absolutorias pueden anularse en vía de amparo constitucional.</w:t>
      </w:r>
    </w:p>
    <w:p w:rsidR="008107C7" w:rsidRDefault="008107C7" w:rsidP="008107C7">
      <w:pPr>
        <w:pStyle w:val="TextoNormal"/>
      </w:pPr>
      <w:r>
        <w:t>Para resolverlo, procede comenzar precisando que la jurisdicción penal sólo entra a conocer las cuestiones civiles, administrativas o constitucionales a los meros efectos de la represión (art. 3 L.E.Crim.). De modo que las decisiones que, al absolver, adopta respecto a derechos fundamentales de las partes acusadoras o cualesquiera otros temas distintos del castigo, ni causan ejecutoria, por no tener el valor de cosa juzgada, ni prejuzgan ni entorpecen la decisión que, en su caso, haya de adoptarse por la jurisdicción competente en el orden no represivo. En consecuencia, en modo alguno representan ninguna resolución sobre los derechos fundamentales sustantivos de quienes ejercen la acusación; sino que, desde esa perspectiva, son razonamientos que, de ser contrarios a la Constitución, podrían ser corregidos por este Tribunal (STC 177/1996, fundamento jurídico 11).</w:t>
      </w:r>
    </w:p>
    <w:p w:rsidR="008107C7" w:rsidRDefault="008107C7" w:rsidP="008107C7">
      <w:pPr>
        <w:pStyle w:val="TextoNormal"/>
      </w:pPr>
      <w:r>
        <w:t>A ello conviene añadir una segunda precisión, y es la de que, ante la jurisdicción ordinaria, que es la naturalmente llamada a resolver sobre el ejercicio de la acción penal, no cabe ningún remedio contra tales Sentencias, hallándose, incluso, proscrito el recurso extraordinario de revisión.</w:t>
      </w:r>
    </w:p>
    <w:p w:rsidR="008107C7" w:rsidRDefault="008107C7" w:rsidP="008107C7">
      <w:pPr>
        <w:pStyle w:val="TextoNormal"/>
      </w:pPr>
      <w:r>
        <w:t>En efecto, la L.E. Crim., en los arts. 954 y ss. sólo admite el recurso de revisión en favor del reo, a semejanza de otros ordenamientos continentales.  Que esta decisión legislativa es fruto de consideraciones constitucionales, profundamente arraigadas en el respeto a los derechos fundamentales y al valor superior de la libertad, lo pone de manifiesto el simple dato de que en la V enmienda de la Constitución norteamericana se consigna la interdicción de someter al reo a un doble juicio penal (double jeopardy). Las razones que en aquel país se aducen como fundamento de esa interdicción son semejantes a las que el legislador español avanzaba, en la Exposición de Motivos de la L.E.  Crim., para justificar la proscripción de la absolución en la instancia, cuyo significado es análogo al de la prohibición de la revisión "contra reo": evitar que el ciudadano sea "víctima de la impotencia o del egoísmo del Estado", evitarle las "vejaciones" que resultarían de una situación de permanente inseguridad y, en fin, no dispensarle un trato incompatible con la condición de "ciudadano de un pueblo libre".</w:t>
      </w:r>
    </w:p>
    <w:p w:rsidR="008107C7" w:rsidRDefault="008107C7" w:rsidP="008107C7">
      <w:pPr>
        <w:pStyle w:val="TextoNormal"/>
      </w:pPr>
      <w:r>
        <w:lastRenderedPageBreak/>
        <w:t>Las consideraciones que acaban de exponerse, unidas a la naturaleza de la jurisdicción constitucional de amparo que, como dijimos en la STC 114/1995, "no ha sido concebida sino para corregir posibles vulneraciones de los derechos fundamentales y libertades públicas" (fundamento jurídico 2º) ponen de manifiesto la inviabilidad de anular en esta sede una Sentencia con pronunciamiento absolutorio de fondo que haya adquirido firmeza, sobre la base de un derecho de acción que el legislador, en virtud de un sólido fundamento constitucional, ha declarado ya extinguido, prolongando indebidamente, en sede de amparo, el proceso penal.</w:t>
      </w:r>
    </w:p>
    <w:p w:rsidR="008107C7" w:rsidRDefault="008107C7" w:rsidP="008107C7">
      <w:pPr>
        <w:pStyle w:val="TextoNormal"/>
      </w:pPr>
    </w:p>
    <w:p w:rsidR="008107C7" w:rsidRDefault="008107C7" w:rsidP="008107C7">
      <w:pPr>
        <w:pStyle w:val="TextoNormal"/>
      </w:pPr>
      <w:r w:rsidRPr="008107C7">
        <w:rPr>
          <w:rStyle w:val="NumeroAFNegritaCaracter"/>
        </w:rPr>
        <w:t>7</w:t>
      </w:r>
      <w:r>
        <w:t>. En un supuesto análogo al de la Sentencia absolutoria firme -se trataba de una Sentencia cuyo fallo condenatorio solo podía, paradójicamente, cumplirse en sus propios términos mediante la inejecución- el Pleno de este Tribunal, en su STC 148/1994, fundamento jurídico 4º, llegaba a conclusiones semejantes a las anteriormente apuntadas. El fundamento de la desestimación del amparo se expresó en los siguientes términos:</w:t>
      </w:r>
    </w:p>
    <w:p w:rsidR="008107C7" w:rsidRDefault="008107C7" w:rsidP="008107C7">
      <w:pPr>
        <w:pStyle w:val="TextoNormal"/>
      </w:pPr>
      <w:r>
        <w:t>"No cabe duda por ello que el órgano judicial, al margen de una motivación humanitaria comprensible, ha podido haber hecho uso de un arbitrio que legalmente no le corresponde, y que las Sentencias aquí impugnadas han podido infringir preceptos legales sustantivos y procesales, al imponer la inejecución de la condena.</w:t>
      </w:r>
    </w:p>
    <w:p w:rsidR="008107C7" w:rsidRDefault="008107C7" w:rsidP="008107C7">
      <w:pPr>
        <w:pStyle w:val="TextoNormal"/>
      </w:pPr>
      <w:r>
        <w:t>Sin embargo, no corresponde al Tribunal Constitucional declarar la licitud o ilicitud de las inejecuciones de estas condenas sino sólo desde la perspectiva de la vulneración de algún derecho fundamental, que es lo que en este proceso constitucional puede postular el Ministerio Fiscal. El control sobre la licitud de lo decidido por los Tribunales penales es algo ajeno a la competencia de este Tribunal y más propio -en su caso- de la función de fiscalización nomofiláctica encomendada al Tribunal Supremo a través del recurso de casación".</w:t>
      </w:r>
    </w:p>
    <w:p w:rsidR="008107C7" w:rsidRDefault="008107C7" w:rsidP="008107C7">
      <w:pPr>
        <w:pStyle w:val="TextoNormal"/>
      </w:pPr>
      <w:r>
        <w:t>Merece destacarse que, pese a que se trataba de un recurso interpuesto por el Ministerio Público, no se acudió, como pone de manifiesto el Voto Particular, a la exclusión de su legitimación para recurrir en virtud de la doctrina a que se ha hecho referencia en el fundamento jurídico 5º - los órganos y entes públicos no se hallan legitimados para defender en amparo sus potestades-, que se hallaba establecida con anterioridad; sino que, atendiendo a las peculiaridades del proceso penal y del ius puniendi que a través de él se ejercita, se entendió, según lo expresado anteriormente, que bajo la petición de tutela se ocultaba el ejercicio de la pretensión punitiva en sede de amparo constitucional, cosa que manifiestamente excede los límites de este recurso en términos objetivos, esto es, con independencia de que sea el Ministerio Público o, como sucede en este caso, un particular quien ejercite la acción.</w:t>
      </w:r>
    </w:p>
    <w:p w:rsidR="008107C7" w:rsidRDefault="008107C7" w:rsidP="008107C7">
      <w:pPr>
        <w:pStyle w:val="TextoNormal"/>
      </w:pPr>
      <w:r>
        <w:t>El particular, en efecto, no ostenta ningún derecho a castigar, pues el ius puniendi, es de titularidad estatal (STC 157/1990, fundamento jurídico 4º y 31/1996, fundamento jurídico 10).  Es más: pese a que, por disposición de la Ley, puede ejercitar la acción penal y debe, por tanto, obtener una respuesta jurídicamente fundada, carece, desde la perspectiva constitucional, de interés legítimo en la imposición del castigo, pues la pena pública implica, por su propia naturaleza, la exclusión de todo móvil privado en su aplicación. Y, por lo tanto, al pedir que se actúe penalmente contra un tercero no hace sino promover el ejercicio de una potestad estatal limitadora de los derechos fundamentales, en cuyo ejercicio puede tener, ciertamente, un interés; pero al que, por todo lo expuesto, no puede otorgársele relevancia alguna en esta sede de amparo sin desvirtuar su naturaleza y significación.</w:t>
      </w:r>
    </w:p>
    <w:p w:rsidR="008107C7" w:rsidRDefault="008107C7" w:rsidP="008107C7">
      <w:pPr>
        <w:pStyle w:val="TextoNormal"/>
      </w:pPr>
      <w:r>
        <w:t xml:space="preserve">Desde luego, ninguna de las consideraciones que anteceden es aplicable a la acción civil, que también ejercitaron los demandantes de amparo; pero, al efectuarlo en el proceso penal </w:t>
      </w:r>
      <w:r>
        <w:lastRenderedPageBreak/>
        <w:t>es obvio que la suerte de la acción civil quedó subordinada a la que era objeto principal del proceso, lo que no impide que los recurrentes puedan plantearla con independencia.</w:t>
      </w:r>
    </w:p>
    <w:p w:rsidR="008107C7" w:rsidRDefault="008107C7" w:rsidP="008107C7">
      <w:pPr>
        <w:pStyle w:val="TextoNormal"/>
      </w:pPr>
    </w:p>
    <w:p w:rsidR="008107C7" w:rsidRDefault="008107C7" w:rsidP="008107C7">
      <w:pPr>
        <w:pStyle w:val="TextoNormal"/>
      </w:pPr>
      <w:r w:rsidRPr="008107C7">
        <w:rPr>
          <w:rStyle w:val="NumeroAFNegritaCaracter"/>
        </w:rPr>
        <w:t>8</w:t>
      </w:r>
      <w:r>
        <w:t>. Las Sentencias absolutorias impugnadas no han desconocido los derechos de los recurrentes a la libre circulación por el territorio nacional ni a la libertad personal, ideológica, religiosa y de conciencia, puesto que sus diversas apreciaciones fácticas y jurídicas -acertadas o erróneas- se limitaron a declarar que el presupuesto para la imposición del castigo -el delito- no existía, sin que tal declaración, basada en una resultancia fáctica que este Tribunal no puede revisar [art. 44.1 b) LOTC] excluya que haya podido, efectivamente, haber vulneración de los derechos fundamentales aludidos ni que ésta pueda repararse en la vía procedente. Y, del mismo modo, se extrae la consecuencia de que ni hubo ni pudo haber en ellos lesión de la tutela judicial efectiva que pueda apreciarse en sede de amparo constitucional.</w:t>
      </w:r>
    </w:p>
    <w:p w:rsidR="008107C7" w:rsidRDefault="008107C7" w:rsidP="008107C7">
      <w:pPr>
        <w:pStyle w:val="TextoNormal"/>
      </w:pPr>
    </w:p>
    <w:p w:rsidR="008107C7" w:rsidRDefault="008107C7" w:rsidP="008107C7">
      <w:pPr>
        <w:pStyle w:val="TextoNormal"/>
      </w:pPr>
      <w:r w:rsidRPr="008107C7">
        <w:rPr>
          <w:rStyle w:val="NumeroAFNegritaCaracter"/>
        </w:rPr>
        <w:t>9</w:t>
      </w:r>
      <w:r>
        <w:t>. Quedan, pues, por examinar las quejas relativas a la falta de asistencia letrada por un defensor de su elección así como la explicación de las razones por las que fueron detenidos (arts.  17.3 y 24.2 C.E.). Tales alegaciones, en tanto no se articulan contra el fondo de la Sentencia, sino que impugnan la validez constitucional del proceso seguido para pronunciarla, han de ser objeto de una consideración independiente de cuanto se lleva dicho. Sin embargo, en el presente caso, han de desestimarse sin mayor examen, pues se trata de irregularidades que podrían, en su caso, afectar al procedimiento seguido para privar de libertad a los recurrentes; pero, carecen de toda relevancia en este proceso de amparo, que se articula contra las resoluciones recaídas en un proceso penal dirigido contra terceros.</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Desestimar la demanda y, en consecuencia, denegar el amparo solicitado.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diez de marzo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45" w:name="SENTENCIA_1997_42"/>
      <w:r>
        <w:lastRenderedPageBreak/>
        <w:t>SENTENCIA 42/1997, de 10 de marzo de 1997</w:t>
      </w:r>
    </w:p>
    <w:bookmarkEnd w:id="45"/>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87, de 11 de abril de 1997)</w:t>
      </w:r>
    </w:p>
    <w:p w:rsidR="008107C7" w:rsidRDefault="008107C7" w:rsidP="008107C7">
      <w:pPr>
        <w:pStyle w:val="TtuloBOE"/>
      </w:pPr>
    </w:p>
    <w:p w:rsidR="008107C7" w:rsidRDefault="008107C7" w:rsidP="008107C7">
      <w:pPr>
        <w:pStyle w:val="SntesisDescriptiva"/>
      </w:pPr>
      <w:r>
        <w:t>ECLI:ES:TC:1997:42</w:t>
      </w:r>
    </w:p>
    <w:p w:rsidR="008107C7" w:rsidRDefault="008107C7" w:rsidP="008107C7">
      <w:pPr>
        <w:pStyle w:val="SntesisDescriptiva"/>
      </w:pPr>
    </w:p>
    <w:p w:rsidR="008107C7" w:rsidRDefault="008107C7" w:rsidP="008107C7">
      <w:pPr>
        <w:pStyle w:val="SntesisDescriptiva"/>
      </w:pPr>
      <w:r>
        <w:t>Recurso de amparo 711/1994. interpuesto por don Juan Miragall Escolano, frente a la Sentencia de la Sección Sexta de la Sala Tercera del Tribunal Supremo, recaída sobre el recurso contencioso- administrativo núm. 213/90 formulado contra la denegación por silencio administrativo de la reclamación de daños y perjuicios presentada frente al Ministerio de Relaciones con las Cortes y Secretaría del Gobierno.</w:t>
      </w:r>
    </w:p>
    <w:p w:rsidR="008107C7" w:rsidRDefault="008107C7" w:rsidP="008107C7">
      <w:pPr>
        <w:pStyle w:val="SntesisDescriptiva"/>
      </w:pPr>
    </w:p>
    <w:p w:rsidR="008107C7" w:rsidRDefault="008107C7" w:rsidP="008107C7">
      <w:pPr>
        <w:pStyle w:val="SntesisAnaltica"/>
      </w:pPr>
    </w:p>
    <w:p w:rsidR="008107C7" w:rsidRDefault="008107C7" w:rsidP="008107C7">
      <w:pPr>
        <w:pStyle w:val="SntesisAnaltica"/>
      </w:pPr>
    </w:p>
    <w:p w:rsidR="008107C7" w:rsidRDefault="008107C7" w:rsidP="008107C7">
      <w:pPr>
        <w:pStyle w:val="Extracto"/>
      </w:pPr>
      <w:r>
        <w:t>1.</w:t>
      </w:r>
      <w:r>
        <w:tab/>
        <w:t>Como declara la STC 37/1995, cuando se trata de acceder a la jurisdicción «funciona con toda su intensidad el principio "pro actione", de suerte que este Tribunal puede y debe comprobar si la causa obstativa de la resolución del asunto sometido a la jurisdicción ordinaria efectivamente existe, en primer lugar, y si la interpretación dada a dicha causa en el caso concreto conculca el derecho fundamental, en segundo y último (STC 40/1994), pues «el rechazo de la acción basado en una interpretación restrictiva de las condiciones establecidas para su ejercicio comporta la vulneración del derecho reconocido en el art. 24.1 C.E.» (STC 34/1994). [F.J. 2]</w:t>
      </w:r>
    </w:p>
    <w:p w:rsidR="008107C7" w:rsidRDefault="008107C7" w:rsidP="008107C7">
      <w:pPr>
        <w:pStyle w:val="Extracto"/>
      </w:pPr>
    </w:p>
    <w:p w:rsidR="008107C7" w:rsidRDefault="008107C7" w:rsidP="008107C7">
      <w:pPr>
        <w:pStyle w:val="Extracto"/>
      </w:pPr>
      <w:r>
        <w:t>2.</w:t>
      </w:r>
      <w:r>
        <w:tab/>
        <w:t>No compete a este Tribunal indicar la interpretación que haya de darse a la legislación ordinaria reguladora de la prescripción de los derechos y acciones, puesto que desde la perspectiva del art. 24.1 C.E. sólo es exigible que el referido cómputo se realice de forma que su titular haya podido ejercitarlos sin impedimento derivado de factores ajenos a su voluntad (SSTC 262/1988 y 47/1989, entre otras)» (ATC 169/1990). [F.J. 2]</w:t>
      </w:r>
    </w:p>
    <w:p w:rsidR="008107C7" w:rsidRDefault="008107C7" w:rsidP="008107C7">
      <w:pPr>
        <w:pStyle w:val="Extracto"/>
      </w:pPr>
    </w:p>
    <w:p w:rsidR="008107C7" w:rsidRDefault="008107C7" w:rsidP="008107C7">
      <w:pPr>
        <w:pStyle w:val="Extracto"/>
      </w:pPr>
      <w:r>
        <w:t>3.</w:t>
      </w:r>
      <w:r>
        <w:tab/>
        <w:t>De la jurisprudencia constitucional anteriormente citada y específicamente referida al cómputo de los plazos de caducidad o prescripción se deduce con claridad que desde el punto de vista de los derechos fundamentales constitucionalmente garantizados -única perspectiva lícita para este Tribunal, que en modo alguno puede tratar de imponer una determinada interpretación de la legalidad-, una resolución como la impugnada, formalmente adoptada en forma de Sentencia y tras la completa tramitación del correspondiente proceso en el que las partes pudieron alegar cuantas razones convenían a su pretensión, y en la que se aprecia la prescripción de la acción ejercitada, que por ello resulta desestimada, no puede ser considerada en modo alguno como denegación de acceso a la justicia, sino como mera desestimación de la pretensión sustentada ante los Tribunales. [F.J. 3]</w:t>
      </w:r>
    </w:p>
    <w:p w:rsidR="008107C7" w:rsidRDefault="008107C7" w:rsidP="008107C7">
      <w:pPr>
        <w:pStyle w:val="Extracto"/>
      </w:pPr>
    </w:p>
    <w:p w:rsidR="008107C7" w:rsidRDefault="008107C7" w:rsidP="008107C7">
      <w:pPr>
        <w:pStyle w:val="Extracto"/>
      </w:pPr>
      <w:r>
        <w:t>4.</w:t>
      </w:r>
      <w:r>
        <w:tab/>
        <w:t xml:space="preserve">Con independencia de que en el plano de la legalidad el instituto de la prescripción deba considerarse como de naturaleza procesal o sustantiva, lo cierto es que en la apreciación de su concurrencia, cuando tal juicio se realiza no «in limine litis», </w:t>
      </w:r>
      <w:r>
        <w:lastRenderedPageBreak/>
        <w:t>sino tras el completo desarrollo regular del proceso judicial, y en decisión adoptada por el propio juzgador del fondo de la pretensión, éste no se halla necesariamente vinculado por la regla hermenéutica «pro actione», pues debe considerarse que ha existido auténtico acceso a la justicia. En sede constitucional, única relevante para este Tribunal, no existe denegación de Justicia, sino desestimación de la pretensión de fondo. Por ello debe excluirse que el juzgador ordinario se viera en este caso vinculado por el principio «pro actione»; tratándose de una resolución sobre el fondo del asunto, tal principio vendría a diluirse en un imposible derecho fundamental a que los órganos judiciales interpreten la legalidad en el sentido más favorable a la pretensión sustentada por el demandante. Y basta el mero enunciado de este supuesto «derecho» para excluir la necesidad de cualquier análisis sobre su hipotética existencia. [F.J. 3]</w:t>
      </w:r>
    </w:p>
    <w:p w:rsidR="008107C7" w:rsidRDefault="008107C7" w:rsidP="008107C7">
      <w:pPr>
        <w:pStyle w:val="Extracto"/>
      </w:pPr>
    </w:p>
    <w:p w:rsidR="008107C7" w:rsidRDefault="008107C7" w:rsidP="008107C7">
      <w:pPr>
        <w:pStyle w:val="Extracto"/>
      </w:pPr>
      <w:r>
        <w:t>5.</w:t>
      </w:r>
      <w:r>
        <w:tab/>
        <w:t>Fuera o no sostenible otra interpretación, la seguida invariablemente por la Sala Tercera del Tribunal Supremo en supuestos como el aquí planteado no puede ser tachada como arbitraria, manifiestamente irrazonable o fruto de un error patente. Mucho menos que con ella se prestara una «mera apariencia de Justicia» ( STC 148/1994), único canon de constitucionalidad cuando el derecho a la tutela judicial se invoca como cobertura de una radical discrepancia con el fondo de una resolución judicial . [F.J. 4]</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711/94, interpuesto por don Juan Miragall Escolano, representado por el Procurador de los Tribunales don José Luis Barneto Arnáiz y bajo la dirección del Letrado Sr. Mancebo Monge, frente a la Sentencia de la Sección Sexta de la Sala Tercera del Tribunal Supremo, de 26 de enero de 1994, recaída sobre el recurso contencioso- administrativo núm. 213/90 formulado contra la denegación por silencio administrativo de la reclamación de daños y perjuicios presentada frente al Ministerio de Relaciones con las Cortes y Secretaría del Gobierno. Ha sido parte el Abogado del Estado, en defensa de la administración demandada, e intervenido el Ministerio Fiscal. Ha sido Ponente el Magistrado don Julio Diego González Campos, quien expresa el parecer de la Sala.</w:t>
      </w:r>
    </w:p>
    <w:p w:rsidR="008107C7" w:rsidRDefault="008107C7" w:rsidP="008107C7">
      <w:pPr>
        <w:pStyle w:val="TextoNormal"/>
      </w:pPr>
    </w:p>
    <w:p w:rsidR="008107C7" w:rsidRDefault="008107C7" w:rsidP="008107C7">
      <w:pPr>
        <w:pStyle w:val="TextoNormalNegritaCentrado"/>
        <w:keepNext/>
      </w:pPr>
      <w:r>
        <w:lastRenderedPageBreak/>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registrado ante este Tribunal el 4 de marzo de 1994, don Juan Miragall Escolano, bajo la representación procesal del Procurador de los Tribunales Sr. Barneto Arnaiz, interpuso demanda de amparo constitucional contra la Sentencia de la Sala Tercera del Tribunal Supremo (Sección Sexta), de 26 de enero de 1994, recaída en el recurso contencioso- administrativo núm. 213/90, en única instancia, por entender que la referida resolución judicial resulta contraria al derecho a la tutela judicial efectiva que consagra el art. 24.1 C.E.</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El recurso tiene su origen en los siguientes hechos, brevemente expuestos: </w:t>
      </w:r>
    </w:p>
    <w:p w:rsidR="008107C7" w:rsidRDefault="008107C7" w:rsidP="008107C7">
      <w:pPr>
        <w:pStyle w:val="TextoNormal"/>
      </w:pPr>
      <w:r>
        <w:t xml:space="preserve">A) El Consejo General de Colegios Oficiales Farmacéuticos de España interpuso recurso contencioso-administrativo contra la Orden Ministerial, de 10 de agosto de 1985 ("Boletín Oficial del Estado" núm. 196, de 16 de agosto), por la que se fijaba el nuevo margen profesional de las Oficinas de Farmacia. Por Sentencia de 4 de julio de 1987, la Sala Tercera del Tribunal Supremo estimó el recurso y acordó declarar la nulidad de la disposición administrativa impugnada. </w:t>
      </w:r>
    </w:p>
    <w:p w:rsidR="008107C7" w:rsidRDefault="008107C7" w:rsidP="008107C7">
      <w:pPr>
        <w:pStyle w:val="TextoNormal"/>
      </w:pPr>
      <w:r>
        <w:t xml:space="preserve">La mencionada Sentencia fue notificada al Consejo General de Colegios Oficiales Farmacéuticos de España, único recurrente, el día 7 del mismo mes y año. </w:t>
      </w:r>
    </w:p>
    <w:p w:rsidR="008107C7" w:rsidRDefault="008107C7" w:rsidP="008107C7">
      <w:pPr>
        <w:pStyle w:val="TextoNormal"/>
      </w:pPr>
      <w:r>
        <w:t xml:space="preserve">Ulteriormente, con fecha 5 de noviembre de 1987, fue publicada en el "Boletín Oficial del Estado" (núm. 265), la Orden Ministerial, de 30 de septiembre de 1987, por la que se hacía pública la parte dispositiva de la antedicha Sentencia. </w:t>
      </w:r>
    </w:p>
    <w:p w:rsidR="008107C7" w:rsidRDefault="008107C7" w:rsidP="008107C7">
      <w:pPr>
        <w:pStyle w:val="TextoNormal"/>
      </w:pPr>
      <w:r>
        <w:t>B) El ahora demandante de amparo, presentó su reclamación indemnizatoria -nacida de la anterior resolución judicial- el día 6 de julio de 1988, esto es, un año y dos días después de la fecha de la publicación de la Sentencia, aunque un día antes de que pasara un año desde su notificación, y más aún de que ese plazo transcurriera a partir de la publicación en el "Boletín Oficial del Estado" de su parte dispositiva. Contra la desestimación presunta de su reclamación, por silencio administrativo, interpuso recurso contencioso, que sería tramitado ante la Sala Tercera del Tribunal Supremo (Sección Sexta) y resuelto por su Sentencia, de 26 de enero de 1994, objeto del presente recurso. En ella se desestimó el recurso interpuesto por considerar el Alto Tribunal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6 de ese mismo mes y año.</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Sostiene el reurrente que la interpretación realizada por el Tribunal Supremo en cuanto al cómputo del referido plazo, es manifiestamente arbitraria y carece de toda lógica, implicando una denegación de justicia contraria al art. 24.1 C.E. A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Sentencia el día en que les es debidamente notificada, lo que no ocurrió -como queda expuesto- hasta el 7 de julio de 1987. </w:t>
      </w:r>
    </w:p>
    <w:p w:rsidR="008107C7" w:rsidRDefault="008107C7" w:rsidP="008107C7">
      <w:pPr>
        <w:pStyle w:val="TextoNormal"/>
      </w:pPr>
      <w:r>
        <w:lastRenderedPageBreak/>
        <w:t xml:space="preserve">Más aún, sostiene la demanda de amparo que en casos como el presente, en el que los múltiples reclamantes no fueron parte en el recurso y, por tanto, a ellos no les fue directamente notificada la resolución judicial, el dies a quo para el cómputo del plazo de un año debe de ser el de la publicación de la Sentencia en el Boletín Oficial del Estado, que es el que da la debida publicidad a la misma y es por tanto el momento a partir del cual los reclamantes pueden tener conocimiento real de los derechos que se pudieren derivar del pronunciamiento judicial. (arts. 1.969 y 1.971 C.C.). </w:t>
      </w:r>
    </w:p>
    <w:p w:rsidR="008107C7" w:rsidRDefault="008107C7" w:rsidP="008107C7">
      <w:pPr>
        <w:pStyle w:val="TextoNormal"/>
      </w:pPr>
      <w:r>
        <w:t>Al no hacerlo así, sostiene el recurrente que el Tribunal Supremo no sólo tomó como fecha de referencia un acto (el de lectura y publicación), en la práctica inexistente, sino que, además, con tal interpretación exige al demandante de amparo un conocimiento sobre los contenidos de la Sentencia que le resultaba imposible, denegándole su derecho a la tutela judicial efectiva y al amparo de los órganos jurisdiccionales por un motivo formal y mediante una interpretación arbitraria y carente de toda lógica. En estas circunstancias, la cuestión relativa al cómputo de los plazos, que es materia, en principio, de legalidad ordinaria, adquiere a su juicio relevancia constitucional (STC 245/1993). En definitiva, solicita que se tome como dies a quo del plazo de un año, bien la fecha en que se publicó la Sentencia antecedente en el "Boletín Oficial del Estado", bien la de notificación al Colegio recurrente, en último término, fecha en que la Sentencia se hizo realmente pública. En cualquiera de ambas interpretaciones, la reclamación administrativa que motiva estas actuaciones resultaría interpuesta en plazo.</w:t>
      </w:r>
    </w:p>
    <w:p w:rsidR="008107C7" w:rsidRDefault="008107C7" w:rsidP="008107C7">
      <w:pPr>
        <w:pStyle w:val="TextoNormal"/>
      </w:pPr>
    </w:p>
    <w:p w:rsidR="008107C7" w:rsidRDefault="008107C7" w:rsidP="008107C7">
      <w:pPr>
        <w:pStyle w:val="TextoNormal"/>
      </w:pPr>
      <w:r w:rsidRPr="008107C7">
        <w:rPr>
          <w:rStyle w:val="NumeroAFNegritaCaracter"/>
        </w:rPr>
        <w:t>4</w:t>
      </w:r>
      <w:r>
        <w:t>. En virtud de providencia fechada el 15 de septiembre de 1994, la Sección Tercera del Tribunal acordó tener por presentada la demanda y documentos adjuntos, requiriendo al recurrente y al Ministerio Fiscal, de conformidad con lo dispuesto en el art. 50.3 LOTC, y por un período común de diez días, para que formularan alegaciones en relación a la posible concurrencia de la causa de inadmisión consistente en la manifiesta falta de contenido constitucional de la demanda.</w:t>
      </w:r>
    </w:p>
    <w:p w:rsidR="008107C7" w:rsidRDefault="008107C7" w:rsidP="008107C7">
      <w:pPr>
        <w:pStyle w:val="TextoNormal"/>
      </w:pPr>
    </w:p>
    <w:p w:rsidR="008107C7" w:rsidRDefault="008107C7" w:rsidP="008107C7">
      <w:pPr>
        <w:pStyle w:val="TextoNormal"/>
      </w:pPr>
      <w:r w:rsidRPr="008107C7">
        <w:rPr>
          <w:rStyle w:val="NumeroAFNegritaCaracter"/>
        </w:rPr>
        <w:t>5</w:t>
      </w:r>
      <w:r>
        <w:t>. El recurrente presentó sus alegaciones el 10 de octubre de 1994, dando por reproducidas las formuladas en el escrito de demanda y resaltando que es un hecho notorio entre los profesionales del Derecho que el trámite de la lectura de la Sentencia no se cumple nunca por los Tribunales de Justicia, como evidenció el propio Tribunal Supremo en resoluciones posteriores. A este respecto, alega que las mismas Sala y Sección recurridas del Alto Tribunal, mediante Auto de 1 de julio de 1994, declararon que no es posible el señalamiento de la fecha y hora en que se va a proceder a la lectura y publicación de una Sentencia, pues no cabe su fijación hasta tanto no esté redactada y firmada, sin perjuicio de que en un momento posterior pueda obtenerse testimonio de la diligencia del Secretario de la Sala, en la que se haga constar su cumplimiento. Por otra parte, en un proceso similar al presente, el mismo representante del recurrente solicitó del Tribunal Supremo que se notificara a los afectados la fecha de lectura de determinada Sentencia, contestando el Alto Tribunal mediante providencia de fecha 20 de septiembre de 1994 en el sentido de que "no existe momento procesal alguno en el que sea posible conocer la fecha en que se leerá y publicará una Sentencia de lo Contencioso- Administrativo a dictar por el Tribunal Supremo".</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Por su parte, el Fiscal, mediante escrito que tuvo entrada en este Tribunal el 11 de octubre de 1994, solicitó la admisión a trámite de la demanda. De acuerdo con la doctrina </w:t>
      </w:r>
      <w:r>
        <w:lastRenderedPageBreak/>
        <w:t xml:space="preserve">de este Tribunal (STC 245/1993, fundamento jurídico 3º, por todas), manifiesta el representante del Ministerio Público que, si bien el cómputo de los plazos procesales es en principio cuestión de legalidad ordinaria, tendrá relevancia constitucional en los casos en que "la interpretación de la normativa aplicable al supuesto controvertido sea manifiestamente arbitraria, irrazonable o incurra en un error patente, y de ello derive una conculcación de los derechos consagrados en la Constitución y susceptibles de amparo constitucional." </w:t>
      </w:r>
    </w:p>
    <w:p w:rsidR="008107C7" w:rsidRDefault="008107C7" w:rsidP="008107C7">
      <w:pPr>
        <w:pStyle w:val="TextoNormal"/>
      </w:pPr>
      <w:r>
        <w:t>Esas circunstancias, a juicio del Ministerio Fiscal, concurren en el presente caso, pues el Tribunal Supremo fijó como día inicial del cómputo del plazo para recurrir, no el de la notificación de la Sentencia al Colegio Oficial de Farmacéuticos, sino el de su lectura y publicación, interpretación que no es la más favorable al derecho de acceso a la jurisdicción, ocasionando el error patente del juzgador una quiebra del derecho fundamental a la tutela judicial efectiva, privándosele de una resolución sobre el fondo del asunto.</w:t>
      </w:r>
    </w:p>
    <w:p w:rsidR="008107C7" w:rsidRDefault="008107C7" w:rsidP="008107C7">
      <w:pPr>
        <w:pStyle w:val="TextoNormal"/>
      </w:pPr>
    </w:p>
    <w:p w:rsidR="008107C7" w:rsidRDefault="008107C7" w:rsidP="008107C7">
      <w:pPr>
        <w:pStyle w:val="TextoNormal"/>
      </w:pPr>
      <w:r w:rsidRPr="008107C7">
        <w:rPr>
          <w:rStyle w:val="NumeroAFNegritaCaracter"/>
        </w:rPr>
        <w:t>7</w:t>
      </w:r>
      <w:r>
        <w:t>. Mediante providencia de fecha 24 de enero de 1995, la Sección Tercera acordó admitir a trámite la demanda. Asimismo, y de conformidad con lo dispuesto en el art. 51 LOTC, se requirió a la Sala Tercera del Tribunal Supremo para que remitiera en el plazo de diez días testimonio de las actuaciones, y procediera al emplazamiento del Abogado del Estado, con entrega de copia del escrito de demanda, para que en el plazo de diez días pudiera comparecer en este proceso constitucional.</w:t>
      </w:r>
    </w:p>
    <w:p w:rsidR="008107C7" w:rsidRDefault="008107C7" w:rsidP="008107C7">
      <w:pPr>
        <w:pStyle w:val="TextoNormal"/>
      </w:pPr>
    </w:p>
    <w:p w:rsidR="008107C7" w:rsidRDefault="008107C7" w:rsidP="008107C7">
      <w:pPr>
        <w:pStyle w:val="TextoNormal"/>
      </w:pPr>
      <w:r w:rsidRPr="008107C7">
        <w:rPr>
          <w:rStyle w:val="NumeroAFNegritaCaracter"/>
        </w:rPr>
        <w:t>8</w:t>
      </w:r>
      <w:r>
        <w:t>. En virtud de providencia de 23 de marzo de 1995, la Sección acordó tener por personado y parte al Abogado del Estado, que lo solicitó mediante escrito presentado en este Tribunal el 30 de enero anterior. Asimismo, y de acuerdo con lo dispuesto en el art. 52 LOTC, se acordó también dar vista de todas las actuaciones por un plazo común de veinte días al Ministerio Fiscal, al Abogado del Estado, y al solicitante de amparo, para que en dicho término pudieran formular las alegaciones que estimasen pertinentes.</w:t>
      </w:r>
    </w:p>
    <w:p w:rsidR="008107C7" w:rsidRDefault="008107C7" w:rsidP="008107C7">
      <w:pPr>
        <w:pStyle w:val="TextoNormal"/>
      </w:pPr>
    </w:p>
    <w:p w:rsidR="008107C7" w:rsidRDefault="008107C7" w:rsidP="008107C7">
      <w:pPr>
        <w:pStyle w:val="TextoNormal"/>
      </w:pPr>
      <w:r w:rsidRPr="008107C7">
        <w:rPr>
          <w:rStyle w:val="NumeroAFNegritaCaracter"/>
        </w:rPr>
        <w:t>9</w:t>
      </w:r>
      <w:r>
        <w:t>. El demandante formuló sus alegaciones mediante escrito que tuvo su entrada en este Tribunal el 21 de abril de 1995, en el que se resumen y reiteran cuantos argumentos fueron ya expuestos en los escritos de interposición y de alegaciones de admisibilidad, reiterando a su vez el suplico ya formulado.</w:t>
      </w:r>
    </w:p>
    <w:p w:rsidR="008107C7" w:rsidRDefault="008107C7" w:rsidP="008107C7">
      <w:pPr>
        <w:pStyle w:val="TextoNormal"/>
      </w:pPr>
    </w:p>
    <w:p w:rsidR="008107C7" w:rsidRDefault="008107C7" w:rsidP="008107C7">
      <w:pPr>
        <w:pStyle w:val="TextoNormal"/>
      </w:pPr>
      <w:r w:rsidRPr="008107C7">
        <w:rPr>
          <w:rStyle w:val="NumeroAFNegritaCaracter"/>
        </w:rPr>
        <w:t>10</w:t>
      </w:r>
      <w:r>
        <w:t xml:space="preserve">. Con fecha 18 de abril de 1995, tuvieron entrada en el Tribunal las alegaciones del Abogado del Estado, en las que se solicita la desestimación de la demanda. Tras señalar que el fondo del recurso se limita a denunciar la supuestamente arbitraria interpretación del art. 40.3 de la Ley de Régimen Jurídico de la Administración del Estado (L.R.J.A.E.), entonces vigente, recuerda el Abogado del Estado que la Sentencia impugnada se limita a reiterar la doctrina contenida en la Sentencia de la propia Sala Tercera del Tribunal Supremo de 15 de otubre de 1990, y en las, al menos, sesenta y cinco Sentencias que se dictaron tan sólo en ese mismo año en el mismo sentido. De acuerdo con dicha doctrina, el hecho que motiva la indemnización, siguiendo la dicción del art. 40.3 L.R.J.A.E., es la anulación de la disposición reglamentaria (acto jurídico), cuya aplicación produce un efecto dañoso para el recurrente. En este caso, la disposición sería la Orden Ministerial de 10 de agosto de 1985 que restringió de forma ilícita las ganancias de los farmacéuticos, según declaró la Sentencia del Tribunal Supremo de 4 de julio de 1987, dictada en recurso directo a instancia del Consejo Superior de Colegios Oficiales de Farmacéuticos. </w:t>
      </w:r>
    </w:p>
    <w:p w:rsidR="008107C7" w:rsidRDefault="008107C7" w:rsidP="008107C7">
      <w:pPr>
        <w:pStyle w:val="TextoNormal"/>
      </w:pPr>
      <w:r>
        <w:lastRenderedPageBreak/>
        <w:t xml:space="preserve">La lesión indemnizable es, en consecuencia, el daño patrimonial antijurídico, si bien cuando, como en este caso, se trata de lesiones patrimoniales imputables a disposiciones o actos ilegales, la antijuridicidad solo adviene con la firmeza del pronunciamiento jurisdiccional anulatorio de la disposición o acto recurridos, pues así lo dispuso la Ley, en el margen que la propia Constitución (art. 106) concedió al legislador. Cuando el Tribunal Supremo dictó la Sentencia en primera y por tanto única instancia, la Sentencia deviene firme el mismo día en que se dicta, por aplicación supletoria del art. 365 Ley de Enjuiciamiento Civil (L.E.C.), en relación con la Disposición adicional sexta de la Ley de la Jurisdicción Contencioso-Administrativa (L.J.C.A.), corriendo a partir de ese momento el plazo del año para exigir la correspondiente indemnización, plazo que la doctrina califica de forma mayoritaria de prescripción y no de caducidad, como dice la letra del precepto. En esta misma línea, la Sentencia del Tribunal Supremo de 15 de octubre de 1990, ya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interpretación esta que se corresponde con numerosos precedentes. </w:t>
      </w:r>
    </w:p>
    <w:p w:rsidR="008107C7" w:rsidRDefault="008107C7" w:rsidP="008107C7">
      <w:pPr>
        <w:pStyle w:val="TextoNormal"/>
      </w:pPr>
      <w:r>
        <w:t xml:space="preserve">Aunque el Tribunal Supremo, sigue afirmando el defensor de la Administración, en uso de sus facultades en orden a interpretar y aplicar la ley pudiera haber fijado el dies a quo del cómputo en otra fecha, como la de notificación de la Sentencia o la de publicación en el "Boletín Oficial del Estado", esa es una cuestión de legalidad ordinaria, ajena a los planteamientos constitucionales, en la medida en que el razonamiento del Tribunal Supremo no puede calificarse de irrazonable, arbitrario o ilógico, de modo que, conforme a la jurisprudencia constitucional, no existe lesión alguna del derecho fundamental alegado. </w:t>
      </w:r>
    </w:p>
    <w:p w:rsidR="008107C7" w:rsidRDefault="008107C7" w:rsidP="008107C7">
      <w:pPr>
        <w:pStyle w:val="TextoNormal"/>
      </w:pPr>
      <w:r>
        <w:t xml:space="preserve">Aquí debiera acabar, a juicio del Abogado del Estado, el examen del presente recurso. No obstante, por razones de cortesía forense, pasa a continuación el defensor de la Administración demandada a sostener que el criterio seguido por el Tribunal Supremo es no sólo constitucionalmente intachable, sino legalmente acertado. Ello viene confirmado, a su juicio, por el art. 1.971 C.C., que sorprendentemente y sin base alguna invoca el recurrente. Sin embargo, no cita el único precepto que pudiera favorecer su tesis (art. 1.968.2 C.C.), que hace referencia al ejercicio de acciones "desde que lo supo el agraviado", precepto que, en todo caso, no sería aplicable al supuesto aquí planteado por haber sido sustituido, en lo que aquí importa y precisamente, por el art. 40.3 L.R.J.A.E. </w:t>
      </w:r>
    </w:p>
    <w:p w:rsidR="008107C7" w:rsidRDefault="008107C7" w:rsidP="008107C7">
      <w:pPr>
        <w:pStyle w:val="TextoNormal"/>
      </w:pPr>
      <w:r>
        <w:t>Finalmente, concluye afirmando, aunque la cuestión no se planteara en la demanda, que es perfectamente compatible sostener que la publicidad formal de la Sentencia invalidatoria de un Reglamento es presupuesto de sus efectos generales y que, al tiempo,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mas personas que una disposición). Sólo en el caso de que durante el plazo de prescripción no hubiera existido publicidad alguna de la Sentencia, podría tener acogida la tesis del recurrente, y esta circunstancia debe descartarse expresamente, pues la Sentencia anulatoria de la Orden fue difundida en medios profesionales por el Consejo Superior de Colegios Farmacéuticos, y además consta su pu</w:t>
      </w:r>
      <w:r>
        <w:lastRenderedPageBreak/>
        <w:t>blicación en el "Boletín Oficial del Estado" de 5 de noviembre de 1987, por lo que el recurrente tuvo tiempo mas que suficiente para decidir el planteamiento de la reclamación de responsabilidad patrimonial.</w:t>
      </w:r>
    </w:p>
    <w:p w:rsidR="008107C7" w:rsidRDefault="008107C7" w:rsidP="008107C7">
      <w:pPr>
        <w:pStyle w:val="TextoNormal"/>
      </w:pPr>
    </w:p>
    <w:p w:rsidR="008107C7" w:rsidRDefault="008107C7" w:rsidP="008107C7">
      <w:pPr>
        <w:pStyle w:val="TextoNormal"/>
      </w:pPr>
      <w:r w:rsidRPr="008107C7">
        <w:rPr>
          <w:rStyle w:val="NumeroAFNegritaCaracter"/>
        </w:rPr>
        <w:t>11</w:t>
      </w:r>
      <w:r>
        <w:t xml:space="preserve">. El Ministerio Fiscal, mediante escrito que tuvo su entrada en este Tribunal el 7 de abril de 1995, interesó la estimación de la demanda y consiguiente otorgamiento del amparo, anulando la Sentencia impugnada para que el Tribunal Supremo dicte otra en la que entre a conocer el fondo del asunto planteado. </w:t>
      </w:r>
    </w:p>
    <w:p w:rsidR="008107C7" w:rsidRDefault="008107C7" w:rsidP="008107C7">
      <w:pPr>
        <w:pStyle w:val="TextoNormal"/>
      </w:pPr>
      <w:r>
        <w:t xml:space="preserve">El Ministerio Público, reiteró las alegaciones que se recogieron en el antecedente núm. 6 de esta resolución, insistiendo en que es claro que el Tribunal Supremo, al fijar el dies a quo del cómputo del plazo en el de publicación de la Sentencia, esto es, en fecha desconocida para aquél a quién le es oponible, realizó una interpretación contraria al principio pro actione, lo que conduce al otorgamiento del amparo. La lectura de la Sentencia en audiencia pública, insiste el Fiscal, no pasa de ser una ficción, como reconocía la propia Sala Tercera del Tribunal Supremo en su Auto de 1 de julio de 1994, obrante en autos. A este respecto, la redacción del art. 1.969 C.C. no deja lugar a dudas cuando afirma que el plazo para el ejercicio de las acciones se contará "desde el día que pudieron ejercitarse", y de acuerdo con lo dispuesto en el art. 40.3 L.R.J.A.E., debe concluirse que el hecho que motiva la indemnización es la Sentencia del Tribunal Supremo de fecha 4 de julio de 1987, y ello a pesar de que la tesis de la Sentencia impugnada es la acogida en el actual art. 142.2 de la Ley 30/1992, de 26 de noviembre (Ley de Régimen Jurídico de las Administraciones Públicas y del Procedimiento Administrativo Común), que no es aplicable al supuesto aquí debatido por ser posterior a la Sentencia de la que nació el derecho a ser indemnizado. En el caso de seguirse hasta sus últimas consecuencias la tesis de la Sentencia impugnada, podría ocurrir que si la Sentencia tardara mas de un año en ser notificada, cualquier reclamación sería imposible por extemporánea. </w:t>
      </w:r>
    </w:p>
    <w:p w:rsidR="008107C7" w:rsidRDefault="008107C7" w:rsidP="008107C7">
      <w:pPr>
        <w:pStyle w:val="TextoNormal"/>
      </w:pPr>
      <w:r>
        <w:t xml:space="preserve">Invoca, por último, el Fiscal en apoyo de su tesis la doctrina de este Tribunal relativa a la necesidad de interpretar las normas que regulan el acceso al proceso en la forma más favorable para su ejercicio, con cita de la jurispudencia constitucional que estima de aplicación al caso. Asimismo se señala, por último, la sustancial coincidencia de fondo del presente asunto con otros sometidos al juicio del Tribunal. </w:t>
      </w:r>
    </w:p>
    <w:p w:rsidR="008107C7" w:rsidRDefault="008107C7" w:rsidP="008107C7">
      <w:pPr>
        <w:pStyle w:val="TextoNormal"/>
      </w:pPr>
      <w:r>
        <w:t xml:space="preserve">11. Con fecha 22 de mayo de 1995, la Sección Cuarta del Tribunal acordó conceder a las partes personadas y al Ministerio Fiscal plazo común de cinco días para que formularan cuantas alegaciones estimasen pertinentes en orden a la posible acumulación al presente proceso de los recursos núm. 3.820/94, 4.223/94, 48/95, 50/95, 52/95, 703/95, 705/95 y 1.144/95, todos ellos tramitados ante la propia Sala y para el momento en que todos alcancen la misma situación procesal que el presente. </w:t>
      </w:r>
    </w:p>
    <w:p w:rsidR="008107C7" w:rsidRDefault="008107C7" w:rsidP="008107C7">
      <w:pPr>
        <w:pStyle w:val="TextoNormal"/>
      </w:pPr>
      <w:r>
        <w:t xml:space="preserve">Cumplimentado el trámite -con la oposición del Fiscal a la acumulación y el juicio favorable a la misma de las partes personadas- el Auto de la Sala Segunda de este Tribunal, de 11 de septiembre de 1995, acordó denegar la acumulación señalada. </w:t>
      </w:r>
    </w:p>
    <w:p w:rsidR="008107C7" w:rsidRDefault="008107C7" w:rsidP="008107C7">
      <w:pPr>
        <w:pStyle w:val="TextoNormal"/>
      </w:pPr>
      <w:r>
        <w:t>13. Mediante providencia de 6 de marzo de 1997, la Sala acordó señalar para deliberación y votación del presente recurso el día 10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Constituye el objeto del presente recurso de amparo la Sentencia de la Sección Sexta de la Sala Tercera del Tribunal Supremo, de fecha 26 de enero de 1994, en la que se acordó </w:t>
      </w:r>
      <w:r>
        <w:lastRenderedPageBreak/>
        <w:t>la desestimación del recurso contencioso-administrativo formulado por el recurrente, en virtud del cual solicitaba la indemnización de los daños causados por la aplicación de la Orden Ministerial de 10 de agosto de 1985, reguladora de los márgenes comerciales de las Oficinas de Farmacia, que fue declarada no ajustada a Derecho por la Sentencia de la Sala Tercera del Tribunal Supremo de 4 de julio de 1987.</w:t>
      </w:r>
    </w:p>
    <w:p w:rsidR="008107C7" w:rsidRDefault="008107C7" w:rsidP="008107C7">
      <w:pPr>
        <w:pStyle w:val="TextoNormal"/>
      </w:pPr>
      <w:r>
        <w:t>Para precisar el objeto de este proceso ha de indicarse, sin embargo, que la Sala sentenciadora fundamentó la desestimación del citado recurso contencioso-administrativo, conforme a doctrina constante de la propia Sala y Sección, en la tesis de que día inicial del plazo de prescripción de un año legalmente concedido para formular la reclamación (art. 40.3 L.R.J.A.E.), debe entenderse que es aquél en que se procedió a la lectura y publicación de la Sentencia que originó el derecho a la indemnización -4 de julio de 1987-, y no aquél en que se notificó a quien fue recurrente en el proceso contencioso -7 de julio siguiente-, ni el de la publicación en el "Boletín Oficial del Estado" de la parte dispositiva de la mencionada Sentencia - 5 de noviembre de 1987-. En consecuencia, al haberse interpuesto la reclamación contencioso- administrativa dos días después de haber transcurrido un año desde dicha fecha, el 6 de julio de 1988, la Sentencia impugnada estimó prescrito el derecho del recurrente a solicitar la indemnización que le pudiera corresponder (fundamento de Derecho 2º), desestimándose, en suma, su pretensión.</w:t>
      </w:r>
    </w:p>
    <w:p w:rsidR="008107C7" w:rsidRDefault="008107C7" w:rsidP="008107C7">
      <w:pPr>
        <w:pStyle w:val="TextoNormal"/>
      </w:pPr>
      <w:r>
        <w:t>Dicha interpretación la reputan, tanto el recurrente como el Fiscal, contraria en un doble sentido al contenido del art. 24.1 C.E.: en primer lugar, lesiva del derecho de aquel a acceder a la justicia, o más precisamente, a obtener una resolución sobre el fondo de la pretensión formulada; pues dicha tesis resulta completamente ajena al principio pro actione, que a su juicio debía regir la solución del problema planteado. En segundo término, tal interpretación se considera incursa en arbitrariedad, manifiesta irrazonabilidad y error patente, pues se toma como dies a quo del plazo de prescripción una fecha completamente ilusoria o ficticia, y en todo caso impredecible, como el propio Alto Tribunal ha reconocido en ulteriores resoluciones que constan en los antecedentes. Ahora bien, la muy diversa entidad de ambos grupos de cuestiones, aconseja un tratamiento separado de los mismos.</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En cuanto al primero, ha de comenzarse recordando que, en efecto, el primer contenido del derecho a obtener la tutela judicial efectiva es, justamente, el acceso a la jurisdicción, concretado, entre otros extremos, en el derecho a promover la actividad jurisdiccional que desemboque en una decisión judicial sobre las pretensiones deducidas (STC 115/1984, por todas). Tal derecho, de configuración legal, ciertamente se satisface no sólo cuando el órgano judicial resuelve sobre las pretensiones de las partes, "sino también cuando inadmite una acción en virtud de la aplicación, razonada en Derecho y no arbitraria, de una causa legal, como puede ser la caducidad (o la prescripción) de la acción (...). Ahora bien, la propia naturaleza del derecho fundamental cuyo respeto aquí se cuestiona exige que la interpretación de esos requisitos legales se realice de la forma más favorable a la eficacia del derecho" (STC 194/1992, fundamento jurídico 3º). En suma, como declara la STC 37/1995, cuando se trata de acceder a la jurisdicción "funciona con toda su intensidad el principio pro actione" (fundamento jurídico 5º), de suerte que este Tribunal puede y debe comprobar si la causa obstativa de la resolución del asunto sometido a la jurisdicción ordinaria efectivamente existe, en primer lugar, y si la interpretación dada a dicha causa en el caso concreto conculca el derecho fundamental, en segundo y último (STC 40/1994, fundamento juridico 2º, que cita en su apoyo las SSTC 126/1984, 4/1985, 24/1987, 93/1990 y 32/1991, entre otras), pues </w:t>
      </w:r>
      <w:r>
        <w:lastRenderedPageBreak/>
        <w:t>"el rechazo de la acción basado en una interpretación restrictiva de las condiciones establecidas para su ejercicio comporta la vulneración del derecho reconocido en el art. 24.1 C.E." (STC 34/1994, fundamento jurídico 2º).</w:t>
      </w:r>
    </w:p>
    <w:p w:rsidR="008107C7" w:rsidRDefault="008107C7" w:rsidP="008107C7">
      <w:pPr>
        <w:pStyle w:val="TextoNormal"/>
      </w:pPr>
      <w:r>
        <w:t>No obstante, también ha de tenerse presente que "no corresponde a este Tribunal indicar la interpretación que ha de darse a la legalidad ordinaria (...)  pues es ésta función que se atribuye en exclusiva a los Tribunales del orden judicial correspondiente (SSTC 117/1987 y 47/1989, entre otras)". (STC 220/1993, fundamento jurídico 2º). Ni tampoco le corresponde "revisar la legalidad aplicada ni establecer, en concreto, la interpretación que haya de darse a las normas que regulan los plazos de prescripción en el ejercicio de los derechos y acciones o establecen el cómputo de dichos plazos" (ibid., fundamento jurídico 4º), y ello sin más excepción que los supuestos en que tal interpretación "sea manifiestamente arbitraria, irrazonable o incurra en error patente" (STC 245/1993, fundamento jurídico 5º, referida específicamente al cómputo de los plazos de prescripción o caducidad).</w:t>
      </w:r>
    </w:p>
    <w:p w:rsidR="008107C7" w:rsidRDefault="008107C7" w:rsidP="008107C7">
      <w:pPr>
        <w:pStyle w:val="TextoNormal"/>
      </w:pPr>
      <w:r>
        <w:t>De este modo, como se dijo para caso similar al presente, "con independencia de la naturaleza procesal o sustantiva del instituto de la prescripción, debe tenerse en cuenta que la misma, según ha declarado reiteradamente este Tribunal, es causa válida para rechazar la demanda y, por lo mismo, las controversias que se susciten sobre el cómputo del plazo necesario para que aquélla tenga lugar resultan ajenas al ámbito del proceso constitucional, pues la determinación de las condiciones para el válido ejercicio de la acción es tarea que corresponde a la jurisdicción ordinaria mediante una resolución jurídicamente fundada (AATC 534/1986, 564/1987 y 1.211/1988). En suma, no compete a este Tribunal indicar la interpretación que haya de darse a la legislación ordinaria reguladora de la prescripción de los derechos y acciones, puesto que desde la perspectiva del art. 24.1 C.E. sólo es exigible que el referido cómputo se realice de forma que su titular haya podido ejercitarlos sin impedimento derivado de factores ajenos a su voluntad (SSTC 262/1988 y 47/1989, entre otras)" (ATC 169/1990, fundamento jurídico 2º).</w:t>
      </w:r>
    </w:p>
    <w:p w:rsidR="008107C7" w:rsidRDefault="008107C7" w:rsidP="008107C7">
      <w:pPr>
        <w:pStyle w:val="TextoNormal"/>
      </w:pPr>
    </w:p>
    <w:p w:rsidR="008107C7" w:rsidRDefault="008107C7" w:rsidP="008107C7">
      <w:pPr>
        <w:pStyle w:val="TextoNormal"/>
      </w:pPr>
      <w:r w:rsidRPr="008107C7">
        <w:rPr>
          <w:rStyle w:val="NumeroAFNegritaCaracter"/>
        </w:rPr>
        <w:t>3</w:t>
      </w:r>
      <w:r>
        <w:t>. Sentado esto ha de agregarse de inmediato que entre las dos líneas jurisprudenciales que acabamos de recoger no existe contradicción, pues resulta más aparente que real desde el momento en que se considera el objeto preciso sobre el que se formulan.</w:t>
      </w:r>
    </w:p>
    <w:p w:rsidR="008107C7" w:rsidRDefault="008107C7" w:rsidP="008107C7">
      <w:pPr>
        <w:pStyle w:val="TextoNormal"/>
      </w:pPr>
      <w:r>
        <w:t>A) La vinculación del juzgador ordinario al principio pro actione va referida exclusivamente a aquéllos supuestos en los que determinada interpretación de los requisitos de una acción judicial conduce a su inadmisión a trámite, excluyéndose un pronunciamiento sobre el fondo de la pretensión sustentada.  Por el contrario, el límite de la manifiesta arbitrariedad, irrazonabilidad o error patente, o de la "mera apariencia de justicia" (STC 148/1994, fundamento jurídico 4º, por todas), se vincula a los supuestos en los que sí ha sido posible acceder a la tutela de los Tribunales, aunque la pretensión se deniegue por otras razones.</w:t>
      </w:r>
    </w:p>
    <w:p w:rsidR="008107C7" w:rsidRDefault="008107C7" w:rsidP="008107C7">
      <w:pPr>
        <w:pStyle w:val="TextoNormal"/>
      </w:pPr>
      <w:r>
        <w:t>B) Así las cosas, de la jurisprudencia constitucional anteriormente citada y específicamente referida al cómputo de los plazos de caducidad o prescripción se deduce con claridad que, desde el punto de vista de los derechos fundamentales constitucionalmente garantizados -única perspectiva lícita para este Tribunal, que en modo alguno puede tratar de imponer una determinada interpretación de la legalidad-, una resolución como la impugnada, formalmente adoptada en forma de Sentencia y tras la completa tramitación del correspondiente proceso en el que las partes pudieron alegar cuantas razones convenían a su pretensión, y en la que se aprecia la prescripción de la acción ejercitada, que por ello resulta desestimada, no puede ser considerada en modo alguno como denegación de acceso a la justicia, sino como mera desestimación de la pretensión sustentada ante los Tribunales.</w:t>
      </w:r>
    </w:p>
    <w:p w:rsidR="008107C7" w:rsidRDefault="008107C7" w:rsidP="008107C7">
      <w:pPr>
        <w:pStyle w:val="TextoNormal"/>
      </w:pPr>
      <w:r>
        <w:lastRenderedPageBreak/>
        <w:t>C) No pretende con ello este Tribunal afirmar que siempre y en todo caso, la apreciación por el juzgador ordinario de la prescripción de una acción deba considerarse como resolución sobre el fondo del asunto, que de suyo supone que se tuvo la oportunidad de acceder a la tutela de los Tribunales. Ejemplo de lo contrario es la STC 220/1993, en la que el conjunto de las circunstancias fácticas concurrentes llevaron a esta misma Sala a la conclusión de que no existió, en el caso, posibilidad temporánea de acceder a dicha tutela. Pues bien, son precisamente las circunstancias del caso ahora planteado las que llevan a la conclusión de que el recurrente accedió efectivamente a la tutela de los Tribunales y obtuvo de ellos una respuesta de fondo sobre su pretensión, en sentido desestimatorio.</w:t>
      </w:r>
    </w:p>
    <w:p w:rsidR="008107C7" w:rsidRDefault="008107C7" w:rsidP="008107C7">
      <w:pPr>
        <w:pStyle w:val="TextoNormal"/>
      </w:pPr>
      <w:r>
        <w:t>No cabe olvidar, en efecto, que nos encontramos ante una reclamación de indemnización de daños y perjuicios, formulada por el hoy recurrente de amparo contra la Administración General del Estado el 6 de julio de 1988 y que, denegada por silencio administrativo, dio lugar a la interposición del recurso contencioso-administrativo del que trae causa el presente proceso constitucional. Habiéndose apreciado en la Sentencia que aquí se impugna, en atención a la fecha antes indicada, que había prescrito el derecho a reclamar la indemnización, pues el hecho que la motivó se produjo el 4 de julio de 1987, fecha de la publicación de la Sentencia de la Sala Tercera del Tribunal Supremo que declaró la nulidad de la Orden Ministerial de 10 de agosto de 1985.  Esto es, transcurrido el plazo de un año. Lo que supone, por tanto, una desestimación de la demanda, al término del proceso contencioso- administrativo, por prescripción del derecho accionado.</w:t>
      </w:r>
    </w:p>
    <w:p w:rsidR="008107C7" w:rsidRDefault="008107C7" w:rsidP="008107C7">
      <w:pPr>
        <w:pStyle w:val="TextoNormal"/>
      </w:pPr>
      <w:r>
        <w:t>Con independencia, pues, de que en el plano de la legalidad el instituto de la prescripción deba considerarse como de naturaleza procesal o sustantiva, lo cierto es que en la apreciación de su concurrencia, cuando tal juicio se realiza no in limine litis, sino tras el completo desarrollo regular del proceso judicial, y en decisión adoptada por el propio juzgador del fondo de la pretensión, éste no se halla necesariamente vinculado por la regla hermenéutica pro actione, pues debe considerarse que ha existido auténtico acceso a la Justicia. En sede constitucional, única relevante para este Tribunal, no existe denegación de Justicia, sino desestimación de la pretensión de fondo. Por ello debe excluirse que el juzgador ordinario se viera en este caso vinculado por el principio pro actione; tratándose de una resolución sobre el fondo del asunto, tal principio vendría a diluirse en un imposible derecho fundamental a que los órganos judiciales interpreten la legalidad en el sentido más favorable a la pretensión sustentada por el demandante. Y basta el mero enunciado de este supuesto "derecho" para excluir la necesidad de cualquier análisis sobre su hipotética, existencia.</w:t>
      </w:r>
    </w:p>
    <w:p w:rsidR="008107C7" w:rsidRDefault="008107C7" w:rsidP="008107C7">
      <w:pPr>
        <w:pStyle w:val="TextoNormal"/>
      </w:pPr>
    </w:p>
    <w:p w:rsidR="008107C7" w:rsidRDefault="008107C7" w:rsidP="008107C7">
      <w:pPr>
        <w:pStyle w:val="TextoNormal"/>
      </w:pPr>
      <w:r w:rsidRPr="008107C7">
        <w:rPr>
          <w:rStyle w:val="NumeroAFNegritaCaracter"/>
        </w:rPr>
        <w:t>4</w:t>
      </w:r>
      <w:r>
        <w:t>. Con la anterior conclusión estamos ya en condiciones de enjuiciar la segunda línea argumental seguida tanto por el recurrente como por el Ministerio Fiscal. Excluida la aplicabilidad al caso del principio pro actione, queda por analizar la alegada "manifiesta arbitrariedad, irrazonabilidad o error patente", que se imputa al criterio seguido por la Sala sentenciadora en la determinación de cuál fuera el dies a quo a partir del cual transcurre el plazo de prescripción de un año para la reclamación indemnizatoria intentada en el proceso de origen.</w:t>
      </w:r>
    </w:p>
    <w:p w:rsidR="008107C7" w:rsidRDefault="008107C7" w:rsidP="008107C7">
      <w:pPr>
        <w:pStyle w:val="TextoNormal"/>
      </w:pPr>
      <w:r>
        <w:t>A) El recurrente basa su impugnación en que el Tribunal Supremo inaplicó los preceptos legales relevantes (art. 40.3 L.R.J.A.E., en relación con el art.  1.969 C.C., que fija el inicio de la prescripción de las acciones "en el día a partir del cual pudieron ejercitarse"), pues interpretó la fecha de publicación de la Sentencia como fecha de firmeza de la misma, aun no habiendo sido notificada al recurrente en el proceso anterior, donde se anuló la Orden Ministerial de 10 de agosto de 1985.</w:t>
      </w:r>
    </w:p>
    <w:p w:rsidR="008107C7" w:rsidRDefault="008107C7" w:rsidP="008107C7">
      <w:pPr>
        <w:pStyle w:val="TextoNormal"/>
      </w:pPr>
      <w:r>
        <w:lastRenderedPageBreak/>
        <w:t>Ahora bien, la fijación del dies a quo en la fecha de la publicación de la Sentencia ni contraviene el tenor literal de los preceptos legales citados, ni se aparta en modo alguno de una muy dilatada jurisprudencia. La interpretación seguida, por tanto, no es siquiera un cambio inopinado de criterio, sino, más bién, el mantenimiento de una doctrina muy consolidada, y tampoco ajena a otros supuestos de prescripción de derechos o acciones.</w:t>
      </w:r>
    </w:p>
    <w:p w:rsidR="008107C7" w:rsidRDefault="008107C7" w:rsidP="008107C7">
      <w:pPr>
        <w:pStyle w:val="TextoNormal"/>
      </w:pPr>
      <w:r>
        <w:t>B) En definitiva, fuera o no sostenible otra interpretación, la seguida invariablemente por la Sala Tercera del Tribunal Supremo en supuestos como el aquí planteado no puede ser tachada como arbitraria, manifiestamente irrazonable o fruto de un error patente.  Mucho menos que con ella se prestara una "mera apariencia de Justicia" (STC 148/1994, fundamento jurídico 4º), único canon de constitucionalidad cuando el derecho a la tutela judicial se invoca como cobertura de una radical discrepancia con el fondo de una resolución judicial.</w:t>
      </w:r>
    </w:p>
    <w:p w:rsidR="008107C7" w:rsidRDefault="008107C7" w:rsidP="008107C7">
      <w:pPr>
        <w:pStyle w:val="TextoNormal"/>
      </w:pPr>
    </w:p>
    <w:p w:rsidR="008107C7" w:rsidRDefault="008107C7" w:rsidP="008107C7">
      <w:pPr>
        <w:pStyle w:val="TextoNormal"/>
      </w:pPr>
      <w:r w:rsidRPr="008107C7">
        <w:rPr>
          <w:rStyle w:val="NumeroAFNegritaCaracter"/>
        </w:rPr>
        <w:t>5</w:t>
      </w:r>
      <w:r>
        <w:t>. Las circunstancias concretas del supuesto, de otra parte, abonan la conclusión de que no existió lesión del derecho a la tutela judicial efectiva en la segunda perspectiva que aquí se examina.</w:t>
      </w:r>
    </w:p>
    <w:p w:rsidR="008107C7" w:rsidRDefault="008107C7" w:rsidP="008107C7">
      <w:pPr>
        <w:pStyle w:val="TextoNormal"/>
      </w:pPr>
      <w:r>
        <w:t>En efecto, cabe presumir fundadamente que el ahora recurrente conoció a tiempo la Sentencia dictada el 4 de julio de 1987 por la Sala Tercera del Tribunal Supremo, no sólo por constituir el presupuesto para su reclamación indemnizatoria sino por la intervención del Consejo General de Colegios Oficiales de Farmacéuticos en aquel proceso, con la consiguiente información a los distintos Colegios y por éstos a los profesionales integrados en ellos, dado su directo interés en dicho fallo. La duración, en abstracto, del plazo de prescripción -un año- debe reputarse como más que suficiente para preparar y articular la reclamación, nada compleja por otra parte. Ni concurren tampoco factores ajenos a la voluntad del recurrente que le impidieran razonablemente reclamar la indemnización frente a la Administración General del Estado en el plazo dado (lo que diferencia el presente supuesto de casos como los resueltos en las SSTC 262/1988 y 47/1989).</w:t>
      </w:r>
    </w:p>
    <w:p w:rsidR="008107C7" w:rsidRDefault="008107C7" w:rsidP="008107C7">
      <w:pPr>
        <w:pStyle w:val="TextoNormal"/>
      </w:pPr>
    </w:p>
    <w:p w:rsidR="008107C7" w:rsidRDefault="008107C7" w:rsidP="008107C7">
      <w:pPr>
        <w:pStyle w:val="TextoNormal"/>
      </w:pPr>
      <w:r w:rsidRPr="008107C7">
        <w:rPr>
          <w:rStyle w:val="NumeroAFNegritaCaracter"/>
        </w:rPr>
        <w:t>6</w:t>
      </w:r>
      <w:r>
        <w:t>. En definitiva, desechada la exigencia constitucional de que la interpretación de la cuestión controvertida se rigiera por el principio pro actione, no siendo apreciable género alguno de irrazonabilidad, arbitrariedad o error patente en la decisión adoptada por el Tribunal Supremo, y descartada la concurrencia de circunstancias excepcionales que hicieran imposible la defensa temporánea de sus derechos por el demandante, el amparo solicitado debe ser denegado.</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Denegar el amparo solicitado.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diez de marzo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lastRenderedPageBreak/>
        <w:br w:type="page"/>
      </w:r>
    </w:p>
    <w:p w:rsidR="008107C7" w:rsidRDefault="008107C7" w:rsidP="008107C7">
      <w:pPr>
        <w:pStyle w:val="TtuloResolucin"/>
      </w:pPr>
      <w:bookmarkStart w:id="46" w:name="SENTENCIA_1997_43"/>
      <w:r>
        <w:lastRenderedPageBreak/>
        <w:t>SENTENCIA 43/1997, de 10 de marzo de 1997</w:t>
      </w:r>
    </w:p>
    <w:bookmarkEnd w:id="46"/>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87, de 11 de abril de 1997)</w:t>
      </w:r>
    </w:p>
    <w:p w:rsidR="008107C7" w:rsidRDefault="008107C7" w:rsidP="008107C7">
      <w:pPr>
        <w:pStyle w:val="TtuloBOE"/>
      </w:pPr>
    </w:p>
    <w:p w:rsidR="008107C7" w:rsidRDefault="008107C7" w:rsidP="008107C7">
      <w:pPr>
        <w:pStyle w:val="SntesisDescriptiva"/>
      </w:pPr>
      <w:r>
        <w:t>ECLI:ES:TC:1997:43</w:t>
      </w:r>
    </w:p>
    <w:p w:rsidR="008107C7" w:rsidRDefault="008107C7" w:rsidP="008107C7">
      <w:pPr>
        <w:pStyle w:val="SntesisDescriptiva"/>
      </w:pPr>
    </w:p>
    <w:p w:rsidR="008107C7" w:rsidRDefault="008107C7" w:rsidP="008107C7">
      <w:pPr>
        <w:pStyle w:val="SntesisDescriptiva"/>
      </w:pPr>
      <w:r>
        <w:t>Recurso de amparo 2.093/1994. Contra Sentencia de la Audiencia Provincial de Valladolid que revocaba en apelación la del Juzgado de lo Penal núm. 1 de esa misma ciudad.</w:t>
      </w:r>
    </w:p>
    <w:p w:rsidR="008107C7" w:rsidRDefault="008107C7" w:rsidP="008107C7">
      <w:pPr>
        <w:pStyle w:val="SntesisDescriptiva"/>
      </w:pPr>
    </w:p>
    <w:p w:rsidR="008107C7" w:rsidRDefault="008107C7" w:rsidP="008107C7">
      <w:pPr>
        <w:pStyle w:val="SntesisAnaltica"/>
      </w:pPr>
      <w:r>
        <w:t>Vulneración del derecho a la tutela judicial efectiva: motivación insuficiente de la agravación de la pena impuesta por la Sentencia recurrida.</w:t>
      </w:r>
    </w:p>
    <w:p w:rsidR="008107C7" w:rsidRDefault="008107C7" w:rsidP="008107C7">
      <w:pPr>
        <w:pStyle w:val="SntesisAnaltica"/>
      </w:pPr>
    </w:p>
    <w:p w:rsidR="008107C7" w:rsidRDefault="008107C7" w:rsidP="008107C7">
      <w:pPr>
        <w:pStyle w:val="Extracto"/>
      </w:pPr>
      <w:r>
        <w:t>1.</w:t>
      </w:r>
      <w:r>
        <w:tab/>
        <w:t>La facultad de libre valoración de la prueba compete en exclusiva a los órganos de la jurisdicción penal, ya sean de instancia o de apelación. Tal y como ha tenido oportunidad de declarar este Tribunal, de la discrepante valoración de la prueba efectuada por el Juez «ad quem» respecto de la defendida por el juzgador «a quo» no cabe deducir vulneración de derecho fundamental alguno, ya que «el Juez de apelación tiene el poder necesario para examinar y corregir la valoración de las pruebas realizada por el inferior, de modo que... resulta acorde con la esencia de la apelación el que sobre un mismo material probatorio puedan producirse apreciaciones dispares conducentes a otras tantas resoluciones judiciales, sin que ello resulte anómalo ni mucho menos contrario a la Constitución» (por todos, AATC 636/1987 y 670/1987). [F.J. 2]</w:t>
      </w:r>
    </w:p>
    <w:p w:rsidR="008107C7" w:rsidRDefault="008107C7" w:rsidP="008107C7">
      <w:pPr>
        <w:pStyle w:val="Extracto"/>
      </w:pPr>
    </w:p>
    <w:p w:rsidR="008107C7" w:rsidRDefault="008107C7" w:rsidP="008107C7">
      <w:pPr>
        <w:pStyle w:val="Extracto"/>
      </w:pPr>
      <w:r>
        <w:t>2.</w:t>
      </w:r>
      <w:r>
        <w:tab/>
        <w:t>Si bien fuera del supuesto previsto en el art. 733 L.E.Crim. no es posible la condena por delito más grave del que ha sido objeto de acusación, ello no prohíbe rebasar cuantitativamente la pena en concreto solicitada por las acusaciones, con tal de que cualitativamente se mantenga dentro de los límites penológicos establecidos por la Ley al delito incriminado, ya que «el principio acusatorio no exige la vinculación estricta del juzgador a las calificaciones jurídicas y al «petitum» de las partes, sino sólo que el hecho objeto del juicio del fallo sea aquel sobre el que se halla sostenido la acusación, puesto que el objeto del proceso no es «un crimen», sino un «factum», que debe entenderse respetado cuando el órgano judicial se atiene al «hecho posible objeto de la acusación, sin incurrir en incongruencia procesal» aunque imponga una «pena cuantitativamente superior a la pedida por el Fiscal» (ATC 377/1987). [F.J. 3]</w:t>
      </w:r>
    </w:p>
    <w:p w:rsidR="008107C7" w:rsidRDefault="008107C7" w:rsidP="008107C7">
      <w:pPr>
        <w:pStyle w:val="Extracto"/>
      </w:pPr>
    </w:p>
    <w:p w:rsidR="008107C7" w:rsidRDefault="008107C7" w:rsidP="008107C7">
      <w:pPr>
        <w:pStyle w:val="Extracto"/>
      </w:pPr>
      <w:r>
        <w:t>3.</w:t>
      </w:r>
      <w:r>
        <w:tab/>
        <w:t xml:space="preserve">El demandante considera que la pena de dos años cuatro meses un día de prisión menor que se le impuso en sede de apelación no lo fue por aplicación de lo establecido en el art. 127 del C.P. Militar, precepto vigente en el momento de comisión de los hechos, sino del art. 135 bis i) del anterior Código Penal, precepto este último que no sólo sería posterior a dicha comisión, al haber sido introducido en el texto punitivo de referencia por la Ley Orgánica 13/1991, de 20 de diciembre, sino que sería menos favorable que el art. 127 del C.P. Militar toda vez que, mientras que la pena que en éste se preveía para el delito de negativa a la prestación del servicio militar era la de prisión menor por un período de uno a seis años, la establecida en aquél para idéntica hipótesis se elevaba a prisión menor en su grado medio o </w:t>
      </w:r>
      <w:r>
        <w:lastRenderedPageBreak/>
        <w:t>máximo, ésto es, por un período de dos años cuatro meses un día (mínimo del grado medio) a seis años (tope del grado máximo) . [F.J. 4]</w:t>
      </w:r>
    </w:p>
    <w:p w:rsidR="008107C7" w:rsidRDefault="008107C7" w:rsidP="008107C7">
      <w:pPr>
        <w:pStyle w:val="Extracto"/>
      </w:pPr>
    </w:p>
    <w:p w:rsidR="008107C7" w:rsidRDefault="008107C7" w:rsidP="008107C7">
      <w:pPr>
        <w:pStyle w:val="Extracto"/>
      </w:pPr>
      <w:r>
        <w:t>4.</w:t>
      </w:r>
      <w:r>
        <w:tab/>
        <w:t>La declaración, en el fundamento jurídico 3. de la Sentencia recurrida, de que al considerarse por ese Tribunal que la «pena mínima de dos años cuatro meses un día de prisión menor» imponible al recurrente resulta «excesiva... atendidos el grado de malicia del culpable y el daño causado por el delito, considera procedente proponer al Gobierno de la Nación un indulto parcial de la misma, de acuerdo con el art. 2 C.P., a fin de que sea conmutada por la de un año y dos meses de prisión menor», sugiere que la Sala basó su fallo en el art. 135 bis i) del anterior Código Penal y no en el art. 127 del C.P. Militar. En efecto, de ser este último el precepto aplicado por la Sala sentenciadora, el entonces vigente art. 61.4 C.P. permitía a dicha Sala fijar la pena no ya en su grado mínimo -como efectivamente se hizo, según hemos ya razonado de acuerdo con el Fiscal-, sino en el tope mínimo de su grado mínimo -esto es, a partir de un año de prisión-, si es que efectivamente se pretendía tener en cuenta la gravedad del delito y la personalidad del delincuente. Por el contrario, si el Tribunal sentenciador tenía presente la aplicación del antiguo art. 135 bis i) C. P., y dado que el tope mínimo de la pena allí prevista se situaba justamente en los dos años cuatro meses un día de prisión menor, se entiende perfectamente que dicho Tribunal considerase excesiva la imposición de dicha pena y propusiera la concesión del indulto parcial . [F.J. 5]</w:t>
      </w:r>
    </w:p>
    <w:p w:rsidR="008107C7" w:rsidRDefault="008107C7" w:rsidP="008107C7">
      <w:pPr>
        <w:pStyle w:val="Extracto"/>
      </w:pPr>
    </w:p>
    <w:p w:rsidR="008107C7" w:rsidRDefault="008107C7" w:rsidP="008107C7">
      <w:pPr>
        <w:pStyle w:val="Extracto"/>
      </w:pPr>
      <w:r>
        <w:t>5.</w:t>
      </w:r>
      <w:r>
        <w:tab/>
        <w:t>Esta duda en cuanto a la normativa legal aplicada suscita de inmediato la cuestión de determinar si la resolución impugnada, al imponer la pena de dos años cuatro meses un día de prisión menor, se encontraba adecuadamente motivada y, en último término, fundada en Derecho. Cabe observar, en efecto, que en el fundamento 3. de la Sentencia impugnada no se citan los preceptos legales aplicados. Y los términos allí empleados no permiten deducir con qué fundamento se considera «pena mínima» a imponer la expresada, y ello pese a la inconcreta referencia al «mismo delito por el que ha sido condenado en la Sentencia apelada» donde, ciertamente, sí se hacía explícita referencia al art. 127 del C. P. Militar. Pero si, como hemos razonado en el anterior fundamento, la imposición de tal pena, aplicando este precepto, resulta incompatible con su consideración como «excesiva», atendidas la gravedad del delito y la personalidad del delincuente -pues nada impedía al Tribunal imponer en este caso una «pena mínima» de un año-, la conclusión que se alcanza es que difícilmente puede considerarse fundada en Derecho la extensión de la pena impuesta . [F.J.6]</w:t>
      </w:r>
    </w:p>
    <w:p w:rsidR="008107C7" w:rsidRDefault="008107C7" w:rsidP="008107C7">
      <w:pPr>
        <w:pStyle w:val="Extracto"/>
      </w:pPr>
    </w:p>
    <w:p w:rsidR="008107C7" w:rsidRDefault="008107C7" w:rsidP="008107C7">
      <w:pPr>
        <w:pStyle w:val="Extracto"/>
      </w:pPr>
      <w:r>
        <w:t>6.</w:t>
      </w:r>
      <w:r>
        <w:tab/>
        <w:t>La exigencia constitucional de dar una respuesta fundada en Derecho adquiere particulares perfiles cuando, como aquí ocurre, se trata de una decisión judicial que afecta a otro derecho fundamental de contenido sustancial, el derecho a la libertad personal del recurrente -del que va a resultar privado por la decisión cuestionada-, que constituye además -y nada menos- uno de los valores superiores del ordenamiento jurídico: en la medida en que está en juego el valor superior de la libertad, el derecho a la tutela judicial efectiva sin indefensión no sólo exige resoluciones judiciales motivadas, sino motivaciones concordantes con los supuestos en los que la Constitución permite la afectación de ese valor superior» (STC 2/1997) . [F.J. 6]</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2.093/94, interpuesto por don Jorge Acha Pinillos, representado por la Procuradora de los Tribunales doña Ana Isabel Colmenarejo Jover, con la asistencia letrada de doña María Begoña Lalana Alonso, contra la Sentencia de la Audiencia Provincial de Valladolid de 19 de mayo de 1994, por la que se revocaba en apelación la Sentencia del Juzgado de lo Penal núm. 1 de esa misma ciudad de 26 de noviembre de 1993. Ha intervenido el Ministerio Fiscal y ha sido Ponente el Magistrado don Julio Diego González Campos,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registrado en este Tribunal el 22 de octubre de 1994, don Jorge Acha Pinillos, bajo la representación procesal de la Procuradora doña Ana Isabel Colmenarejo Jover tras haber solicitado su nombramiento de oficio, interpuso recurso de amparo contra la Sentencia de la Audiencia Provincial de Valladolid de 19 de mayo de 1994, por la que se revocaba parcialmente en apelación la Sentencia del Juzgado de lo Penal núm. 1 de Valladolid de 26 de noviembre de 1993.</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El recurso se basa en los siguientes hechos: </w:t>
      </w:r>
    </w:p>
    <w:p w:rsidR="008107C7" w:rsidRDefault="008107C7" w:rsidP="008107C7">
      <w:pPr>
        <w:pStyle w:val="TextoNormal"/>
      </w:pPr>
      <w:r>
        <w:t xml:space="preserve">a) Con fecha 6 de junio de 1990, don Jorge Acha Pinillos remitió al Juzgado Togado Militar de Valladolid un escrito en el que se negaba expresamente a la realización del Servicio Militar, devolviendo toda la documentación que había recibido al objeto de su incorporación al acuartelamiento "Prado Magdalena" de esta ciudad. </w:t>
      </w:r>
    </w:p>
    <w:p w:rsidR="008107C7" w:rsidRDefault="008107C7" w:rsidP="008107C7">
      <w:pPr>
        <w:pStyle w:val="TextoNormal"/>
      </w:pPr>
      <w:r>
        <w:t xml:space="preserve">b) El día 15 de junio de 1992, y con ocasión de las actuaciones remitidas por el Juzgado Togado Militar núm. 44 de Valladolid, se incoaron, en el Juzgado de Instrucción núm. 6 de esta misma ciudad, las diligencias previas núm. 905/92 por posible delito de negativa a cumplir el Servicio Militar. Con fecha de 6 de agosto de 1992, se dictó por aquel Juzgado resolución en la que se acordaba la tramitación del procedimiento de acuerdo con lo establecido en los arts. 790 y siguientes de la Ley de Enjuiciamiento Criminal (L.E.Crim.), dando lugar al procedimiento abreviado núm. 86/92. </w:t>
      </w:r>
    </w:p>
    <w:p w:rsidR="008107C7" w:rsidRDefault="008107C7" w:rsidP="008107C7">
      <w:pPr>
        <w:pStyle w:val="TextoNormal"/>
      </w:pPr>
      <w:r>
        <w:t xml:space="preserve">c) Solicitada por el Ministerio Fiscal la apertura del juicio oral y calificados los hechos por las partes acusadoras, el Instructor acordó dicha apertura por Auto de fecha 11 de mayo de 1993, así como la remisión de las actuaciones al Juzgado de lo Penal núm. 1 de Valladolid </w:t>
      </w:r>
      <w:r>
        <w:lastRenderedPageBreak/>
        <w:t xml:space="preserve">en el que, una vez recibidas y registradas como procedimiento abreviado núm. 290/93, se dió cumplimiento a lo dispuesto en los arts. 792 y ss. L.E.Crim. </w:t>
      </w:r>
    </w:p>
    <w:p w:rsidR="008107C7" w:rsidRDefault="008107C7" w:rsidP="008107C7">
      <w:pPr>
        <w:pStyle w:val="TextoNormal"/>
      </w:pPr>
      <w:r>
        <w:t xml:space="preserve">d) En el acto del juicio, el Ministerio Fiscal estimó que los hechos eran constitutivos de un delito de negativa al cumplimiento del Servicio Militar previsto en el art. 127 del Código Penal Militar, y, en consecuencia solicitó para el Sr. Acha la pena de dieciocho meses de prisión menor. Con fecha de 26 de noviembre de 1993, el Juzgado dictó Sentencia condenando al Sr. Acha, como autor del delito previsto y penado en el art. 127 del C.P. Militar con la concurrencia de la circunstancia 10 del art.9 del anterior Código Penal (en relación con las circunstancias 1ª de ese mismo precepto y 7ª de su art.8), a la pena de cuatro meses de arresto mayor con sus correspondientes accesorias, así como al pago de las costas procesales. </w:t>
      </w:r>
    </w:p>
    <w:p w:rsidR="008107C7" w:rsidRDefault="008107C7" w:rsidP="008107C7">
      <w:pPr>
        <w:pStyle w:val="TextoNormal"/>
      </w:pPr>
      <w:r>
        <w:t xml:space="preserve">e) Contra dicha Sentencia interpuso el Ministerio Fiscal recurso de apelación ante la Sección Segunda de la Audiencia Provincial de Valladolid, en el que solicitaba que se condenara al Sr. Acha a la pena de dieciocho meses de prisión menor por aplicación del art. 127 del C.P. Militar, al no estimar concurrente circunstancia modificativa alguna de la responsabilidad criminal. No habiéndose propuesto diligencias probatorias, la Sala estimó que no era necesaria la celebración de la vista y quedaron los autos vistos para Sentencia. </w:t>
      </w:r>
    </w:p>
    <w:p w:rsidR="008107C7" w:rsidRDefault="008107C7" w:rsidP="008107C7">
      <w:pPr>
        <w:pStyle w:val="TextoNormal"/>
      </w:pPr>
      <w:r>
        <w:t>f) Con fecha de 19 de mayo de 1994, la Audiencia dictó Sentencia estimando el recurso de apelación y, por consiguiente, revocando en parte la Sentencia anterior en el sentido de condenar al Sr. Acha, como autor responsable de un delito contra el deber de prestación del Servicio Militar sin la concurrencia de circunstancias modificativas de la responsabilidad criminal, a la pena de dos años, cuatro meses y un día de prisión menor con sus correspondientes accesorias, y al pago de las costas procesales.</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Contra dicha Sentencia se interpone el presente recurso de amparo, interesando su nulidad. Se solicita asimismo la suspensión de la ejecución de la resolución recurrida. </w:t>
      </w:r>
    </w:p>
    <w:p w:rsidR="008107C7" w:rsidRDefault="008107C7" w:rsidP="008107C7">
      <w:pPr>
        <w:pStyle w:val="TextoNormal"/>
      </w:pPr>
      <w:r>
        <w:t xml:space="preserve">Se alega en la demanda que la Sentencia dictada en sede de apelación ha vulnerado los derechos del recurrente a la tutela judicial efectiva sin indefensión, a un proceso con todas las garantías y a la legalidad penal, respectivamente reconocidos en los arts. 24.1, 24.2 y 25.1 C.E., en relación con los arts. 9 y 14 C.E. </w:t>
      </w:r>
    </w:p>
    <w:p w:rsidR="008107C7" w:rsidRDefault="008107C7" w:rsidP="008107C7">
      <w:pPr>
        <w:pStyle w:val="TextoNormal"/>
      </w:pPr>
      <w:r>
        <w:t xml:space="preserve">Por lo que se refiere a la pretendida vulneración de sus derechos a la tutela judicial efectiva sin indefensión y a un proceso con todas las garantías, aduce el demandante de amparo que ambas habrían sido cometidas por el órgano judicial de apelación al haber sometido a nueva valoración la prueba practicada en instancia, lo que condujo en dicha sede a la no apreciación de la circunstancia atenuante tenida en cuenta por la Sentencia apelada; ya que la nueva valoración de la prueba se habría practicado sin las debidas inmediación y contradicción, al no haberse celebrado vista oral del recurso de apelación, infringiéndose así tanto lo establecido en el art. 741 L.E.Crim., por el que se adjudica únicamente esa facultad de valoración al Tribunal a quo ante el que se han practicado las pruebas con aquellas garantías, cuanto lo dispuesto en el art. 849.1 L.E.Crim. en el sentido de que podrá interponerse recurso por infracción de Ley (que es la causa por la que recurrió en apelación el Ministerio Fiscal) siempre y cuando se respeten los hechos probados y, a sensu contrario, no se someta la prueba a nueva valoración. </w:t>
      </w:r>
    </w:p>
    <w:p w:rsidR="008107C7" w:rsidRDefault="008107C7" w:rsidP="008107C7">
      <w:pPr>
        <w:pStyle w:val="TextoNormal"/>
      </w:pPr>
      <w:r>
        <w:t xml:space="preserve">Por otra parte, se subraya el hecho de que el Sr. Acha fuera condenado por la Audiencia Provincial, según declaración expresa contenida en la Sentencia recurrida en amparo, a la pena mínima que correspondía al delito imputado de negativa a cumplir el Servicio Militar. Declaración de la que deduce que la pena de dos años y cuatro meses de prisión menor que le fue impuesta en apelación obedeció a la aplicación, por el Tribunal ad quem, de una </w:t>
      </w:r>
      <w:r>
        <w:lastRenderedPageBreak/>
        <w:t xml:space="preserve">normativa establecida con posterioridad al momento de comisión del hecho enjuiciado, sensiblemente más severa que la que estaba vigente en el momento de producirse aquél. Por consiguiente, se considera nuevamente infringido el art. 24.1 C.E., por no haberse otorgado al Sr. Acha la tutela a la que tenía derecho y por haberse contravenido el principio de irretroactividad de la Ley penal no favorable, recogido en el art. 24 C.P. y en los arts. 9.3 y 25.1 C.E. Además, a la vista de que en este último precepto se establece el derecho de todo ciudadano a no ser condenado por acciones u omisiones que no constituyan delito, según la legislación vigente, en el momento de producirse los hechos, se aduce asimismo su vulneración por la Sentencia recurrida por entenderse que, si bien ciertamente el hecho que motivó el proceso constituía delito en el momento de su comisión, la legislación conforme a la cual fue finalmente condenado el solicitante de amparo no fue la que estaba vigente en ese momento. </w:t>
      </w:r>
    </w:p>
    <w:p w:rsidR="008107C7" w:rsidRDefault="008107C7" w:rsidP="008107C7">
      <w:pPr>
        <w:pStyle w:val="TextoNormal"/>
      </w:pPr>
      <w:r>
        <w:t>Finalmente, se invoca también como vulnerado el derecho a la igualdad ante la Ley consagrado en el art. 14 C.E., por estimarse que el Sr. Acha ha sido objeto de una discriminación constitucionalmente prohibida al no haber podido ejercer su derecho a disfrutar de las mismas garantías que el resto de los ciudadanos.</w:t>
      </w:r>
    </w:p>
    <w:p w:rsidR="008107C7" w:rsidRDefault="008107C7" w:rsidP="008107C7">
      <w:pPr>
        <w:pStyle w:val="TextoNormal"/>
      </w:pPr>
    </w:p>
    <w:p w:rsidR="008107C7" w:rsidRDefault="008107C7" w:rsidP="008107C7">
      <w:pPr>
        <w:pStyle w:val="TextoNormal"/>
      </w:pPr>
      <w:r w:rsidRPr="008107C7">
        <w:rPr>
          <w:rStyle w:val="NumeroAFNegritaCaracter"/>
        </w:rPr>
        <w:t>4</w:t>
      </w:r>
      <w:r>
        <w:t>. Por providencia de 9 de febrero de 1995, la Sección Tercera acordó la admisión a trámite de la presente demanda de amparo, así como requerir a los órganos judiciales de instancia y de apelación para que, en el plazo máximo de diez días, remitieran testimonio del conjunto de las actuaciones, interesando, al propio tiempo, el emplazamiento en idéntico plazo de cuantos, a excepción del demandante de amparo, hubieran sido parte en el proceso judicial antecedente a fin de que, si así lo desearan, pudieran comparecer ante este Tribunal. Por otra providencia de esa misma fecha, la Sección acordó formar la correspondiente pieza separada de suspensión, a cuyos efectos concedió al demandante de amparo y al Ministerio Fiscal un plazo de tres días para que formularan cuantas alegaciones estimasen convenientes. Una vez evacuado dicho trámite, la Sala Segunda del Tribunal dictó un Auto, de fecha 6 de marzo de 1995, por el que decidía suspender la ejecución de la Sentencia dictada en apelación en lo relativo a la pena privativa de libertad y accesorias impuestas al recurrente, pero no así en lo tocante al pago de las costas procesales.</w:t>
      </w:r>
    </w:p>
    <w:p w:rsidR="008107C7" w:rsidRDefault="008107C7" w:rsidP="008107C7">
      <w:pPr>
        <w:pStyle w:val="TextoNormal"/>
      </w:pPr>
    </w:p>
    <w:p w:rsidR="008107C7" w:rsidRDefault="008107C7" w:rsidP="008107C7">
      <w:pPr>
        <w:pStyle w:val="TextoNormal"/>
      </w:pPr>
      <w:r w:rsidRPr="008107C7">
        <w:rPr>
          <w:rStyle w:val="NumeroAFNegritaCaracter"/>
        </w:rPr>
        <w:t>5</w:t>
      </w:r>
      <w:r>
        <w:t xml:space="preserve">. Por providencia de 9 de marzo de 1995, la Sección tuvo por recibidas las actuaciones solicitadas y acordó dar vista de las mismas al solicitante de amparo y al Ministerio Fiscal para que, en el plazo de veinte días, formularan cuantas alegaciones considerasen oportunas. </w:t>
      </w:r>
    </w:p>
    <w:p w:rsidR="008107C7" w:rsidRDefault="008107C7" w:rsidP="008107C7">
      <w:pPr>
        <w:pStyle w:val="TextoNormal"/>
      </w:pPr>
      <w:r>
        <w:t xml:space="preserve">El indicado trámite fue evacuado por la representación del recurrente mediante escrito registrado en este Tribunal con fecha de 6 de abril de 1995 en el que, sustancialmente, se reproducían las alegaciones ya contenidas en la demanda de amparo. </w:t>
      </w:r>
    </w:p>
    <w:p w:rsidR="008107C7" w:rsidRDefault="008107C7" w:rsidP="008107C7">
      <w:pPr>
        <w:pStyle w:val="TextoNormal"/>
      </w:pPr>
      <w:r>
        <w:t xml:space="preserve">En cumplimiento de idéntico trámite, el Fiscal ante el Tribunal Constitucional concluía su escrito de fecha 10 de abril de 1995 interesando la desestimación del presente recurso de amparo por considerar que no cabía reprochar a la Sentencia dictada en sede de apelación ninguna de las vulneraciones de derechos fundamentales invocadas en la demanda. </w:t>
      </w:r>
    </w:p>
    <w:p w:rsidR="008107C7" w:rsidRDefault="008107C7" w:rsidP="008107C7">
      <w:pPr>
        <w:pStyle w:val="TextoNormal"/>
      </w:pPr>
      <w:r>
        <w:t xml:space="preserve">A juicio del Ministerio Fiscal, procedería en primer lugar la desestimación del motivo de amparo basado en una pretendida vulneración de los derechos del recurrente a la tutela judicial efectiva sin indefensión y a un proceso con todas las garantías, que se atribuye al órgano judicial de apelación por haber procedido a una nueva valoración de la prueba practicada en instancia, ya que de la Sentencia dictada en dicha sede se desprende que el Tribunal ad quem respetó escrupulosamente los hechos declarados probados por el juzgador a quo, </w:t>
      </w:r>
      <w:r>
        <w:lastRenderedPageBreak/>
        <w:t xml:space="preserve">limitando su actuación a valorarlos de forma distinta para lo cual está plenamente autorizado, sin que esta nueva valoración de la prueba pueda ser revisada en vía de amparo constitucional al ser una facultad atribuida en exclusiva a los Jueces y Tribunales penales. </w:t>
      </w:r>
    </w:p>
    <w:p w:rsidR="008107C7" w:rsidRDefault="008107C7" w:rsidP="008107C7">
      <w:pPr>
        <w:pStyle w:val="TextoNormal"/>
      </w:pPr>
      <w:r>
        <w:t>Idéntica suerte desestimatoria ha de correr, en opinión del Ministerio Fiscal, el motivo de amparo centrado en una supuesta vulneración del derecho del actor a la legalidad penal -que en la demanda se entiende cometida por haberle aplicado el órgano judicial de apelación, en forma retroactiva, una normativa posterior a la vigente en el momento de los hechos y ello pese al carácter menos favorable de dicha Ley posterior-, dado que, al imponer al recurrente la pena de dos años, cuatro meses y un día de prisión menor, la Sala se habría mantenido dentro de los márgenes penales correspondientes al grado mínimo de dicha pena toda vez que, al ser de un año a seis años de prisión menor la duración total establecida por el art. 127 C.P.Militar para el delito por el que fue condenado el recurrente, de la distribución en tres grados de la indicada pena se desprendería que su grado mínimo abarcaría el período de tiempo comprendido entre un año y dos años y ocho meses de prisión, no habiendo sido en consecuencia rebasada dicha duración por la imposición al solicitante de amparo de una pena de dos años, cuatro meses y un día de prisión menor ya que, según el cálculo realizado por el Ministerio Fiscal, dicha condena todavía permanecería encuadrada dentro del grado mínimo de la pena establecida por el art. 127 C.P.Militar para el delito de negativa a la prestación del Servicio Militar.</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Por providencia de fecha 6 de marzo de 1997, se señaló para la deliberación y votación de la presente Sentencia el día </w:t>
      </w:r>
    </w:p>
    <w:p w:rsidR="008107C7" w:rsidRDefault="008107C7" w:rsidP="008107C7">
      <w:pPr>
        <w:pStyle w:val="TextoNormal"/>
      </w:pPr>
      <w:r>
        <w:t>10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El presente recurso de amparo se interpone contra una Sentencia dictada en sede de apelación, en la que la Sala resolvió estimar el recurso interpuesto por el Ministerio Fiscal contra la Sentencia pronunciada en instancia por considerar que el Juez a quo había incurrido en un error en la apreciación de la prueba así como en infracción de Ley, ésto último por motivo de haber procedido a aplicar indebidamente al solicitante de amparo la circunstancia atenuante analógica prevenida en el art. 9.10 del anterior Código Penal, en relación con las circunstancias contenidas en los arts. 8.1 y 8.7 de ese mismo texto legal, valorándola como muy cualificada; lo que le condujo a imponer al Sr. Acha Pinillos una pena de cuatro meses de arresto mayor, sustancialmente rebajada respecto de la de un año a seis años de prisión menor prevista en el art.  127 del C. P. Militar -normativa vigente en el momento de comisión del hecho enjuiciado- para el delito de negativa a la prestación del Servicio Militar del que venía acusado.</w:t>
      </w:r>
    </w:p>
    <w:p w:rsidR="008107C7" w:rsidRDefault="008107C7" w:rsidP="008107C7">
      <w:pPr>
        <w:pStyle w:val="TextoNormal"/>
      </w:pPr>
      <w:r>
        <w:t xml:space="preserve">La estimación por la Sección Segunda de la Audiencia Provincial de Valladolid del recurso de apelación interpuesto por el Ministerio Fiscal tuvo por efecto la revocación de la Sentencia de instancia en lo relativo a la apreciación de la indicada atenuante, tras haber procedido el órgano judicial a una nueva valoración de la prueba practicada en instancia en lo relativo a la concurrencia en el acusado de profundas "convicciones ideológicas contrarias a la organización militar" y de un fuerte compromiso "con actividades sociales y humanitarias". Para el juzgador de instancia, ello constituía motivo suficiente para entender que, si bien el demandante de amparo actuó de forma consciente y voluntaria al desobedecer al deber legal de prestación del Servicio Militar, "lo hizo con merma de su facultad de optar </w:t>
      </w:r>
      <w:r>
        <w:lastRenderedPageBreak/>
        <w:t>entre los intereses que se le representaban... situación que no puede por menos que considerarse influyente en la culpabilidad del acusado minorando el grado de culpa en tanto que su actuar merece una menor reprochabilidad social y, por lo tanto, una disminución de la pena para adecuarla a las circunstancias que determinan su conducta". Para el órgano judicial de apelación, por el contrario, de los hechos declarados probados en instancia -que en lo sustancial hizo expresamente suyos la Sala en tanto en cuanto no se opusieran a lo por ella razonado y resuelto- no cabía desprender base suficiente para justificar tamaña atenuación de la pena, pues, por muy respetables que fueran las convicciones del procesado, no podían prevalecer sobre lo establecido en el art. 30 C.E., toda vez que las obligaciones militares que dicho precepto impone a los españoles "no pueden considerarse suplidas, cumplidas o sustituidas válidamente por los interesados, ni mucho menos por los Jueces o Tribunales, por otras tareas, prestaciones o servicios más o menos socio- humanitarios como los prestados voluntariamente por el acusado, pero de manera caprichosa, particular u oficiosa", sino que, a juicio de la Audiencia Provincial, el hecho de que el acusado pudiera, y aún debiera, haber solicitado que se le reconociera conforme a la normativa legal su condición de objetor de conciencia "es causa legal y razón suficiente para considerar ineficaz e inoperante la situación conflictiva" contemplada por el Juez de lo Penal para apreciar en la conducta del solicitante de amparo la atenuante en cuestión, "puesto que la solución legal y sencilla a su problema hubiera sido la ya indicada de declararse objetor de conciencia".</w:t>
      </w:r>
    </w:p>
    <w:p w:rsidR="008107C7" w:rsidRDefault="008107C7" w:rsidP="008107C7">
      <w:pPr>
        <w:pStyle w:val="TextoNormal"/>
      </w:pPr>
      <w:r>
        <w:t>Reprocha el recurrente a esta nueva valoración de la prueba por el Tribunal ad quem la infracción de sus derechos a la tutela judicial efectiva sin indefensión y a un proceso con todas las garantías, así como de su derecho a la igualdad ante la Ley por no habérsele juzgado con las mismas garantías que al resto de los ciudadanos. Por otra parte, sostiene que la pena de dos años y cuatro meses de prisión menor -que le fue impuesta en apelación tras declarar la Sala no concurrente la atenuante apreciada en instancia- obedeció a la aplicación por la Audiencia de una normativa posterior a los hechos y menos favorable que la vigente en el momento de su comisión, lo que, a su entender, habría lesionado nuevamente su derecho a la tutela judicial efectiva sin indefensión y, por ende, su derecho a la legalidad penal en su vertiente de derecho a la irretroactividad de la Ley penal desfavorable.</w:t>
      </w:r>
    </w:p>
    <w:p w:rsidR="008107C7" w:rsidRDefault="008107C7" w:rsidP="008107C7">
      <w:pPr>
        <w:pStyle w:val="TextoNormal"/>
      </w:pPr>
    </w:p>
    <w:p w:rsidR="008107C7" w:rsidRDefault="008107C7" w:rsidP="008107C7">
      <w:pPr>
        <w:pStyle w:val="TextoNormal"/>
      </w:pPr>
      <w:r w:rsidRPr="008107C7">
        <w:rPr>
          <w:rStyle w:val="NumeroAFNegritaCaracter"/>
        </w:rPr>
        <w:t>2</w:t>
      </w:r>
      <w:r>
        <w:t>. Descartada ab initio la existencia de una vulneración del derecho del actor a la igualdad ante la Ley por parte de la Sentencia recurrida en amparo, dado que dicha alegación no viene apoyada en término de comparación alguno que permita a este Tribunal examinar la supuesta discriminación aducida por el recurrente, procede determinar en primer lugar si cabe o no atribuir a dicha resolución la pretendida vulneración de sus derechos a la tutela judicial efectiva sin indefensión y a un proceso con todas las garantías por motivo de haberse procedido en ella a una nueva valoración de la prueba practicada en instancia.</w:t>
      </w:r>
    </w:p>
    <w:p w:rsidR="008107C7" w:rsidRDefault="008107C7" w:rsidP="008107C7">
      <w:pPr>
        <w:pStyle w:val="TextoNormal"/>
      </w:pPr>
      <w:r>
        <w:t xml:space="preserve">De las actuaciones se infiere que ante la Sección Segunda de la Audiencia Provincial de Valladolid no se practicaron nuevas pruebas, para lo que efectivamente hubiera sido necesario respetar los principios de inmediación y contradicción a que alude el recurrente en su demanda de amparo, sino que la Sala hizo suyas las practicadas en instancia, aun cuando su valoración de las mismas resultara distinta de la expresada por el Juez de lo Penal. Descrita la actuación de la Sala en tales términos, no cabe reprocharle lesión alguna de los mencionados derechos puesto que la facultad de libre valoración de la prueba compete en exclusiva a los órganos de la jurisdicción penal, ya sean de instancia o de apelación. A diferencia, por cierto, de lo que, como regla general, sucede en sede de casación y de ahí procede, posiblemente, la confusión padecida por el solicitante de amparo al aludir, entre otros, al art. 849.1 </w:t>
      </w:r>
      <w:r>
        <w:lastRenderedPageBreak/>
        <w:t>L.E.Crim.  como base de las alegaciones referidas a este motivo de amparo. Por consiguiente, tal y como ha tenido oportunidad de declarar este Tribunal en otras ocasiones similares, de la discrepante valoración de la prueba efectuada por el Juez ad quem respecto de la defendida por el juzgador a quo no cabe deducir vulneración de derecho fundamental alguno ya que "el Juez de apelación tiene el poder necesario para examinar y corregir la valoración de las pruebas realizada por el inferior, de modo que... resulta acorde con la esencia de la apelación el que sobre un mismo material probatorio puedan producirse apreciaciones dispares conducentes a otras tantas resoluciones judiciales, sin que ello resulte anómalo ni mucho menos contrario a la Constitución" (por todos, AATC 636/1987 y 670/1987).</w:t>
      </w:r>
    </w:p>
    <w:p w:rsidR="008107C7" w:rsidRDefault="008107C7" w:rsidP="008107C7">
      <w:pPr>
        <w:pStyle w:val="TextoNormal"/>
      </w:pPr>
    </w:p>
    <w:p w:rsidR="008107C7" w:rsidRDefault="008107C7" w:rsidP="008107C7">
      <w:pPr>
        <w:pStyle w:val="TextoNormal"/>
      </w:pPr>
      <w:r w:rsidRPr="008107C7">
        <w:rPr>
          <w:rStyle w:val="NumeroAFNegritaCaracter"/>
        </w:rPr>
        <w:t>3</w:t>
      </w:r>
      <w:r>
        <w:t>. Alega el recurrente, en segundo lugar, que la pena que efectivamente le fuera impuesta en apelación habría supuesto la infracción de su derecho a la tutela judicial efectiva sin indefensión -en su vertiente de infracción del principio acusatorio- toda vez que la pena solicitada por el Ministerio Fiscal tanto en instancia como en su recurso de apelación, fue la de dieciocho meses de prisión, mientras que la resolución definitiva le impuso otra más severa.</w:t>
      </w:r>
    </w:p>
    <w:p w:rsidR="008107C7" w:rsidRDefault="008107C7" w:rsidP="008107C7">
      <w:pPr>
        <w:pStyle w:val="TextoNormal"/>
      </w:pPr>
      <w:r>
        <w:t>Pero frente a esta vía de argumentación cabe oponer que, según ha expuesto este Tribunal en distintas ocasiones, "la efectividad del principio acusatorio exige, para excluir la indefensión, en primer lugar que el hecho objeto de la acusación y el que es base de la condena permanezcan inalterables, ésto es, que exista identidad del hecho punible, de forma que el hecho debatido en juicio, señalado por la acusación y declarado probado, constituya supuesto fáctico de la calificación de la Sentencia. La otra condición consiste en la homogeneidad de los delitos objeto de condena y objeto de la acusación" (STC 134/1986, fundamento jurídico 2º). De manera que, si bien fuera del supuesto previsto en el art. 733 L.E.Crim. no es posible la condena por delito más grave del que ha sido objeto de acusación, ello no prohíbe rebasar cuantitativamente la pena en concreto solicitada por las acusaciones, con tal de que cualitativamente se mantenga dentro de los límites penológicos establecidos por la Ley al delito incriminado, ya que "el principio acusatorio no exige la vinculación estricta del juzgador a las calificaciones jurídicas y al petitum de las partes, sino sólo que el hecho objeto del juicio del fallo sea aquel sobre el que se halla sostenido la acusación, puesto que el objeto del proceso no es "un crimen", sino un factum, que debe entenderse respetado cuando el órgano judicial se atiene al "hecho posible objeto de la acusación, sin incurrir en incongruencia procesal" aunque imponga una "pena cuantitativamente superior a la pedida por el Fiscal" (ATC 377/1987, fundamento jurídico 2º), pues la vinculación del juzgador al principio acusatorio "si bien impide que la resolución judicial imponga una pena mayor que la correspondiente al delito efectivamente imputado en el proceso, no impide que, dentro de los límites de la señalada por la Ley al tipo penal incriminado... imponga penas superiores a la solicitada por el Fiscal cuando ello no suponga alterar los hechos aducidos en el proceso y se lleve a cabo dentro de los márgenes de la pena correspondiente al tipo penal que resulte de la calificación jurídica de los hechos formulada en la acusación y debatida en el proceso" (STC 17/1988, fundamento jurídico 6º).</w:t>
      </w:r>
    </w:p>
    <w:p w:rsidR="008107C7" w:rsidRDefault="008107C7" w:rsidP="008107C7">
      <w:pPr>
        <w:pStyle w:val="TextoNormal"/>
      </w:pPr>
      <w:r>
        <w:t xml:space="preserve">Aplicando esta doctrina al supuesto aquí enjuiciado, debemos concluir que ninguna vulneración del art. 24.1 C.E. se produjo por haber condenado la Audiencia al demandante de amparo a la pena de prisión por tiempo de dos años, cuatro meses y un día, ciertamente superior a la de prisión por tiempo de dieciocho meses solicitada por el Ministerio Fiscal, pero que se mantenía, como ha quedado dicho, dentro de los márgenes penológicos del grado mínimo de la pena prevista en el art. 127 C.P. Militar para el hecho que le había sido </w:t>
      </w:r>
      <w:r>
        <w:lastRenderedPageBreak/>
        <w:t>imputado. Lo que eximía al juzgador para su imposición de la necesidad de abrir el trámite previsto en el art. 733 L.E.Crim. a la vez que descarta la atribución de una incongruencia ultra petita a la Sentencia recurrida.</w:t>
      </w:r>
    </w:p>
    <w:p w:rsidR="008107C7" w:rsidRDefault="008107C7" w:rsidP="008107C7">
      <w:pPr>
        <w:pStyle w:val="TextoNormal"/>
      </w:pPr>
    </w:p>
    <w:p w:rsidR="008107C7" w:rsidRDefault="008107C7" w:rsidP="008107C7">
      <w:pPr>
        <w:pStyle w:val="TextoNormal"/>
      </w:pPr>
      <w:r w:rsidRPr="008107C7">
        <w:rPr>
          <w:rStyle w:val="NumeroAFNegritaCaracter"/>
        </w:rPr>
        <w:t>4</w:t>
      </w:r>
      <w:r>
        <w:t>. Por todo ello, cabe concluir que la Sección Primera de la Audiencia Provincial de Valladolid estaba facultada para revocar la Sentencia de instancia, sobre la base de la nueva valoración de la prueba practicada en esa sede, en lo relativo a la apreciación de la circunstancia atenuante aplicada en dicha resolución, así como que al imponer una condena superior a la solicitada por el Ministerio Público no se vulneró el principio acusatorio.</w:t>
      </w:r>
    </w:p>
    <w:p w:rsidR="008107C7" w:rsidRDefault="008107C7" w:rsidP="008107C7">
      <w:pPr>
        <w:pStyle w:val="TextoNormal"/>
      </w:pPr>
      <w:r>
        <w:t>Como es lógico, la no apreciación por la Sala de la indicada atenuante se tradujo en una condena más severa que la pronunciada en instancia. Ello fundamenta el tercero de los motivos de amparo invocados en el presente recurso, consistente en una supuesta infracción de los arts. 24.1 y 25.1 C.E.  por aplicación retroactiva de una Ley penal posterior desfavorable, por cuanto el demandante considera que la pena de dos años, cuatro meses y un día de prisión menor que se le impuso en sede de apelación no lo fue por aplicación de lo establecido en el art. 127 del C.P. Militar, precepto vigente en el momento de comisión de los hechos, sino del art. 135 bis i) del anterior Código Penal, precepto éste último que no sólo sería posterior a dicha comisión, al haber sido introducido en el texto punitivo de referencia por la Ley Orgánica 13/1991, de 20 de diciembre, sino que sería menos favorable que el art. 127 del C.P. Militar toda vez que, mientras que la pena que en éste se preveía para el delito de negativa a la prestación del Servicio Militar era la de prisión menor por un período de uno a seis años, la establecida en aquél para idéntica hipótesis se elevaba a prisión menor en su grado medio o máximo, ésto es, por un período de dos años, cuatro meses y un día (mínimo del grado medio) a seis años (tope del grado máximo).</w:t>
      </w:r>
    </w:p>
    <w:p w:rsidR="008107C7" w:rsidRDefault="008107C7" w:rsidP="008107C7">
      <w:pPr>
        <w:pStyle w:val="TextoNormal"/>
      </w:pPr>
      <w:r>
        <w:t>Pero antes de proceder al examen de esta argumentación, conviene recordar que el art. 127 del C.P. Militar no preveía para la pena de prisión que en él se establecía la misma duración que el Código Penal común anteriormente vigente determinaba para la de prisión menor, pues, mientras que en este último dicha pena abarcaba un período de entre seis meses y un día y seis años de privación de libertad -de manera que, dividida en sus tres grados correspondientes, su grado mínimo se extendía en el período comprendido entre seis meses y un día y dos años y cuatro meses de prisión-, en el art. 127 del C.P. Militar se elevaba a un año el tope mínimo de prisión establecido para el delito en cuestión, lo que hacía que su división en tres grados diera un resultado diferente al obtenido en la legislación común que, por lo que aquí interesa, conducía a fijar su grado mínimo, como acertadamente ha calculado el Ministerio Fiscal, en el período de tiempo comprendido entre un año y dos años y ocho meses de prisión.</w:t>
      </w:r>
    </w:p>
    <w:p w:rsidR="008107C7" w:rsidRDefault="008107C7" w:rsidP="008107C7">
      <w:pPr>
        <w:pStyle w:val="TextoNormal"/>
      </w:pPr>
    </w:p>
    <w:p w:rsidR="008107C7" w:rsidRDefault="008107C7" w:rsidP="008107C7">
      <w:pPr>
        <w:pStyle w:val="TextoNormal"/>
      </w:pPr>
      <w:r w:rsidRPr="008107C7">
        <w:rPr>
          <w:rStyle w:val="NumeroAFNegritaCaracter"/>
        </w:rPr>
        <w:t>5</w:t>
      </w:r>
      <w:r>
        <w:t>. A la vista de lo acabado de exponer, parece que ha de darse la razón al Ministerio Fiscal cuando concluye que no existen motivos suficientes para mantener que, al imponer al recurrente la pena de dos años, cuatro meses y un día de prisión, la Audiencia estuviera aplicándole retroactivamente una Ley penal desfavorable, en patente infracción de lo dispuesto en el art. 25.1 C.E., sino que, por el contrario, existe base legal suficiente para considerar que dicha condena estaba incluida en los márgenes del grado mínimo de la pena de prisión establecida por el art. 127 del C.P. Militar para el delito de negativa a la prestación del Servicio Militar. Lo que haría decaer el argumento esgrimido por el actor en el sentido de que la expresa declaración por parte de la Sala de que la pena de prisión se imponía en su grado mínimo no podía sino hacer pensar en la aplicación de la Ley penal posterior desfavorable.</w:t>
      </w:r>
    </w:p>
    <w:p w:rsidR="008107C7" w:rsidRDefault="008107C7" w:rsidP="008107C7">
      <w:pPr>
        <w:pStyle w:val="TextoNormal"/>
      </w:pPr>
      <w:r>
        <w:lastRenderedPageBreak/>
        <w:t>Ahora bién, la expresa declaración, en el fundamento jurídico 3º de la Sentencia recurrida, de que, al considerarse por ese Tribunal que la "pena mínima de dos años, cuatro meses y un día de prisión menor" imponible al recurrente resulta "excesiva...  atendidos el grado de malicia del culpable y el daño causado por el delito, considera procedente proponer al Gobierno de la Nación un indulto parcial de la misma, de acuerdo con el art. 2 C.P., a fin de que sea conmutada por la de un año y dos meses de prisión menor", sugiere que la Sala basó su fallo en el art. 135 bis i) del anterior Código Penal y no en el art. 127 del C.P. Militar.</w:t>
      </w:r>
    </w:p>
    <w:p w:rsidR="008107C7" w:rsidRDefault="008107C7" w:rsidP="008107C7">
      <w:pPr>
        <w:pStyle w:val="TextoNormal"/>
      </w:pPr>
      <w:r>
        <w:t>En efecto, de ser este último el precepto aplicado por la Sala sentenciadora, el entonces vigente art. 61.4 C.P. permitía a dicha Sala fijar la pena no ya en su grado mínimo - como efectivamente se hizo, según hemos ya razonado de acuerdo con el Fiscal-, sino en el tope mínimo de su grado mínimo -esto es, a partir de un año de prisión-, si es que efectivamente se pretendía tener en cuenta la gravedad del delito y la personalidad del delincuente. Por el contrario, si el Tribunal sentenciador tenía presente la aplicación del antiguo art. 135 bis i) C.P., y dado que el tope mínimo de la pena allí prevista se situaba justamente en los dos años, cuatro meses y un día de prisión menor, se entiende perfectamente que dicho Tribunal considerase excesiva la imposición de dicha pena y propusiera la concesión del indulto parcial.</w:t>
      </w:r>
    </w:p>
    <w:p w:rsidR="008107C7" w:rsidRDefault="008107C7" w:rsidP="008107C7">
      <w:pPr>
        <w:pStyle w:val="TextoNormal"/>
      </w:pPr>
    </w:p>
    <w:p w:rsidR="008107C7" w:rsidRDefault="008107C7" w:rsidP="008107C7">
      <w:pPr>
        <w:pStyle w:val="TextoNormal"/>
      </w:pPr>
      <w:r w:rsidRPr="008107C7">
        <w:rPr>
          <w:rStyle w:val="NumeroAFNegritaCaracter"/>
        </w:rPr>
        <w:t>6</w:t>
      </w:r>
      <w:r>
        <w:t>. Esta duda en cuanto a la normativa legal aplicada, suscita de inmediato la cuestión de determinar si la resolución impugnada, al imponer la pena de dos años, cuatro meses y un día de prisión menor, se encontraba adecuadamente motivada y, en último término, fundada en Derecho.</w:t>
      </w:r>
    </w:p>
    <w:p w:rsidR="008107C7" w:rsidRDefault="008107C7" w:rsidP="008107C7">
      <w:pPr>
        <w:pStyle w:val="TextoNormal"/>
      </w:pPr>
      <w:r>
        <w:t>Cabe observar, en efecto, que en el fundamento 3º de la Sentencia impugnada, no se citan los preceptos legales aplicados. Y los términos allí empleados no permiten deducir con qué fundamento se considera "pena mínima" a imponer la expresada, y ello pese a la inconcreta referencia al "mismo delito por el que ha sido condenado en la Sentencia apelada" donde, ciertamente, sí se hacía explícita referencia al art. 127 del C.P. Militar. Pero si, como hemos razonado en el anterior fundamento, la imposición de tal pena, aplicando este precepto, resulta incompatible con su consideración como "excesiva", atendidas la gravedad del delito y la personalidad del delincuente -pues nada impedía al Tribunal imponer en este caso una "pena mínima" de un año-, la conclusión que se alcanza es que difícilmente puede considerarse fundada en Derecho la extensión de la pena impuesta.</w:t>
      </w:r>
    </w:p>
    <w:p w:rsidR="008107C7" w:rsidRDefault="008107C7" w:rsidP="008107C7">
      <w:pPr>
        <w:pStyle w:val="TextoNormal"/>
      </w:pPr>
      <w:r>
        <w:t>Ciertamente, es doctrina constante de este Tribunal que la exigencia constitucional de motivación, dirigida en último término a excluir de raíz cualquier posible arbitrariedad, no autoriza a exigir un razonamiento exhaustivo y pormenorizado de todos y cada uno de los aspectos y circunstancias del asunto debatido, sino que se reduce a la expresión de las razones que permiten conocer cuáles han sido los criterios jurídicos esenciales fundamentadores de la decisión, su ratio decidendi (SSTC 14/1991, 28/1994, 145/1995, y 32/1996, entre otras muchas). Pero lo que no autoriza la Constitución es, justamente, la imposibilidad de deducir de los términos empleados en la fundamentación qué razones legales llevaron al Tribunal a imponer como "pena mínima" la que se contiene en el fallo condenatorio.</w:t>
      </w:r>
    </w:p>
    <w:p w:rsidR="008107C7" w:rsidRDefault="008107C7" w:rsidP="008107C7">
      <w:pPr>
        <w:pStyle w:val="TextoNormal"/>
      </w:pPr>
      <w:r>
        <w:t xml:space="preserve">Esta exigencia constitucional de dar una respuesta fundada en Derecho adquiere particulares perfiles cuando, como aquí ocurre, se trata de una decisión judicial que afecta a otro derecho fundamental de contenido sustancial, el derecho a la libertad personal del recurrente -del que va a resultar privado por la decisión cuestionada-, que constituye además -y nada menos- uno de los valores superiores del ordenamiento jurídico. Tal y como hemos recientemente afirmado, "la motivación exigible a cualquier resolución judicial que afecte a ese valor superior no se reduce a la mera expresión de las 'razones que permitan conocer cuáles </w:t>
      </w:r>
      <w:r>
        <w:lastRenderedPageBreak/>
        <w:t>han sido los criterios jurídicos esenciales fundamentadores de la decisión' (STC 14/1991, fundamento jurídico 2º, entre otras), sino que debe extenderse a las circunstancias que constitucionalmente justifican la situación de privación de libertad. Por decirlo en otros términos: en la medida en que está en juego el valor superior de la libertad, el derecho a la tutela judicial efectiva sin indefensión no sólo exige resoluciones judiciales motivadas, sino motivaciones concordantes con los supuestos en los que la Constitución permite la afectación de ese valor superior" [STC 2/1997, fundamento jurídico 3º B)].</w:t>
      </w:r>
    </w:p>
    <w:p w:rsidR="008107C7" w:rsidRDefault="008107C7" w:rsidP="008107C7">
      <w:pPr>
        <w:pStyle w:val="TextoNormal"/>
      </w:pPr>
    </w:p>
    <w:p w:rsidR="008107C7" w:rsidRDefault="008107C7" w:rsidP="008107C7">
      <w:pPr>
        <w:pStyle w:val="TextoNormal"/>
      </w:pPr>
      <w:r w:rsidRPr="008107C7">
        <w:rPr>
          <w:rStyle w:val="NumeroAFNegritaCaracter"/>
        </w:rPr>
        <w:t>7</w:t>
      </w:r>
      <w:r>
        <w:t>. Todo ello lleva a la conclusión de que, al estimar como "pena mínima" a imponer la de dos años, cuatro meses y un día de prisión menor, sin que se indicara en modo alguno qué precepto penal fundaba esta conclusión y que razones la justificaban, la Sala sentenciadora vulneró el derecho del recurrente a la tutela judicial efectiva. Por lo que procede el otorgamiento del amparo pretendido sin necesidad de que examinemos su ulterior queja, relativa a la posible vulneración del principio de irretroactividad de la ley penal desfavorable, contenido, según nuestra constante jurisprudencia, en el art. 25.1 C.E. (SSTC 150/1989, 196/1991 y 21/1993, por todas). En el bien entendido, claro está, de que al resolver de nuevo el supuesto la Sala sentenciadora no podrá aplicar una normativa posterior y desfavorable para el recurrente, como quedó expuesto en el anterior fundamento 5º.</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Otorgar parcialmente el amparo solicitado por don Jorge Acha Pinillos y, en su virtud:</w:t>
      </w:r>
    </w:p>
    <w:p w:rsidR="008107C7" w:rsidRDefault="008107C7" w:rsidP="008107C7">
      <w:pPr>
        <w:pStyle w:val="TextoNormal"/>
      </w:pPr>
      <w:r>
        <w:t>1º. Reconocer el derecho del recurrente a la tutela judicial efectiva sin indefensión, en su vertiente de derecho a la fundamentación y motivación de las resoluciones judiciales.</w:t>
      </w:r>
    </w:p>
    <w:p w:rsidR="008107C7" w:rsidRDefault="008107C7" w:rsidP="008107C7">
      <w:pPr>
        <w:pStyle w:val="TextoNormal"/>
      </w:pPr>
      <w:r>
        <w:t>2º. Restablecerle en la integridad su derecho y, a este fin, declarar la nulidad de la Sentencia pronunciada en apelación por la Sección Segunda de la Audiencia Provincial de Valladolid, con fecha de 19 de mayo de 1994.</w:t>
      </w:r>
    </w:p>
    <w:p w:rsidR="008107C7" w:rsidRDefault="008107C7" w:rsidP="008107C7">
      <w:pPr>
        <w:pStyle w:val="TextoNormal"/>
      </w:pPr>
      <w:r>
        <w:t>3º. Retrotraer las actuaciones al momento inmediatamente anterior al de dictar Sentencia, a fin de que se dicte otra en la que se respete el derecho fundamental lesionado.</w:t>
      </w:r>
    </w:p>
    <w:p w:rsidR="008107C7" w:rsidRDefault="008107C7" w:rsidP="008107C7">
      <w:pPr>
        <w:pStyle w:val="TextoNormal"/>
      </w:pPr>
      <w:r>
        <w:t>4º. Desestimar el recurso en todo lo demás.</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diez de marzo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47" w:name="SENTENCIA_1997_44"/>
      <w:r>
        <w:lastRenderedPageBreak/>
        <w:t>SENTENCIA 44/1997, de 10 de marzo de 1997</w:t>
      </w:r>
    </w:p>
    <w:bookmarkEnd w:id="47"/>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87, de 11 de abril de 1997)</w:t>
      </w:r>
    </w:p>
    <w:p w:rsidR="008107C7" w:rsidRDefault="008107C7" w:rsidP="008107C7">
      <w:pPr>
        <w:pStyle w:val="TtuloBOE"/>
      </w:pPr>
    </w:p>
    <w:p w:rsidR="008107C7" w:rsidRDefault="008107C7" w:rsidP="008107C7">
      <w:pPr>
        <w:pStyle w:val="SntesisDescriptiva"/>
      </w:pPr>
      <w:r>
        <w:t>ECLI:ES:TC:1997:44</w:t>
      </w:r>
    </w:p>
    <w:p w:rsidR="008107C7" w:rsidRDefault="008107C7" w:rsidP="008107C7">
      <w:pPr>
        <w:pStyle w:val="SntesisDescriptiva"/>
      </w:pPr>
    </w:p>
    <w:p w:rsidR="008107C7" w:rsidRDefault="008107C7" w:rsidP="008107C7">
      <w:pPr>
        <w:pStyle w:val="SntesisDescriptiva"/>
      </w:pPr>
      <w:r>
        <w:t>Recurso de amparo l 1.852/996. Contra Auto de la Audiencia Provincial de Granada desestimatorio de recurso de queja contra el del Juzgado de Instrucción núm. 2 de Baza que confirmaba en reforma el Auto denegatorio de libertad provisional.</w:t>
      </w:r>
    </w:p>
    <w:p w:rsidR="008107C7" w:rsidRDefault="008107C7" w:rsidP="008107C7">
      <w:pPr>
        <w:pStyle w:val="SntesisDescriptiva"/>
      </w:pPr>
    </w:p>
    <w:p w:rsidR="008107C7" w:rsidRDefault="008107C7" w:rsidP="008107C7">
      <w:pPr>
        <w:pStyle w:val="SntesisAnaltica"/>
      </w:pPr>
      <w:r>
        <w:t>Supuesta vulneración del derecho a la libertad: mantenimiento de la prisión provisional no lesiva del derecho a la tutela judicial efectiva.</w:t>
      </w:r>
    </w:p>
    <w:p w:rsidR="008107C7" w:rsidRDefault="008107C7" w:rsidP="008107C7">
      <w:pPr>
        <w:pStyle w:val="SntesisAnaltica"/>
      </w:pPr>
    </w:p>
    <w:p w:rsidR="008107C7" w:rsidRDefault="008107C7" w:rsidP="008107C7">
      <w:pPr>
        <w:pStyle w:val="Extracto"/>
      </w:pPr>
      <w:r>
        <w:t>1.</w:t>
      </w:r>
      <w:r>
        <w:tab/>
        <w:t>Aun faltando en la fundamentación de la resolución judicial alusión alguna a las circunstancias subjetivas del imputado, debe calificarse de suficiente y razonable la motivación de la medida de prisión provisional que ahora se impugna. Para arribar a esta conclusión a partir de la motivación referida debe acentuarse, en primer lugar, la consignación de una finalidad constitucionalmente legítima, cual es la conjuración del riesgo de fuga, y, en segundo lugar, el momento del dictado de la medida y la información de que disponía el Instructor. Así, cuando el Juez adoptó la decisión, no había pasado aún un mes desde el inicio de la instrucción y el único dato descollante era el de la indiciaria comisión de un delito calificable inicialmente como grave por parte de ciudadanos extranjeros que no cabe descartar que formen parte de una organización. Que en esta tesitura el Juzgado optara por la prisión y no por la libertad, y sustentara su opción en la conjuración de un riesgo de fuga sostenido sólo por la gravedad de la imputación y de la pena amenazante, no puede calificarse en este caso concreto como una decisión ilógica o injustificada y excesivamente preservadora del proceso en detrimento de la libertad . [F.J. 7]</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 xml:space="preserve">En el recurso de amparo núm. 1.852/96, promovido por don Martin Erkamps, representado por el Procurador de los Tribunales don Victorio Venturini Medina y asistido por el Abogado don Johannes van Hooff, contra el Auto de la Sección Primera de la Audiencia </w:t>
      </w:r>
      <w:r>
        <w:lastRenderedPageBreak/>
        <w:t>Provincial de Granada 112/96, de 8 de abril, desestimatorio del recurso de queja contra el del Juzgado de Instrucción núm. 2 de Baza, de 6 de marzo de 1996, que confirmaba en reforma el Auto de 22 de febrero, denegatorio de libertad provisional. Ha intervenido el Ministerio Fiscal. Ha sido Ponente el Magistrado don Carles Viver Pi-Sunyer,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registrado en este Tribunal el día 3 de mayo de 1996, don Victorio Venturini Medina, Procurador de los Tribunales, interpone recurso de amparo en nombre de don Martin Erkamps contra los Autos de los que se hace mérito en el encabezamiento.</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hechos relevantes para el examen de la pretensión de amparo son, en síntesis, los siguientes: </w:t>
      </w:r>
    </w:p>
    <w:p w:rsidR="008107C7" w:rsidRDefault="008107C7" w:rsidP="008107C7">
      <w:pPr>
        <w:pStyle w:val="TextoNormal"/>
      </w:pPr>
      <w:r>
        <w:t xml:space="preserve">a) Mediante Auto, de 24 de enero de 1996, el Juzgado de Instrucción núm. 2 de Baza decretó la prisión provisional del recurrente con la siguiente fundamentación: "Apareciendo en la causa la existencia de un delito que tiene señalada pena superior a la de prisión menor y existiendo motivos bastantes para creer responsable criminalmente del mismo a Erkamps Martin procede decretar la prisión provisional del mismo, conforme al art. 503 de la Ley de Enjuiciamiento Criminal". </w:t>
      </w:r>
    </w:p>
    <w:p w:rsidR="008107C7" w:rsidRDefault="008107C7" w:rsidP="008107C7">
      <w:pPr>
        <w:pStyle w:val="TextoNormal"/>
      </w:pPr>
      <w:r>
        <w:t xml:space="preserve">b) El imputado solicitó su libertad provisional en un escrito, de 9 de febrero de 1996, en el que con apoyo en el art. 503 L.E.Crim., alegaba esencialmente la falta tanto de gravedad de los hechos que se le atribuyen (transporte de 300 kilogramos de hachís) como de la posibilidad de que susciten alarma social. El Auto del Juzgado de 22 de febrero deniega la petición, pues al no haber variado las circunstancias que dieron lugar al Auto de prisión "en atención a la gravedad del delito cometido, a la pena prevista para el mismo, la posibilidad fundada de que puedan eludir la acción de la justicia deben continuar dichos imputados en prisión". </w:t>
      </w:r>
    </w:p>
    <w:p w:rsidR="008107C7" w:rsidRDefault="008107C7" w:rsidP="008107C7">
      <w:pPr>
        <w:pStyle w:val="TextoNormal"/>
      </w:pPr>
      <w:r>
        <w:t xml:space="preserve">c) El Sr. Erkamps reiteró su solicitud en reforma, insistiendo en sus alegaciones previas y añadiendo la falta de motivación del Auto que se impugnaba, la ausencia de motivos bastantes para fundar su responsabilidad respecto a los hechos investigados y la inexistencia de riesgo de sustracción a la Administración de Justicia por su condición de extranjero, a la vista de los Convenios de extradición y cooperación existentes. El Auto que le respondía, de 6 de marzo, confirmaba la prisión. En su fundamentación se extendía en el relato de los hechos hasta ese momento constatados y afirmaba el cumplimiento de los tres requisitos del art. 503 L.E.Crim. para el dictado de la medida cautelar. </w:t>
      </w:r>
    </w:p>
    <w:p w:rsidR="008107C7" w:rsidRDefault="008107C7" w:rsidP="008107C7">
      <w:pPr>
        <w:pStyle w:val="TextoNormal"/>
      </w:pPr>
      <w:r>
        <w:t>d) Mediante recurso de queja, el recurrente reiteró ante la Audiencia las alegaciones que se sintetizan en el resumen de su demanda de amparo (I.3). El ATC 112/96 desestima el recurso al estimar concurrentes "cuantos presupuestos o requisitos establecen los arts. 503 y 504 L.E.Crim.".</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El escrito de demanda invoca como infringidos los arts. 17.1 y 24.1 C.E. En su escueta fundamentación se refiere a la superación del plazo razonable de mantenimiento del recurrente en prisión provisional y a las alegaciones vertidas en el recurso de queja ante la Audiencia, que se transcribe íntegramente en la descripción de los hechos. En dicho escrito se afirma que la medida cautelar mantenida no cumple las exigencias legales (art. 503.3 L.E.Crim.) y constitucionales, puesto que el delito imputado sería sólo el de cooperación en </w:t>
      </w:r>
      <w:r>
        <w:lastRenderedPageBreak/>
        <w:t>el tráfico de un producto que no causa grave daño a la salud y en la causa no aparecerían motivos bastantes para creer responsable criminalmente al Sr. Erkamps.</w:t>
      </w:r>
    </w:p>
    <w:p w:rsidR="008107C7" w:rsidRDefault="008107C7" w:rsidP="008107C7">
      <w:pPr>
        <w:pStyle w:val="TextoNormal"/>
      </w:pPr>
    </w:p>
    <w:p w:rsidR="008107C7" w:rsidRDefault="008107C7" w:rsidP="008107C7">
      <w:pPr>
        <w:pStyle w:val="TextoNormal"/>
      </w:pPr>
      <w:r w:rsidRPr="008107C7">
        <w:rPr>
          <w:rStyle w:val="NumeroAFNegritaCaracter"/>
        </w:rPr>
        <w:t>4</w:t>
      </w:r>
      <w:r>
        <w:t>. En un nuevo escrito, de 21 de junio, la representación del recurrente informa de diversas circunstancias del devenir del procedimiento penal, acentuando la dilación que supone la petición de diversas diligencias por parte del Ministerio Fiscal y reiterando la levedad de la pena que amenaza al hoy recurrente.</w:t>
      </w:r>
    </w:p>
    <w:p w:rsidR="008107C7" w:rsidRDefault="008107C7" w:rsidP="008107C7">
      <w:pPr>
        <w:pStyle w:val="TextoNormal"/>
      </w:pPr>
    </w:p>
    <w:p w:rsidR="008107C7" w:rsidRDefault="008107C7" w:rsidP="008107C7">
      <w:pPr>
        <w:pStyle w:val="TextoNormal"/>
      </w:pPr>
      <w:r w:rsidRPr="008107C7">
        <w:rPr>
          <w:rStyle w:val="NumeroAFNegritaCaracter"/>
        </w:rPr>
        <w:t>5</w:t>
      </w:r>
      <w:r>
        <w:t>. Mediante providencia, de 23 de septiembre de 1996, la Sección Tercera de este Tribunal acuerda admitir a trámite la demanda de amparo y dirigir sendas comunicaciones a la Audiencia Provincial de Granada y al Juzgado de Instrucción núm. 2 de Baza a fin de que remitan testimonio de las actuaciones correspondientes al procedimiento del que trae causa el presente recurso y de que emplace este último órgano judicial a quienes hubieran sido parte en el mismo para su posible comparecencia en este proceso de amparo.</w:t>
      </w:r>
    </w:p>
    <w:p w:rsidR="008107C7" w:rsidRDefault="008107C7" w:rsidP="008107C7">
      <w:pPr>
        <w:pStyle w:val="TextoNormal"/>
      </w:pPr>
    </w:p>
    <w:p w:rsidR="008107C7" w:rsidRDefault="008107C7" w:rsidP="008107C7">
      <w:pPr>
        <w:pStyle w:val="TextoNormal"/>
      </w:pPr>
      <w:r w:rsidRPr="008107C7">
        <w:rPr>
          <w:rStyle w:val="NumeroAFNegritaCaracter"/>
        </w:rPr>
        <w:t>6</w:t>
      </w:r>
      <w:r>
        <w:t>. Recibidas las actuaciones, la Sección Cuarta de este Tribunal acuerda dar vista de las mismas a las partes, con concesión de un plazo común de veinte días para la presentación de las alegaciones previstas en el art. 52.1 LOTC (providencia de 31 de octubre).</w:t>
      </w:r>
    </w:p>
    <w:p w:rsidR="008107C7" w:rsidRDefault="008107C7" w:rsidP="008107C7">
      <w:pPr>
        <w:pStyle w:val="TextoNormal"/>
      </w:pPr>
    </w:p>
    <w:p w:rsidR="008107C7" w:rsidRDefault="008107C7" w:rsidP="008107C7">
      <w:pPr>
        <w:pStyle w:val="TextoNormal"/>
      </w:pPr>
      <w:r w:rsidRPr="008107C7">
        <w:rPr>
          <w:rStyle w:val="NumeroAFNegritaCaracter"/>
        </w:rPr>
        <w:t>7</w:t>
      </w:r>
      <w:r>
        <w:t>. En su escrito de 24 de noviembre la representación de recurrente se ratifica en sus alegaciones previas e informa que la Audiencia Provincial de Granada ha dictado ya Sentencia en el procedimiento en el que tiene su origen el presente recurso de amparo. La misma, contra la que se ha preparado ya recurso de casación, condena al recurrente a la pena de tres años y seis meses de privación de libertad por la comisión de un delito de tráfico de estupefacientes que no causan grave daño a la salud con la agravante de cuantía de notoria importancia. Su escrito se completa con una serie de consideraciones tendentes a rebatir los fundamentos de dicha Sentencia condenatoria.</w:t>
      </w:r>
    </w:p>
    <w:p w:rsidR="008107C7" w:rsidRDefault="008107C7" w:rsidP="008107C7">
      <w:pPr>
        <w:pStyle w:val="TextoNormal"/>
      </w:pPr>
    </w:p>
    <w:p w:rsidR="008107C7" w:rsidRDefault="008107C7" w:rsidP="008107C7">
      <w:pPr>
        <w:pStyle w:val="TextoNormal"/>
      </w:pPr>
      <w:r w:rsidRPr="008107C7">
        <w:rPr>
          <w:rStyle w:val="NumeroAFNegritaCaracter"/>
        </w:rPr>
        <w:t>8</w:t>
      </w:r>
      <w:r>
        <w:t>. El Fiscal concluye su informe interesando la desestimación de la demanda interpuesta, pues si bien se da "una deficiente motivación en los dos primeros autos dictados por el Juzgado de Instrucción", tal defecto "se subsana en el último, que contiene (...) una suficiente justificación de la medida de prisión, de las razones que llevaron primero al Juez a adoptarla, mantenerla, y después a la Sala confirmarla", siquiera esta última con una motivación por remisión: aun de forma escueta, se observan en las resoluciones judiciales las distintas consideraciones que el Tribunal Constitucional ha estimado necesarias para realizar el pertinente juicio de ponderación, incluidas las relativas a la peculiaridad del caso concreto.</w:t>
      </w:r>
    </w:p>
    <w:p w:rsidR="008107C7" w:rsidRDefault="008107C7" w:rsidP="008107C7">
      <w:pPr>
        <w:pStyle w:val="TextoNormal"/>
      </w:pPr>
    </w:p>
    <w:p w:rsidR="008107C7" w:rsidRDefault="008107C7" w:rsidP="008107C7">
      <w:pPr>
        <w:pStyle w:val="TextoNormal"/>
      </w:pPr>
      <w:r w:rsidRPr="008107C7">
        <w:rPr>
          <w:rStyle w:val="NumeroAFNegritaCaracter"/>
        </w:rPr>
        <w:t>9</w:t>
      </w:r>
      <w:r>
        <w:t>. Mediante providencia de 6 de marzo de 1997, se señaló para deliberación y votación de la presente Sentencia el día 10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El recurrente se encuentra en situación de prisión provisional desde el día 24 de enero de 1996. Su solicitud de libertad provisional, de 9 de febrero, fue inicialmente denegada por </w:t>
      </w:r>
      <w:r>
        <w:lastRenderedPageBreak/>
        <w:t>el Juzgado de Instrucción mediante Auto de 22 de febrero. Esta denegación fue confirmada en reforma (Auto de 6 de marzo) y, ya por la Audiencia Provincial, en queja (Auto de 8 de abril). Tras interponer el presente recurso de amparo se dictó Sentencia en primera instancia que le condenaba a tres años y seis meses de privación de libertad por la comisión de un delito de tráfico de drogas.</w:t>
      </w:r>
    </w:p>
    <w:p w:rsidR="008107C7" w:rsidRDefault="008107C7" w:rsidP="008107C7">
      <w:pPr>
        <w:pStyle w:val="TextoNormal"/>
      </w:pPr>
      <w:r>
        <w:t>Su queja en esta sede, anterior, pues, a la Sentencia condenatoria que ha recurrido en casación, se refiere, en primer lugar, a la duración de la medida cautelar, que en su estimación excedería del estándar del plazo razonable, y, en segundo lugar, a la falta del requisito de la misma consistente en que concurran motivos bastantes en la causa para creerle criminalmente responsable. En relación también con los requisitos legales de sometimiento a prisión preventiva, discrepa de la calificación judicial provisional de los hechos, que, en cuanto determinante de la gravedad de la pena que le amenaza condiciona en nuestro sistema la selección de dichos requisitos. De manera harto difusa parece también quejarse el recurrente, finalmente, de la insuficiencia de la fundamentación global de la medida de prisión.</w:t>
      </w:r>
    </w:p>
    <w:p w:rsidR="008107C7" w:rsidRDefault="008107C7" w:rsidP="008107C7">
      <w:pPr>
        <w:pStyle w:val="TextoNormal"/>
      </w:pPr>
    </w:p>
    <w:p w:rsidR="008107C7" w:rsidRDefault="008107C7" w:rsidP="008107C7">
      <w:pPr>
        <w:pStyle w:val="TextoNormal"/>
      </w:pPr>
      <w:r w:rsidRPr="008107C7">
        <w:rPr>
          <w:rStyle w:val="NumeroAFNegritaCaracter"/>
        </w:rPr>
        <w:t>2</w:t>
      </w:r>
      <w:r>
        <w:t>. En el primero de los motivos de la demanda se invoca como vulnerado el derecho a la libertad por cuanto la duración de su situación provisional de prisión se habría prolongado más allá de lo razonable. Del relato de antecedentes fácticos conviene extraer al respecto que su ingreso en prisión se produjo el día 24 de enero, que su demanda de amparo tiene fecha de 29 de abril, y que la instrucción en la que se enmarca la medida tiene como objeto unos hechos que podrían ser constitutivos de un delito de tráfico de drogas que se atribuyen a tres individuos de nacionalidad holandesa.</w:t>
      </w:r>
    </w:p>
    <w:p w:rsidR="008107C7" w:rsidRDefault="008107C7" w:rsidP="008107C7">
      <w:pPr>
        <w:pStyle w:val="TextoNormal"/>
      </w:pPr>
    </w:p>
    <w:p w:rsidR="008107C7" w:rsidRDefault="008107C7" w:rsidP="008107C7">
      <w:pPr>
        <w:pStyle w:val="TextoNormal"/>
      </w:pPr>
      <w:r w:rsidRPr="008107C7">
        <w:rPr>
          <w:rStyle w:val="NumeroAFNegritaCaracter"/>
        </w:rPr>
        <w:t>3</w:t>
      </w:r>
      <w:r>
        <w:t>. La alegación del recurrente parte de una premisa correcta, como es la de que, con independencia de la no superación del plazo legal máximo de prisión preventiva, y con independencia también de la adecuada justificación material de la medida, la misma no puede extenderse en el tiempo más allá de lo estrictamente necesario para cumplir su legítima finalidad, lo que comporta, en última instancia, que el imputado no tiene por qué sufrir las dilaciones indebidas en el proceso penal (STC 41/1996).  A partir de ahí, sin embargo, no aporta la queja los elementales mimbres para su análisis de fondo, ni los que nosotros encontramos, sintetizados en el párrafo anterior, avalan la consistencia del motivo. En efecto, amén de que esta concreta alegación relativa a la dimensión temporal de la prisión no se ha realizado ante la jurisdicción ordinaria -art. 44.1 c) LOTC-, cuando se hace ahora aquí per saltum no contiene especificación alguna del período preciso que se estima excesivo ni de la medida u omisión judicial que se considera generadora de dicho exceso. La alegación debe ser, pues, desestimada.</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El recurrente achaca a la motivación de las resoluciones judiciales que le mantienen en prisión tanto un débil sustento de la imputación que se le dirige, como una errónea calificación de los hechos que se le imputan y, con ello, una incorrecta atribución inicial de pena a los mismos. La invocación al respecto del derecho a la tutela judicial efectiva (art. 24.1 C.E.), anexa a la del derecho a la libertad (art. 17.1 C.E.), quedaría en su caso arrumbada por el rechazo de esta última, que supone la aplicación de un canon de análisis de la motivación más exigente. Finalmente, y aunque apenas da pie para ello la demanda, podría aún entenderse que el motivo de impugnación de las resoluciones se sustenta también sobre un defecto global de fundamentación de la medida: que tampoco se alega una finalidad </w:t>
      </w:r>
      <w:r>
        <w:lastRenderedPageBreak/>
        <w:t>constitucionalmente legítima para la privación de libertad o que, alegada, su efectiva y concreta pertinencia no resulta suficientemente razonada.</w:t>
      </w:r>
    </w:p>
    <w:p w:rsidR="008107C7" w:rsidRDefault="008107C7" w:rsidP="008107C7">
      <w:pPr>
        <w:pStyle w:val="TextoNormal"/>
      </w:pPr>
      <w:r>
        <w:t>Adelantemos ya que, a la luz de la jurisprudencia de este Tribunal relativa a la fundamentación de la prisión provisional y a la motivación de las resoluciones judiciales que decretan su adopción o mantenimiento, ni el motivo relativo a la seriedad de la imputación, ni el que se referiría a la finalidad de la medida de privación de libertad, pueden ser estimados.</w:t>
      </w:r>
    </w:p>
    <w:p w:rsidR="008107C7" w:rsidRDefault="008107C7" w:rsidP="008107C7">
      <w:pPr>
        <w:pStyle w:val="TextoNormal"/>
      </w:pPr>
    </w:p>
    <w:p w:rsidR="008107C7" w:rsidRDefault="008107C7" w:rsidP="008107C7">
      <w:pPr>
        <w:pStyle w:val="TextoNormal"/>
      </w:pPr>
      <w:r w:rsidRPr="008107C7">
        <w:rPr>
          <w:rStyle w:val="NumeroAFNegritaCaracter"/>
        </w:rPr>
        <w:t>5</w:t>
      </w:r>
      <w:r>
        <w:t>. A los efectos que ahora se nos demanda, conviene recordar los siguientes aspectos de la ya extensa jurisprudencia de este Tribunal relativa a la prisión provisional.</w:t>
      </w:r>
    </w:p>
    <w:p w:rsidR="008107C7" w:rsidRDefault="008107C7" w:rsidP="008107C7">
      <w:pPr>
        <w:pStyle w:val="TextoNormal"/>
      </w:pPr>
      <w:r>
        <w:t>a) En relación con el sustento jurídico de la adopción de la medida de prisión provisional destacábamos en la STC 128/1995 que, además de su legalidad (arts.  17.1 y 17.4 C.E.), "la legitimidad constitucional de la prisión provisional exige que su configuración y su aplicación tengan, como presupuesto, la existencia de indicios racionales de la comisión de una acción delictiva; como objetivo, la consecución de fines constitucionalmente legítimos y congruentes con la naturaleza de la medida" (también, STC 62/1996, fundamento jurídico 5º). El propio fundamento jurídico 3ª de esta Sentencia, al que pertenece el entrecomillado anterior, concretaba como constitutiva de estos fines la conjuración de ciertos riesgos relevantes que para el desarrollo normal del proceso, para la ejecución del fallo o, en general, para la sociedad, parten del imputado: "su sustracción de la acción de la Administración de Justicia, la obstrucción de la instrucción penal y, en un plano distinto aunque íntimamente relacionado, la reiteración delictiva".</w:t>
      </w:r>
    </w:p>
    <w:p w:rsidR="008107C7" w:rsidRDefault="008107C7" w:rsidP="008107C7">
      <w:pPr>
        <w:pStyle w:val="TextoNormal"/>
      </w:pPr>
      <w:r>
        <w:t>b) Las decisiones relativas a la adopción y al mantenimiento de la prisión provisional deben expresarse en una resolución judicial motivada (SSTC 41/1982, 56/1987, 3/1992, 128/1995). Esta motivación ha de ser suficiente y razonable, "entendiendo por tal que al adoptar y mantener esta medida se haya ponderado la concurrencia de todos los extremos que justifican su adopción y que esta ponderación o, si se quiere, que esta subsunción, no sea arbitraria, en el sentido de que sea acorde con las pautas del normal razonamiento lógico y, muy especialmente, con los fines que justifican la institución de la prisión provisional" [STC 128/1995, fundamento jurídico 4º b)]. En definitiva, la motivación será razonable cuando sea el resultado de la ponderación de los intereses en juego -la libertad de una persona cuya inocencia se presume, por un lado; la realización de la administración de la justicia penal y la evitación de hechos delictivos, por otro- a partir de toda la información disponible en el momento en el que ha de adoptarse la decisión y del entendimiento de la prisión provisional como "una medida de aplicación excepcional,subsidiaria, provisional y proporcionada a la consecución de los fines" referidos en el párrafo anterior (STC 128/1995, fundamento jurídico 3º).</w:t>
      </w:r>
    </w:p>
    <w:p w:rsidR="008107C7" w:rsidRDefault="008107C7" w:rsidP="008107C7">
      <w:pPr>
        <w:pStyle w:val="TextoNormal"/>
      </w:pPr>
      <w:r>
        <w:t xml:space="preserve">Concreción obvia de las anteriores directrices es la indispensabilidad de la expresión del presupuesto de la medida y del fin constitucionalmente legítimo perseguido. Más allá, la STC 128/1995 indicaba dos criterios de enjuiciamiento de la motivación de la constatación del peligro de fuga. El primero consiste en que deberán "tomarse en consideración, además de las características y la gravedad del delito imputado y de la pena con que se le amenaza, las circunstancias concretas del caso y las personales del imputado". El segundo matiza parcialmente el anterior y se refiere a la consideración del transcurso del tiempo en la toma de la decisión de mantenimiento de la prisión, de modo que, si bien es cierto que "en un primer momento, la necesidad de preservar los fines constitucionalmente legítimos de la prisión provisional (...), así como los datos con los que en ese instante cuenta el instructor, pueden justificar que el decreto de la prisión se lleve a cabo atendiendo solamente al tipo de </w:t>
      </w:r>
      <w:r>
        <w:lastRenderedPageBreak/>
        <w:t>delito y a la gravedad de la pena", también lo es que "el transcurso del tiempo modifica estas circunstancias" y obliga a ponderar "los datos personales así como los del caso concreto" [fundamento jurídico 4º b); también, SSTC 37/1996, fundamento jurídico 6º A); 62/1996, fundamento jurídico 5º]. En suma, la medida de prisión provisional debe en todo momento responder a los fines constitucionalmente legítimos de la misma y así debe poder deducirse de la motivación de la resolución que la acuerda, aunque en un primer momento estos fines pueden justificarse atendiendo a criterios objetivos como la gravedad de la pena o el tipo de delito.</w:t>
      </w:r>
    </w:p>
    <w:p w:rsidR="008107C7" w:rsidRDefault="008107C7" w:rsidP="008107C7">
      <w:pPr>
        <w:pStyle w:val="TextoNormal"/>
      </w:pPr>
      <w:r>
        <w:t>En coherencia con las directrices reseñadas, la STC 62/1996 realizó una nueva aportación a la especificación del canon de enjuiciamiento de la motivación de la prisión provisional para un grupo diferente de supuestos -prisión provisional por riesgo de fuga tras Sentencia condenatoria-, al indicar que el sólo dictado de una inicial Sentencia condenatoria por un delito grave puede constituir un dato suficiente que justifique razonable y suficientemente la concurrencia de un riesgo de sustracción a la acción de la justicia (fundamento jurídico 7º).</w:t>
      </w:r>
    </w:p>
    <w:p w:rsidR="008107C7" w:rsidRDefault="008107C7" w:rsidP="008107C7">
      <w:pPr>
        <w:pStyle w:val="TextoNormal"/>
      </w:pPr>
      <w:r>
        <w:t>c) No podemos cerrar este resumen de jurisprudencia sin referirnos a dos trascendentes extremos que afectan al funcionamiento de esta jurisdicción en su alta tarea de protección del derecho a la libertad. El primero consiste en que la falta de una motivación suficiente y razonable de la decisión de prisión provisional no supondrá sólo un problema de falta de tutela, propio del ámbito del art. 24.1 C.E., sino prioritariamente un problema de lesión del derecho a la libertad, por su privación sin la concurrencia de un presupuesto habilitante para la misma [SSTC 128/1995, fundamento jurídico 4º a); 37/1996, fundamento jurídico 5º; 62/1996, fundamento jurídico 2º; 158/1996, fundamento jurídico 3º].  El segundo se refiere a la competencia del Tribunal Constitucional en esta materia y puede resumirse así: "Corresponde en exclusiva a la jurisdicción ordinaria la constatación y valoración de los antecedentes fácticos justificativos de la medida cautelar (STC 40/1987, fundamento jurídico 2º), ya se refieran a las sospechas de responsabilidad criminal, ya a los riesgos de fuga, a la obstrucción de la investigación, a la reincidencia o a otros requisitos constitucionalmente legítimos que pueda exigir la ley (...). No corresponde, pues,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[STC 128/1995, fundamento jurídico 4º b)].</w:t>
      </w:r>
    </w:p>
    <w:p w:rsidR="008107C7" w:rsidRDefault="008107C7" w:rsidP="008107C7">
      <w:pPr>
        <w:pStyle w:val="TextoNormal"/>
      </w:pPr>
    </w:p>
    <w:p w:rsidR="008107C7" w:rsidRDefault="008107C7" w:rsidP="008107C7">
      <w:pPr>
        <w:pStyle w:val="TextoNormal"/>
      </w:pPr>
      <w:r w:rsidRPr="008107C7">
        <w:rPr>
          <w:rStyle w:val="NumeroAFNegritaCaracter"/>
        </w:rPr>
        <w:t>6</w:t>
      </w:r>
      <w:r>
        <w:t>. La primera queja del recurrente tiene por contenido la falta de fundamento fáctico de la imputación que sirve de presupuesto a la prisión provisional.  Respecto a la misma, como acabamos de recordar, sólo nos compete la supervisión externa de que la declaración de que exista probabilidad de culpabilidad como habilitante de tan contundente medida aparezca como razonable a partir de los datos que aporta la investigación.</w:t>
      </w:r>
    </w:p>
    <w:p w:rsidR="008107C7" w:rsidRDefault="008107C7" w:rsidP="008107C7">
      <w:pPr>
        <w:pStyle w:val="TextoNormal"/>
      </w:pPr>
      <w:r>
        <w:t>La citada supervisión depara un resultado contrario a lo pretendido en la demanda. En el Auto que daba respuesta al recurso de reforma, el Juzgado detalla los hechos provisoriamente constatados y las fuentes de los datos que conducen a los mismos - atestados de la Guardia Civil, análisis de la droga incautada-, sin que a partir de dicho relato quepa calificar de ilógica o de argumentalmente insuficiente la inferencia de indicios de responsabilidad criminal del recurrente.</w:t>
      </w:r>
    </w:p>
    <w:p w:rsidR="008107C7" w:rsidRDefault="008107C7" w:rsidP="008107C7">
      <w:pPr>
        <w:pStyle w:val="TextoNormal"/>
      </w:pPr>
      <w:r>
        <w:t xml:space="preserve">La misma calificación merece la subsunción jurídica del relato fáctico provisional -tráfico de drogas que no causan grave daño a la salud en cantidad de notoria importancia-, sobre cuya impugnación parece querer sustentar el recurrente la atipicidad de la medida en </w:t>
      </w:r>
      <w:r>
        <w:lastRenderedPageBreak/>
        <w:t>función de los distintos requisitos que exige la Ley de Enjuiciamiento Criminal para la prisión provisional en relación con la pena que correspondería a la imputación realizada. La corrección de la calificación jurídica impugnada ha sido posteriormente avalada, por cierto, por la Sentencia condenatoria en primera instancia.</w:t>
      </w:r>
    </w:p>
    <w:p w:rsidR="008107C7" w:rsidRDefault="008107C7" w:rsidP="008107C7">
      <w:pPr>
        <w:pStyle w:val="TextoNormal"/>
      </w:pPr>
    </w:p>
    <w:p w:rsidR="008107C7" w:rsidRDefault="008107C7" w:rsidP="008107C7">
      <w:pPr>
        <w:pStyle w:val="TextoNormal"/>
      </w:pPr>
      <w:r w:rsidRPr="008107C7">
        <w:rPr>
          <w:rStyle w:val="NumeroAFNegritaCaracter"/>
        </w:rPr>
        <w:t>7</w:t>
      </w:r>
      <w:r>
        <w:t>. En relación con la motivación global de la decisión de mantenimiento en prisión, que parece constituir también motivo de la demanda, deben recordarse los siguientes antecedentes: si bien con concisa expresión, como destaca el Ministerio Fiscal, sí que indica el Auto de 22 de febrero de 1996, que era el que daba respuesta a la primera petición de libertad, la finalidad de evitar con la medida cautelar la elusión de la acción de la Justicia; respecto a la justificación de la concurrencia del riesgo que supone, la misma resolución, de modo ciertamente escueto, alude a la gravedad del delito cometido y a la pena prevista para el mismo; esta parquedad y esta constricción a datos puramente objetivos no fue remediada por la Audiencia, ni a ello coadyuvó el recurrente, quien, como en esta sede, centró su estrategia defensiva en la discusión del presupuesto de la medida de prisión provisional.</w:t>
      </w:r>
    </w:p>
    <w:p w:rsidR="008107C7" w:rsidRDefault="008107C7" w:rsidP="008107C7">
      <w:pPr>
        <w:pStyle w:val="TextoNormal"/>
      </w:pPr>
      <w:r>
        <w:t>Con todo, aun faltando en la fundamentación alusión alguna a las circunstancias subjetivas del imputado, debe calificarse de suficiente y razonable la motivación de la medida de prisión provisional que ahora se impugna. Para arribar a esta conclusión a partir de la motivación referida debe acentuarse, en primer lugar, la consignación de una finalidad constitucionalmente legítima, cual es la conjuración del riesgo de fuga, y, en segundo lugar, el momento del dictado de la medida y la información de que disponía el Instructor. Así, cuando el Juez adoptó la decisión, no había pasado aún un mes desde el inicio de la instrucción y el único dato descollante era el de la indiciaria comisión de un delito calificable inicialmente como grave por parte de ciudadanos extranjeros que no cabe descartar que formen parte de una organización. Que en esta tesitura el Juzgado optara por la prisión y no por la libertad, y sustentara su opción en la conjuración de un riesgo de fuga sostenido sólo por la gravedad de la imputación y de la pena amenazante, no puede calificarse en este caso concreto como una decisión ilógica o injustificada y excesivamente preservadora del proceso en detrimento de la libertad. No contemplamos, en suma, la alegada vulneración del derecho a la libertad, por lo que procede también la desestimación del segundo motivo y con ello, la de la demanda.</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Desestimar el presente recurso de amparo.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diez de marzo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48" w:name="SENTENCIA_1997_45"/>
      <w:r>
        <w:lastRenderedPageBreak/>
        <w:t>SENTENCIA 45/1997, de 11 de marzo de 1997</w:t>
      </w:r>
    </w:p>
    <w:bookmarkEnd w:id="48"/>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87, de 11 de abril de 1997)</w:t>
      </w:r>
    </w:p>
    <w:p w:rsidR="008107C7" w:rsidRDefault="008107C7" w:rsidP="008107C7">
      <w:pPr>
        <w:pStyle w:val="TtuloBOE"/>
      </w:pPr>
    </w:p>
    <w:p w:rsidR="008107C7" w:rsidRDefault="008107C7" w:rsidP="008107C7">
      <w:pPr>
        <w:pStyle w:val="SntesisDescriptiva"/>
      </w:pPr>
      <w:r>
        <w:t>ECLI:ES:TC:1997:45</w:t>
      </w:r>
    </w:p>
    <w:p w:rsidR="008107C7" w:rsidRDefault="008107C7" w:rsidP="008107C7">
      <w:pPr>
        <w:pStyle w:val="SntesisDescriptiva"/>
      </w:pPr>
    </w:p>
    <w:p w:rsidR="008107C7" w:rsidRDefault="008107C7" w:rsidP="008107C7">
      <w:pPr>
        <w:pStyle w:val="SntesisDescriptiva"/>
      </w:pPr>
      <w:r>
        <w:t>Recurso de amparo 1.264/1994. Contra Sentencia de la Sala de lo Contencioso-Administrativo del Tribunal Superior de Justicia de Galicia desestimando recurso contencioso-administrativo deducido frente a Resoluciones de la Conselleria de Pesca de la Xunta de Galicia que impusieron al demandante multa como autor de falta administrativa grave.</w:t>
      </w:r>
    </w:p>
    <w:p w:rsidR="008107C7" w:rsidRDefault="008107C7" w:rsidP="008107C7">
      <w:pPr>
        <w:pStyle w:val="SntesisDescriptiva"/>
      </w:pPr>
    </w:p>
    <w:p w:rsidR="008107C7" w:rsidRDefault="008107C7" w:rsidP="008107C7">
      <w:pPr>
        <w:pStyle w:val="SntesisAnaltica"/>
      </w:pPr>
      <w:r>
        <w:t>Vulneración del derecho a la presunción de inocencia: prueba de cargo insuficiente.</w:t>
      </w:r>
    </w:p>
    <w:p w:rsidR="008107C7" w:rsidRDefault="008107C7" w:rsidP="008107C7">
      <w:pPr>
        <w:pStyle w:val="SntesisAnaltica"/>
      </w:pPr>
    </w:p>
    <w:p w:rsidR="008107C7" w:rsidRDefault="008107C7" w:rsidP="008107C7">
      <w:pPr>
        <w:pStyle w:val="Extracto"/>
      </w:pPr>
      <w:r>
        <w:t>1.</w:t>
      </w:r>
      <w:r>
        <w:tab/>
        <w:t>Por lo que se refiere al derecho a la presunción de inocencia hemos declarado (STC 120/1994) que «la presunción de inocencia sólo se destruye cuando un Tribunal independiente, imparcial y establecido por la Ley declara la culpabilidad de una persona tras un proceso celebrado con todas las garantías ( art. 6.1 y 2 del Convenio Europeo de 1950), al cual se aporte una suficiente prueba de cargo», de suerte que la presunción de inocencia es un principio esencial en materia de procedimiento que opera también en el ejercicio de la potestad administrativa sancionadora (SSTC 73/1985 y 1/1987), añadiéndose en la citada STC 120/1994 que «entre las múltiples facetas de ese concepto poliédrico en que consiste la presunción de inocencia hay una, procesal, que consiste en desplazar el «onus probandi» con otros efectos añadidos. En tal sentido hemos dicho ya que la presunción de inocencia comporta en el orden penal "stricto sensu" cuatro exigencias que enumera nuestra STC 76/1990 y recoge la 138/1992, de las cuales sólo dos, la primera y la última, son útiles aquí y ahora, con las necesarias adaptaciones «mutatis mutandis» por la distinta titularidad de la potestad sancionadora. Efectivamente, en ella la carga de probar los hechos constitutivos de cada infracción corresponde ineludiblemente a la Administración Pública actuante, sin que sea exigible al inculpado una "probatio diabolica" de los hechos negativos. Por otra parte, la valoración conjunta de la prueba practicada es una potestad exclusiva del juzgador, que éste ejerce libremente con la sola carga de razonar el resultado de dicha operación (STC 76/1990). En definitiva, la existencia de un acervo probatorio suficiente, cuyas piezas particulares han de ser obtenidas sin el deterioro de los derechos fundamentales del inculpado y su libre valoración por el Juez son las ideas básicas para salvaguardar esta presunción constitucional y están explícitas o latentes en la copiosa doctrina de este Tribunal al respecto (por todas, STC 89/1992)» (STC 120/1994) . [F.J. 4]</w:t>
      </w:r>
    </w:p>
    <w:p w:rsidR="008107C7" w:rsidRDefault="008107C7" w:rsidP="008107C7">
      <w:pPr>
        <w:pStyle w:val="Extracto"/>
      </w:pPr>
    </w:p>
    <w:p w:rsidR="008107C7" w:rsidRDefault="008107C7" w:rsidP="008107C7">
      <w:pPr>
        <w:pStyle w:val="Extracto"/>
      </w:pPr>
      <w:r>
        <w:t>2.</w:t>
      </w:r>
      <w:r>
        <w:tab/>
        <w:t xml:space="preserve">Como recientemente hemos dicho en la STC 24/1997, respecto a un proceso penal cuyos principios, en la forma indicada, son aplicables al procedimiento administrativo sancionador, «los criterios para distinguir entre pruebas indiciarias capaces de desvirtuar la presunción de inocencia y las simples sospechas se apoyan en que: a) La prueba indiciaria ha de partir de hechos plenamente probados. b) Los hechos constitutivos de delito deben deducirse de esos indicios (hechos completamente probados) a través de un proceso mental razonado y acorde con las reglas </w:t>
      </w:r>
      <w:r>
        <w:lastRenderedPageBreak/>
        <w:t>del criterio humano, que ha de explicitarse en la Sentencia condenatoria (SSTC 174/1985, 175/1985, 229/1988, 107/1989, 384/1993 y 206/1994, entre otras)». Si aplicamos esa doctrina al presente caso, tenemos que lo único probado es la titularidad de la embarcación, que efectivamente corresponde al recurrente en amparo. Pero el testimonio de cargo de los denunciantes, identificando la embarcación, resulta insuficiente a los efectos de acreditar la autoría del hecho constitutivo de la infracción. La embarcación aquí no es el instrumento directo de la comisión del ilícito, como ocurre, por ejemplo, con los vehículos a motor en las infracciones del tráfico vial. Y no se demostró que el recurrente, además de propietario de la embarcación, fuese el autor de las infracciones de pesca . [F.J. 6]</w:t>
      </w:r>
    </w:p>
    <w:p w:rsidR="008107C7" w:rsidRDefault="008107C7" w:rsidP="008107C7">
      <w:pPr>
        <w:pStyle w:val="Extracto"/>
      </w:pPr>
    </w:p>
    <w:p w:rsidR="008107C7" w:rsidRDefault="008107C7" w:rsidP="008107C7">
      <w:pPr>
        <w:pStyle w:val="Extracto"/>
      </w:pPr>
      <w:r>
        <w:t>3.</w:t>
      </w:r>
      <w:r>
        <w:tab/>
        <w:t>Tampoco la conducta del recurrente, negándose a colaborar con la Administración en la identificación del piloto de su barco en el momento de ocurrir los hechos objeto de la sanción administrativa, es suficiente para destruir la presunción de inocencia que, como derecho fundamental, le protege y tutela. Según se recuerda en la STC 197/1995, «el derecho a no declarar contra sí mismo rige y ha de ser respetado, en principio, en la imposición de cualesquiera sanciones administrativas, sin perjuicio de las modulaciones que pudiera experimentar en razón de las diferencias existentes entre el orden penal y el Derecho administrativo sancionador, pues los valores esenciales que se encuentran en la base del art. 24.2 C.E. no quedarían salvaguardados si se admitiera que la Administración pudiera compeler u obligar al administrado a confesar la comisión o autoría de los hechos antijurídicos que se le imputan o pudieran imputar o a declarar en tal sentido. El ejercicio del «ius puniendi» del Estado en sus diversas manifestaciones está sometido al juego de la prueba de cargo o incriminatoria de la conducta reprochada y a un procedimiento en el que la persona a la que se le imputa o pueda imputar aquélla pueda ejercer su derecho de defensa, de modo que también en el procedimiento administrativo sancionador la carga de la prueba de los hechos constitutivos en la infracción vincula a la Administración, que concentra las funciones de acusador y decisor, sin que el sujeto pasivo de la actuación sancionadora esté obligado a declarar contra sí mismo» . [F.J. 7]</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 xml:space="preserve">En el recurso de amparo núm. 1.264/94, interpuesto por don Horacio de la Campa Falque, representado por el Procurador don Felipe Ramos Arroyo y bajo la dirección del Letrado </w:t>
      </w:r>
      <w:r>
        <w:lastRenderedPageBreak/>
        <w:t>don Manuel Iglesias Suárez, contra la Sentencia de la Sección Segunda de la Sala de lo Contencioso-Administrativo del Tribunal Superior de Justicia de Galicia de 10 de marzo de 1994, recaída en el proceso 02/0004451/1992. Ha intervenido el Ministerio Fiscal y ha sido parte la Xunta de Galicia, representada por el Procurador don Argimiro Vázquez Guillén y bajo la dirección de la Letrada doña Carmen Bouso Montero. Ha sido Ponente el Magistrado don Manuel Jiménez de Parga y Cabrera,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registrado ante este Tribunal el día 18 de abril de 1994, el Procurador de los Tribunales don Felipe Ramos Arroyo, en nombre y representación de don Horacio de la Campa Falque, formuló demanda de amparo constitucional contra la Sentencia de la Sección Segunda de la Sala de lo Contencioso- Administrativo del Tribunal Superior de Justicia de Galicia de 10 de marzo de 1994, dictada en el proceso 02/0004451/1992, por la que se desestimó el recurso contencioso-administrativo deducido frente a la Resolución de la Consellería de Pesca de la Xunta de Galicia, de 11 de marzo de 1992, desestimatoria del recurso de alzada interpuesto contra la Resolución de la Delegación Territorial de Pontevedra de la citada Consellería, de 2 de enero de 1992, en virtud de la cual se impuso al demandante una multa de 80.000 pesetas como autor de una falta administrativa grave prevista en la Ley del Parlamento de Galicia 6/1991, de 15 de mayo.</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hechos de los que trae causa la demanda de amparo, relevantes para la resolución del caso, son, en síntesis, los siguientes: </w:t>
      </w:r>
    </w:p>
    <w:p w:rsidR="008107C7" w:rsidRDefault="008107C7" w:rsidP="008107C7">
      <w:pPr>
        <w:pStyle w:val="TextoNormal"/>
      </w:pPr>
      <w:r>
        <w:t xml:space="preserve">a) En virtud de denuncia formulada por la "Comisión de Seguimento de Percebeiros da Cofradía de Cangas", la Delegación Territorial de Pontevedra de la Consellería de Pesca, Marisqueo e Acuicultura de la Xunta de Galicia dictó Resolución el día 2 de enero de 1992, recaída en el procedimiento núm. 394/91, por la que se impuso al recurrente, de conformidad con el art. 6, apartados 5 y 10, en relación con el art. 12.2 b), de la Ley de Galicia 6/1991, de 15 de mayo, una multa de 80.000 pesetas, por extraer percebes con equipo autónomo de submarinismo en las Islas Cíes. </w:t>
      </w:r>
    </w:p>
    <w:p w:rsidR="008107C7" w:rsidRDefault="008107C7" w:rsidP="008107C7">
      <w:pPr>
        <w:pStyle w:val="TextoNormal"/>
      </w:pPr>
      <w:r>
        <w:t>b) Interpuesto frente a la sanción recurso de alzada, fue desestimado por Resolución de la Consellería de Pesca, Marisqueo e Acuicultura de la Xunta de Galicia de 11 de marzo de 1992; esta Resolución fue objeto del recurso contencioso- administrativo núm. 02/0004451/1992, resuelto por la Sentencia núm. 176 de 1994 de la Sala de lo Contencioso-Administrativo del Tribunal Superior de Justicia de Galicia, de fecha 10 de marzo de 1994, que lo desestimó.</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El recurrente, en sus alegaciones durante la instrucción del procedimiento administrativo sancionador (pliego de descargo de l6 de julio de 1991 y escrito de 20 de diciembre de 1991), así como en los posteriores recursos de alzada de 13 de enero de 1992 y contencioso-administrativo (escritos de demanda de 1 de julio de 1992 y de conclusiones de 21 de septiembre de 1992), articula su defensa sobre la infracción de los derechos a la presunción de inocencia del art. 24.2 C.E. y a la tutela judicial efectiva del art. 24.1 C.E. En esencia, su argumentación puede resumirse así: </w:t>
      </w:r>
    </w:p>
    <w:p w:rsidR="008107C7" w:rsidRDefault="008107C7" w:rsidP="008107C7">
      <w:pPr>
        <w:pStyle w:val="TextoNormal"/>
      </w:pPr>
      <w:r>
        <w:t>En primer lugar, el derecho a la presunción de inocencia ha sido conculcado por cuanto la única prueba de cargo en que se funda la sanción impuesta es el testimonio de los inte</w:t>
      </w:r>
      <w:r>
        <w:lastRenderedPageBreak/>
        <w:t xml:space="preserve">grantes de la Comisión de Seguimiento arriba aludida, cuyo escrito de denuncia hacía constar que en el día a que se contraían los hechos, 27 de mayo de 1991, fue sorprendida una embarcación (cuya matrícula coincide con la de propiedad del recurrente) en las Islas Cíes, a bordo de la cual se encontraba una mujer y en el fondo del mar se hallaban dos submarinistas, con equipo autónomo, cogiendo percebes. Circunstancia de la que no cabe inferir ni la realidad de los hechos imputados, la captura de percebes, como evidencia que los mismos no fueran decomisados, ni la autoría del sancionado, pues ninguna prueba se ha practicado (más allá de la consecuencia extraída por la Administración a partir de la titularidad de la embarcación con la que presuntamente se cometió la infracción) tendente a poner de manifiesto que era el recurrente una de las personas que llevaban a cabo las actividades ilícitas de referencia. En consecuencia, entiende el quejoso que la imputación de autoría supone una inversión de la carga de la prueba contraria al derecho constitucional mencionado, pues la presunción de inocencia es incompatible con la presunción deductiva (operada a partir de la propiedad de la lancha o embarcación) efectuada por la Administración. </w:t>
      </w:r>
    </w:p>
    <w:p w:rsidR="008107C7" w:rsidRDefault="008107C7" w:rsidP="008107C7">
      <w:pPr>
        <w:pStyle w:val="TextoNormal"/>
      </w:pPr>
      <w:r>
        <w:t>En segundo lugar, el recurrente estima infringido el derecho a la tutela judicial efectiva, dado que el Tribunal Superior de Justicia de Galicia no ha apreciado la prescripción de la eventual infracción cometida, siguiendo en esto la interpretación errónea de la Administración. En concreto, considera el quejoso que aquella prescripción ha tenido lugar desde el momento en que transcurrieron más de dos meses desde la presentación, el día 16 de julio de 1991, del pliego de descargos hasta la siguiente actuación practicada en el curso del procedimiento sancionador, el traslado en 18 de octubre de 1991 de aquel pliego al Patrón Mayor de la Cofradía de Pescadores de Cangas. En consecuencia, y por aplicación del genérico plazo de dos meses previsto en el Código Penal para la prescripción de las faltas penales, de aplicación supletoria en el ámbito sancionador administrativo, ante la ausencia de norma específica al respecto en la Ley de Galicia 5/1985, de 11 de junio, vigente en el momento en que se cometieron los hechos denunciados, había de considerarse prescrita la infracción imputada y, por tanto, improcedente la imposición de la sanción.</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En su escrito de contestación a la demanda contencioso-administrativa, la Xunta de Galicia, luego de constatar que la denuncia origen de la sanción impuesta fue suscrita por once personas, y que el sancionado había reconocido ser propietario de la embarcación con que se cometió la infracción, señala que aquél en ningún momento había proporcionado una explicación clara acerca de dónde se encontraba el día de los hechos denunciados ni había propuesto prueba alguna al respecto, circunstancias que avalaban el convencimiento sobre la culpabilidad del mismo. En apoyo de la meritada conclusión, citaba la defensa de la Administración demandada diversas Sentencias de la Sala de lo Contencioso-Administrativo del Tribunal Superior de Justicia de Galicia, a tenor de la cuales, y a efectos de destruir la presunción de inocencia, cuando la denuncia formulada sea clara y la defensa del denunciado consista en la simple negativa de los hechos imputados, sin dar razones ni aportar pruebas que lleven a una solución distinta, la autoridad administrativa está legitimada para imponer la oportuna sanción, máxime cuando a aquélla le resulte imposible aportar otras pruebas de culpabilidad ante la actitud renuente del sancionado. </w:t>
      </w:r>
    </w:p>
    <w:p w:rsidR="008107C7" w:rsidRDefault="008107C7" w:rsidP="008107C7">
      <w:pPr>
        <w:pStyle w:val="TextoNormal"/>
      </w:pPr>
      <w:r>
        <w:t>Asimismo, se opone a la alegada prescripción de la infracción, dado que la normativa aplicable venía constituida por el art. 18 de la Ley del Parlamento de Galicia 6/1991, vigente en el momento de la denuncia, que prevé un plazo de 6 meses, por lo que en ningún caso podía considerarse prescrita la infracción imputada.</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5</w:t>
      </w:r>
      <w:r>
        <w:t>. La Sala de lo Contencioso-Administrativo del Tribunal Superior de Justicia de Galicia desestimó en 10 de marzo de 1994 el recurso interpuesto contra la Resolución sancionatoria de 2 de enero de 1992, confirmada en alzada por la de 11 de marzo de 1992, sobre la base de los siguientes argumentos: 1) respecto de la denunciada vulneración del derecho a la presunción de inocencia, se sostiene que "si la embarcación pertenece al aquí recurrente y no ha dicho aún, ni en el expediente, ni en este proceso, que el día y hora de autos la estuviese usando persona distinta a él, la deducción que se impone no es contraria a la presunción de inocencia, pues ésta se halla obstruida por el hecho de referencia; tal presunción sólo juega para el acompañante en la ocasión de autos del recurrente, al no haber sido identificado, ni directa, ni indirectamente; otra conclusión supondría situarse en un mundo de ficción, y por tanto alejado de la conducta ordinaria de los hombres, que sería la peor manera de satisfacer jurídicamente sus necesidades individuales y colectivas"; 2) en relación con la eventual prescripción de la infracción, habida cuenta que la Ley 6/1991 entró en vigor (Disposición final segunda) el día 28 de mayo de 1991, y los hechos denunciados acaecieron el día anterior, 27 de mayo, el Tribunal afirma que "si esta doctrina resulta aplicable a la prescripción iniciada después de haber entrado en vigor la nueva Ley, la cual por tanto resulta aplicable sin retroactividad alguna a una prescripción, como la de autos, comenzada bajo la vigencia de aquélla y que por tanto no se ha consumado en este caso al no haber transcurrido el necesario plazo de seis meses previsto en tal Ley (art. 18) para las infracciones graves".</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En su demanda de amparo, el recurrente reitera en lo sustancial los argumentos esgrimidos en las previas vías administrativa y judicial. En concreto, imputa a la sanción administrativa vulneración del derecho a la presunción de inocencia del art. 24.2 C.E., pues la denuncia que inicia el procedimiento sancionador no identificó de modo preciso al autor del hecho imputado, resultando improcedente que la falta de pruebas fuera suplida por una presunción deductiva de autoría a partir del solo dato de la titularidad de la embarcación con la que presuntamente se cometió la infracción. </w:t>
      </w:r>
    </w:p>
    <w:p w:rsidR="008107C7" w:rsidRDefault="008107C7" w:rsidP="008107C7">
      <w:pPr>
        <w:pStyle w:val="TextoNormal"/>
      </w:pPr>
      <w:r>
        <w:t xml:space="preserve">Asimismo, y en segundo lugar, considera infringido el art. 24.1 C.E., al no haberse estimado que los hechos imputados habían prescrito, dado que el expediente sancionador estuvo paralizado durante más de dos meses, sin que de tal circunstancia, y por la indebida aplicación del art. 18 de la Ley de Galicia 6/1991, que prevé un plazo de prescripción de seis meses, se haya concluido en la prescripción de la infracción, consecuencia obligada a tenor de la Ley regional 5/1985, que, por aplicación supletoria del plazo de dos meses previsto en el Código Penal para la prescripción de las faltas, era la norma vigente en el momento en que ocurrieron los hechos denunciados. </w:t>
      </w:r>
    </w:p>
    <w:p w:rsidR="008107C7" w:rsidRDefault="008107C7" w:rsidP="008107C7">
      <w:pPr>
        <w:pStyle w:val="TextoNormal"/>
      </w:pPr>
      <w:r>
        <w:t>Por lo expuesto, el recurrente solicita el otorgamiento del amparo, con expresa petición de suspensión de la eficacia de la multa impuesta.</w:t>
      </w:r>
    </w:p>
    <w:p w:rsidR="008107C7" w:rsidRDefault="008107C7" w:rsidP="008107C7">
      <w:pPr>
        <w:pStyle w:val="TextoNormal"/>
      </w:pPr>
    </w:p>
    <w:p w:rsidR="008107C7" w:rsidRDefault="008107C7" w:rsidP="008107C7">
      <w:pPr>
        <w:pStyle w:val="TextoNormal"/>
      </w:pPr>
      <w:r w:rsidRPr="008107C7">
        <w:rPr>
          <w:rStyle w:val="NumeroAFNegritaCaracter"/>
        </w:rPr>
        <w:t>7</w:t>
      </w:r>
      <w:r>
        <w:t>. Por providencia de 5 de julio de 1994 la Sección Segunda de la Sala, a tenor de lo dispuesto en el art. 50.3 LOTC, concedió un plazo común de diez días al Ministerio Fiscal y al solicitante del amparo para que dentro de dicho término alegaran lo que estimasen pertinente en relación con la eventual concurrencia del motivo de inadmisión consistente en carecer la demanda manifiestamente de contenido que justifique una decisión por parte del Tribunal, de conformidad con el art. 50.1 c) LOTC.</w:t>
      </w:r>
    </w:p>
    <w:p w:rsidR="008107C7" w:rsidRDefault="008107C7" w:rsidP="008107C7">
      <w:pPr>
        <w:pStyle w:val="TextoNormal"/>
      </w:pPr>
    </w:p>
    <w:p w:rsidR="008107C7" w:rsidRDefault="008107C7" w:rsidP="008107C7">
      <w:pPr>
        <w:pStyle w:val="TextoNormal"/>
      </w:pPr>
      <w:r w:rsidRPr="008107C7">
        <w:rPr>
          <w:rStyle w:val="NumeroAFNegritaCaracter"/>
        </w:rPr>
        <w:t>8</w:t>
      </w:r>
      <w:r>
        <w:t xml:space="preserve">. Mediante escrito de 22 de julio de 1994 el Fiscal interesó se dictara Auto declarando la inadmisión del recurso de amparo, por entender: a) la presunción de inocencia ha sido </w:t>
      </w:r>
      <w:r>
        <w:lastRenderedPageBreak/>
        <w:t xml:space="preserve">válida y correctamente destruida, en virtud del razonamiento incorporado a la decisión judicial, dado que en la misma concurren los elementos que este Tribunal (SSTC 174/1985, 229/1988, 94/1990) ha estimado necesarios para apreciar la autoría mediante una prueba de carácter indiciario, a saber, prueba del hecho base y razonamiento lógico de la conexión entre éste y el que se considera probado indiciariamente; b) las alegaciones vertidas por el recurrente acerca de la prescripción de la infracción no toman en consideración que, de acuerdo con la jurisprudencia constitucional (SSTC 152/1987, 255/1988, 224/1991), las cuestiones atinentes a la prescripción son de estricta legalidad ordinaria, por lo que no se aprecia materia dotado de relevancia constitucional. </w:t>
      </w:r>
    </w:p>
    <w:p w:rsidR="008107C7" w:rsidRDefault="008107C7" w:rsidP="008107C7">
      <w:pPr>
        <w:pStyle w:val="TextoNormal"/>
      </w:pPr>
      <w:r>
        <w:t>Por parte del recurrente no se efectuó alegación alguna.</w:t>
      </w:r>
    </w:p>
    <w:p w:rsidR="008107C7" w:rsidRDefault="008107C7" w:rsidP="008107C7">
      <w:pPr>
        <w:pStyle w:val="TextoNormal"/>
      </w:pPr>
    </w:p>
    <w:p w:rsidR="008107C7" w:rsidRDefault="008107C7" w:rsidP="008107C7">
      <w:pPr>
        <w:pStyle w:val="TextoNormal"/>
      </w:pPr>
      <w:r w:rsidRPr="008107C7">
        <w:rPr>
          <w:rStyle w:val="NumeroAFNegritaCaracter"/>
        </w:rPr>
        <w:t>9</w:t>
      </w:r>
      <w:r>
        <w:t>. Mediante providencia de 30 de septiembre de 1994 la Sección acordó tener por recibido el escrito de alegaciones del Ministerio Fiscal y admitir a trámite la demanda de amparo, requiriéndose a la Sección Segunda de la Sala de lo Contencioso- Administrativo del Tribunal Superior de Justicia de Galicia para que remitiera testimonio del recurso contencioso núm. 4.451/92 y emplazara a quienes fueron parte en el proceso judicial previo, salvo el recurrente en amparo, para que en el plazo de diez días pudieran comparecer en el presente proceso constitucional. Asimismo, y de conformidad con la solicitud del actor, se acuerda la formación de la oportuna pieza separada de suspensión.</w:t>
      </w:r>
    </w:p>
    <w:p w:rsidR="008107C7" w:rsidRDefault="008107C7" w:rsidP="008107C7">
      <w:pPr>
        <w:pStyle w:val="TextoNormal"/>
      </w:pPr>
    </w:p>
    <w:p w:rsidR="008107C7" w:rsidRDefault="008107C7" w:rsidP="008107C7">
      <w:pPr>
        <w:pStyle w:val="TextoNormal"/>
      </w:pPr>
      <w:r w:rsidRPr="008107C7">
        <w:rPr>
          <w:rStyle w:val="NumeroAFNegritaCaracter"/>
        </w:rPr>
        <w:t>10</w:t>
      </w:r>
      <w:r>
        <w:t xml:space="preserve">. Formada la pieza separada de suspensión por providencia de la Sección de 30 de septiembre de 1994, se acordó conceder, de conformidad con el art. 56 LOTC, un plazo de tres días al Ministerio Fiscal y al solicitante del amparo para que, dentro de dicho término, formularan las alegaciones que estimasen pertinentes sobre la suspensión solicitada. </w:t>
      </w:r>
    </w:p>
    <w:p w:rsidR="008107C7" w:rsidRDefault="008107C7" w:rsidP="008107C7">
      <w:pPr>
        <w:pStyle w:val="TextoNormal"/>
      </w:pPr>
      <w:r>
        <w:t xml:space="preserve">Por escrito de 10 de octubre de 1994 el Procurador Sr. Ramos Arroyo solicitó la suspensión de la eficacia del acto recurrido, al estimar que el perjuicio que de la ejecución se deriva no es sólo de naturaleza económica, y entender que las infracciones constitucionales alegadas (la vulneración de la retroactividad prohibida constitucionalmente y la inversión de la carga de la prueba a que conduce el acto sancionador) permiten atribuir al recurso la apariencia de buen derecho, criterio admitido por este Tribunal para acordar la suspensión. </w:t>
      </w:r>
    </w:p>
    <w:p w:rsidR="008107C7" w:rsidRDefault="008107C7" w:rsidP="008107C7">
      <w:pPr>
        <w:pStyle w:val="TextoNormal"/>
      </w:pPr>
      <w:r>
        <w:t xml:space="preserve">El Fiscal, por escrito de 7 de octubre de 1994, y luego de recordar los criterios rectores de la suspensión en procesos de amparo constitucional, se opone al otorgamiento de la suspensión solicitada, dado que el recurrente no ha ofrecido ninguna argumentación ni prueba acreditativa de que la no suspensión haría perder al amparo su finalidad, o le causaría perjuicios de difícil reparación, pues difícilmente puede englobarse en esta hipótesis la ejecución de una multa de 80.000 pesetas. </w:t>
      </w:r>
    </w:p>
    <w:p w:rsidR="008107C7" w:rsidRDefault="008107C7" w:rsidP="008107C7">
      <w:pPr>
        <w:pStyle w:val="TextoNormal"/>
      </w:pPr>
      <w:r>
        <w:t>Por Auto de 27 de octubre de 1994, la Sala acuerda denegar la suspensión interesada del pago de la multa, al no estimarse que la entrega de cantidad ocasione perjuicios patrimoniales que no puedan ser fácilmente reparados de otorgarse el amparo.</w:t>
      </w:r>
    </w:p>
    <w:p w:rsidR="008107C7" w:rsidRDefault="008107C7" w:rsidP="008107C7">
      <w:pPr>
        <w:pStyle w:val="TextoNormal"/>
      </w:pPr>
    </w:p>
    <w:p w:rsidR="008107C7" w:rsidRDefault="008107C7" w:rsidP="008107C7">
      <w:pPr>
        <w:pStyle w:val="TextoNormal"/>
      </w:pPr>
      <w:r w:rsidRPr="008107C7">
        <w:rPr>
          <w:rStyle w:val="NumeroAFNegritaCaracter"/>
        </w:rPr>
        <w:t>11</w:t>
      </w:r>
      <w:r>
        <w:t xml:space="preserve">. Por providencia de la Sección de 5 de diciembre de 1994 se tuvo por recibido el testimonio de actuaciones remitido el 29 de octubre de 1994 por la Sala de lo Contencioso-Administrativo del Tribunal Superior de Justicia de Galicia, y por personado y parte al Procurador don Argimiro Vázquez Guillén, en nombre de la Xunta de Galicia, que lo había solicitado por escrito de 25 de octubre de 1994, concediéndose un plazo común de veinte días al recurrente, al Ministerio Fiscal y a la Xunta de Galicia para que, con vista de las </w:t>
      </w:r>
      <w:r>
        <w:lastRenderedPageBreak/>
        <w:t>actuaciones recibidas y de todas las demás del presente recurso de amparo, pudieran presentar las alegaciones que a su derecho convinieren.</w:t>
      </w:r>
    </w:p>
    <w:p w:rsidR="008107C7" w:rsidRDefault="008107C7" w:rsidP="008107C7">
      <w:pPr>
        <w:pStyle w:val="TextoNormal"/>
      </w:pPr>
    </w:p>
    <w:p w:rsidR="008107C7" w:rsidRDefault="008107C7" w:rsidP="008107C7">
      <w:pPr>
        <w:pStyle w:val="TextoNormal"/>
      </w:pPr>
      <w:r w:rsidRPr="008107C7">
        <w:rPr>
          <w:rStyle w:val="NumeroAFNegritaCaracter"/>
        </w:rPr>
        <w:t>12</w:t>
      </w:r>
      <w:r>
        <w:t xml:space="preserve">. El Fiscal, en su escrito de 22 de diciembre de 1994, interesa se dicte Sentencia denegatoria del amparo. En síntesis, su argumentación reitera la vertida en el anterior alegato de 22 de junio de 1994, en el que proponía la inadmisión del recurso de amparo. </w:t>
      </w:r>
    </w:p>
    <w:p w:rsidR="008107C7" w:rsidRDefault="008107C7" w:rsidP="008107C7">
      <w:pPr>
        <w:pStyle w:val="TextoNormal"/>
      </w:pPr>
      <w:r>
        <w:t xml:space="preserve">Insiste en que el proceso deductivo que ha conducido al Tribunal a quo a afirmar la autoría del demandante de amparo no vulnera el derecho a la presunción de inocencia, al tratarse de un supuesto de prueba indiciaria que respeta los requisitos exigidos por el Tribunal Constitucional para este tipo de prueba, debiendo éste "comprobar si ha existido prueba de cargo suficiente para desvirtuar la presunción de inocencia, y, caso de existir, no le corresponde revisar la apreciación que, de la misma, haya hecho el Tribunal a quo, pues es una competencia propia de éste (art. 117.3 C.E.), no constituyendo este Tribunal un órgano de apelación", razón por la cual insta la denegación del amparo por este motivo. </w:t>
      </w:r>
    </w:p>
    <w:p w:rsidR="008107C7" w:rsidRDefault="008107C7" w:rsidP="008107C7">
      <w:pPr>
        <w:pStyle w:val="TextoNormal"/>
      </w:pPr>
      <w:r>
        <w:t>Igual suerte ha de correr la alegada conculcación del derecho a la tutela judicial efectiva por mor de la indebida aplicación de la normativa rectora de la prescripción denunciada. En opinión del Fiscal, "aquí subyace simplemente una discrepancia de interpretaciones jurídicas entre el demandante de amparo y la sentencia recurrida, que, por si misma, carece de contenido constitucional", por lo que igualmente es pertinente por esta razón la desestimación del recurso de amparo.</w:t>
      </w:r>
    </w:p>
    <w:p w:rsidR="008107C7" w:rsidRDefault="008107C7" w:rsidP="008107C7">
      <w:pPr>
        <w:pStyle w:val="TextoNormal"/>
      </w:pPr>
    </w:p>
    <w:p w:rsidR="008107C7" w:rsidRDefault="008107C7" w:rsidP="008107C7">
      <w:pPr>
        <w:pStyle w:val="TextoNormal"/>
      </w:pPr>
      <w:r w:rsidRPr="008107C7">
        <w:rPr>
          <w:rStyle w:val="NumeroAFNegritaCaracter"/>
        </w:rPr>
        <w:t>13</w:t>
      </w:r>
      <w:r>
        <w:t xml:space="preserve">. En su escrito de conclusiones de 28 de diciembre de 1994, el recurrente articula su alegato sobre la vulneración de dos derechos fundamentales: la presunción de inocencia (que localiza en el art. 24.1 C.E.) y la seguridad jurídica del art. 17 C.E. </w:t>
      </w:r>
    </w:p>
    <w:p w:rsidR="008107C7" w:rsidRDefault="008107C7" w:rsidP="008107C7">
      <w:pPr>
        <w:pStyle w:val="TextoNormal"/>
      </w:pPr>
      <w:r>
        <w:t xml:space="preserve">Por lo que al primero de los mencionados derechos se refiere, el demandante considera que no ha sido desvirtuada la presunción de inocencia, pues ni la realidad de los hechos (la captura prohibida de percebes) ha quedado acreditada, ni resulta lógica y procedente la deducción de autoría extraída a partir de la mera titularidad de la embarcación, pues la utilización de ésta pudo llevarse a cabo por personas del todo ajenas a su propietario. </w:t>
      </w:r>
    </w:p>
    <w:p w:rsidR="008107C7" w:rsidRDefault="008107C7" w:rsidP="008107C7">
      <w:pPr>
        <w:pStyle w:val="TextoNormal"/>
      </w:pPr>
      <w:r>
        <w:t xml:space="preserve">En segundo lugar, se argumenta que la aplicación de la Ley regional 6/1991 a unos hechos presuntamente acaecidos antes de su entrada en vigor vulnera el derecho a la seguridad jurídica que entiende consagrado en el art. 17 C.E., al haberse estimado de aplicación la regulación en materia de prescripción contenida en aquélla a unos hechos que habían prescrito según la legislación vigente en el momento en que tuvieron lugar. </w:t>
      </w:r>
    </w:p>
    <w:p w:rsidR="008107C7" w:rsidRDefault="008107C7" w:rsidP="008107C7">
      <w:pPr>
        <w:pStyle w:val="TextoNormal"/>
      </w:pPr>
      <w:r>
        <w:t>En consecuencia, concluye reiterando su petición de otorgamiento del amparo.</w:t>
      </w:r>
    </w:p>
    <w:p w:rsidR="008107C7" w:rsidRDefault="008107C7" w:rsidP="008107C7">
      <w:pPr>
        <w:pStyle w:val="TextoNormal"/>
      </w:pPr>
    </w:p>
    <w:p w:rsidR="008107C7" w:rsidRDefault="008107C7" w:rsidP="008107C7">
      <w:pPr>
        <w:pStyle w:val="TextoNormal"/>
      </w:pPr>
      <w:r w:rsidRPr="008107C7">
        <w:rPr>
          <w:rStyle w:val="NumeroAFNegritaCaracter"/>
        </w:rPr>
        <w:t>14</w:t>
      </w:r>
      <w:r>
        <w:t xml:space="preserve">. La Xunta de Galicia formuló sus alegaciones mediante escrito de 30 de diciembre de 1994, interesando la denegación del amparo. </w:t>
      </w:r>
    </w:p>
    <w:p w:rsidR="008107C7" w:rsidRDefault="008107C7" w:rsidP="008107C7">
      <w:pPr>
        <w:pStyle w:val="TextoNormal"/>
      </w:pPr>
      <w:r>
        <w:t xml:space="preserve">Sostiene, en primer lugar, que las alegaciones vertidas por el recurrente acerca de la prescripción de la infracción imputada a la indebida aplicación de la Ley 6/1991, carecen de relevancia constitucional, pues no cabe entender que el Tribunal a quo haya incurrido en arbitrariedad, error patente o lesión de un derecho fundamental; criterios de aplicación que, según la jurisprudencia constitucional que cita (SSTC 90/1990, 359/1993, 46/1994), son los que permiten a este Tribunal examinar la corrección de la decisión judicial recurrida. Conclusión reforzada por la consideración de que el recurso de amparo constitucional no es un instrumento concebido para corregir, en términos objetivos y abstractos, los errores en que hayan podido incurrir los órganos judiciales en la interpretación y aplicación de las normas, </w:t>
      </w:r>
      <w:r>
        <w:lastRenderedPageBreak/>
        <w:t xml:space="preserve">ni para imponer una determinada interpretación entre las que resulten factibles (STC 12/1991). </w:t>
      </w:r>
    </w:p>
    <w:p w:rsidR="008107C7" w:rsidRDefault="008107C7" w:rsidP="008107C7">
      <w:pPr>
        <w:pStyle w:val="TextoNormal"/>
      </w:pPr>
      <w:r>
        <w:t>En relación con la denunciada vulneración de la presunción de inocencia, la Xunta de Galicia, con apoyo en distintos pronunciamientos de este Tribunal (SSTC 24/1990, 105/1994, 120/1994), estima que la prueba de cargo aportada reviste la suficiente virtualidad para destruir dicha presunción. En efecto, se insiste en que la denuncia que dio lugar a la incoación del procedimiento sancionador fue suscrita por once personas, que posteriormente se ratificaron en su contenido, limitándose el imputado a negar la realidad de los hechos, aunque sin proponer prueba alguna que condujera al convencimiento de su no participación en la comisión de la infracción. En consecuencia, entiende la defensa de la Administración que la Sala de lo Contencioso-Administrativo del Tribunal Superior de Justicia de Galicia ha quebrado la presunción de inocencia a través de una prueba indirecta en la que han quedado plenamente acreditados unos hechos, de los cuales, y mediante un enlace preciso y directo, según las reglas del criterio humano, se ha llegado a la conclusión de que el sancionado es el responsable de la infracción de que se trata, iter mental que satisface las exigencias anudadas por el Tribunal Constitucional a la corrección de la prueba indiciaria.</w:t>
      </w:r>
    </w:p>
    <w:p w:rsidR="008107C7" w:rsidRDefault="008107C7" w:rsidP="008107C7">
      <w:pPr>
        <w:pStyle w:val="TextoNormal"/>
      </w:pPr>
    </w:p>
    <w:p w:rsidR="008107C7" w:rsidRDefault="008107C7" w:rsidP="008107C7">
      <w:pPr>
        <w:pStyle w:val="TextoNormal"/>
      </w:pPr>
      <w:r w:rsidRPr="008107C7">
        <w:rPr>
          <w:rStyle w:val="NumeroAFNegritaCaracter"/>
        </w:rPr>
        <w:t>15</w:t>
      </w:r>
      <w:r>
        <w:t>. Por providencia de 10 de marzo de 1997, se señaló para deliberación y votación de la presente Sentencia el siguiente día 11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El asunto que hemos de resolver consiste en que el recurrente, sancionado por la Xunta de Galicia con una multa de 80.000 pesetas, entiende vulnerados sus derechos fundamentales a la presunción de inocencia y a la tutela judicial efectiva, consagrados, respectivamente, en los núms. 2 y 1 del art. 24 C.E., considerándose víctima, también, de la violación de su seguridad jurídica, que él cobija en el art. 17 C.E.</w:t>
      </w:r>
    </w:p>
    <w:p w:rsidR="008107C7" w:rsidRDefault="008107C7" w:rsidP="008107C7">
      <w:pPr>
        <w:pStyle w:val="TextoNormal"/>
      </w:pPr>
      <w:r>
        <w:t>Alega, en síntesis, que la conculcación de la presunción de inocencia se ha producido por la imputación de las infracciones graves tipificadas en los apartados 5 ("la captura de especies marinas con equipos de respiración autónomos o con otro tipo de equipos submarinos no autorizados") y 10 (" la pesca o marisqueo en fondos prohibidos o en zonas o épocas vedadas") del art.  6 de la Ley del Parlamento de Galicia 6/1991, de 15 de mayo, de Infracciones en materia de protección de recursos marítimo- pesqueros. Opina el quejoso que tal imputación se ha realizado sobre la única base del testimonio de los denunciantes, miembros de una denominada "Comisión de Seguimiento de Percebeiros de la Cofradía de Cangas", según los cuales, en el día de los hechos, fue sorprendida una embarcación (que resultó ser, una vez verificada su matrícula, propiedad del actor) en las Islas Cíes, a bordo de la cual se encontraba una mujer y en el fondo del mar se hallaban dos submarinistas, cogiendo percebes.</w:t>
      </w:r>
    </w:p>
    <w:p w:rsidR="008107C7" w:rsidRDefault="008107C7" w:rsidP="008107C7">
      <w:pPr>
        <w:pStyle w:val="TextoNormal"/>
      </w:pPr>
      <w:r>
        <w:t>A juicio del demandante, el citado testimonio es insuficiente para destruir su derecho a la presunción de inocencia, pues ni se ha acreditado la realidad del hecho imputado (la captura de percebes), ni se ha probado fehacientemente su participación. Se le consideró responsable en virtud de una prueba indiciaria, la mera titularidad de la embarcación con que se dice cometida la infracción, alterando por tanto indebidamente la carga de la prueba, al remitir al imputado, y sancionado, la demostración de su no participación en la comisión del ilícito administrativo.</w:t>
      </w:r>
    </w:p>
    <w:p w:rsidR="008107C7" w:rsidRDefault="008107C7" w:rsidP="008107C7">
      <w:pPr>
        <w:pStyle w:val="TextoNormal"/>
      </w:pPr>
      <w:r>
        <w:lastRenderedPageBreak/>
        <w:t>Además de la violación de la presunción de inocencia, en la forma que acabamos de exponer, el recurrente denuncia la vulneración de los arts. 24.1 y 17 C.E.  Se derivaría ésta de la no apreciación por la resolución administrativa, luego confirmada judicialmente, de la prescripción de los hechos imputados.</w:t>
      </w:r>
    </w:p>
    <w:p w:rsidR="008107C7" w:rsidRDefault="008107C7" w:rsidP="008107C7">
      <w:pPr>
        <w:pStyle w:val="TextoNormal"/>
      </w:pPr>
      <w:r>
        <w:t>En la fecha de los sucesos, 27 de mayo de 1991, se hallaba vigente la Ley del Parlamento de Galicia 5/1985, de 11 de junio, que no contemplaba un específico plazo de prescripción, por lo que -afirma el quejoso- resultaba de aplicación el genérico de dos meses previsto en el Código Penal para la prescripción de las faltas. Siendo así que el procedimiento sancionador estuvo paralizado durante más de dos meses (concretamente, entre el 16 de julio de 1991, fecha de presentación del pliego de descargos, y el 18 de octubre de 1991, día en que tuvo lugar la siguiente actuación practicada en el curso de aquél: el traslado del indicado pliego al Patrón Mayor de la Cofradía de Pescadores de Cangas), la aplicación del plazo de seis meses contemplado en el art.  18.1 de la Ley 6/1991 para la prescripción de las infracciones graves, Ley que no estaba en vigor en el momento de los hechos, infringe, en opinión del recurrente, su derecho a una tutela judicial efectiva.</w:t>
      </w:r>
    </w:p>
    <w:p w:rsidR="008107C7" w:rsidRDefault="008107C7" w:rsidP="008107C7">
      <w:pPr>
        <w:pStyle w:val="TextoNormal"/>
      </w:pPr>
    </w:p>
    <w:p w:rsidR="008107C7" w:rsidRDefault="008107C7" w:rsidP="008107C7">
      <w:pPr>
        <w:pStyle w:val="TextoNormal"/>
      </w:pPr>
      <w:r w:rsidRPr="008107C7">
        <w:rPr>
          <w:rStyle w:val="NumeroAFNegritaCaracter"/>
        </w:rPr>
        <w:t>2</w:t>
      </w:r>
      <w:r>
        <w:t>. La consideración de las vulneraciones denunciadas vamos a hacerla con el análisis, en primer lugar, de la alegada con apoyo en el art. 24.2 C.E., conculcación de la presunción de inocencia, prioritaria en el orden lógico de nuestra respuesta, remitiendo a un momento ulterior, si procede, el examen de las otras supuestas infracciones constitucionales expuestas en la demanda.</w:t>
      </w:r>
    </w:p>
    <w:p w:rsidR="008107C7" w:rsidRDefault="008107C7" w:rsidP="008107C7">
      <w:pPr>
        <w:pStyle w:val="TextoNormal"/>
      </w:pPr>
    </w:p>
    <w:p w:rsidR="008107C7" w:rsidRDefault="008107C7" w:rsidP="008107C7">
      <w:pPr>
        <w:pStyle w:val="TextoNormal"/>
      </w:pPr>
      <w:r w:rsidRPr="008107C7">
        <w:rPr>
          <w:rStyle w:val="NumeroAFNegritaCaracter"/>
        </w:rPr>
        <w:t>3</w:t>
      </w:r>
      <w:r>
        <w:t>. Se ha de iniciar nuestra argumentación precisando si son aplicables las garantías del proceso penal al procedimiento administrativo sancionador, y, en el supuesto de que lo sean, si ha de efectuarse una mera traslación automática, es decir maquinal e indeliberada, o, por el contrario, debe matizarse tal aplicación, dadas las diferencias entre el procedimiento administrativo sancionador y el proceso penal.</w:t>
      </w:r>
    </w:p>
    <w:p w:rsidR="008107C7" w:rsidRDefault="008107C7" w:rsidP="008107C7">
      <w:pPr>
        <w:pStyle w:val="TextoNormal"/>
      </w:pPr>
      <w:r>
        <w:t>Importante, al respecto, es la STC 89/1995, en cuyo fundamento jurídico 4º puede leerse que es «doctrina reiterada de este Tribunal y del Tribunal Europeo de Derechos Humanos (así, por ejemplo, sentencias del T.E.D.H. de 8 de junio de 1976 -asunto Engel y otros-, de 21 de febrero de 1984 -asunto Öztürk-, de 28 de junio de 1984 -asunto Cambell y Fell-, de 22 de mayo de 1990 - asunto Weber-, de 27 de agosto de 1991 -asunto Demicoli-, de 24 de febrero de 1994 -asunto Bendenoum-), la de que los principales principios y garantías constitucionales del orden penal y del proceso penal han de observarse, con ciertos matices, en el procedimiento administrativo sancionador y, así, entre aquellas garantías procesales hemos declarado aplicables el derecho de defensa (STC 4/1982) y sus derechos instrumentales a ser informado de la acusación (SSTC 31/1986, 190/1987, 29/1989) y a utilizar los medios de prueba pertinentes para la defensa (SSTC 2/1987, 190/1987 y 212/1990), así como el derecho a la presunción de inocencia (SSTC 13/1982, 36 y 37/1985, 42/1989, 76/1990 y 138/1990), derechos fundamentales todos ellos que han sido incorporados por el legislador a la normativa reguladora del procedimiento administrativo común (Título IX de la Ley 30/1992, de 26 de noviembre); e incluso garantías que la Constitución no impone en la esfera de la punición administrativa -tales como, por ejemplo, la del derecho al "Juez imparcial" (SSTC 22/1990 y 76/1990) o la del derecho a un proceso sin dilaciones indebidas (STC 26/1994)-, también han sido adoptadas en alguna medida por la legislación ordinaria, aproximando al máximo posible el procedimiento administrativo sancionador al proceso penal».</w:t>
      </w:r>
    </w:p>
    <w:p w:rsidR="008107C7" w:rsidRDefault="008107C7" w:rsidP="008107C7">
      <w:pPr>
        <w:pStyle w:val="TextoNormal"/>
      </w:pPr>
      <w:r>
        <w:lastRenderedPageBreak/>
        <w:t>Se trata, en suma, de la aplicación de los principios constitucionales inspiradores de las leyes procesales penales, pero no de las normas de éstas.  No poseen la misma estructura, ni se halla configurado del mismo modo, el proceso penal y el procedimiento administrativo sancionador. Los principios del primero han de proyectarse de manera adecuada sobre el segundo. Es una traslación con matices.</w:t>
      </w:r>
    </w:p>
    <w:p w:rsidR="008107C7" w:rsidRDefault="008107C7" w:rsidP="008107C7">
      <w:pPr>
        <w:pStyle w:val="TextoNormal"/>
      </w:pPr>
    </w:p>
    <w:p w:rsidR="008107C7" w:rsidRDefault="008107C7" w:rsidP="008107C7">
      <w:pPr>
        <w:pStyle w:val="TextoNormal"/>
      </w:pPr>
      <w:r w:rsidRPr="008107C7">
        <w:rPr>
          <w:rStyle w:val="NumeroAFNegritaCaracter"/>
        </w:rPr>
        <w:t>4</w:t>
      </w:r>
      <w:r>
        <w:t>. Por lo que se refiere en concreto al derecho a la presunción de inocencia, hemos declarado en STC 120/1994 que "la presunción de inocencia sólo se destruye cuando un Tribunal independiente, imparcial y establecido por la Ley declara la culpabilidad de una persona tras un proceso celebrado con todas las garantías (art. 6.1 y 2 del Convenio Europeo de 1950), al cual se aporte una suficiente prueba de cargo", de suerte que la presunción de inocencia es un principio esencial en materia de procedimiento que opera también en el ejercicio de la potestad administrativa sancionadora (SSTC 73/1985 y 1/1987), añadiéndose en la citada STC 120/1994 que "entre las múltiples facetas de ese concepto poliédrico en que consiste la presunción de inocencia hay una, procesal, que consiste en desplazar el onus probandi con otros efectos añadidos. En tal sentido hemos dicho ya -continúa razonando la STC 120/1994- que la presunción de inocencia comporta en el orden penal stricto sensu cuatro exigencias que enumera nuestra STC 76/1990 y recoge la 138/1992, de las cuales sólo dos, la primera y la última, son útiles aquí y ahora, con las necesarias adaptaciones mutatis mutandis por la distinta titularidad de la potestad sancionadora. Efectivamente, en ella la carga de probar los hechos constitutivos de cada infracción corresponde ineludiblemente a la Administración Pública actuante, sin que sea exigible al inculpado una probatio diabolica de los hechos negativos. Por otra parte, la valoración conjunta de la prueba practicada es una potestad exclusiva del juzgador, que éste ejerce libremente con la sola carga de razonar el resultado de dicha operación (STC 76/1990). En definitiva, la existencia de un acervo probatorio suficiente, cuyas piezas particulares han de ser obtenidas sin el deterioro de los derechos fundamentales del inculpado y su libre valoración por el Juez son las ideas básicas para salvaguardar esta presunción constitucional y están explícitas o latentes en la copiosa doctrina de este Tribunal al respecto (por todas STC 89/1992)" (STC 120/1994, fundamento jurídico 2º).</w:t>
      </w:r>
    </w:p>
    <w:p w:rsidR="008107C7" w:rsidRDefault="008107C7" w:rsidP="008107C7">
      <w:pPr>
        <w:pStyle w:val="TextoNormal"/>
      </w:pPr>
    </w:p>
    <w:p w:rsidR="008107C7" w:rsidRDefault="008107C7" w:rsidP="008107C7">
      <w:pPr>
        <w:pStyle w:val="TextoNormal"/>
      </w:pPr>
      <w:r w:rsidRPr="008107C7">
        <w:rPr>
          <w:rStyle w:val="NumeroAFNegritaCaracter"/>
        </w:rPr>
        <w:t>5</w:t>
      </w:r>
      <w:r>
        <w:t>. En el presente caso, ha de discernirse si la sanción administrativa, que imputa al recurrente la responsabilidad de determinados hechos tipificados como infracción en la Ley del Parlamento de Galicia 6/1991, ha conculcado la presunción de inocencia de aquél, al haberle atribuido una conducta a partir exclusivamente del dato de la titularidad del instrumento, la embarcación, que se utilizó para desde ella realizar la infracción imputada.</w:t>
      </w:r>
    </w:p>
    <w:p w:rsidR="008107C7" w:rsidRDefault="008107C7" w:rsidP="008107C7">
      <w:pPr>
        <w:pStyle w:val="TextoNormal"/>
      </w:pPr>
      <w:r>
        <w:t>El encuadramiento de esta cuestión viene aquí dado por los términos de la resolución judicial que desestimó el recurso contencioso-administrativo deducido frente a la sanción, y en cuyo segundo Considerando puede, en efecto, leerse: "Si la embarcación pertenece al recurrente y no ha dicho aún, ni en el expediente, ni en este proceso, que el día y hora de autos la estuviese usando persona distinta a él, la deducción que se impone no es contraria a la presunción de inocencia, pues ésta se halla obstruida por el hecho de referencia; tal presunción sólo juega para el acompañante en la ocasión de autos del recurrente, al no haber sido identificado ni directa, ni indirectamente; otra conclusión supondría situarse en un mundo de ficción, y por tanto alejado de la conducta ordinaria de los hombres, que sería la peor manera de satisfacer jurídicamente sus necesidades individuales y colectivas".</w:t>
      </w:r>
    </w:p>
    <w:p w:rsidR="008107C7" w:rsidRDefault="008107C7" w:rsidP="008107C7">
      <w:pPr>
        <w:pStyle w:val="TextoNormal"/>
      </w:pPr>
      <w:r>
        <w:t xml:space="preserve">Pero esa argumentación es cuestionable. Del texto judicial transcrito y de los antecedentes relatados supra se desprende: a) una supuesta certeza de los hechos imputados (acerca </w:t>
      </w:r>
      <w:r>
        <w:lastRenderedPageBreak/>
        <w:t>de los que la Sentencia, empero, ninguna duda alberga, pues la denuncia proviene "nada menos que de once personas, las que aun sin tener carácter de agentes de la Autoridad son conocedores de la actividad del caso y prestan servicio para un organismo gremial de los más significativos en el ámbito de que se trata"); b) la renuencia del sancionado a aportar dato alguno acerca de su no participación en los hechos denunciados, ni durante la instrucción del procedimiento sancionador ni en el curso del proceso judicial (habiendo incluso solicitado en el escrito de demanda que se estimara innecesaria por la Sala el recibimiento a prueba); c) la inferencia de responsabilidad efectuada por la Sentencia, basada en la confluencia de dos elementos: la propiedad de la embarcación y la negativa aludida.</w:t>
      </w:r>
    </w:p>
    <w:p w:rsidR="008107C7" w:rsidRDefault="008107C7" w:rsidP="008107C7">
      <w:pPr>
        <w:pStyle w:val="TextoNormal"/>
      </w:pPr>
    </w:p>
    <w:p w:rsidR="008107C7" w:rsidRDefault="008107C7" w:rsidP="008107C7">
      <w:pPr>
        <w:pStyle w:val="TextoNormal"/>
      </w:pPr>
      <w:r w:rsidRPr="008107C7">
        <w:rPr>
          <w:rStyle w:val="NumeroAFNegritaCaracter"/>
        </w:rPr>
        <w:t>6</w:t>
      </w:r>
      <w:r>
        <w:t>. Nuestro enjuiciamiento constitucional ha de consistir en la valoración de la prueba indiciaria en que se apoyaron las Resoluciones administrativas sancionadoras, primero, y la Sentencia del Tribunal Superior de Galicia, después. Hemos de resolver si fue una prueba indiciaria suficiente para destruir la presunción de inocencia de que goza el recurrente en amparo.</w:t>
      </w:r>
    </w:p>
    <w:p w:rsidR="008107C7" w:rsidRDefault="008107C7" w:rsidP="008107C7">
      <w:pPr>
        <w:pStyle w:val="TextoNormal"/>
      </w:pPr>
      <w:r>
        <w:t>Como recientemente hemos dicho en la STC 24/1997, respecto a un proceso penal cuyos principios, en la forma indicada, son aplicables al procedimiento administrativo sancionador, "los criterios para distinguir entre pruebas indiciarias capaces de desvirtuar la presunción de inocencia y las simples sospechas se apoyan en que:</w:t>
      </w:r>
    </w:p>
    <w:p w:rsidR="008107C7" w:rsidRDefault="008107C7" w:rsidP="008107C7">
      <w:pPr>
        <w:pStyle w:val="TextoNormal"/>
      </w:pPr>
      <w:r>
        <w:t>a) La prueba indiciaria ha de partir de hechos plenamente probados.</w:t>
      </w:r>
    </w:p>
    <w:p w:rsidR="008107C7" w:rsidRDefault="008107C7" w:rsidP="008107C7">
      <w:pPr>
        <w:pStyle w:val="TextoNormal"/>
      </w:pPr>
      <w:r>
        <w:t>b) Los hechos constitutivos de delito deben deducirse de esos indicios (hechos completamente probados) a través de un proceso mental razonado y acorde con las reglas del criterio humano, que ha de explicitarse en la Sentencia condenatoria (SSTC 174/1985, 175/1985, 229/1988, 107/19898, 384/1993, 206/1994, entre otras)".</w:t>
      </w:r>
    </w:p>
    <w:p w:rsidR="008107C7" w:rsidRDefault="008107C7" w:rsidP="008107C7">
      <w:pPr>
        <w:pStyle w:val="TextoNormal"/>
      </w:pPr>
      <w:r>
        <w:t>Si aplicamos esa doctrina al presente caso, tenemos que lo único probado es la titularidad de la embarcación, que efectivamente corresponde al recurrente en amparo. Pero el testimonio de cargo de los denunciantes, identificando la embarcación, resulta insuficiente a los efectos de acreditar la autoria del hecho constitutivo de la infracción. La embarcación aquí no es el instrumento directo de la comisión del ilícito, como ocurre, por ejemplo, con los vehículos a motor en las infracciones del tráfico vial. Y no se demostró que el recurrente, además de propietario de la embarcación, fuese el autor de las infracciones de pesca.</w:t>
      </w:r>
    </w:p>
    <w:p w:rsidR="008107C7" w:rsidRDefault="008107C7" w:rsidP="008107C7">
      <w:pPr>
        <w:pStyle w:val="TextoNormal"/>
      </w:pPr>
      <w:r>
        <w:t xml:space="preserve">No se contiene, ni en las Resoluciones administrativas ni en la Sentencia del Tribunal Superior de Justicia de Galicia, un razonamiento lógico en virtud del cual se dedujera del hecho probado (la titularidad de la embarcación) la autoría de la infracción en materia de pesca por tal titular o propietario. No consta acreditado que la denuncia, formalizada por el órgano denominado "Comisión de Seguimiento de Percebeiros da Cofradía de Cangas", estuviera sustentada en la necesaria actividad desplegada para determinación de las circunstancias de la infracción y de su autor o autores, ni por parte de la Administración autonómica sancionadora se introdujo en el procedimiento administrativo, al efecto sustanciado, ningún dato o elemento probatorio que permitiese la identificación del presunto responsable de la infracción de marisqueo. El Organo administrativo autonómico se limitó a establecer un nexo o relación causal entre la titularidad de la embarcación utilizada y la autoría de la infracción grave perseguida, lo que es a todas luces insuficiente para enervar la presunción de inocencia -de inexistencia de responsabilidad administrativa- que en el ámbito sancionador viene a recoger el art. 137.1 de la Ley 30/1992, de 26 de noviembre, de Régimen Jurídico de la Administración del Estado y Procedimiento Administrativo Común. No se cumplió, en definitiva, el requisito que destaca la STC 229/1989: las resoluciones han de contener "no sólo las conclusiones obtenidas, sino también los elementos de prueba que conducen a </w:t>
      </w:r>
      <w:r>
        <w:lastRenderedPageBreak/>
        <w:t>las mismas, y el iter mental que ha llevado a entender probados los hechos [...] a fin de que pueda enjuiciarse la racionalidad y coherencia del proceso mental seguido".</w:t>
      </w:r>
    </w:p>
    <w:p w:rsidR="008107C7" w:rsidRDefault="008107C7" w:rsidP="008107C7">
      <w:pPr>
        <w:pStyle w:val="TextoNormal"/>
      </w:pPr>
      <w:r>
        <w:t>El iter mental se rompió, en cuanto a la razonabilidad exigible al mismo, al vincular la titularidad de la embarcación con la autoría de la infracción administrativa de pesca. Sin otra prueba de cargo que el testimonio de la utilización de la lancha o embarcación del sancionado para realizar desde ella (pero no con ella) el hecho ilícito, falta razonablemente base para negar el derecho del recurrente a la presunción de inocencia (art. 24.2 C.E.).</w:t>
      </w:r>
    </w:p>
    <w:p w:rsidR="008107C7" w:rsidRDefault="008107C7" w:rsidP="008107C7">
      <w:pPr>
        <w:pStyle w:val="TextoNormal"/>
      </w:pPr>
    </w:p>
    <w:p w:rsidR="008107C7" w:rsidRDefault="008107C7" w:rsidP="008107C7">
      <w:pPr>
        <w:pStyle w:val="TextoNormal"/>
      </w:pPr>
      <w:r w:rsidRPr="008107C7">
        <w:rPr>
          <w:rStyle w:val="NumeroAFNegritaCaracter"/>
        </w:rPr>
        <w:t>7</w:t>
      </w:r>
      <w:r>
        <w:t>. Tampoco la conducta del recurrente, negándose a colaborar con la Administración en la identificación del piloto de su barco en el momento de ocurrir los hechos objeto de la sanción administrativa, es suficiente para destruir la presunción de inocencia que, como derecho fundamental, le protege y tutela.  Nadie está obligado a declarar contra sí mismo. Según se recuerda en la STC 197/1995, "no puede suscitar duda que el derecho a no declarar contra sí mismo, en cuanto garantía instrumental del derecho de defensa al que presta cobertura en su manifestación pasiva, rige y ha de ser respetado, en principio, en la imposición de cualesquiera sanciones administrativas, sin perjuicio de las modulaciones que pudiera experimentar en razón de las diferencias existentes entre el orden penal y el derecho administrativo sancionador, pues los valores esenciales que se encuentran en la base del art.  24.2 C.E. no quedarían salvaguardados si se admitiera que la Administración pudiera compeler u obligar al administrado a confesar la comisión o autoría de los hechos antijurídicos que se le imputan o pudieran imputar o a declarar en tal sentido. El ejercicio del ius puniendi del Estado en sus diversas manifestaciones está sometido al juego de la prueba de cargo o incriminatoria de la conducta reprochada y a un procedimiento en el que la persona a la que se le imputa o pueda imputar aquélla pueda ejercer su derecho de defensa, de modo que, también en el procedimiento administrativo sancionador, la carga de la prueba de los hechos constitutivos en la infracción vincula a la Administración, que concentra las funciones de acusador y decisor, sin que el sujeto pasivo de la actuación sancionadora esté obligado a declarar contra sí mismo" (fundamento jurídico 7º).</w:t>
      </w:r>
    </w:p>
    <w:p w:rsidR="008107C7" w:rsidRDefault="008107C7" w:rsidP="008107C7">
      <w:pPr>
        <w:pStyle w:val="TextoNormal"/>
      </w:pPr>
    </w:p>
    <w:p w:rsidR="008107C7" w:rsidRDefault="008107C7" w:rsidP="008107C7">
      <w:pPr>
        <w:pStyle w:val="TextoNormal"/>
      </w:pPr>
      <w:r w:rsidRPr="008107C7">
        <w:rPr>
          <w:rStyle w:val="NumeroAFNegritaCaracter"/>
        </w:rPr>
        <w:t>8</w:t>
      </w:r>
      <w:r>
        <w:t>. Por consiguiente, y aplicando la doctrina de este Tribunal Constitucional al presente caso, llegamos a la conclusión de que fue conculcado, tanto por la Consellería de Pesca, Marisqueo e Acuicultura de la Xunta de Galicia, como por la Sala de lo Contencioso-Administrativo del Tribunal Superior de Justicia de Galicia, el derecho del recurrente a la presunción de inocencia.</w:t>
      </w:r>
    </w:p>
    <w:p w:rsidR="008107C7" w:rsidRDefault="008107C7" w:rsidP="008107C7">
      <w:pPr>
        <w:pStyle w:val="TextoNormal"/>
      </w:pPr>
      <w:r>
        <w:t>Apreciada la violación de la presunción de inocencia, que nos lleva derechamente al otorgamiento del amparo, no es necesario entrar a enjuiciar las otras supuestas infracciones constitucionales que el recurrente expone en su demanda.</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Otorgar el amparo a don Horacio de la Campa Falque y, en consecuencia:</w:t>
      </w:r>
    </w:p>
    <w:p w:rsidR="008107C7" w:rsidRDefault="008107C7" w:rsidP="008107C7">
      <w:pPr>
        <w:pStyle w:val="TextoNormal"/>
      </w:pPr>
      <w:r>
        <w:t>1º. Reconocerle su derecho a la presunción de inocencia.</w:t>
      </w:r>
    </w:p>
    <w:p w:rsidR="008107C7" w:rsidRDefault="008107C7" w:rsidP="008107C7">
      <w:pPr>
        <w:pStyle w:val="TextoNormal"/>
      </w:pPr>
      <w:r>
        <w:lastRenderedPageBreak/>
        <w:t>2º. Anular la Resolución de fecha 2 de enero de 1992, de la Delegación Territorial de Pontevedra de la Consellería de Pesca, Marisqueo e Acuicultura de la Xunta de Galicia, confirmada el 11 de marzo de 1992 por otra Resolución de la misma Consellería, que impusieron una multa de 80.000 pesetas al quejoso en amparo, así como la Sentencia de la Sala de lo Contencioso- Administrativo del Tribunal Superior de Justicia de Galicia, de fecha 10 de marzo de 1994, que destimó el recurso interpuesto contra aquéllas.</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once de marzo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49" w:name="SENTENCIA_1997_46"/>
      <w:r>
        <w:lastRenderedPageBreak/>
        <w:t>SENTENCIA 46/1997, de 11 de marzo de 1997</w:t>
      </w:r>
    </w:p>
    <w:bookmarkEnd w:id="49"/>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87, de 11 de abril de 1997)</w:t>
      </w:r>
    </w:p>
    <w:p w:rsidR="008107C7" w:rsidRDefault="008107C7" w:rsidP="008107C7">
      <w:pPr>
        <w:pStyle w:val="TtuloBOE"/>
      </w:pPr>
    </w:p>
    <w:p w:rsidR="008107C7" w:rsidRDefault="008107C7" w:rsidP="008107C7">
      <w:pPr>
        <w:pStyle w:val="SntesisDescriptiva"/>
      </w:pPr>
      <w:r>
        <w:t>ECLI:ES:TC:1997:46</w:t>
      </w:r>
    </w:p>
    <w:p w:rsidR="008107C7" w:rsidRDefault="008107C7" w:rsidP="008107C7">
      <w:pPr>
        <w:pStyle w:val="SntesisDescriptiva"/>
      </w:pPr>
    </w:p>
    <w:p w:rsidR="008107C7" w:rsidRDefault="008107C7" w:rsidP="008107C7">
      <w:pPr>
        <w:pStyle w:val="SntesisDescriptiva"/>
      </w:pPr>
      <w:r>
        <w:t>Recurso de amparo 2.255/1994. Contra Resolución de la Junta Electoral Central parcialmente estimatoria de recurso formulado contra Acuerdo de la Junta Electoral de Andalucía rechazando solicitud de cese de campañas publicitarias llevadas a cabo por el Consejo de Gobierno de la Junta de Andalucía en período electoral.</w:t>
      </w:r>
    </w:p>
    <w:p w:rsidR="008107C7" w:rsidRDefault="008107C7" w:rsidP="008107C7">
      <w:pPr>
        <w:pStyle w:val="SntesisDescriptiva"/>
      </w:pPr>
    </w:p>
    <w:p w:rsidR="008107C7" w:rsidRDefault="008107C7" w:rsidP="008107C7">
      <w:pPr>
        <w:pStyle w:val="SntesisAnaltica"/>
      </w:pPr>
      <w:r>
        <w:t>Vulneración del derecho a la tutela judicial efectiva: control jurisdiccional del proceso electoral.</w:t>
      </w:r>
    </w:p>
    <w:p w:rsidR="008107C7" w:rsidRDefault="008107C7" w:rsidP="008107C7">
      <w:pPr>
        <w:pStyle w:val="SntesisAnaltica"/>
      </w:pPr>
    </w:p>
    <w:p w:rsidR="008107C7" w:rsidRDefault="008107C7" w:rsidP="008107C7">
      <w:pPr>
        <w:pStyle w:val="Extracto"/>
      </w:pPr>
      <w:r>
        <w:t>1.</w:t>
      </w:r>
      <w:r>
        <w:tab/>
        <w:t>La cuestión planteada en el presente recurso es sustancialmente idéntica a la que fue resuelta en la STC 103/1996. Dijimos entonces, y ahora hemos de reiterar que, si bien sólo de modo muy excepcional «cabe aplicar ciertas garantías del art. 24.1 C.E. en la tramitación de procedimientos no estrictamente judiciales», el hecho de que, en virtud del art. 21.2 L.O.R.E.G., se excluya todo recurso judicial frente a las resoluciones de la Junta Electoral Central, justificaría la extensión del ámbito de cobertura del mencionado derecho fundamental a supuestos como el presente . [F.J. 1]</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 xml:space="preserve">En el recurso de amparo núm. 2.255/94, promovido por la Junta de Andalucía, representada y defendida por su Letrada doña Carmen Noguerol Rodríguez, contra la Resolución de la Junta Electoral Central, de 2 de junio de 1994, parcialmente estimatoria del recurso formulado por la representación del Partido Popular contra el Acuerdo de la Junta Electoral de Andalucía por el que se rechazó la solicitud de que cesaran las campañas publicitarias llevadas a cabo por el Consejo de Gobierno de la Junta de Andalucía durante el período electoral. Ha intervenido el Ministerio Fiscal y han sido parte la Junta Electoral Central, representada y defendida por su Letrado don Angel Medina Martínez, y el Partido Popular representado por el Procurador Sr. Ferrer Recuero y defendido por el Letrado don José Eusebio </w:t>
      </w:r>
      <w:r>
        <w:lastRenderedPageBreak/>
        <w:t>Seco Gordillo. Ha sido Ponente el Magistrado don Manuel Jiménez de Parga y Cabrera,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registrado en este Tribunal el 25 de junio de 1994, el Letrado de la Junta de Andalucía interpuso recurso de amparo contra Resolución de la Junta Electoral Central, recaída en el expediente 290/106, que estimó parcialmente el recurso formulado por el Partido Popular contra Acuerdo de la Junta Electoral de Andalucía en el que se consideraba que diversas campañas promovidas por la Junta de Andalucía constituían una actividad normal de los poderes públicos que no distorsionaba el proceso electoral.</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La demanda de amparo constitucional contiene los siguientes hechos relevantes para la resolución del caso: </w:t>
      </w:r>
    </w:p>
    <w:p w:rsidR="008107C7" w:rsidRDefault="008107C7" w:rsidP="008107C7">
      <w:pPr>
        <w:pStyle w:val="TextoNormal"/>
      </w:pPr>
      <w:r>
        <w:t xml:space="preserve">A) En sendos escritos de 11 de marzo de 1994, el Partido Popular reclamó ante la Junta Electoral de Andalucía (J.E.A.) contra las campañas "Lo hecho en Andalucía" y "Creando empleo", alegando que se trataba de una actividad propagandística de intencionalidad electoral. Mediante Resolución de 25 de marzo de 1994, la J.E.A. desestimó la reclamación al considerar que las mismas no influían en la intención de voto. </w:t>
      </w:r>
    </w:p>
    <w:p w:rsidR="008107C7" w:rsidRDefault="008107C7" w:rsidP="008107C7">
      <w:pPr>
        <w:pStyle w:val="TextoNormal"/>
      </w:pPr>
      <w:r>
        <w:t xml:space="preserve">B) Con fecha 11 de abril de 1994, el Partido Popular reclamaría asimismo contra la campaña "Sólo en Andalucía", siendo igualmente desestimada por resolución de la J.E.A. fechada el 26 de abril de 1994. </w:t>
      </w:r>
    </w:p>
    <w:p w:rsidR="008107C7" w:rsidRDefault="008107C7" w:rsidP="008107C7">
      <w:pPr>
        <w:pStyle w:val="TextoNormal"/>
      </w:pPr>
      <w:r>
        <w:t xml:space="preserve">C) Ya iniciado el proceso electoral, el Partido Popular volvería a reclamar frente a las tres campañas, admitiéndose a trámite por la J.E.A. sobre la base de que se apreciaban nuevas circunstancias que impedían aplicar a la denuncia el carácter de cosa juzgada (Acuerdo de 23 de mayo de 1994). Y, una vez presentado por el Partido Popular el 27 de mayo escrito de ampliación de su reclamación -del que no se dio traslado a la Junta de Andalucía-, recayó ese mismo día Acuerdo de la J.E.A. desestimatorio de la reclamación. </w:t>
      </w:r>
    </w:p>
    <w:p w:rsidR="008107C7" w:rsidRDefault="008107C7" w:rsidP="008107C7">
      <w:pPr>
        <w:pStyle w:val="TextoNormal"/>
      </w:pPr>
      <w:r>
        <w:t>D) Contra esta resolución, el Partido Popular presentó recurso ante la Junta Electoral Central (J.E.C.), del cual tampoco se dio traslado a la Junta de Andalucía. El 2 de junio de 1994, la J.E.C. dictó Resolución por la que estimaba parcialmente el recurso en lo relativo a "Lo hecho en Andalucía", por considerar que excedía de los límites de las campañas que los poderes públicos pueden realizar durante el período electoral.</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En su escrito de demanda de amparo, la actora comienza por justificar la inexistencia de la causa de inadmisión prevista en el art. 43.1 LOTC, consistente en la falta de agotamiento de la vía judicial previa. Aduce a este respecto que ello obedece al tenor literal del art. 21.1 de la L.O.R.E.G., que proscribe cualquier tipo de recurso administrativo o judicial frente a las resoluciones de las Juntas Electorales superiores dictadas al resolver recursos interpuestos contra actos de otras de ámbito inferior. Esta exclusión -continúa la demanda- no puede dejar de producir perplejidad y serias dudas acerca de su constitucionalidad, mas lo cierto es que existe un precepto vigente, válidamente promulgado con rango de Ley orgánica, irresistible frente a todos, salvo frente al Tribunal Constitucional, que veda acudir a la vía judicial. Por otra parte, cuando el Tribunal Constitucional y el Tribunal Supremo han enjuiciado cuestiones relacionadas con el referido art. 21.2 L.O.R.E.G., si bien no han adoptado ningún pronunciamiento expreso y claro en favor de su constitucionalidad, ésta tampoco ha sido cuestionada. </w:t>
      </w:r>
    </w:p>
    <w:p w:rsidR="008107C7" w:rsidRDefault="008107C7" w:rsidP="008107C7">
      <w:pPr>
        <w:pStyle w:val="TextoNormal"/>
      </w:pPr>
      <w:r>
        <w:lastRenderedPageBreak/>
        <w:t xml:space="preserve">Consiguientemente, prosigue argumentando el Letrado de la Junta, la defensa de los intereses de la Administración autonómica exige acudir directamente a la vía de amparo, dado que sólo existen dos posibilidades: la primera es que el art. 21.2, in fine, de la L.O.R.E.G. sea inconstitucional, en cuyo caso lo procedente sería el recurso contencioso-administrativo. Pero si, con base en esa convicción, el mismo se intenta y se declara inadmisible al considerar el Tribunal Supremo que el art. 21.2 L.O.R.E.G. es constitucional (e incluso esa inadmisibilidad la confirma el Tribunal Constitucional en un ulterior amparo), luego no se podrán hacer valer en sede alguna los vicios en los que se funda este recurso, pues la acción para el amparo habrá caducado. La segunda posibilidad es que el repetido precepto de la L.O.R.E.G. sea constitucional. Al no caber ningún recurso administrativo ni judicial, sólo procederá el recurso de amparo, de conformidad con la cláusula general del art. 41.2 LOTC. Sea cual fuere la solución correcta, lo que parece claro es que ningún perjuicio puede depararse a quien actúa conforme a las Leyes vigentes (una hipotética inadmisión del recurso de amparo debería hacerse, pues, con reserva de acciones ante la jurisdicción contencioso-administrativa), así como que no se puede exigir a una parte procesal asumir el riesgo de, por sí misma, ignorar un precepto legal y actuar como si éste no existiera en la búsqueda del recurso procedente. </w:t>
      </w:r>
    </w:p>
    <w:p w:rsidR="008107C7" w:rsidRDefault="008107C7" w:rsidP="008107C7">
      <w:pPr>
        <w:pStyle w:val="TextoNormal"/>
      </w:pPr>
      <w:r>
        <w:t xml:space="preserve">En cuanto al fondo del recurso, señala la demandante que la vulneración de derechos fundamentales se habría producido porque no se le dio traslado ni de la reclamación presentada por el Partido Popular el 27 de mayo de 1994, ni del escrito de interposición del recurso formulado ante la J.E.C., lo cual hubiera sido de todo punto necesario con carácter previo a la condena de la solicitante de amparo, pudiéndose llegar a esta conclusión integrando las normas procedimentales de la L.O.R.E.G. con la propia Ley del Procedimiento Administrativo Común (Ley 30/1992), así como haciendo una interpretación de la misma conforme a la Constitución. Se ha desconocido, por tanto, el derecho a la defensa de la recurrente y se la ha condenado sin ser oída. La relevancia constitucional de esta omisión viene dada por el hecho de que frente a la resolución que puso fin al procedimiento "no cabe recurso administrativo o judicial alguno" (art. 21.2 L.O.R.E.G.), con lo que tiene fuerza de cosa juzgada. Consiguientemente, no parece irrazonable predicar la aplicación de las garantías establecidas en el art. 24 C.E. a semejante procedimiento. Esta eficacia de la resolución de la J.E.C. atribuye al procedimiento en cuestión un carácter que lo hace muy distinto de un procedimiento administrativo cualquiera, en el que se produce una declaración de voluntad revisable por los Tribunales. </w:t>
      </w:r>
    </w:p>
    <w:p w:rsidR="008107C7" w:rsidRDefault="008107C7" w:rsidP="008107C7">
      <w:pPr>
        <w:pStyle w:val="TextoNormal"/>
      </w:pPr>
      <w:r>
        <w:t>Concluye el escrito de demanda con la súplica de que se dicte Sentencia por la que, otorgando el amparo, anule la Resolución de la J.E.C., de 2 de junio de 1994, y ordene retrotraer las actuaciones al momento inmediatamente anterior a la producción de ese acto, para que se dé audiencia a la actora como recurrida. Y, en su defecto, para el caso de que el Tribunal considere inadmisible el recurso, solicita que haga tal declaración con expresa reserva de acciones ante la jurisdicción contencioso- administrativa.</w:t>
      </w:r>
    </w:p>
    <w:p w:rsidR="008107C7" w:rsidRDefault="008107C7" w:rsidP="008107C7">
      <w:pPr>
        <w:pStyle w:val="TextoNormal"/>
      </w:pPr>
    </w:p>
    <w:p w:rsidR="008107C7" w:rsidRDefault="008107C7" w:rsidP="008107C7">
      <w:pPr>
        <w:pStyle w:val="TextoNormal"/>
      </w:pPr>
      <w:r w:rsidRPr="008107C7">
        <w:rPr>
          <w:rStyle w:val="NumeroAFNegritaCaracter"/>
        </w:rPr>
        <w:t>4</w:t>
      </w:r>
      <w:r>
        <w:t>. La Sección Segunda, por providencia de 18 de julio de 1994, acordó, de conformidad con lo dispuesto en el art. 50.3 LOTC, conceder un plazo común de 10 días al Ministerio Fiscal y a la solicitante de amparo a fin de que alegasen lo que creyeran pertinente acerca de la posible concurrencia de la causa de inadmisión ex art. 44.1 a) LOTC, consistente en la falta de agotamiento de todos los recursos utilizables en la vía judicial.</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5</w:t>
      </w:r>
      <w:r>
        <w:t>. Una vez recibidos los escritos de alegaciones del Ministerio Fiscal y la recurrente, la Sección Segunda acordó, mediante providencia de 30 de septiembre de 1994, admitir a trámite la demanda de amparo, y, a tenor de lo dispuesto en el art. 51 LOTC, requerir a la Junta Electoral Central para que en el plazo de diez días remitiese testimonio del expediente, interesando al tiempo el emplazamiento de cuantos hubieran sido parte en el procedimiento al objeto de que, en el plazo de diez días, pudieran comparecer en el proceso constitucional.</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El 7 de noviembre de 1994, el Procurador don José Luis Ferrer Recuero, en representación del Partido Popular, suplicó se le tuviera por personado y parte en el recurso de amparo. </w:t>
      </w:r>
    </w:p>
    <w:p w:rsidR="008107C7" w:rsidRDefault="008107C7" w:rsidP="008107C7">
      <w:pPr>
        <w:pStyle w:val="TextoNormal"/>
      </w:pPr>
      <w:r>
        <w:t>El 24 de noviembre de 1994, don Fernando Sainz Moreno, Letrado de las Cortes y en representación de la Junta Electoral Central, solicitó que se tuviera por personada a ésta en el recurso de amparo.</w:t>
      </w:r>
    </w:p>
    <w:p w:rsidR="008107C7" w:rsidRDefault="008107C7" w:rsidP="008107C7">
      <w:pPr>
        <w:pStyle w:val="TextoNormal"/>
      </w:pPr>
    </w:p>
    <w:p w:rsidR="008107C7" w:rsidRDefault="008107C7" w:rsidP="008107C7">
      <w:pPr>
        <w:pStyle w:val="TextoNormal"/>
      </w:pPr>
      <w:r w:rsidRPr="008107C7">
        <w:rPr>
          <w:rStyle w:val="NumeroAFNegritaCaracter"/>
        </w:rPr>
        <w:t>7</w:t>
      </w:r>
      <w:r>
        <w:t>. Por escrito registrado el 21 de diciembre de 1994, el representante del Partido Popular sostuvo la inadmisibilidad del recurso, dadas las peculiaridades del procedimiento regulado en el art. 21.2 L.O.R.E.G., que no permite trámite de alegaciones ni fase probatoria, constando únicamente de dos únicos trámites: la interposición y la resolución. No existió, pues, posibilidad alguna de indefensión para el recurrente, por cuanto la alegación de las circunstancias de hecho y jurídicas en que cada parte basaba sus respectivas pretensiones se realizó ya ante la Junta Electoral Andaluza.</w:t>
      </w:r>
    </w:p>
    <w:p w:rsidR="008107C7" w:rsidRDefault="008107C7" w:rsidP="008107C7">
      <w:pPr>
        <w:pStyle w:val="TextoNormal"/>
      </w:pPr>
    </w:p>
    <w:p w:rsidR="008107C7" w:rsidRDefault="008107C7" w:rsidP="008107C7">
      <w:pPr>
        <w:pStyle w:val="TextoNormal"/>
      </w:pPr>
      <w:r w:rsidRPr="008107C7">
        <w:rPr>
          <w:rStyle w:val="NumeroAFNegritaCaracter"/>
        </w:rPr>
        <w:t>8</w:t>
      </w:r>
      <w:r>
        <w:t>. El 23 de diciembre de 1994, se registró el escrito de alegaciones del Ministerio Fiscal en el que interesaba se dictase Sentencia desestimatoria. Con cita de la STC 197/1988, comienza recordando que el derecho a la tutela judicial corresponde otorgarlo a los Jueces y Tribunales, siendo, pues, su vulneración a ellos atribuible, a excepción de aquellos supuestos en que los órganos no judiciales impidiesen o dificultasen al interesado el acceso a los Tribunales. Dado que ni la omisión del trámite de audiencia, ni la indicación de que contra el acto de la Junta Electoral no cabía recurso alguno podían considerarse como impeditivos del citado acceso, resultaba por tanto evidente que no se produjo la lesión denunciada. De otra parte, y basándose nuevamente en la STC 197/1988, aduce el Ministerio Público que la doctrina según la cual el art. 24.1 C.E. prohíbe al legislador que adopte normas excluyentes del acceso a la jurisdicción está construida en relación con las personas privadas; razón por la cual la falta de un recurso jurisdiccional frente a actos de control como los aquí enjuiciados no menoscabó el derecho a la tutela judicial efectiva, al ser lícito que una determinada actuación pública se controle, sin ulterior recurso ante los Tribunales, por órganos a los que se atribuye la única función de velar por el respeto objetivo de la legalidad. Por último, y para el caso de no estimarse los anteriores argumentos, rechaza la alegación de que la falta de audiencia en la tramitación del recurso ante la Junta Electoral Central entrañase la lesión del art. 24.1 C.E., ya que, de una parte, la demandante fue oída por la Junta Electoral de Andalucía, y, de otro lado, porque tal falta de audiencia habría, a lo sumo, ocasionado una indefensión puramente formal.</w:t>
      </w:r>
    </w:p>
    <w:p w:rsidR="008107C7" w:rsidRDefault="008107C7" w:rsidP="008107C7">
      <w:pPr>
        <w:pStyle w:val="TextoNormal"/>
      </w:pPr>
    </w:p>
    <w:p w:rsidR="008107C7" w:rsidRDefault="008107C7" w:rsidP="008107C7">
      <w:pPr>
        <w:pStyle w:val="TextoNormal"/>
      </w:pPr>
      <w:r w:rsidRPr="008107C7">
        <w:rPr>
          <w:rStyle w:val="NumeroAFNegritaCaracter"/>
        </w:rPr>
        <w:t>9</w:t>
      </w:r>
      <w:r>
        <w:t xml:space="preserve">. Mediante escrito registrado el 30 de diciembre de 1994, la recurrente dio por reproducidos los antecedentes y fundamentos de Derecho consignados en la demanda, si bien se insistió en que no se invocaba la vulneración del derecho a la tutela judicial efectiva en su </w:t>
      </w:r>
      <w:r>
        <w:lastRenderedPageBreak/>
        <w:t>vertiente de acceso a los Tribunales, sino la lesión del art. 24.1 C.E. en cuanto que se desconoció su derecho de defensa y se le condenó sin ser oída. A tal propósito, subraya que dicho precepto resulta de aplicación al presente caso, toda vez que es dable hallar una razón de semejanza suficiente entre el proceso judicial y el procedimiento administrativo en el que se dictó la resolución impugnada, pues en ambos se ejercen funciones de control de la legalidad de los actos de los entes públicos, existiendo un claro paralelismo entre la función encomendada a los Tribunales en el art. 106 C.E. y la atribuida a las Juntas Electorales.</w:t>
      </w:r>
    </w:p>
    <w:p w:rsidR="008107C7" w:rsidRDefault="008107C7" w:rsidP="008107C7">
      <w:pPr>
        <w:pStyle w:val="TextoNormal"/>
      </w:pPr>
    </w:p>
    <w:p w:rsidR="008107C7" w:rsidRDefault="008107C7" w:rsidP="008107C7">
      <w:pPr>
        <w:pStyle w:val="TextoNormal"/>
      </w:pPr>
      <w:r w:rsidRPr="008107C7">
        <w:rPr>
          <w:rStyle w:val="NumeroAFNegritaCaracter"/>
        </w:rPr>
        <w:t>10</w:t>
      </w:r>
      <w:r>
        <w:t>. Por escrito registrado el 19 de enero de 1995, la representación de la Junta Electoral Central formuló alegaciones y solicitó la desestimación del recurso. Tras poner de manifiesto que el mismo se había formulado sin haber agotado la vía judicial procedente, argumentó que no era acertado invocar como motivo de amparo, fundado en el art. 24.1 C.E., la omisión del trámite de audiencia en el procedimiento administrativo, habida cuenta de que, según diversas Sentencias del Tribunal Constitucional, dicho precepto no puede ser alegado frente a actuaciones de la Administración. Además, en todo caso, la tramitación del recurso ante la Junta Electoral Central no pudo causar indefensión a la Junta, ya que la aludida tramitación se produjo de acuerdo con lo dispuesto en la Ley de Régimen Jurídico y Procedimiento Administrativo Común 30/1992, cuyo art. 112 prevé la audiencia de los interesados en los recursos administrativos cuando hayan de tenerse en cuenta nuevos hechos o documentos no recogidos en el expediente originario, lo que no sucedió en el presente supuesto. Y, en fin, aun cuando se admitiera la hipótesis de que el trámite de audiencia era exigible, su omisión se produjo en el procedimiento seguido por la Junta Electoral de Andalucía, de modo que ante ella debió haber formulado su queja la Junta de Andalucía.</w:t>
      </w:r>
    </w:p>
    <w:p w:rsidR="008107C7" w:rsidRDefault="008107C7" w:rsidP="008107C7">
      <w:pPr>
        <w:pStyle w:val="TextoNormal"/>
      </w:pPr>
    </w:p>
    <w:p w:rsidR="008107C7" w:rsidRDefault="008107C7" w:rsidP="008107C7">
      <w:pPr>
        <w:pStyle w:val="TextoNormal"/>
      </w:pPr>
      <w:r w:rsidRPr="008107C7">
        <w:rPr>
          <w:rStyle w:val="NumeroAFNegritaCaracter"/>
        </w:rPr>
        <w:t>11</w:t>
      </w:r>
      <w:r>
        <w:t>. Por providencia de 10 de marzo de 1977, se fijó para deliberación y fallo del presente recurso el siguiente día 11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Alega, en lo esencial, la demandante la vulneración del derecho a la tutela judicial efectiva que se habría producido al no habérsele dado traslado del recurso que, formulado por el Partido Popular contra un Acuerdo de la Junta Electoral Andaluza, daría lugar a la Resolución parcialmente estimatoria de la Junta Electoral Central, de 2 de junio de 1994. La Junta de Andalucía, pues, habría sido condenada sin que se le diera audiencia; circunstancia que, unida al dato de que contra dicha resolución no quepa "recurso administrativo o judicial alguno" (art. 21.2 L.O.R.E.G.), pone claramente de manifiesto -a su juicio- que se lesionó el derecho que el art. 24.1 C.E. consagra.</w:t>
      </w:r>
    </w:p>
    <w:p w:rsidR="008107C7" w:rsidRDefault="008107C7" w:rsidP="008107C7">
      <w:pPr>
        <w:pStyle w:val="TextoNormal"/>
      </w:pPr>
      <w:r>
        <w:t xml:space="preserve">La cuestión planteada en el presente recurso es sustancialmente idéntica a la que ya suscitara el registrado bajo el núm. 2.309/94, y que sería resuelta en la STC 103/1996, otorgando el amparo. Dijimos entonces, y ahora hemos de reiterar, que, si bien sólo de modo muy excepcional "cabe aplicar ciertas garantías del art. 24.1 C.E. en la tramitación de procedimientos no estrictamente judiciales" (fundamento jurídico 5º), el hecho de que, en virtud del art. 21.2 L.O.R.E.G., se excluya todo recurso judicial frente a las resoluciones de la Junta Electoral Central, justificaría la extensión del ámbito de cobertura del mencionado derecho fundamental a supuestos como el presente. Y es que, efectivamente, "al vetar el citado precepto de la L.O.R.E.G.  el acceso a los Tribunales de Justicia, y ser esto una excepción a los procedimientos administrativos, también procede aplicar excepcionalmente el art. 24.1 en </w:t>
      </w:r>
      <w:r>
        <w:lastRenderedPageBreak/>
        <w:t>este caso" (fundamento jurídico 4º c]). En suma, la conculcación del derecho estriba "en que se impide de raíz la posibilidad de una tutela que la Constitución quiere que sea siempre dispensada por los Jueces y Tribunales, y que lo sea, además, en relación con todas las condiciones de juridicidad del acto o norma enjuiciados" (fundamento jurídico 7º).</w:t>
      </w:r>
    </w:p>
    <w:p w:rsidR="008107C7" w:rsidRDefault="008107C7" w:rsidP="008107C7">
      <w:pPr>
        <w:pStyle w:val="TextoNormal"/>
      </w:pPr>
      <w:r>
        <w:t>La aplicación de esta doctrina al recurso que nos ocupa lleva derechamente a otorgar el amparo solicitado.</w:t>
      </w:r>
    </w:p>
    <w:p w:rsidR="008107C7" w:rsidRDefault="008107C7" w:rsidP="008107C7">
      <w:pPr>
        <w:pStyle w:val="TextoNormal"/>
      </w:pPr>
    </w:p>
    <w:p w:rsidR="008107C7" w:rsidRDefault="008107C7" w:rsidP="008107C7">
      <w:pPr>
        <w:pStyle w:val="TextoNormal"/>
      </w:pPr>
      <w:r w:rsidRPr="008107C7">
        <w:rPr>
          <w:rStyle w:val="NumeroAFNegritaCaracter"/>
        </w:rPr>
        <w:t>2</w:t>
      </w:r>
      <w:r>
        <w:t>. De acuerdo con lo que dijimos en la STC 186/1989, fundamento jurídico 2º, tampoco, en este caso, es necesario que la Sala haga uso de la facultad prevista en el art. 55.2 LOTC, puesto que la STC 103/1996 ha elevado ya al Pleno de este Tribunal la cuestión de inconstitucionalidad del art. 21.1 L.O.R.E.G.</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Estimar el presente recurso de amparo y, en consecuencia:</w:t>
      </w:r>
    </w:p>
    <w:p w:rsidR="008107C7" w:rsidRDefault="008107C7" w:rsidP="008107C7">
      <w:pPr>
        <w:pStyle w:val="TextoNormal"/>
      </w:pPr>
      <w:r>
        <w:t>1º Reconocer a la recurrente su derecho a no padecer indefensión en el procedimiento especial de control electoral.</w:t>
      </w:r>
    </w:p>
    <w:p w:rsidR="008107C7" w:rsidRDefault="008107C7" w:rsidP="008107C7">
      <w:pPr>
        <w:pStyle w:val="TextoNormal"/>
      </w:pPr>
      <w:r>
        <w:t>2º Anular la Resolución de la Junta Electoral Central, de 2 de junio de 1994, recaída en el expediente 290/106.</w:t>
      </w:r>
    </w:p>
    <w:p w:rsidR="008107C7" w:rsidRDefault="008107C7" w:rsidP="008107C7">
      <w:pPr>
        <w:pStyle w:val="TextoNormal"/>
      </w:pPr>
      <w:r>
        <w:t>3º Retrotraer el expediente al momento en que debió darse traslado a la Junta de Andalucía del recurso interpuesto contra el Acuerdo de la Junta Electoral de Andalucía, de 27 de mayo de 1994.</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once de marzo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50" w:name="SENTENCIA_1997_47"/>
      <w:r>
        <w:lastRenderedPageBreak/>
        <w:t>SENTENCIA 47/1997, de 11 de marzo de 1997</w:t>
      </w:r>
    </w:p>
    <w:bookmarkEnd w:id="50"/>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87, de 11 de abril de 1997)</w:t>
      </w:r>
    </w:p>
    <w:p w:rsidR="008107C7" w:rsidRDefault="008107C7" w:rsidP="008107C7">
      <w:pPr>
        <w:pStyle w:val="TtuloBOE"/>
      </w:pPr>
    </w:p>
    <w:p w:rsidR="008107C7" w:rsidRDefault="008107C7" w:rsidP="008107C7">
      <w:pPr>
        <w:pStyle w:val="SntesisDescriptiva"/>
      </w:pPr>
      <w:r>
        <w:t>ECLI:ES:TC:1997:47</w:t>
      </w:r>
    </w:p>
    <w:p w:rsidR="008107C7" w:rsidRDefault="008107C7" w:rsidP="008107C7">
      <w:pPr>
        <w:pStyle w:val="SntesisDescriptiva"/>
      </w:pPr>
    </w:p>
    <w:p w:rsidR="008107C7" w:rsidRDefault="008107C7" w:rsidP="008107C7">
      <w:pPr>
        <w:pStyle w:val="SntesisDescriptiva"/>
      </w:pPr>
      <w:r>
        <w:t>Recurso de amparo 2.545/1994. Contra Sentencia de la Sala de lo Contencioso-Administrativo del Tribunal Superior de Justicia de Andalucía con sede en Sevilla que desestimó recurso contra liquidación tributaria.</w:t>
      </w:r>
    </w:p>
    <w:p w:rsidR="008107C7" w:rsidRDefault="008107C7" w:rsidP="008107C7">
      <w:pPr>
        <w:pStyle w:val="SntesisDescriptiva"/>
      </w:pPr>
    </w:p>
    <w:p w:rsidR="008107C7" w:rsidRDefault="008107C7" w:rsidP="008107C7">
      <w:pPr>
        <w:pStyle w:val="SntesisAnaltica"/>
      </w:pPr>
      <w:r>
        <w:t>Vulneración del derecho a la tutela judicial efectiva: incongruencia omisiva.</w:t>
      </w:r>
    </w:p>
    <w:p w:rsidR="008107C7" w:rsidRDefault="008107C7" w:rsidP="008107C7">
      <w:pPr>
        <w:pStyle w:val="SntesisAnaltica"/>
      </w:pPr>
    </w:p>
    <w:p w:rsidR="008107C7" w:rsidRDefault="008107C7" w:rsidP="008107C7">
      <w:pPr>
        <w:pStyle w:val="Extracto"/>
      </w:pPr>
      <w:r>
        <w:t>1.</w:t>
      </w:r>
      <w:r>
        <w:tab/>
        <w:t>En la STC 5/1990 ya se dijo que: «para que la queja por incongruencia omisiva sea atendible en el plano constitucional debe comprobarse la concurrencia de dos extremos esenciales: el efectivo planteamiento de la cuestión cuyo conocimiento y decisión se afirma eludido por el Tribunal y la ausencia de respuesta razonada por parte del órgano judicial a ese concreto motivo de recurso». Así las cosas, y descendiendo a las particularidades que este caso plantea, concurre en este supuesto la modalidad de incongruencia que puede calificarse como de «omisiva», ya que, en todo caso, la cuestión que verdaderamente fue planteada, esto es, la impugnación del Acuerdo del Ayuntamiento de San Fernando por la que se practicó una liquidación por el Impuesto sobre Bienes Inmuebles, no fue objeto de análisis en la fundamentación jurídica de la Sentencia combatida, ni, por lo tanto, se obtuvo una respuesta por parte del órgano judicial . [FF.JJ. 2 y 3]</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2.545/94, interpuesto por la Procuradora de los Tribunales doña Gloria Rincón Mayoral en nombre de la "Empresa Nacional Bazán de Construcciones Navales, S.A." contra la Sentencia de la Sala de lo Contencioso- Administrativo del Tribunal Superior de Justicia (en lo sucesivo, T.S.J.) de Andalucía con sede en Sevilla de fecha 22 de abril de 1994, en los autos núm. 5.522/91, sobre impugnación de liquidación tributaria . Han intervenido, el Ministerio Fiscal y el Abogado del Estado. Ha sido Ponente el Magistrado don Enrique Ruiz Vadillo, quien expresa el parecer de la Sala.</w:t>
      </w:r>
    </w:p>
    <w:p w:rsidR="008107C7" w:rsidRDefault="008107C7" w:rsidP="008107C7">
      <w:pPr>
        <w:pStyle w:val="TextoNormal"/>
      </w:pPr>
    </w:p>
    <w:p w:rsidR="008107C7" w:rsidRDefault="008107C7" w:rsidP="008107C7">
      <w:pPr>
        <w:pStyle w:val="TextoNormalNegritaCentrado"/>
        <w:keepNext/>
      </w:pPr>
      <w:r>
        <w:lastRenderedPageBreak/>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Mediante demanda que tuvo su entrada en este Tribunal el día 14 de julio de 1994, doña Gloria Rincón Mayoral, Procuradora de los Tribunales y de la "Empresa Nacional Bazán de Construcciones Militares", S.A., interpuso recurso de amparo frente a la Sentencia de la Sala de lo Contencioso-Administrativo del T.S.J.de Andalucía con sede en Sevilla, de fecha 22 de abril de 1994, en los autos núm. 5.522/91, sobre impugnación de liquidación tributaria. </w:t>
      </w:r>
    </w:p>
    <w:p w:rsidR="008107C7" w:rsidRDefault="008107C7" w:rsidP="008107C7">
      <w:pPr>
        <w:pStyle w:val="TextoNormal"/>
      </w:pPr>
    </w:p>
    <w:p w:rsidR="008107C7" w:rsidRDefault="008107C7" w:rsidP="008107C7">
      <w:pPr>
        <w:pStyle w:val="TextoNormal"/>
      </w:pPr>
      <w:r>
        <w:t xml:space="preserve">En virtud de providencia de fecha 12 de septiembre de 1994, se requirió a la Procuradora de la parte recurrente para que en un término inferior a diez días aportara copia del escrito de formalización del recurso contencioso-administrativo, lo que hizo en plazo. </w:t>
      </w:r>
    </w:p>
    <w:p w:rsidR="008107C7" w:rsidRDefault="008107C7" w:rsidP="008107C7">
      <w:pPr>
        <w:pStyle w:val="TextoNormal"/>
      </w:pPr>
    </w:p>
    <w:p w:rsidR="008107C7" w:rsidRDefault="008107C7" w:rsidP="008107C7">
      <w:pPr>
        <w:pStyle w:val="TextoNormal"/>
      </w:pPr>
      <w:r>
        <w:t xml:space="preserve">Mediante providencia de 30 de enero de 1995, la Sección tuvo por recibido el anterior documento, y de conformidad con el art. 88 de la LOTC, requirió a la Sala de lo Contencioso- Administrativo del T.S.J.de Andalucía, para que en el plazo de diez días remitiera copia del expediente completo. </w:t>
      </w:r>
    </w:p>
    <w:p w:rsidR="008107C7" w:rsidRDefault="008107C7" w:rsidP="008107C7">
      <w:pPr>
        <w:pStyle w:val="TextoNormal"/>
      </w:pPr>
    </w:p>
    <w:p w:rsidR="008107C7" w:rsidRDefault="008107C7" w:rsidP="008107C7">
      <w:pPr>
        <w:pStyle w:val="TextoNormal"/>
      </w:pPr>
      <w:r>
        <w:t>Mediante nueva providencia de 16 de mayo de 1995, se acordó tener por recibido el testimonio de las actuaciones solicitadas, y se interesó del Tribunal referido que en el plazo de diez días remitiera certificación acreditativa de la fecha en que se notificó a la actora el acto administrativo impugnado en el proceso antecedente, conteniendo expresamente la constancia de la fecha de su notificación al recurrente e indicación de los recursos procedentes, lo que se cumplimentó.</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Son hechos relevantes deducidos de la demanda y documentos que la acompañan, los que a continuación sucintamente se exponen: </w:t>
      </w:r>
    </w:p>
    <w:p w:rsidR="008107C7" w:rsidRDefault="008107C7" w:rsidP="008107C7">
      <w:pPr>
        <w:pStyle w:val="TextoNormal"/>
      </w:pPr>
    </w:p>
    <w:p w:rsidR="008107C7" w:rsidRDefault="008107C7" w:rsidP="008107C7">
      <w:pPr>
        <w:pStyle w:val="TextoNormal"/>
      </w:pPr>
      <w:r>
        <w:t xml:space="preserve">a) El Ayuntamiento de San Fernando(Cádiz) giró a la recurrente una liquidación correspondiente al Impuesto sobre Bienes Inmuebles (I.B.I.) del año 1990, por una finca de su propiedad sito en la c/San Juan de la Cruz, y por importe de 2.500.188 ptas. </w:t>
      </w:r>
    </w:p>
    <w:p w:rsidR="008107C7" w:rsidRDefault="008107C7" w:rsidP="008107C7">
      <w:pPr>
        <w:pStyle w:val="TextoNormal"/>
      </w:pPr>
    </w:p>
    <w:p w:rsidR="008107C7" w:rsidRDefault="008107C7" w:rsidP="008107C7">
      <w:pPr>
        <w:pStyle w:val="TextoNormal"/>
      </w:pPr>
      <w:r>
        <w:t xml:space="preserve">b) Esta liquidación era continuación de la que el mismo Ayuntamiento había girado en el ejercicio anterior, y que la recurrente había impugnado ante el Tribunal Económico- Administrativo Regional(en adelante, el T.E.A.R.), como vía previa antes de la interposición del recurso jurisdiccional. </w:t>
      </w:r>
    </w:p>
    <w:p w:rsidR="008107C7" w:rsidRDefault="008107C7" w:rsidP="008107C7">
      <w:pPr>
        <w:pStyle w:val="TextoNormal"/>
      </w:pPr>
    </w:p>
    <w:p w:rsidR="008107C7" w:rsidRDefault="008107C7" w:rsidP="008107C7">
      <w:pPr>
        <w:pStyle w:val="TextoNormal"/>
      </w:pPr>
      <w:r>
        <w:t xml:space="preserve">c) La recurrente impugnó también ante el T.E.A.R. la liquidación correspondiente a 1990, pero este organismo sugirió su incompetencia para conocer de la segunda reclamación, ante lo cual, la recurrente desistió de la misma, lo que le fue aceptado por resolución de 26 de febrero de 1992. </w:t>
      </w:r>
    </w:p>
    <w:p w:rsidR="008107C7" w:rsidRDefault="008107C7" w:rsidP="008107C7">
      <w:pPr>
        <w:pStyle w:val="TextoNormal"/>
      </w:pPr>
    </w:p>
    <w:p w:rsidR="008107C7" w:rsidRDefault="008107C7" w:rsidP="008107C7">
      <w:pPr>
        <w:pStyle w:val="TextoNormal"/>
      </w:pPr>
      <w:r>
        <w:t xml:space="preserve">d) Paralelamente, formuló recurso contencioso administrativo, ante el T.S.J de Andalucía, que lo tuvo por interpuesto por Auto de 20 de noviembre de 1991. Su objeto era la impugnación directa de la liquidación correspondiente al ejercicio de 1990. </w:t>
      </w:r>
    </w:p>
    <w:p w:rsidR="008107C7" w:rsidRDefault="008107C7" w:rsidP="008107C7">
      <w:pPr>
        <w:pStyle w:val="TextoNormal"/>
      </w:pPr>
    </w:p>
    <w:p w:rsidR="008107C7" w:rsidRDefault="008107C7" w:rsidP="008107C7">
      <w:pPr>
        <w:pStyle w:val="TextoNormal"/>
      </w:pPr>
      <w:r>
        <w:lastRenderedPageBreak/>
        <w:t xml:space="preserve">e) Con fecha 22 de abril de 1994, el T.S.J.A. dictó Sentencia desestimando la pretensión, como si el recurso se hubiera interpuesto contra la resolución de 26 de febrero de 1992 del T.E.A.R. de Andalucía, que declaró tener por desistido al actor de la reclamación que interpuso frente a la liquidación practicada. </w:t>
      </w:r>
    </w:p>
    <w:p w:rsidR="008107C7" w:rsidRDefault="008107C7" w:rsidP="008107C7">
      <w:pPr>
        <w:pStyle w:val="TextoNormal"/>
      </w:pPr>
    </w:p>
    <w:p w:rsidR="008107C7" w:rsidRDefault="008107C7" w:rsidP="008107C7">
      <w:pPr>
        <w:pStyle w:val="TextoNormal"/>
      </w:pPr>
      <w:r>
        <w:t>Desde el escrito de interposición del recurso contencioso-administrativo, hasta el de conclusiones, el recurrente ha dejado claro que el acto impugnado era la liquidación girada por el Ayuntamiento de San Fernando(Cádiz), y no el posterior Acuerdo del T.E.A.R., como, por error, entendió el Tribunal Superior de Justicia.</w:t>
      </w:r>
    </w:p>
    <w:p w:rsidR="008107C7" w:rsidRDefault="008107C7" w:rsidP="008107C7">
      <w:pPr>
        <w:pStyle w:val="TextoNormal"/>
      </w:pPr>
    </w:p>
    <w:p w:rsidR="008107C7" w:rsidRDefault="008107C7" w:rsidP="008107C7">
      <w:pPr>
        <w:pStyle w:val="TextoNormal"/>
      </w:pPr>
      <w:r w:rsidRPr="008107C7">
        <w:rPr>
          <w:rStyle w:val="NumeroAFNegritaCaracter"/>
        </w:rPr>
        <w:t>3</w:t>
      </w:r>
      <w:r>
        <w:t>. En la demanda de amparo se imputa directamente a la Sentencia objeto de recurso, la vulneración del derecho a la tutela judicial efectiva(art. 24.1 C.E.) en su manifestación de incongruencia. Ésta se aprecia en la incongruencia omisiva, es decir, en la denegación de la correspondiente tutela judicial al no dar respuesta a la cuestión planteada, pues en ningún momento estuvo en su ánimo recurrir la resolución del Tribunal Económico Administrativo Regional por la que se acordó el desistimiento de la reclamación. El verdadero objeto del recurso, que no recibió respuesta alguna en la Sentencia,la impugnación de una liquidación tributaria antes indicada.</w:t>
      </w:r>
    </w:p>
    <w:p w:rsidR="008107C7" w:rsidRDefault="008107C7" w:rsidP="008107C7">
      <w:pPr>
        <w:pStyle w:val="TextoNormal"/>
      </w:pPr>
    </w:p>
    <w:p w:rsidR="008107C7" w:rsidRDefault="008107C7" w:rsidP="008107C7">
      <w:pPr>
        <w:pStyle w:val="TextoNormal"/>
      </w:pPr>
      <w:r w:rsidRPr="008107C7">
        <w:rPr>
          <w:rStyle w:val="NumeroAFNegritaCaracter"/>
        </w:rPr>
        <w:t>4</w:t>
      </w:r>
      <w:r>
        <w:t>. Mediante providencia de fecha 22 de septiembre de 1995, la Sección Segunda de este Tribunal acordó admitir a trámite la demanda de amparo, prescindir de la petición de las actuaciones, habida cuenta que las mismas ya fueron reclamadas, y, en virtud de lo dispuesto en el art. 51 LOTC, emplazar al Abogado del Estado, con entrega de copia simple del escrito de demanda y documentos presentados, para que en el plazo de diez días, compareciera en el presente proceso constitucional, lo que efectivamente hizo mediante escrito de 25 de septiembre de 1995.</w:t>
      </w:r>
    </w:p>
    <w:p w:rsidR="008107C7" w:rsidRDefault="008107C7" w:rsidP="008107C7">
      <w:pPr>
        <w:pStyle w:val="TextoNormal"/>
      </w:pPr>
    </w:p>
    <w:p w:rsidR="008107C7" w:rsidRDefault="008107C7" w:rsidP="008107C7">
      <w:pPr>
        <w:pStyle w:val="TextoNormal"/>
      </w:pPr>
      <w:r w:rsidRPr="008107C7">
        <w:rPr>
          <w:rStyle w:val="NumeroAFNegritaCaracter"/>
        </w:rPr>
        <w:t>5</w:t>
      </w:r>
      <w:r>
        <w:t>. Por providencia de 23 de octubre de 1995, se acusó recibo de ello, se le tuvo por parte, y de conformidad con lo preceptuado en el art. 52.1 de la LOTC, se otorgó un plazo común de veinte días al solicitante de amparo, al Abogado del Estado y al Ministerio Fiscal para que presentaran las oportunas alegaciones.</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El Abogado del Estado, mediante escrito presentado el 8 de noviembre de 1995, solicitó el otorgamiento del amparo, por entender que, efectivamente, se había lesionado el derecho de la recurrente a la tutela judicial efectiva, en su manifestación de incongruencia extra petita, es decir, por dar una respuesta el órgano judicial a una pretensión no deducida. </w:t>
      </w:r>
    </w:p>
    <w:p w:rsidR="008107C7" w:rsidRDefault="008107C7" w:rsidP="008107C7">
      <w:pPr>
        <w:pStyle w:val="TextoNormal"/>
      </w:pPr>
    </w:p>
    <w:p w:rsidR="008107C7" w:rsidRDefault="008107C7" w:rsidP="008107C7">
      <w:pPr>
        <w:pStyle w:val="TextoNormal"/>
      </w:pPr>
      <w:r>
        <w:t xml:space="preserve">El recurso contencioso-administrativo fue interpuesto, como ya se indicó, contra la liquidación del Impuesto sobre Bienes Inmuebles, ejercicio de 1990, acto administrativo cuya anulación se demandó, y la Sentencia desestima el recurso sobre la base de que el acto impugnado era la resolución del T.E.A.R. de Andalucía de 26 de febrero de 1992, que acordó tener por desistida a la"Empresa Nacional Bazán, S.A.," de una reclamación económico- administrativa. </w:t>
      </w:r>
    </w:p>
    <w:p w:rsidR="008107C7" w:rsidRDefault="008107C7" w:rsidP="008107C7">
      <w:pPr>
        <w:pStyle w:val="TextoNormal"/>
      </w:pPr>
    </w:p>
    <w:p w:rsidR="008107C7" w:rsidRDefault="008107C7" w:rsidP="008107C7">
      <w:pPr>
        <w:pStyle w:val="TextoNormal"/>
      </w:pPr>
      <w:r>
        <w:t xml:space="preserve">En opinión del Abogado del Estado, la Sala alteró arbitrariamente el objeto del recurso y examinó la conformidad a derecho de un acto que no había sido impugnado, extremo que </w:t>
      </w:r>
      <w:r>
        <w:lastRenderedPageBreak/>
        <w:t xml:space="preserve">abiertamente queda puesto de manifiesto, si se advierte que el recurso contencioso-administrativo fue interpuesto el 19 de noviembre de 1991, y el acto que la Sentencia entiende impugnado se dictó el 26 de febrero de 1992, siendo también significativo que el encabezamiento de la Sentencia expresa que el recurso se dirige contra "Resolución de la Dirección General del Centro de Gestión Catastral y Cooperación Tributaria" y que los fundamentos de derecho y el fallo se refieren a una resolución del T.E.A.R. de Andalucía de 26 de febrero de 1992. </w:t>
      </w:r>
    </w:p>
    <w:p w:rsidR="008107C7" w:rsidRDefault="008107C7" w:rsidP="008107C7">
      <w:pPr>
        <w:pStyle w:val="TextoNormal"/>
      </w:pPr>
    </w:p>
    <w:p w:rsidR="008107C7" w:rsidRDefault="008107C7" w:rsidP="008107C7">
      <w:pPr>
        <w:pStyle w:val="TextoNormal"/>
      </w:pPr>
      <w:r>
        <w:t>Finalmente, el Abogado del Estado quiere dejar constancia de que el hecho de que haya existido la violación denunciada en la Sentencia, en modo alguno significa que la defensa del Estado acepte que el recurso contencioso- administrativo antecedente sea o no admisible, extendiéndose la falta de aceptación a la providencia de la Sala del Tribunal Superior de Justicia de 14 de septiembre de 1992, que no le fue notificada.</w:t>
      </w:r>
    </w:p>
    <w:p w:rsidR="008107C7" w:rsidRDefault="008107C7" w:rsidP="008107C7">
      <w:pPr>
        <w:pStyle w:val="TextoNormal"/>
      </w:pPr>
    </w:p>
    <w:p w:rsidR="008107C7" w:rsidRDefault="008107C7" w:rsidP="008107C7">
      <w:pPr>
        <w:pStyle w:val="TextoNormal"/>
      </w:pPr>
      <w:r w:rsidRPr="008107C7">
        <w:rPr>
          <w:rStyle w:val="NumeroAFNegritaCaracter"/>
        </w:rPr>
        <w:t>7</w:t>
      </w:r>
      <w:r>
        <w:t>. La recurrente, mediante escrito presentado el 14 de noviembre de 1995, dio por reproducidos los motivos, fundamentos de Derecho y suplico consignados en la demanda de amparo.</w:t>
      </w:r>
    </w:p>
    <w:p w:rsidR="008107C7" w:rsidRDefault="008107C7" w:rsidP="008107C7">
      <w:pPr>
        <w:pStyle w:val="TextoNormal"/>
      </w:pPr>
    </w:p>
    <w:p w:rsidR="008107C7" w:rsidRDefault="008107C7" w:rsidP="008107C7">
      <w:pPr>
        <w:pStyle w:val="TextoNormal"/>
      </w:pPr>
      <w:r w:rsidRPr="008107C7">
        <w:rPr>
          <w:rStyle w:val="NumeroAFNegritaCaracter"/>
        </w:rPr>
        <w:t>8</w:t>
      </w:r>
      <w:r>
        <w:t xml:space="preserve">. El Ministerio Fiscal, tras recordar los hechos y las alegaciones manifestadas por la recurrente, aportó su informe el 16 de noviembre, interesando el otorgamiento del amparo solicitado. </w:t>
      </w:r>
    </w:p>
    <w:p w:rsidR="008107C7" w:rsidRDefault="008107C7" w:rsidP="008107C7">
      <w:pPr>
        <w:pStyle w:val="TextoNormal"/>
      </w:pPr>
    </w:p>
    <w:p w:rsidR="008107C7" w:rsidRDefault="008107C7" w:rsidP="008107C7">
      <w:pPr>
        <w:pStyle w:val="TextoNormal"/>
      </w:pPr>
      <w:r>
        <w:t>En definitiva, el Ministerio Fiscal sostiene que la Sentencia recurrida, al afirmar que lo impugnado era el acto del T.E.A.R., cuando en realidad la pretensión de la demandante de amparo se dirigía a la anulación del acto del Ayuntamiento consistente en el recibo del I.B.I, ha dejado sin respuesta a esta pretensión, incurriendo en incongruencia omisiva y, por el contrario, ha establecido una resolución con un pronunciamiento en absoluto pretendido por alguna de las partes, lo que constituye una incongruencia extra petita; además, lo ha hecho sin ningún tipo de audiencia de las mismas, por lo que se cumplen todos los requisitos para entender que la misma ha vulnerado el derecho a la tutela judicial efectiva de la demandante.</w:t>
      </w:r>
    </w:p>
    <w:p w:rsidR="008107C7" w:rsidRDefault="008107C7" w:rsidP="008107C7">
      <w:pPr>
        <w:pStyle w:val="TextoNormal"/>
      </w:pPr>
    </w:p>
    <w:p w:rsidR="008107C7" w:rsidRDefault="008107C7" w:rsidP="008107C7">
      <w:pPr>
        <w:pStyle w:val="TextoNormal"/>
      </w:pPr>
      <w:r w:rsidRPr="008107C7">
        <w:rPr>
          <w:rStyle w:val="NumeroAFNegritaCaracter"/>
        </w:rPr>
        <w:t>9</w:t>
      </w:r>
      <w:r>
        <w:t>. Por providencia de 10 de marzo de 1997 se señaló para deliberación y votación de la presente Sentencia el día 11 del mismo mes y año, quedando concluida en el día de la fecha.</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Constituye el objeto de este recurso de amparo, la Sentencia dictada por la Sala de lo Contencioso-Administrativo del Tribunal Superior de Justicia de Andalucía, que desestimó el recurso interpuesto contra la liquidación tributaria que en concepto de Impuesto sobre Bienes Inmuebles correspondiente al ejercicio de 1990, había girado el Ayuntamiento de San Fernando (Cádiz).</w:t>
      </w:r>
    </w:p>
    <w:p w:rsidR="008107C7" w:rsidRDefault="008107C7" w:rsidP="008107C7">
      <w:pPr>
        <w:pStyle w:val="TextoNormal"/>
      </w:pPr>
      <w:r>
        <w:t>Por la recurrente se alega la violación del art. 24.1 C.E., al haber equivocado el órgano judicial el objeto del recurso, dejando sin respuesta alguna la cuestión ante él planteada que no era otra que la impugnación de la liquidación tributaria.</w:t>
      </w:r>
    </w:p>
    <w:p w:rsidR="008107C7" w:rsidRDefault="008107C7" w:rsidP="008107C7">
      <w:pPr>
        <w:pStyle w:val="TextoNormal"/>
      </w:pPr>
      <w:r>
        <w:lastRenderedPageBreak/>
        <w:t>Tanto el Abogado del Estado, como el Ministerio Fiscal se adhirieron a la petición de amparo, si bien el Fiscal estimó que el reproche que debía formularse a la Sentencia impugnada era el de incongruencia omisiva y extra petita, mientras que la defensa del Estado lo circunscribió solamente a esta última categoría.</w:t>
      </w:r>
    </w:p>
    <w:p w:rsidR="008107C7" w:rsidRDefault="008107C7" w:rsidP="008107C7">
      <w:pPr>
        <w:pStyle w:val="TextoNormal"/>
      </w:pPr>
    </w:p>
    <w:p w:rsidR="008107C7" w:rsidRDefault="008107C7" w:rsidP="008107C7">
      <w:pPr>
        <w:pStyle w:val="TextoNormal"/>
      </w:pPr>
      <w:r w:rsidRPr="008107C7">
        <w:rPr>
          <w:rStyle w:val="NumeroAFNegritaCaracter"/>
        </w:rPr>
        <w:t>2</w:t>
      </w:r>
      <w:r>
        <w:t>. Desde la inicial STC 20/1982, este Tribunal ha venido elaborando una copiosa doctrina en relación a la incongruencia como manifestación de la violación del derecho a la tutela judicial efectiva, señalando como elemento definidor de la misma el desajuste entre la cuestión planteada en el proceso y la respuesta que a la misma se da por el órgano jurisdiccional.</w:t>
      </w:r>
    </w:p>
    <w:p w:rsidR="008107C7" w:rsidRDefault="008107C7" w:rsidP="008107C7">
      <w:pPr>
        <w:pStyle w:val="TextoNormal"/>
      </w:pPr>
      <w:r>
        <w:t>Sobre la base de esta afirmación general nuestra jurisprudencia se ha hecho eco de las distintas clases de incongruencia que pueden producirse, distinguiendo, por lo que a este recurso atañe, entre la llamada incongruencia omisiva y la extra petita.</w:t>
      </w:r>
    </w:p>
    <w:p w:rsidR="008107C7" w:rsidRDefault="008107C7" w:rsidP="008107C7">
      <w:pPr>
        <w:pStyle w:val="TextoNormal"/>
      </w:pPr>
      <w:r>
        <w:t>En este sentido, en el fundamento jurídico núm. 3º de la STC 5/1990 ya se dijo que: "para que la queja por incongruencia omisiva sea atendible en el plano constitucional debe comprobarse la concurrencia de dos extremos esenciales: el efectivo planteamiento de la cuestión cuyo conocimiento y decisión se afirma eludido por el Tribunal, y la ausencia de respuesta razonada por parte del órgano judicial a ese concreto motivo de recurso".</w:t>
      </w:r>
    </w:p>
    <w:p w:rsidR="008107C7" w:rsidRDefault="008107C7" w:rsidP="008107C7">
      <w:pPr>
        <w:pStyle w:val="TextoNormal"/>
      </w:pPr>
    </w:p>
    <w:p w:rsidR="008107C7" w:rsidRDefault="008107C7" w:rsidP="008107C7">
      <w:pPr>
        <w:pStyle w:val="TextoNormal"/>
      </w:pPr>
      <w:r w:rsidRPr="008107C7">
        <w:rPr>
          <w:rStyle w:val="NumeroAFNegritaCaracter"/>
        </w:rPr>
        <w:t>3</w:t>
      </w:r>
      <w:r>
        <w:t>. Así las cosas, y descendiendo a las particularidades que este caso plantea, concurre en este supuesto la modalidad de incongruencia que puede calificarse como de "omisiva", ya que, en todo caso, la cuestión que verdaderamente fue planteada, esto es, la impugnación del acuerdo del Ayuntamiento de San Fernando por la que se practicó una liquidación por el Impuesto sobre Bienes Inmuebles, no fue objeto de análisis en la fundamentación jurídica de la Sentencia combatida, ni por lo tanto se obtuvo una respuesta por parte del órgano judicial.</w:t>
      </w:r>
    </w:p>
    <w:p w:rsidR="008107C7" w:rsidRDefault="008107C7" w:rsidP="008107C7">
      <w:pPr>
        <w:pStyle w:val="TextoNormal"/>
      </w:pPr>
    </w:p>
    <w:p w:rsidR="008107C7" w:rsidRDefault="008107C7" w:rsidP="008107C7">
      <w:pPr>
        <w:pStyle w:val="TextoNormal"/>
      </w:pPr>
      <w:r w:rsidRPr="008107C7">
        <w:rPr>
          <w:rStyle w:val="NumeroAFNegritaCaracter"/>
        </w:rPr>
        <w:t>4</w:t>
      </w:r>
      <w:r>
        <w:t>. En atención a lo expuesto, procede dictar una Sentencia estimatoria, en la que, otorgando el amparo, se ordene retrotraer las actuaciones para que la Sala de lo Contencioso- Administrativo del Tribunal Superior de Justicia de Andalucía con sede en Sevilla, dicte una nueva Sentencia, esta vez pronunciándose sobre el ajuste a Derecho del acto verdaderamente impugnado en el proceso al que se refieren estas actuaciones.</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Otorgar el amparo y, en su virtud:</w:t>
      </w:r>
    </w:p>
    <w:p w:rsidR="008107C7" w:rsidRDefault="008107C7" w:rsidP="008107C7">
      <w:pPr>
        <w:pStyle w:val="TextoNormal"/>
      </w:pPr>
      <w:r>
        <w:t>1ºReconocer el derecho a la tutea judicial efectiva de la recurrente.</w:t>
      </w:r>
    </w:p>
    <w:p w:rsidR="008107C7" w:rsidRDefault="008107C7" w:rsidP="008107C7">
      <w:pPr>
        <w:pStyle w:val="TextoNormal"/>
      </w:pPr>
      <w:r>
        <w:t>2º Declarar la nulidad de la Sentencia de la Sala de lo Contencioso-Administrativo del Tribunal Superior de Justicia de Andalucía con sede en Sevilla de 22 de abril de 1994, en los autos núm. 5.522/91 sobre impugnación de liquidación tributaria.</w:t>
      </w:r>
    </w:p>
    <w:p w:rsidR="008107C7" w:rsidRDefault="008107C7" w:rsidP="008107C7">
      <w:pPr>
        <w:pStyle w:val="TextoNormal"/>
      </w:pPr>
      <w:r>
        <w:lastRenderedPageBreak/>
        <w:t>3º Ordenar la retroacción de las actuaciones para que la Sala de lo Contencioso-Administrativo del Tribunal Superior de Justicia de Andalucía dicte, con libertad de criterio, una nueva Sentencia en la que se resuelva sobre la pretensión impugnatoria del acto administrativo objeto de recurso.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once de marzo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51" w:name="SENTENCIA_1997_48"/>
      <w:r>
        <w:lastRenderedPageBreak/>
        <w:t>SENTENCIA 48/1997, de 11 de marzo de 1997</w:t>
      </w:r>
    </w:p>
    <w:bookmarkEnd w:id="51"/>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87, de 11 de abril de 1997)</w:t>
      </w:r>
    </w:p>
    <w:p w:rsidR="008107C7" w:rsidRDefault="008107C7" w:rsidP="008107C7">
      <w:pPr>
        <w:pStyle w:val="TtuloBOE"/>
      </w:pPr>
    </w:p>
    <w:p w:rsidR="008107C7" w:rsidRDefault="008107C7" w:rsidP="008107C7">
      <w:pPr>
        <w:pStyle w:val="SntesisDescriptiva"/>
      </w:pPr>
      <w:r>
        <w:t>ECLI:ES:TC:1997:48</w:t>
      </w:r>
    </w:p>
    <w:p w:rsidR="008107C7" w:rsidRDefault="008107C7" w:rsidP="008107C7">
      <w:pPr>
        <w:pStyle w:val="SntesisDescriptiva"/>
      </w:pPr>
    </w:p>
    <w:p w:rsidR="008107C7" w:rsidRDefault="008107C7" w:rsidP="008107C7">
      <w:pPr>
        <w:pStyle w:val="SntesisDescriptiva"/>
      </w:pPr>
      <w:r>
        <w:t>Recurso de amparo 2.581/1994. Contra Resolución de la Junta Electoral Central estimatoria de recurso formulado contra Acuerdo de la Junta Electoral de Andalucía que desestimó petición de cese de campana publicitaria realizada por el Consejo de Gobierno de la Junta de Andalucía.</w:t>
      </w:r>
    </w:p>
    <w:p w:rsidR="008107C7" w:rsidRDefault="008107C7" w:rsidP="008107C7">
      <w:pPr>
        <w:pStyle w:val="SntesisDescriptiva"/>
      </w:pPr>
    </w:p>
    <w:p w:rsidR="008107C7" w:rsidRDefault="008107C7" w:rsidP="008107C7">
      <w:pPr>
        <w:pStyle w:val="SntesisAnaltica"/>
      </w:pPr>
      <w:r>
        <w:t>Vulneración del derecho a la tutela judicial efectiva: control jurisdiccional del proceso electoral.</w:t>
      </w:r>
    </w:p>
    <w:p w:rsidR="008107C7" w:rsidRDefault="008107C7" w:rsidP="008107C7">
      <w:pPr>
        <w:pStyle w:val="SntesisAnaltica"/>
      </w:pPr>
    </w:p>
    <w:p w:rsidR="008107C7" w:rsidRDefault="008107C7" w:rsidP="008107C7">
      <w:pPr>
        <w:pStyle w:val="Extracto"/>
      </w:pPr>
      <w:r>
        <w:t>1.</w:t>
      </w:r>
      <w:r>
        <w:tab/>
        <w:t>La cuestión planteada en el presente recurso es sustancialmente idéntica a la que fue resuelta en la STC 103/1996. Dijimos entonces que la cuestión planteada en el presente recurso es sustancialmente idéntica a la que fue resuelta en la STC 103/1996. Dijimos entonces, y ahora hemos de reiterar, que, si bien sólo de modo muy excepcional «cabe aplicar ciertas garantías del art. 24.1 C.E. en la tramitación de procedimientos no estrictamente judiciales», el hecho de que, en virtud del art. 21.2 L.O.R.E.G., se excluya todo recurso judicial frente a las resoluciones de la Junta Electoral Central, justificaría la extensión del ámbito de cobertura del mencionado derecho fundamental a supuestos como el presente . [F.J. 1]</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 xml:space="preserve">En el recurso de amparo núm. 2.581/94, promovido por la Junta de Andalucía, representada y defendida por su Letrada doña Carmen Noguerol Rodríguez, contra la Resolución de la Junta Electoral Central, de 24 de junio de 1994, estimatoria del recurso formulado por la representación del Partido Popular contra el Acuerdo de la Junta Electoral de Andalucía por el que se desestimó la petición de que cesase la campaña publicitaria realizada por el Consejo de Gobierno de la Junta de Andalucía bajo el lema «Sólo en Andalucía: tanto en tan poco tiempo». Ha intervenido el Ministerio Fiscal y han sido parte la Junta Electoral Central, representada y defendida por su Letrado don Fernando Sainz Moreno y el Partido Popular </w:t>
      </w:r>
      <w:r>
        <w:lastRenderedPageBreak/>
        <w:t>representado por el Procurador Sr. Ferrer Recuero y defendido por el Letrado don José Eusebio Seco Gordillo. Ha sido Ponente el Magistrado don Manuel Jiménez de Parga y Cabrera,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registrado en este Tribunal el 18 de julio de 1994, el Letrado de la Junta de Andalucía interpuso recurso de amparo contra Resolución de la Junta Electoral Central, recaída en el expediente 290/148, que estimó el recurso formulado por el Partido Popular contra Acuerdo de la Junta Electoral de Andalucía en el que se consideró que la campaña «Sólo en Andalucía» no obedecía a razones de oportunidad política con incidencia electoral.</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La demanda de amparo constitucional contiene los siguientes hechos relevantes para la resolución del caso: </w:t>
      </w:r>
    </w:p>
    <w:p w:rsidR="008107C7" w:rsidRDefault="008107C7" w:rsidP="008107C7">
      <w:pPr>
        <w:pStyle w:val="TextoNormal"/>
      </w:pPr>
      <w:r>
        <w:t xml:space="preserve">A) Mediante Acuerdo de 26 de abril de 1994, la Junta Electoral de Andalucía (J.E.A.) desestimó la solicitud formulada el 11 de dicho mes por el Partido Popular de que cesase la campaña publicitaria realizada por el Consejo de Gobierno de la citada Comunidad Autónoma bajo el lema «Sólo en Andalucía», al no apreciar que la misma tuviese incidencia electoral. </w:t>
      </w:r>
    </w:p>
    <w:p w:rsidR="008107C7" w:rsidRDefault="008107C7" w:rsidP="008107C7">
      <w:pPr>
        <w:pStyle w:val="TextoNormal"/>
      </w:pPr>
      <w:r>
        <w:t xml:space="preserve">B) La referida campaña, junto con otras, fue nuevamente denunciada por el Partido Popular el siguiente 23 de mayo. Ese día la J.E.A. acordó el conocimiento del fondo del asunto, dada la concurrencia de nuevas circunstancias que impedían aplicar a la denuncia el carácter de cosa juzgada. Por Acuerdo del 27 de mayo, la Junta desestimó la denuncia, al no desprenderse con claridad que la divulgación de la campaña "suponga una vulneración de los puntos obtenidos (sic) en el art. 8.1 de la Ley Orgánica del Régimen Electoral General; es decir, afectar la transparencia y objetividad del proceso electoral y al principio de igualdad". Esta Resolución fue recurrida ante la Junta Electoral Central, que, mediante Acuerdo de 2 de junio, vino a confirmarla. En la tramitación de este recurso no se dio audiencia a la Junta de Andalucía. </w:t>
      </w:r>
    </w:p>
    <w:p w:rsidR="008107C7" w:rsidRDefault="008107C7" w:rsidP="008107C7">
      <w:pPr>
        <w:pStyle w:val="TextoNormal"/>
      </w:pPr>
      <w:r>
        <w:t xml:space="preserve">C) El 12 de junio el Partido Popular presentó una nueva reclamación por la inserción de determinados materiales de la referida Campaña en medios de prensa el día anterior, que coincidía con la jornada de reflexión. Por Acuerdo de 15 de junio, la J.E.A. resolvió que, "respecto a la campaña 'Sólo en Andalucía', de la que el anuncio denunciado forma parte conocida desde un principio, ya declaró esta Junta Electoral en su Acuerdo de fecha 28 de mayo de 1994, ratificado en este extremo por el de la Junta Electoral Central, de fecha 2 de junio de 1994, que la misma no constituye propaganda ni acto de campaña electoral. En consecuencia, a tenor del artículo 53 de la Ley Orgánica del Régimen Electoral General y concordantes, no cabe apreciar la comisión de la infracción electoral invocada". </w:t>
      </w:r>
    </w:p>
    <w:p w:rsidR="008107C7" w:rsidRDefault="008107C7" w:rsidP="008107C7">
      <w:pPr>
        <w:pStyle w:val="TextoNormal"/>
      </w:pPr>
      <w:r>
        <w:t xml:space="preserve">D) Interpuesto recurso ante la J.E.C., ésta, por Acuerdo de 24 de junio, resolvió: a) "Declarar que el hecho de la difusión por la Junta de Andalucía de anuncios de la campaña 'Sólo en Andalucía: tanto en tan poco tiempo' en distintos medios de comunicación el día de reflexión constituye, objetivamente considerado, vulneración de la normativa electoral por cuanto ni durante la jornada de reflexión ni durante el propio día de la elección pueden los poderes públicos realizar actividad publicitaria alguna que, directa o indirectamente, pueda </w:t>
      </w:r>
      <w:r>
        <w:lastRenderedPageBreak/>
        <w:t xml:space="preserve">influir en la orientación de voto de los electores". b) "Ordenar a la Junta Electoral de Andalucía la apertura de expediente sancionador contra la persona o personas que resulten responsables de los hechos referidos". </w:t>
      </w:r>
    </w:p>
    <w:p w:rsidR="008107C7" w:rsidRDefault="008107C7" w:rsidP="008107C7">
      <w:pPr>
        <w:pStyle w:val="TextoNormal"/>
      </w:pPr>
      <w:r>
        <w:t>En la tramitación de dicho recurso no se dio audiencia a la Junta de Andalucía, que no tuvo conocimiento del mismo hasta la recepción de la Resolución condenatoria de la J.E.C.</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En su escrito de demanda de amparo, la actora comienza por justificar la inexistencia de la causa de inadmisión prevista en el art. 43.1 LOTC, consistente en la falta de agotamiento de la vía judicial previa. Señala sobre el particular que ello obedece al tenor literal del art. 21.2 de la L.O.R.E.G., que proscribe cualquier tipo de recurso administrativo o judicial frente a las resoluciones de las Juntas Electorales superiores dictadas al resolver recursos interpuestos contra actos de otras de ámbito inferior. Esta exclusión no puede dejar de producir perplejidad y serias dudas acerca de su constitucionalidad, mas lo cierto es que existe un precepto vigente, válidamente promulgado con rango de ley orgánica, irresistible frente a todos, salvo frente al Tribunal Constitucional, que veda acudir a la vía judicial. Por otra parte, cuando el Tribunal Constitucional y el Tribunal Supremo han enjuiciado cuestiones relacionadas con el referido art. 21.2 L.O.R.E.G., si bien no han adoptado ningún pronunciamiento expreso y claro en favor de su constitucionalidad, ésta tampoco ha sido cuestionada. </w:t>
      </w:r>
    </w:p>
    <w:p w:rsidR="008107C7" w:rsidRDefault="008107C7" w:rsidP="008107C7">
      <w:pPr>
        <w:pStyle w:val="TextoNormal"/>
      </w:pPr>
      <w:r>
        <w:t xml:space="preserve">Por ello, continúa la representación de la recurrente, la defensa de los intereses de la Administración autonómica exige acudir directamente a la vía de amparo, por cuanto que sólo existen dos posibilidades: la primera es que el art. 21.2, in fine, de la L.O.R.E.G. sea inconstitucional. En este caso lo procedente sería el recurso contencioso-administrativo. Pero si, en base a esa convicción, el mismo se intenta y se declara inadmisible al considerar el Tribunal Supremo que el art. 21.2 L.O.R.E.G. es constitucional (e incluso esa inadmisibilidad la confirma el Tribunal Constitucional en un ulterior amparo), luego no se podrán hacer valer en sede alguna los vicios en los que se funda este recurso, pues la acción para el amparo habrá caducado. La segunda posibilidad es que el repetido precepto de la L.O.R.E.G. sea constitucional. Al no caber ningún recurso administrativo ni judicial, sólo procederá el recurso de amparo, de conformidad con la cláusula general del art. 41.2 LOTC. Sea cual fuere la solución correcta, lo que parece claro es que ningún perjuicio puede depararse a quien actúa conforme a las leyes vigentes (una hipotética inadmisión del recurso de amparo debería hacerse, pues, con reserva de acciones ante la jurisdicción contencioso-administrativa), así como que no se puede exigir a una parte procesal asumir el riesgo de, por sí misma, ignorar un precepto legal y actuar como si éste no existiera en la búsqueda del recurso procedente. </w:t>
      </w:r>
    </w:p>
    <w:p w:rsidR="008107C7" w:rsidRDefault="008107C7" w:rsidP="008107C7">
      <w:pPr>
        <w:pStyle w:val="TextoNormal"/>
      </w:pPr>
      <w:r>
        <w:t xml:space="preserve">En cuanto al fondo del recurso, apunta la demandante que la vulneración se habría producido porque no se le dio traslado del escrito de interposición del recurso deducido por el Partido Popular ante la J.E.C., lo cual hubiera sido de todo punto necesario con carácter previo a la condena de la solicitante de amparo, pudiéndose llegar a esta conclusión integrando las normas procedimentales de la L.O.R.E.G. con la propia Ley del Procedimiento Administrativo Común (Ley 30/1992), así como haciendo una interpretación de la misma conforme a la Constitución. Se ha desconocido, por tanto, el derecho a la defensa de la solicitante de amparo y se la ha condenado sin ser oída. En segundo lugar, no se respetó el derecho de la demandante a actuar como señalaban sendas resoluciones firmes, con fuerza de cosa juzgada, de las Juntas Electorales, que se han visto, por tanto, ilegítimamente alteradas. Por lo demás, la relevancia constitucional de estos vicios viene dada por el hecho de que frente a la resolución que puso fin al procedimiento "no cabe recurso administrativo o </w:t>
      </w:r>
      <w:r>
        <w:lastRenderedPageBreak/>
        <w:t xml:space="preserve">judicial alguno" (art. 21.2 L.O.R.E.G.), con lo que tiene fuerza de cosa juzgada. Y la garantía de la cosa juzgada, que el art. 24 C.E. consagra, ha de trasladarse al procedimiento en que se produjo la resolución recurrida, por la necesaria aplicación de las garantías del art. 24 C.E. a estos procedimientos de las Juntas Electorales, dada la especial naturaleza de los mismos derivada de la prohibición de interponer contra las resoluciones en que concluyen "recurso administrativo o judicial alguno" (art. 21.2 L.O.R.E.G.). Si esto no fuera así, los valores que están en la base del precepto constitucional se verían desconocidos respecto de una parte de la actividad de los poderes públicos, siendo ello inadmisible por su incompatibilidad con el pleno valor normativo de la Constitución. En el presente supuesto nos encontramos con que dos Resoluciones anteriores de la J.E.A. han declarado que la campaña en cuestión no influye en la orientación del voto; y esta declaración se produce entre las mismas partes que luego intervinieron, en la misma posición procesal, en el ulterior procedimiento. El objeto es coincidente y la causa de pedir la misma. Por ello, culmina esta alegación el representante de la actora, debe declararse que la Resolución de la J.E.C. de 24 de junio de 1994 vulnera el art. 24 C.E. al no respetar la firmeza y eficacia de cosa juzgada de las Resoluciones de la J.E.A., suponiendo, incluso, un cambio de criterio respecto de su pronunciamiento anterior, inmotivado, que desconoce el derecho de la actora al respeto de la cosa juzgada. </w:t>
      </w:r>
    </w:p>
    <w:p w:rsidR="008107C7" w:rsidRDefault="008107C7" w:rsidP="008107C7">
      <w:pPr>
        <w:pStyle w:val="TextoNormal"/>
      </w:pPr>
      <w:r>
        <w:t xml:space="preserve">Por lo que se refiere a la existencia de indefensión, se subraya en la demanda que la solicitante de amparo no fue emplazada ni se le dio audiencia en el recurso planteado, del que no tuvo conocimiento hasta que recibió la Resolución condenatoria, ni posibilidad alguna de defenderse, no pudiendo cuestionarse que la Constitución garantiza que, antes de que se produzca un pronunciamiento con fuerza de cosa juzgada sobre una cuestión, las partes afectadas puedan expresar las justificaciones que a su derecho convenga. </w:t>
      </w:r>
    </w:p>
    <w:p w:rsidR="008107C7" w:rsidRDefault="008107C7" w:rsidP="008107C7">
      <w:pPr>
        <w:pStyle w:val="TextoNormal"/>
      </w:pPr>
      <w:r>
        <w:t>Concluye el escrito de demanda con la súplica de que se dicte Sentencia estimatoria del amparo y mediante otrosí, se solicita asimismo la suspensión de la ejecución del acto impugnado en cuanto a la apertura del expediente sancionador. Esta petición sería desestimada por Auto de 13 de febrero de 1995.</w:t>
      </w:r>
    </w:p>
    <w:p w:rsidR="008107C7" w:rsidRDefault="008107C7" w:rsidP="008107C7">
      <w:pPr>
        <w:pStyle w:val="TextoNormal"/>
      </w:pPr>
    </w:p>
    <w:p w:rsidR="008107C7" w:rsidRDefault="008107C7" w:rsidP="008107C7">
      <w:pPr>
        <w:pStyle w:val="TextoNormal"/>
      </w:pPr>
      <w:r w:rsidRPr="008107C7">
        <w:rPr>
          <w:rStyle w:val="NumeroAFNegritaCaracter"/>
        </w:rPr>
        <w:t>4</w:t>
      </w:r>
      <w:r>
        <w:t>. Mediante providencia de 30 de septiembre de 1994, la Sección Segunda acordó admitir a trámite la demanda; requerir, de acuerdo con lo dispuesto en el art. 51 LOTC, a la Junta Electoral Central para que en el plazo de diez días remitiese testimonio del expediente, interesando asimismo el emplazamiento de cuantos hubieran sido parte en el procedimiento al objeto de que, en el plazo de diez días, pudieran comparecer en el proceso constitucional; y, en fin, que se formase la oportuna pieza separada de suspensión, conforme se solicitó por la parte actora.</w:t>
      </w:r>
    </w:p>
    <w:p w:rsidR="008107C7" w:rsidRDefault="008107C7" w:rsidP="008107C7">
      <w:pPr>
        <w:pStyle w:val="TextoNormal"/>
      </w:pPr>
    </w:p>
    <w:p w:rsidR="008107C7" w:rsidRDefault="008107C7" w:rsidP="008107C7">
      <w:pPr>
        <w:pStyle w:val="TextoNormal"/>
      </w:pPr>
      <w:r w:rsidRPr="008107C7">
        <w:rPr>
          <w:rStyle w:val="NumeroAFNegritaCaracter"/>
        </w:rPr>
        <w:t>5</w:t>
      </w:r>
      <w:r>
        <w:t xml:space="preserve">. El 7 de noviembre de 1994, el Procurador don José Luis Ferrer Recuero, en representación del Partido Popular suplicó se le tuviera por personado y parte en el recurso de amparo. </w:t>
      </w:r>
    </w:p>
    <w:p w:rsidR="008107C7" w:rsidRDefault="008107C7" w:rsidP="008107C7">
      <w:pPr>
        <w:pStyle w:val="TextoNormal"/>
      </w:pPr>
      <w:r>
        <w:t>El 24 de noviembre de 1994, don Fernando Sainz Moreno, Letrado de las Cortes Generales y en representación de la Junta Electoral Central solicitó que se tuviera por personada a ésta en el recurso de amparo.</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Mediante escrito registrado en este Tribunal el 21 de diciembre de 1994, el representante del Partido Popular sostuvo la inadmisibilidad del recurso, aduciendo que el art. 21.2 L.O.R.E.G. regula un procedimiento sui generis, que no admite trámite de alegaciones ni </w:t>
      </w:r>
      <w:r>
        <w:lastRenderedPageBreak/>
        <w:t>fase probatoria, constando de los únicos trámites de interposición y resolución. No hubo, en suma, posibilidad de indefensión en el recurrente, por cuanto la alegación de las circunstancias de hecho y jurídicas en que cada parte basaba sus respectivas pretensiones se realizó ya ante la Junta Electoral Andaluza.</w:t>
      </w:r>
    </w:p>
    <w:p w:rsidR="008107C7" w:rsidRDefault="008107C7" w:rsidP="008107C7">
      <w:pPr>
        <w:pStyle w:val="TextoNormal"/>
      </w:pPr>
    </w:p>
    <w:p w:rsidR="008107C7" w:rsidRDefault="008107C7" w:rsidP="008107C7">
      <w:pPr>
        <w:pStyle w:val="TextoNormal"/>
      </w:pPr>
      <w:r w:rsidRPr="008107C7">
        <w:rPr>
          <w:rStyle w:val="NumeroAFNegritaCaracter"/>
        </w:rPr>
        <w:t>7</w:t>
      </w:r>
      <w:r>
        <w:t xml:space="preserve">. El 30 de diciembre de 1994 tuvo entrada en el Registro del Tribunal el escrito de alegaciones del Ministerio Fiscal, en el cual interesaba se dictase Sentencia desestimatoria con base en las siguientes argumentaciones. </w:t>
      </w:r>
    </w:p>
    <w:p w:rsidR="008107C7" w:rsidRDefault="008107C7" w:rsidP="008107C7">
      <w:pPr>
        <w:pStyle w:val="TextoNormal"/>
      </w:pPr>
      <w:r>
        <w:t xml:space="preserve">Aduce, en primer lugar, con cita de la STC 197/1988, que las Juntas Electorales tienen un carácter inequívocamente administrativo, que no jurisdiccional, si bien la citada Sentencia, en su fundamento jurídico 3º, dejaba abierta una posibilidad de acudir a la vía judicial contra los acuerdos de una Junta Electoral; posibilidad de la que puede intuirse una razonable duda acerca de la constitucionalidad del art. 21.2 L.O.R.E.G. Apreciación que, además, encontraría apoyos en la doctrina según la cual no pueden existir reductos de actuación administrativa inmunes al control judicial, por exigencia del art. 106.1 C.E. (STC 18/1994). No obstante -continúa el Ministerio Público-, es dable hallar una interpretación conforme del citado art. 21.2 L.O.R.E.G. que evite la eventualidad de que se eleve al Pleno del Tribunal la autocuestión de inconstitucionalidad prevista en el art. 55.2 LOTC. Y es que, ciertamente, el inciso "contra la resolución de esta última (Junta Electoral) no cabe recurso administrativo o judicial alguno" ha de interpretarse en conexión con el párrafo primero del art. 21 L.O.R.E.G., que hace mención expresa a "un procedimiento específico de revisión judicial"; es decir, que se está refiriendo inequívocamente a los recursos contencioso-electorales previstos específicamente en la propia L.O.R.E.G., esto es, a los recursos contra la proclamación de candidatos o de electos. Caben, sin embargo, supuestos excepcionales en los que una resolución de la Junta Electoral cause efectos que transciendan del proceso electoral, en cuyo caso nada se opone a que pueda acudirse a la vía judicial a través del recurso contencioso-administrativo ordinario. Tal es, precisamente, lo que sucede en el caso de autos, en que se ordena la incoación de un expediente sancionador cuya tramitación necesariamente tendrá lugar fuera del período electoral. </w:t>
      </w:r>
    </w:p>
    <w:p w:rsidR="008107C7" w:rsidRDefault="008107C7" w:rsidP="008107C7">
      <w:pPr>
        <w:pStyle w:val="TextoNormal"/>
      </w:pPr>
      <w:r>
        <w:t xml:space="preserve">De otra parte, niega el Fiscal la pretendida quiebra del art. 24.1 C.E. que se habría producido por no haberse dado a la demandante traslado del recurso, lo que le privó del trámite de audiencia, toda vez que la STC 197/1988 (fundamento jurídico 3º) declaró que la omisión del trámite de audiencia de un poder público no lesiona la tutela judicial. Por lo demás, la resolución impugnada no puede reputarse un acto administrativo sancionador, único supuesto en el que el Tribunal Constitucional exige la audiencia en el expediente administrativo. Y, en cualquier caso, aun cuando la J.E.C. hubiese debido dar traslado del recurso a la Junta de Andalucía para que efectuase alegaciones, tal y como parece deducirse de la aplicación supletoria de la Ley 30/1992, ordenada por el art. 120 L.O.R.E.G., lo cierto es que no se produjo indefensión material, habida cuenta de que la Junta de Andalucía no habría podido alegar nada que no hubiese tenido ya la oportunidad de esgrimir ante la J.E.C. </w:t>
      </w:r>
    </w:p>
    <w:p w:rsidR="008107C7" w:rsidRDefault="008107C7" w:rsidP="008107C7">
      <w:pPr>
        <w:pStyle w:val="TextoNormal"/>
      </w:pPr>
      <w:r>
        <w:t>Finalmente, en lo que concierne a la aducida quiebra del valor de cosa juzgada de las resoluciones anteriores, sostiene el Ministerio Público que las resoluciones de las Juntas Electorales -en cuanto son órganos administrativos- nunca pueden tener valor de cosa juzgada, sino únicamente de cosa decidida, por lo que no quedan protegidos por el art. 24.1 C.E. Y, a mayor abundamiento, el Fiscal discrepa de la afirmación de que el mismo tema resuelto por el acuerdo recurrido hubiese sido ya resuelto con anterioridad en sentido contrario.</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8</w:t>
      </w:r>
      <w:r>
        <w:t>. Mediante escrito registrado el 30 de diciembre de 1994, la recurrente dio por reproducidos los antecedentes y fundamentos de derecho consignados en la demanda, subrayando, no obstante, que no se invocaba la lesión del derecho a la tutela judicial efectiva en su vertiente de acceso a los Tribunales, sino la vulneración del art. 24.1 C.E. en cuanto que se ignoró su derecho de defensa y fue condenada sin ser oída. Remarca al respecto que dicha disposición resulta de aplicación al presente caso, toda vez que, como se afirmó en la STC 22/1990, la extensión de las garantías del art. 24 C.E. al procedimiento administrativo es posible "en la medida en que resulten compatibles por su naturaleza" (fundamento jurídico 4º). Y, ciertamente, cabe detectar una razón de semejanza suficiente entre el proceso judicial y el procedimiento administrativo en el que se dictó la resolución impugnada, pues en ambos se ejercen funciones de control de la legalidad de los actos de los entes públicos, existiendo un claro paralelismo entre la función encomendada a los Tribunales en el art. 106 C.E. y la atribuida a las Juntas Electorales.</w:t>
      </w:r>
    </w:p>
    <w:p w:rsidR="008107C7" w:rsidRDefault="008107C7" w:rsidP="008107C7">
      <w:pPr>
        <w:pStyle w:val="TextoNormal"/>
      </w:pPr>
    </w:p>
    <w:p w:rsidR="008107C7" w:rsidRDefault="008107C7" w:rsidP="008107C7">
      <w:pPr>
        <w:pStyle w:val="TextoNormal"/>
      </w:pPr>
      <w:r w:rsidRPr="008107C7">
        <w:rPr>
          <w:rStyle w:val="NumeroAFNegritaCaracter"/>
        </w:rPr>
        <w:t>9</w:t>
      </w:r>
      <w:r>
        <w:t xml:space="preserve">. La representación de la Junta Electoral Central formuló alegaciones mediante escrito registrado el 17 de enero de 1995, solicitando la desestimación del recurso. Tras poner de manifiesto que el mismo se había formulado sin haber agotado la vía judicial procedente, rechaza la pretendida violación del principio de intangibilidad de la cosa juzgada. Señala a tal propósito que dicho principio no es aplicable a los actos administrativos, y que, en todo caso, el fondo de la cuestión debatida no fue objeto de pronunciamiento por la Junta Electoral de Andalucía en ninguna de las resoluciones invocadas por la recurrente. </w:t>
      </w:r>
    </w:p>
    <w:p w:rsidR="008107C7" w:rsidRDefault="008107C7" w:rsidP="008107C7">
      <w:pPr>
        <w:pStyle w:val="TextoNormal"/>
      </w:pPr>
      <w:r>
        <w:t>Entiende, en segundo término, carente de toda base la alegación de que la Junta de Andalucía sufrió indefensión por no haber sido oída en el recurso interpuesto ante la Junta Electoral Central, toda vez que, según diversas Sentencias del Tribunal Constitucional, el art. 24.1 C.E. no puede ser alegado frente a actuaciones de la Administración. Además, sea como fuere, la tramitación del recurso ante la Junta Electoral Central no pudo causar indefensión a la Junta de Andalucía, ya que la aludida tramitación se produjo de acuerdo con lo dispuesto en la Ley de Régimen Jurídico y Procedimiento Administrativo Común 30/1992, cuyo art. 112 prevé la audiencia de los interesados a los recursos administrativos cuando hayan de tenerse en cuenta nuevos hechos o documentos no recogidos en el expediente originario, lo que no sucedió en el presente supuesto. Y, en fin, aun cuando se admitiera la hipótesis de que el trámite de audiencia era exigible, la Junta de Andalucía no sufrió indefensión porque sobre los hechos declarados ilegales hizo sus alegaciones ante la Junta Electoral de Andalucía; y dichas alegaciones fueron tomadas en consideración por la Junta Electoral Central al resolver el recurso.</w:t>
      </w:r>
    </w:p>
    <w:p w:rsidR="008107C7" w:rsidRDefault="008107C7" w:rsidP="008107C7">
      <w:pPr>
        <w:pStyle w:val="TextoNormal"/>
      </w:pPr>
    </w:p>
    <w:p w:rsidR="008107C7" w:rsidRDefault="008107C7" w:rsidP="008107C7">
      <w:pPr>
        <w:pStyle w:val="TextoNormal"/>
      </w:pPr>
      <w:r w:rsidRPr="008107C7">
        <w:rPr>
          <w:rStyle w:val="NumeroAFNegritaCaracter"/>
        </w:rPr>
        <w:t>10</w:t>
      </w:r>
      <w:r>
        <w:t>. Por providencia de 10 de marzo de 1977 se fijó para deliberación y fallo del presente recurso el siguiente día 11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EB5FD0">
        <w:rPr>
          <w:rStyle w:val="NumeroAFNegritaCaracter"/>
        </w:rPr>
        <w:t>Único.</w:t>
      </w:r>
      <w:r w:rsidRPr="008107C7">
        <w:rPr>
          <w:rStyle w:val="TextoNormalNegritaCaracter"/>
        </w:rPr>
        <w:t xml:space="preserve"> </w:t>
      </w:r>
      <w:r>
        <w:t xml:space="preserve">Aduce la demandante, en primer término, la vulneración del derecho a la tutela judicial efectiva que se habría producido al no habérsele dado traslado del recurso que, formulado por el Partido Popular contra un Acuerdo de la Junta Electoral Andaluza, daría lugar a la Resolución de la Junta Electoral Central, de 24 de junio de 1994. La Junta de Andalucía, pues, habría sido condenada sin que se le diera audiencia; circunstancia que, unida al dato </w:t>
      </w:r>
      <w:r>
        <w:lastRenderedPageBreak/>
        <w:t>de que contra dicha resolución no quepa "recurso administrativo o judicial alguno" (art. 21.2 L.O.R.E.G.), pone claramente de manifiesto -a su juicio- que se lesionó el derecho que el art. 24.1 C.E. consagra. Se sostiene, de otra parte, la quiebra del valor de cosa juzgada, garantizada asimismo en el art.  24.1 C.E., toda vez que la cuestión sobre la que versó el procedimiento del que trae causa esta demanda había sido ya decidida con anterioridad en otras resoluciones.</w:t>
      </w:r>
    </w:p>
    <w:p w:rsidR="008107C7" w:rsidRDefault="008107C7" w:rsidP="008107C7">
      <w:pPr>
        <w:pStyle w:val="TextoNormal"/>
      </w:pPr>
      <w:r>
        <w:t>La primera de las infracciones denunciadas es sustancialmente idéntica a la que ya se alegara en el recurso registrado bajo el núm. 2.309/94, y que sería resuelta en la STC 103/1996, otorgando el amparo. Dijimos entonces, y ahora reiteramos, que, si bien sólo de modo muy excepcional "cabe aplicar ciertas garantías del art.  24.1 C.E. en la tramitación de procedimientos no estrictamente judiciales" (fundamento jurídico 5º), el hecho de que, en virtud del art. 21.2 L.O.R.E.G., se excluya todo recurso judicial frente a las resoluciones de la Junta Electoral Central, justificaría la extensión del ámbito de cobertura del mencionado derecho fundamental a supuestos como el presente. Y es que, efectivamente, "al vetar el citado precepto de la L.O.R.E.G.  el acceso a los Tribunales de Justicia, y ser esto una excepción a los procedimientos administrativos, también procede aplicar excepcionalmente el art. 24.1 en este caso" (fundamento jurídico 4º c]). En suma, la conculcación del derecho estriba "en que se impide de raíz la posibilidad de una tutela que la Constitución quiere que sea siempre dispensada por los Jueces y Tribunales, y que lo sea, además, en relación con todas las condiciones de juridicidad del acto o norma enjuiciados" (fundamento jurídico 7º).</w:t>
      </w:r>
    </w:p>
    <w:p w:rsidR="008107C7" w:rsidRDefault="008107C7" w:rsidP="008107C7">
      <w:pPr>
        <w:pStyle w:val="TextoNormal"/>
      </w:pPr>
      <w:r>
        <w:t>La aplicación de esta doctrina al recurso que nos ocupa ha de conducir a otorgar el amparo solicitado, sin que sea, por lo tanto, preciso abordar la segunda infracción del art. 24.1 C.E.  identificada en la demanda.</w:t>
      </w:r>
    </w:p>
    <w:p w:rsidR="008107C7" w:rsidRDefault="008107C7" w:rsidP="008107C7">
      <w:pPr>
        <w:pStyle w:val="TextoNormal"/>
      </w:pPr>
      <w:r>
        <w:t>Segundo.- De acuerdo con lo que dijimos en la STC 186/1989, fundamento jurídico 2º, tampoco, en este caso, es necesario que la Sala haga uso de la facultad prevista en el art. 55.2 LOTC, puesto que la STC 103/1996 ha elevado ya al Pleno de este Tribunal la cuestión de inconstitucionalidad del art. 21.2 L.O.R.E.G.</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Estimar el presente recurso de amparo y, en consecuencia:</w:t>
      </w:r>
    </w:p>
    <w:p w:rsidR="008107C7" w:rsidRDefault="008107C7" w:rsidP="008107C7">
      <w:pPr>
        <w:pStyle w:val="TextoNormal"/>
      </w:pPr>
      <w:r>
        <w:t>1º Reconocer a la recurrente su derecho a no padecer indefensión en el procedimiento especial de control electoral.</w:t>
      </w:r>
    </w:p>
    <w:p w:rsidR="008107C7" w:rsidRDefault="008107C7" w:rsidP="008107C7">
      <w:pPr>
        <w:pStyle w:val="TextoNormal"/>
      </w:pPr>
      <w:r>
        <w:t>2º Anular la Resolución de la Junta Electoral Central, de 24 de junio de 1994, recaída en el expediente 290/148.</w:t>
      </w:r>
    </w:p>
    <w:p w:rsidR="008107C7" w:rsidRDefault="008107C7" w:rsidP="008107C7">
      <w:pPr>
        <w:pStyle w:val="TextoNormal"/>
      </w:pPr>
      <w:r>
        <w:t>3º Retrotraer el expediente al momento en que debió darse traslado a la Junta de Andalucía del recurso interpuesto contra el Acuerdo de la Junta Electoral de Andalucía, de 15 de junio de 1994.</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once de marzo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52" w:name="SENTENCIA_1997_49"/>
      <w:r>
        <w:lastRenderedPageBreak/>
        <w:t>SENTENCIA 49/1997, de 11 de marzo de 1997</w:t>
      </w:r>
    </w:p>
    <w:bookmarkEnd w:id="52"/>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87, de 11 de abril de 1997)</w:t>
      </w:r>
    </w:p>
    <w:p w:rsidR="008107C7" w:rsidRDefault="008107C7" w:rsidP="008107C7">
      <w:pPr>
        <w:pStyle w:val="TtuloBOE"/>
      </w:pPr>
    </w:p>
    <w:p w:rsidR="008107C7" w:rsidRDefault="008107C7" w:rsidP="008107C7">
      <w:pPr>
        <w:pStyle w:val="SntesisDescriptiva"/>
      </w:pPr>
      <w:r>
        <w:t>ECLI:ES:TC:1997:49</w:t>
      </w:r>
    </w:p>
    <w:p w:rsidR="008107C7" w:rsidRDefault="008107C7" w:rsidP="008107C7">
      <w:pPr>
        <w:pStyle w:val="SntesisDescriptiva"/>
      </w:pPr>
    </w:p>
    <w:p w:rsidR="008107C7" w:rsidRDefault="008107C7" w:rsidP="008107C7">
      <w:pPr>
        <w:pStyle w:val="SntesisDescriptiva"/>
      </w:pPr>
      <w:r>
        <w:t>Recurso de amparo 3.807/1994. Contra Sentencia del Juzgado de Primera Instancia e Instrucción núm 3 de Alcorcón recaída en autos de juicio de desahucio.</w:t>
      </w:r>
    </w:p>
    <w:p w:rsidR="008107C7" w:rsidRDefault="008107C7" w:rsidP="008107C7">
      <w:pPr>
        <w:pStyle w:val="SntesisDescriptiva"/>
      </w:pPr>
    </w:p>
    <w:p w:rsidR="008107C7" w:rsidRDefault="008107C7" w:rsidP="008107C7">
      <w:pPr>
        <w:pStyle w:val="SntesisAnaltica"/>
      </w:pPr>
      <w:r>
        <w:t>Vulneración del derecho a la tutela judicial efectiva: citación edictal lesiva del derecho.</w:t>
      </w:r>
    </w:p>
    <w:p w:rsidR="008107C7" w:rsidRDefault="008107C7" w:rsidP="008107C7">
      <w:pPr>
        <w:pStyle w:val="SntesisAnaltica"/>
      </w:pPr>
    </w:p>
    <w:p w:rsidR="008107C7" w:rsidRDefault="008107C7" w:rsidP="008107C7">
      <w:pPr>
        <w:pStyle w:val="Extracto"/>
      </w:pPr>
      <w:r>
        <w:t>1.</w:t>
      </w:r>
      <w:r>
        <w:tab/>
        <w:t>Es obvio que la citación por edictos ha de operar como una modalidad de carácter supletorio y excepcional, de tal modo que sólo será admisible cuando, una vez intentado el emplazamiento personal utilizando los medios razonablemente exigibles, no conste el domicilio del interesado o se ignore su paradero (por todas, SSTC 83/1983, 114/1986, 97/1992, 108/1994 y 190/1995). De no ser así habrá de entenderse que la falta de citación personal entraña la vulneración del art. 24.1 C.E., a menos que se constate que el solicitante de amparo llegó a adquirir en momento hábil un conocimiento extraprocesal del litigio, pues en vano puede alegar indefensión quien contribuye a la misma con su actitud pasiva, negligente o maliciosa (entre otras, SSTC 203/1990, 78/1993 y 155/1995). [F.J. 2]</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3.807/94, promovido por don José Muñoz Cano, representado por el Procurador don Cesáreo Hidalgo Senén y defendido por el Letrado don Miguel A. Andrés Peñalva contra la Sentencia del Juzgado de Primera Instancia e Instrucción núm. 3 de Alcorcón, de 11 de marzo de 1994, recaída en autos de juicio de desahucio núm. 40/94. Ha sido parte el Ministerio Fiscal y ha comparecido don Jesús Obregón Cobo, representado por el Procurador de los Tribunales don Ramiro Reynolds de Miguel y defendido por el Letrado Sr. García Abadin. Ha sido Ponente el Magistrado don Vicente Gimeno Sendra, quien expresa el parecer de la Sala.</w:t>
      </w:r>
    </w:p>
    <w:p w:rsidR="008107C7" w:rsidRDefault="008107C7" w:rsidP="008107C7">
      <w:pPr>
        <w:pStyle w:val="TextoNormal"/>
      </w:pPr>
    </w:p>
    <w:p w:rsidR="008107C7" w:rsidRDefault="008107C7" w:rsidP="008107C7">
      <w:pPr>
        <w:pStyle w:val="TextoNormalNegritaCentrado"/>
        <w:keepNext/>
      </w:pPr>
      <w:r>
        <w:lastRenderedPageBreak/>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Por escrito registrado en este Tribunal el 26 de noviembre de 1994, don Cesáreo Hidalgo Senén, Procurador de los Tribunales, en nombre y representación de don José Muñoz Cano, interpone recurso de amparo contra la Sentencia del Juzgado de Primera Instancia núm. 3 de Alcorcón, de 11 de marzo de 1994, recaída en autos de juicio de desahucio 40/94, así como contra las posteriores resoluciones dimanantes de la misma.</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El recurso de amparo se fundamenta en los siguientes hechos: </w:t>
      </w:r>
    </w:p>
    <w:p w:rsidR="008107C7" w:rsidRDefault="008107C7" w:rsidP="008107C7">
      <w:pPr>
        <w:pStyle w:val="TextoNormal"/>
      </w:pPr>
      <w:r>
        <w:t xml:space="preserve">a) Don Jesús Obregón Cobo arrendó en 1985 a "Talleres La Luz, S.A.", representada por el solicitante de amparo, una nave industrial de su propiedad, sita en Alcorcón, carretera de Extremadura Km. 13. Al dejarse de pagar diversas mensualidades, promovió don Jesús Obregón el juicio de desahucio por falta de pago núm. 40/94, que dirigió contra "Talleres La Luz, S.A., en la representación de don José Muñoz Cano, mayor de edad, casado, que se encuentra en ignorado paradero, es decir, que no tiene domicilio fijo...". </w:t>
      </w:r>
    </w:p>
    <w:p w:rsidR="008107C7" w:rsidRDefault="008107C7" w:rsidP="008107C7">
      <w:pPr>
        <w:pStyle w:val="TextoNormal"/>
      </w:pPr>
      <w:r>
        <w:t xml:space="preserve">b) El Juzgado de Primera Instancia núm. 3 de Alcorcón, mediante providencia de 22 de febrero de 1994, admitió a trámite la demanda y señaló el día 11 de marzo de 1994 para la celebración del juicio verbal, ordenando citar a la parte demandada en los estrados del Juzgado, "conforme previene el art. 1.576 de la Ley de Enjuiciamiento Civil". </w:t>
      </w:r>
    </w:p>
    <w:p w:rsidR="008107C7" w:rsidRDefault="008107C7" w:rsidP="008107C7">
      <w:pPr>
        <w:pStyle w:val="TextoNormal"/>
      </w:pPr>
      <w:r>
        <w:t xml:space="preserve">c) El día señalado para el juicio sólo compareció la parte actora, que solicitó se dictara Sentencia sin más trámite conforme a lo previsto en el art. 1.578 L.E.C.; y, en efecto, el Juzgado, por Sentencia de 11 de marzo de 1994, declaró haber lugar al desahucio. Esta resolución se notificaría al ahora recurrente mediante edictos publicados en el Boletín Oficial de la Comunidad de Madrid de fecha 4 de mayo de 1994. </w:t>
      </w:r>
    </w:p>
    <w:p w:rsidR="008107C7" w:rsidRDefault="008107C7" w:rsidP="008107C7">
      <w:pPr>
        <w:pStyle w:val="TextoNormal"/>
      </w:pPr>
      <w:r>
        <w:t xml:space="preserve">d) El 21 de julio de 1994 tuvo lugar la diligencia de entrega o toma de posesión del local, sin la intervención de la parte demandada. </w:t>
      </w:r>
    </w:p>
    <w:p w:rsidR="008107C7" w:rsidRDefault="008107C7" w:rsidP="008107C7">
      <w:pPr>
        <w:pStyle w:val="TextoNormal"/>
      </w:pPr>
      <w:r>
        <w:t>e) Con fecha 28 de octubre de 1994, compareció en el reiterado Juzgado don José Muñoz Cano manifestando que en el día de la fecha había tenido conocimiento de la existencia del procedimiento, solicitando mediante escrito presentado el 31 de octubre de 1994 testimonio de todas las actuaciones y diligencias practicadas en el mismo.</w:t>
      </w:r>
    </w:p>
    <w:p w:rsidR="008107C7" w:rsidRDefault="008107C7" w:rsidP="008107C7">
      <w:pPr>
        <w:pStyle w:val="TextoNormal"/>
      </w:pPr>
    </w:p>
    <w:p w:rsidR="008107C7" w:rsidRDefault="008107C7" w:rsidP="008107C7">
      <w:pPr>
        <w:pStyle w:val="TextoNormal"/>
      </w:pPr>
      <w:r w:rsidRPr="008107C7">
        <w:rPr>
          <w:rStyle w:val="NumeroAFNegritaCaracter"/>
        </w:rPr>
        <w:t>3</w:t>
      </w:r>
      <w:r>
        <w:t>. El recurrente alega que el órgano judicial ha vulnerado su derecho a la tutela judicial efectiva, dada la indefensión que le ha producido el hecho de que se hubiera realizado la citación para el juicio en los estrados del Juzgado (art. 1576 L.E.C.), así como que la Sentencia se notificara por edictos; todo ello sin haber intentado antes una citación personal o directa, lo que ha determinado que se haya seguido el proceso inaudita parte, privándose así al recurrente de su derecho de defensa. Aduce que dicha lesión se habría evitado si, en lugar de la citación en estrados, se hubiese procedido al emplazamiento o citación en la sede del local de negocios, tal y como predica el art. 1.573 L.E.C. Al no obrar de este modo, el órgano judicial ignoró la doctrina constitucional según la cual la resolución judicial de tener a la parte como persona en ignorado paradero ha de fundarse en criterios de razonabilidad que lleven a la convicción o certeza de la inutilidad de los medios normales de citación. Por lo expuesto, interesó de este Tribunal la declaración de nulidad de la Sentencia y de todos las resoluciones posteriores dimanantes de la misma. Mediante otrosí, solicitó la suspensión de la ejecución de la Sentencia, que le fue concedida por Auto de 6 de junio de 1995.</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4</w:t>
      </w:r>
      <w:r>
        <w:t>. Mediante providencia de 10 de mayo de 1995, la Sección Segunda acordó admitir a trámite la demanda de amparo y solicitar al Juzgado de Primera Instancia núm. 3 de Alcorcón que en el plazo de diez días remitiera testimonio de los autos de juicio de desahucio 40/94, instándole, al tiempo, a que emplazase a quienes hubieran sido parte en el procedimiento a fin de que pudieran comparecer en el recurso de amparo.</w:t>
      </w:r>
    </w:p>
    <w:p w:rsidR="008107C7" w:rsidRDefault="008107C7" w:rsidP="008107C7">
      <w:pPr>
        <w:pStyle w:val="TextoNormal"/>
      </w:pPr>
    </w:p>
    <w:p w:rsidR="008107C7" w:rsidRDefault="008107C7" w:rsidP="008107C7">
      <w:pPr>
        <w:pStyle w:val="TextoNormal"/>
      </w:pPr>
      <w:r w:rsidRPr="008107C7">
        <w:rPr>
          <w:rStyle w:val="NumeroAFNegritaCaracter"/>
        </w:rPr>
        <w:t>5</w:t>
      </w:r>
      <w:r>
        <w:t>. El 2 de junio de 1995, se registró en este Tribunal un escrito del Procurador don Ramiro Reynolds de Miguel, quien, en nombre y representación de don Jesús Obregón Cobo, instaba la desestimación del amparo solicitado. Argumentaba a tal respecto que en ningún caso se produjo indefensión, toda vez que el Juzgado se había ajustado escrupulosamente a lo dispuesto en los arts. 1.576 y siguientes de la Ley de Enjuiciamiento Civil. Si el demandado fue citado por edictos, ello obedeció a que se hallaba en ignorado paradero; extremo éste del que el actor tuvo conocimiento tras la devolución de un telegrama en el que solicitó al arrendatario que entregara la posesión del local de autos, en cuyo acuse de recibo la Oficina de Correos y Telégrafos manifestó que "se ausentó sin dejar señas".</w:t>
      </w:r>
    </w:p>
    <w:p w:rsidR="008107C7" w:rsidRDefault="008107C7" w:rsidP="008107C7">
      <w:pPr>
        <w:pStyle w:val="TextoNormal"/>
      </w:pPr>
    </w:p>
    <w:p w:rsidR="008107C7" w:rsidRDefault="008107C7" w:rsidP="008107C7">
      <w:pPr>
        <w:pStyle w:val="TextoNormal"/>
      </w:pPr>
      <w:r w:rsidRPr="008107C7">
        <w:rPr>
          <w:rStyle w:val="NumeroAFNegritaCaracter"/>
        </w:rPr>
        <w:t>6</w:t>
      </w:r>
      <w:r>
        <w:t>. Por providencia de 12 de junio de 1995, la Sección Segunda acordó tener por recibidas las actuaciones remitidas por el Juzgado de Primera Instancia núm. 3 de Alcorcón; tener por personado y parte al Procurador don Ramiro Reynolds de Miguel en nombre de don Jesús Obregón Cobo; y dar vista de las actuaciones por plazo común de veinte días a las partes y al Ministerio Fiscal al objeto de que presentasen las alegaciones que estimasen pertinentes.</w:t>
      </w:r>
    </w:p>
    <w:p w:rsidR="008107C7" w:rsidRDefault="008107C7" w:rsidP="008107C7">
      <w:pPr>
        <w:pStyle w:val="TextoNormal"/>
      </w:pPr>
    </w:p>
    <w:p w:rsidR="008107C7" w:rsidRDefault="008107C7" w:rsidP="008107C7">
      <w:pPr>
        <w:pStyle w:val="TextoNormal"/>
      </w:pPr>
      <w:r w:rsidRPr="008107C7">
        <w:rPr>
          <w:rStyle w:val="NumeroAFNegritaCaracter"/>
        </w:rPr>
        <w:t>7</w:t>
      </w:r>
      <w:r>
        <w:t>. El 28 de junio de 1995, se registró el escrito de alegaciones de don Jesús Obregón Cobo, en el que reiteraba que la citación por edictos fue correcta, dado el desconocimiento del domicilio actual del demandado.</w:t>
      </w:r>
    </w:p>
    <w:p w:rsidR="008107C7" w:rsidRDefault="008107C7" w:rsidP="008107C7">
      <w:pPr>
        <w:pStyle w:val="TextoNormal"/>
      </w:pPr>
    </w:p>
    <w:p w:rsidR="008107C7" w:rsidRDefault="008107C7" w:rsidP="008107C7">
      <w:pPr>
        <w:pStyle w:val="TextoNormal"/>
      </w:pPr>
      <w:r w:rsidRPr="008107C7">
        <w:rPr>
          <w:rStyle w:val="NumeroAFNegritaCaracter"/>
        </w:rPr>
        <w:t>8</w:t>
      </w:r>
      <w:r>
        <w:t>. El Ministerio Público presentó su escrito de alegaciones el 3 de julio de 1995. En él, tras sintetizar la abundante jurisprudencia constitucional recaída en la materia, pone el acento en que la citación edictal, aun siendo válida constitucionalmente, tiene un carácter estrictamente subsidiario, de tal modo que sólo debe a ella recurrirse una vez agotadas las modalidades con más garantías. Dado que en el presente caso el órgano judicial procedió a emplazar directamente al recurrente en estrados, sin realizar ninguna de las clases de emplazamiento establecidas en la L.E.C. y, por ende, sin tener constancia de que se hallaba verdaderamente en situación de ignorado paradero, resulta evidente que el actor ha sufrido indefensión y, en consecuencia, ha de otorgarse el amparo.</w:t>
      </w:r>
    </w:p>
    <w:p w:rsidR="008107C7" w:rsidRDefault="008107C7" w:rsidP="008107C7">
      <w:pPr>
        <w:pStyle w:val="TextoNormal"/>
      </w:pPr>
    </w:p>
    <w:p w:rsidR="008107C7" w:rsidRDefault="008107C7" w:rsidP="008107C7">
      <w:pPr>
        <w:pStyle w:val="TextoNormal"/>
      </w:pPr>
      <w:r w:rsidRPr="008107C7">
        <w:rPr>
          <w:rStyle w:val="NumeroAFNegritaCaracter"/>
        </w:rPr>
        <w:t>9</w:t>
      </w:r>
      <w:r>
        <w:t>. El 6 de julio de 1995, se registró en este Tribunal el escrito de alegaciones del solicitante de amparo, en donde reiteraba la argumentación ya contenida en la demanda.</w:t>
      </w:r>
    </w:p>
    <w:p w:rsidR="008107C7" w:rsidRDefault="008107C7" w:rsidP="008107C7">
      <w:pPr>
        <w:pStyle w:val="TextoNormal"/>
      </w:pPr>
    </w:p>
    <w:p w:rsidR="008107C7" w:rsidRDefault="008107C7" w:rsidP="008107C7">
      <w:pPr>
        <w:pStyle w:val="TextoNormal"/>
      </w:pPr>
      <w:r w:rsidRPr="008107C7">
        <w:rPr>
          <w:rStyle w:val="NumeroAFNegritaCaracter"/>
        </w:rPr>
        <w:t>10</w:t>
      </w:r>
      <w:r>
        <w:t>. Por providencia de 10 de marzo se acordó señalar el siguiente día 11 de marzo para deliberación y votación de la presente Sentencia.</w:t>
      </w:r>
    </w:p>
    <w:p w:rsidR="008107C7" w:rsidRDefault="008107C7" w:rsidP="008107C7">
      <w:pPr>
        <w:pStyle w:val="TextoNormal"/>
      </w:pPr>
    </w:p>
    <w:p w:rsidR="008107C7" w:rsidRDefault="008107C7" w:rsidP="008107C7">
      <w:pPr>
        <w:pStyle w:val="TextoNormalNegritaCentrado"/>
        <w:keepNext/>
      </w:pPr>
      <w:r>
        <w:lastRenderedPageBreak/>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El objeto del presente recurso de amparo se dirige a determinar si la Sentencia del Juzgado de Primera Instancia e Instrucción núm. 3 de Alcorcón, recaída en el juicio verbal de desahucio por falta de pago seguido contra el ahora recurrente, ha vulnerado o no su derecho a la tutela judicial efectiva, al haberse dictado sin que haya mediado una citación en forma que le permitiese personarse en el juicio en defensa de sus intereses legítimos.</w:t>
      </w:r>
    </w:p>
    <w:p w:rsidR="008107C7" w:rsidRDefault="008107C7" w:rsidP="008107C7">
      <w:pPr>
        <w:pStyle w:val="TextoNormal"/>
      </w:pPr>
    </w:p>
    <w:p w:rsidR="008107C7" w:rsidRDefault="008107C7" w:rsidP="008107C7">
      <w:pPr>
        <w:pStyle w:val="TextoNormal"/>
      </w:pPr>
      <w:r w:rsidRPr="008107C7">
        <w:rPr>
          <w:rStyle w:val="NumeroAFNegritaCaracter"/>
        </w:rPr>
        <w:t>2</w:t>
      </w:r>
      <w:r>
        <w:t>. Pues bien, como tantas veces ha reiterado este Tribunal, el art. 24.1 C.E.  contiene un mandato de exclusión de toda indefensión, propiciando la posibilidad de un juicio contradictorio en el que las partes puedan hacer valer sus derechos, lo que impone a los órganos judiciales un especial deber de diligencia en la realización de los actos de comunicación procesal, que aseguren, en la medida de lo posible, su recepción por los destinatarios. De ahí que también se haya insistido en que, siempre que sea factible, debe procurarse el emplazamiento o citación personal de los demandados, garantizando de este modo que puedan comparecer en el proceso y defender sus posiciones frente a la parte demandante. En este contexto, es obvio que la citación por edictos ha de operar como una modalidad de carácter supletorio y excepcional, de tal modo que sólo será admisible cuando, una vez intentado el emplazamiento personal utilizando los medios razonablemente exigibles, no conste el domicilio del interesado o se ignore su paradero (por todas, SSTC 83/1983, 114/1986, 97/1992, 108/1994 y 190/1995). De no ser así, habrá de entenderse que la falta de citación personal entraña la vulneración del art.  24.1 C.E., a menos que se constate que el solicitante de amparo llegó a adquirir en momento hábil un conocimiento extraprocesal del litigio, pues en vano puede alegar indefensión quien contribuye a la misma con su actitud pasiva, negligente o maliciosa (entre otras, SSTC 203/1990, 78/1993 y 155/1995).</w:t>
      </w:r>
    </w:p>
    <w:p w:rsidR="008107C7" w:rsidRDefault="008107C7" w:rsidP="008107C7">
      <w:pPr>
        <w:pStyle w:val="TextoNormal"/>
      </w:pPr>
    </w:p>
    <w:p w:rsidR="008107C7" w:rsidRDefault="008107C7" w:rsidP="008107C7">
      <w:pPr>
        <w:pStyle w:val="TextoNormal"/>
      </w:pPr>
      <w:r w:rsidRPr="008107C7">
        <w:rPr>
          <w:rStyle w:val="NumeroAFNegritaCaracter"/>
        </w:rPr>
        <w:t>3</w:t>
      </w:r>
      <w:r>
        <w:t>. Como sostiene el Ministerio Público, la aplicación de la doctrina expuesta al presente caso conduce, con toda evidencia, al otorgamiento del amparo solicitado. En efecto, según se desprende de las actuaciones, el órgano judicial, lejos de proceder a la citación personal del solicitante de amparo en el domicilio del local de negocio cuyo desahucio se pretendía, siguió mecánicamente la indicación de la parte actora de que, al ignorarse su paradero, fuese citado para el juicio en los estrados del Juzgado, de acuerdo con lo dispuesto en el art.  1.576 L.E.C. Este modo de proceder impidió, ciertamente, al recurrente tener conocimiento de la demanda, por lo que, al sólo comparecer la parte actora en el acto del juicio, se dictó sin más trámite Sentencia declarando haber lugar al desahucio (art.  1.578 L.E.C.); resolución ésta que le sería notificada mediante edictos.</w:t>
      </w:r>
    </w:p>
    <w:p w:rsidR="008107C7" w:rsidRDefault="008107C7" w:rsidP="008107C7">
      <w:pPr>
        <w:pStyle w:val="TextoNormal"/>
      </w:pPr>
      <w:r>
        <w:t>En suma, en vista de los datos reseñados, no cabe albergar ninguna duda acerca de que el órgano judicial no apuró su deber de diligencia en la citación del solicitante de amparo. Si a ello se añade que no existe el menor atisbo en las actuaciones que permita afirmar que el mismo tuviera un conocimiento extraprocesal del litigio, no puede sino llegarse a la conclusión de que se produjo la vulneración del art. 24.1 C.E. denunciada en la demanda.</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lastRenderedPageBreak/>
        <w:t>Ha decidido</w:t>
      </w:r>
    </w:p>
    <w:p w:rsidR="008107C7" w:rsidRDefault="008107C7" w:rsidP="008107C7">
      <w:pPr>
        <w:pStyle w:val="TextoNormalCentrado"/>
        <w:keepNext/>
      </w:pPr>
    </w:p>
    <w:p w:rsidR="008107C7" w:rsidRDefault="008107C7" w:rsidP="008107C7">
      <w:pPr>
        <w:pStyle w:val="TextoNormal"/>
      </w:pPr>
      <w:r>
        <w:t>Otorgar el amparo solicitado y, en su virtud:</w:t>
      </w:r>
    </w:p>
    <w:p w:rsidR="008107C7" w:rsidRDefault="008107C7" w:rsidP="008107C7">
      <w:pPr>
        <w:pStyle w:val="TextoNormal"/>
      </w:pPr>
      <w:r>
        <w:t>1º) Restablecer al demandante en su derecho a la tutela judicial efectiva sin indefensión.</w:t>
      </w:r>
    </w:p>
    <w:p w:rsidR="008107C7" w:rsidRDefault="008107C7" w:rsidP="008107C7">
      <w:pPr>
        <w:pStyle w:val="TextoNormal"/>
      </w:pPr>
      <w:r>
        <w:t>2º) Declarar la nulidad de la Sentencia del Juzgado de Primera Instancia e Instrucción núm. 3 de Alcorcón, de 11 de marzo de 1994, recaída en autos de juicio verbal de desahucio núm. 40/94, así como de las resoluciones posteriormente dictadas en ejecución de la citada Sentencia.</w:t>
      </w:r>
    </w:p>
    <w:p w:rsidR="008107C7" w:rsidRDefault="008107C7" w:rsidP="008107C7">
      <w:pPr>
        <w:pStyle w:val="TextoNormal"/>
      </w:pPr>
      <w:r>
        <w:t>3º) Retrotraer las actuaciones al momento anterior al trámite de contestación a la demanda a fin de que el demandado sea citado personalmente.</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once de marzo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53" w:name="SENTENCIA_1997_50"/>
      <w:r>
        <w:lastRenderedPageBreak/>
        <w:t>SENTENCIA 50/1997, de 11 de marzo de 1997</w:t>
      </w:r>
    </w:p>
    <w:bookmarkEnd w:id="53"/>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87, de 11 de abril de 1997)</w:t>
      </w:r>
    </w:p>
    <w:p w:rsidR="008107C7" w:rsidRDefault="008107C7" w:rsidP="008107C7">
      <w:pPr>
        <w:pStyle w:val="TtuloBOE"/>
      </w:pPr>
    </w:p>
    <w:p w:rsidR="008107C7" w:rsidRDefault="008107C7" w:rsidP="008107C7">
      <w:pPr>
        <w:pStyle w:val="SntesisDescriptiva"/>
      </w:pPr>
      <w:r>
        <w:t>ECLI:ES:TC:1997:50</w:t>
      </w:r>
    </w:p>
    <w:p w:rsidR="008107C7" w:rsidRDefault="008107C7" w:rsidP="008107C7">
      <w:pPr>
        <w:pStyle w:val="SntesisDescriptiva"/>
      </w:pPr>
    </w:p>
    <w:p w:rsidR="008107C7" w:rsidRDefault="008107C7" w:rsidP="008107C7">
      <w:pPr>
        <w:pStyle w:val="SntesisDescriptiva"/>
      </w:pPr>
      <w:r>
        <w:t>Recurso de amparo 1.828/1995. Contra Auto de la Audiencia Provincial de Lugo que resuelve en apelación el dictado por el Juzgado de Primera Instancia e Instrucción de Becerrea (Lugo) que resolvía recurso de reforma interpuesto contra providencia denegatoria de solicitud consistente en que por parte de dicho órgano judicial de instancia se procediese a dictar Auto de responsabilidad civil objetiva con cargo al Seguro de Vehículos a Motor.</w:t>
      </w:r>
    </w:p>
    <w:p w:rsidR="008107C7" w:rsidRDefault="008107C7" w:rsidP="008107C7">
      <w:pPr>
        <w:pStyle w:val="SntesisDescriptiva"/>
      </w:pPr>
    </w:p>
    <w:p w:rsidR="008107C7" w:rsidRDefault="008107C7" w:rsidP="008107C7">
      <w:pPr>
        <w:pStyle w:val="SntesisAnaltica"/>
      </w:pPr>
      <w:r>
        <w:t>Supuesta vulneración de los derechos a la tutela judicial efectiva y a la igualdad: cuestión de legalidad.</w:t>
      </w:r>
    </w:p>
    <w:p w:rsidR="008107C7" w:rsidRDefault="008107C7" w:rsidP="008107C7">
      <w:pPr>
        <w:pStyle w:val="SntesisAnaltica"/>
      </w:pPr>
    </w:p>
    <w:p w:rsidR="008107C7" w:rsidRDefault="008107C7" w:rsidP="008107C7">
      <w:pPr>
        <w:pStyle w:val="Extracto"/>
      </w:pPr>
      <w:r>
        <w:t>1.</w:t>
      </w:r>
      <w:r>
        <w:tab/>
        <w:t>El derecho a la tutela judicial efectiva no abarca el derecho consistente en que la resolución judicial mantenga determinada interpretación de la normativa aplicable, ya que el citado precepto constitucional no garantiza en ningún caso las estimación de las pretensiones deducidas ni ampara, como ha quedado dicho, un concreto entendimiento del sentido y alcance de la legislación aplicable al caso concreto. [F.J. 3]</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1.828/95, promovido por don Agustín Pérez Ruiz y doña Carmen Blasco Chiquillo, representados por el Procurador de los Tribunales, don Francisco Abajo Abril, y asistidos por el Letrado don Luis Pedro Garcés Correa contra el Auto de la Audiencia Provincial de Lugo, de 18 de abril de 1995.Han sido partes, Hércules Hispano, S.A. de Seguros, y Reaseguros, representada por el Procurador don Roberto Granizo Palomeque y defendida por el Letrado don Jesús Castro Rubio Moreno y, Multinacional Aseguradora, S.A., representada por el Procurador don Argimiro Vázquez Guillen y dirigida por el Letrado don José Luis Ziuza Diego. Ha intervenido el Ministerio Fiscal. Ha sido Ponente el Magistrado don Enrique Ruiz Vadillo, quien expresa el parecer de la Sala.</w:t>
      </w:r>
    </w:p>
    <w:p w:rsidR="008107C7" w:rsidRDefault="008107C7" w:rsidP="008107C7">
      <w:pPr>
        <w:pStyle w:val="TextoNormal"/>
      </w:pPr>
    </w:p>
    <w:p w:rsidR="008107C7" w:rsidRDefault="008107C7" w:rsidP="008107C7">
      <w:pPr>
        <w:pStyle w:val="TextoNormalNegritaCentrado"/>
        <w:keepNext/>
      </w:pPr>
      <w:r>
        <w:lastRenderedPageBreak/>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Por escrito de fecha 18 de mayo de 1995, registrado en este Tribunal el 19 del mismo mes y año, don Francisco Abajo Abril, Procurador de los Tribunales en nombre y representación de don Agustín Pérez Ruiz y doña Carmen Blasco Chiquillo interpone recurso de amparo contra el Auto dictado por la Audiencia Provincial de Lugo,el día 18 de abril de 1995, por el que se resuelve el recurso de apelación formulado contra el Auto,de fecha 29 de noviembre de 1994, dictado por el Juzgado de Primera Instancia e Instrucción de Becerreá (Lugo), por él que, a su vez, se resolvía el recurso de reforma interpuesto contra la providencia,de 29 de julio de 1994, en la que se denegaba la solicitud consistente en que por parte de dicho órgano judicial de instancia, se procediese a dictar Auto de responsabilidad civil objetiva, con cargo al Seguro Obligatorio de Vehículos a Motor.</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hechos en los que se fundamenta la demanda son, sucintamente expuestos, los siguientes : </w:t>
      </w:r>
    </w:p>
    <w:p w:rsidR="008107C7" w:rsidRDefault="008107C7" w:rsidP="008107C7">
      <w:pPr>
        <w:pStyle w:val="TextoNormal"/>
      </w:pPr>
      <w:r>
        <w:t xml:space="preserve">A) En fecha 19 de julio de 1991 el hijo de los solicitantes de amparo circulaba con su vehículo marca Opel, modelo Kadett, matrícula M-9150-EZ, asegurado en la Compañía de Seguros Apolo, por la Carretera Nacional VI, con dirección a La Coruña, viajando como acompañante don Eduardo Pérez Blasco, el cual era hermano del conductor de dicho vehículo, e hijo de los recurrentes. </w:t>
      </w:r>
    </w:p>
    <w:p w:rsidR="008107C7" w:rsidRDefault="008107C7" w:rsidP="008107C7">
      <w:pPr>
        <w:pStyle w:val="TextoNormal"/>
      </w:pPr>
      <w:r>
        <w:t xml:space="preserve">B) En el punto kilométrico 463,200 de la indicada Carretera Nacional, se produjo un accidente de tráfico, consistente en la colisión de dicho vehículo con el tractor- camión ZA-00337-R, falleciendo como consecuencia de tal siniestro el ya citado ocupante del vehículo don Eduardo Pérez Blasco. </w:t>
      </w:r>
    </w:p>
    <w:p w:rsidR="008107C7" w:rsidRDefault="008107C7" w:rsidP="008107C7">
      <w:pPr>
        <w:pStyle w:val="TextoNormal"/>
      </w:pPr>
      <w:r>
        <w:t xml:space="preserve">C) Seguido el correspondiente juicio de faltas núm. 162/91, ante el Juzgado de Instrucción de Becerreá (Lugo), se dictó Sentencia absolutoria para ambos conductores implicados, no consignándose en dicha resolución judicial la reserva de acciones civiles solicitada por los perjudicados como consecuencia del fallecimiento del Sr. Pérez Blasco. </w:t>
      </w:r>
    </w:p>
    <w:p w:rsidR="008107C7" w:rsidRDefault="008107C7" w:rsidP="008107C7">
      <w:pPr>
        <w:pStyle w:val="TextoNormal"/>
      </w:pPr>
      <w:r>
        <w:t xml:space="preserve">D) No obstante, seguido juicio verbal civil núm. 153/93, ante el Juzgado de Primera Instancia de Becerreá (Lugo), se dictó Sentencia en la que se desestimó la demanda interpuesta por los ahora recurrentes en amparo. Sin embargo, dichos demandantes solicitaron del órgano judicial de instancia que dictara Auto de responsabilidad civil objetiva conforme a la Ley 122/1962, que fue desarrollada por el Decreto 632/1968, de 21 de marzo. </w:t>
      </w:r>
    </w:p>
    <w:p w:rsidR="008107C7" w:rsidRDefault="008107C7" w:rsidP="008107C7">
      <w:pPr>
        <w:pStyle w:val="TextoNormal"/>
      </w:pPr>
      <w:r>
        <w:t>E) Por providencia de 29 de julio de 1994, por el Juzgado de Primera Instancia e Instrucción de Becerreá (Lugo), se denegó dicha pretensión, interponiéndose por los ahora recurrentes, el correspondiente recurso de reforma, que fue igualmente desestimado por medio de Auto de 29 de noviembre de 1994. Recurrida en apelación dicha resolución, por Auto de 18 de abril de 1995, la Audiencia Provincial de Lugo la confirmó, y contra ella se formula el presente recurso de amparo constitucional.</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Ante el estado que ofrece este procedimiento judicial, se interpone por los recurrentes el presente recurso de amparo, interesando se declare la nulidad del Auto dictado por la Audiencia Provincial de Lugo, por violación del derecho a la igualdad (art. 14 C.E.) y del derecho a la tutela judicial efectiva con indefensión (art. 24.1 C.E.), toda vez que por dicho órgano judicial no se han aplicado, como es general y en todos los casos, según se manifiesta en la demanda de amparo, los derechos indemnizatorios que les corresponden con arreglo a la ley, y que obligan a los órganos judiciales a dictar Auto de responsabilidad civil objetiva, </w:t>
      </w:r>
      <w:r>
        <w:lastRenderedPageBreak/>
        <w:t>que como título ejecutivo sirva, en principio, de resarcimiento de daños, por la siniestralidad de la muerte en accidente de circulación del hijo de los recurrentes en amparo.</w:t>
      </w:r>
    </w:p>
    <w:p w:rsidR="008107C7" w:rsidRDefault="008107C7" w:rsidP="008107C7">
      <w:pPr>
        <w:pStyle w:val="TextoNormal"/>
      </w:pPr>
    </w:p>
    <w:p w:rsidR="008107C7" w:rsidRDefault="008107C7" w:rsidP="008107C7">
      <w:pPr>
        <w:pStyle w:val="TextoNormal"/>
      </w:pPr>
      <w:r w:rsidRPr="008107C7">
        <w:rPr>
          <w:rStyle w:val="NumeroAFNegritaCaracter"/>
        </w:rPr>
        <w:t>4</w:t>
      </w:r>
      <w:r>
        <w:t>. Por providencia de 2 de noviembre de 1995, se acordó tener por recibido el escrito del Procurador don Francisco Abajo Abril, en nombre y representación de don Agustín Pérez Ruiz y doña Carmen Blasco Chiquillo, y a tenor del art. 50.3 LOTC la Sección acordó conceder un plazo de diez días al Ministerio Fiscal y al solicitante de amparo, para que alegaran lo que estimaren pertinente, con relación a la posible carencia de contenido constitucional de la demanda de amparo, que justifique una decisión por parte del Tribunal Constitucional.</w:t>
      </w:r>
    </w:p>
    <w:p w:rsidR="008107C7" w:rsidRDefault="008107C7" w:rsidP="008107C7">
      <w:pPr>
        <w:pStyle w:val="TextoNormal"/>
      </w:pPr>
    </w:p>
    <w:p w:rsidR="008107C7" w:rsidRDefault="008107C7" w:rsidP="008107C7">
      <w:pPr>
        <w:pStyle w:val="TextoNormal"/>
      </w:pPr>
      <w:r w:rsidRPr="008107C7">
        <w:rPr>
          <w:rStyle w:val="NumeroAFNegritaCaracter"/>
        </w:rPr>
        <w:t>5</w:t>
      </w:r>
      <w:r>
        <w:t>. Por escrito registrado el día 22 de noviembre de 1995, la representación de los solicitantes se ratificó en las consideraciones efectuadas en su escrito de demanda.</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Por escrito registrado el día 23 de noviembre de 1995, el Ministerio Fiscal manifestó la falta de contenido constitucional de la demanda de amparo, en base a las siguientes consideraciones : </w:t>
      </w:r>
    </w:p>
    <w:p w:rsidR="008107C7" w:rsidRDefault="008107C7" w:rsidP="008107C7">
      <w:pPr>
        <w:pStyle w:val="TextoNormal"/>
      </w:pPr>
      <w:r>
        <w:t xml:space="preserve">A) La denuncia efectuada con relación al art.24.1 C.E. carece de fundamentación constitucional, ya que no existe la indefensión aducida, al haber podido los actores tanto en la instancia, como en la apelación, efectuar aquellas alegaciones que pudieran haber estimado pertinentes, sin que haya existido limitación alguna en los medios procesales de defensa. La resolución judicial da una respuesta razonada y motivada a la pretensión de los solicitantes, sin que pueda predicarse de ella arbitrariedad alguna. El problema que plantea este recurso no excede de los límites de la legalidad ordinaria, porque se trata de la interpretación, y del contenido, y posterior aplicación, de un precepto legal, realizado por los órganos judiciales de la que los recurrentes disienten, pero como es doctrina reiterada del Tribunal Constitucional, la falta de conformidad de una parte del proceso respecto a la interpretación de una norma, si esta se encuentra razonada y motivada, no tiene dimensión constitucional, y no puede ser examinada ni revisada por dicho Tribunal, al no ser el recurso de amparo una tercera instancia judicial. </w:t>
      </w:r>
    </w:p>
    <w:p w:rsidR="008107C7" w:rsidRDefault="008107C7" w:rsidP="008107C7">
      <w:pPr>
        <w:pStyle w:val="TextoNormal"/>
      </w:pPr>
      <w:r>
        <w:t>B) La denuncia efectuada por los recurrentes con relación al art. 14 C.E., carece igualmente de fundamentación constitucional, ya que no existe la discriminación alegada en cuanto se ha aplicado la normativa vigente, de acuerdo con la interpretación efectuada por el propio órgano judicial a este supuesto fáctico sin que el recurrente haya acreditado que en un supuesto idéntico, el mismo órgano judicial hubiera dado una respuesta distinta a la recibida en esta resolución, y coincidente con la interpretación mantenida por los solicitantes. No ha habido, por tanto, tratamiento discriminatorio ni vulneración del derecho fundamental a la igualdad, porque la normativa que se ha aplicado al supuesto fáctico, es consecuencia lógica de la interpretación dada por el órgano judicial al precepto alegado por el demandante en amparo.</w:t>
      </w:r>
    </w:p>
    <w:p w:rsidR="008107C7" w:rsidRDefault="008107C7" w:rsidP="008107C7">
      <w:pPr>
        <w:pStyle w:val="TextoNormal"/>
      </w:pPr>
    </w:p>
    <w:p w:rsidR="008107C7" w:rsidRDefault="008107C7" w:rsidP="008107C7">
      <w:pPr>
        <w:pStyle w:val="TextoNormal"/>
      </w:pPr>
      <w:r w:rsidRPr="008107C7">
        <w:rPr>
          <w:rStyle w:val="NumeroAFNegritaCaracter"/>
        </w:rPr>
        <w:t>7</w:t>
      </w:r>
      <w:r>
        <w:t>. Por providencia de 8 de enero de 1996, la Sección Segunda acordó admitir a trámite la demanda, y a tenor de lo dispuesto en el art.51 LOTC, requerir al Juzgado de Primera Instancia e Instrucción de Becerreá (Lugo), y a la Audiencia Provincial de Lugo, para que en el término de diez días remitieran testimonio de todas las actuaciones, y asimismo, procediera aquél al emplazamiento ante este Tribunal, de cuantos hubieran sido parte en el procedimiento judicial antecedente.</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8</w:t>
      </w:r>
      <w:r>
        <w:t>. Por providencia de 4 de marzo de 1996, se tuvo por personado al Procurador de los Tribunales don Roberto Granizo Palomeque, en la representación de Hércules Hispano,S.A., y se acordó dar vista de los testimonios recibidos, por plazo común de veinte días, al Ministerio Fiscal y a las partes personadas en el procedimiento constitucional, para que dentro del expresado término, formularan las alegaciones que a su derecho convinieran.</w:t>
      </w:r>
    </w:p>
    <w:p w:rsidR="008107C7" w:rsidRDefault="008107C7" w:rsidP="008107C7">
      <w:pPr>
        <w:pStyle w:val="TextoNormal"/>
      </w:pPr>
    </w:p>
    <w:p w:rsidR="008107C7" w:rsidRDefault="008107C7" w:rsidP="008107C7">
      <w:pPr>
        <w:pStyle w:val="TextoNormal"/>
      </w:pPr>
      <w:r w:rsidRPr="008107C7">
        <w:rPr>
          <w:rStyle w:val="NumeroAFNegritaCaracter"/>
        </w:rPr>
        <w:t>9</w:t>
      </w:r>
      <w:r>
        <w:t>. Por providencia de 20 de marzo de 1996, se tuvo por personado al Procurador de los Tribunales don Argimiro Vázquez Guillén, en la representación de Multinacional Aseguradora,S.A., y se acordó darle vista de los testimonios recibidos, por plazo de veinte días, para que dentro del expresado término, formulara las alegaciones que a su derecho convinieran.</w:t>
      </w:r>
    </w:p>
    <w:p w:rsidR="008107C7" w:rsidRDefault="008107C7" w:rsidP="008107C7">
      <w:pPr>
        <w:pStyle w:val="TextoNormal"/>
      </w:pPr>
    </w:p>
    <w:p w:rsidR="008107C7" w:rsidRDefault="008107C7" w:rsidP="008107C7">
      <w:pPr>
        <w:pStyle w:val="TextoNormal"/>
      </w:pPr>
      <w:r w:rsidRPr="008107C7">
        <w:rPr>
          <w:rStyle w:val="NumeroAFNegritaCaracter"/>
        </w:rPr>
        <w:t>10</w:t>
      </w:r>
      <w:r>
        <w:t>. El Ministerio Fiscal presentó su escrito ante este Tribunal el día 29 de marzo de 1996, en el que se expresan consideraciones análogas, a las ya manifestadas en su escrito presentado ante este Tribunal, el día 23 de noviembre de 1995, en el sentido de interesar la desestimación del recurso.</w:t>
      </w:r>
    </w:p>
    <w:p w:rsidR="008107C7" w:rsidRDefault="008107C7" w:rsidP="008107C7">
      <w:pPr>
        <w:pStyle w:val="TextoNormal"/>
      </w:pPr>
    </w:p>
    <w:p w:rsidR="008107C7" w:rsidRDefault="008107C7" w:rsidP="008107C7">
      <w:pPr>
        <w:pStyle w:val="TextoNormal"/>
      </w:pPr>
      <w:r w:rsidRPr="008107C7">
        <w:rPr>
          <w:rStyle w:val="NumeroAFNegritaCaracter"/>
        </w:rPr>
        <w:t>11</w:t>
      </w:r>
      <w:r>
        <w:t>. Los recurrentes en amparo por escrito de 29 de marzo de 1996, registrado el día 1 de abril de 1996, se reiteraron en las posiciones mantenidas igualmente, en su escrito de demanda.</w:t>
      </w:r>
    </w:p>
    <w:p w:rsidR="008107C7" w:rsidRDefault="008107C7" w:rsidP="008107C7">
      <w:pPr>
        <w:pStyle w:val="TextoNormal"/>
      </w:pPr>
    </w:p>
    <w:p w:rsidR="008107C7" w:rsidRDefault="008107C7" w:rsidP="008107C7">
      <w:pPr>
        <w:pStyle w:val="TextoNormal"/>
      </w:pPr>
      <w:r w:rsidRPr="008107C7">
        <w:rPr>
          <w:rStyle w:val="NumeroAFNegritaCaracter"/>
        </w:rPr>
        <w:t>12</w:t>
      </w:r>
      <w:r>
        <w:t>. Por escritos registrados el día 1 de abril de 1996, por la representación de Hércules Hispano,S.A.,y el 13 de abril de 1996 por la representación de Multinacional Aseguradora,S.A.,respectivamente, se efectuaron las oportunas alegaciones, que sustancialmente se corresponden con el sentido de las ya efectuadas en el presente recurso de amparo, por el Ministerio Fiscal.</w:t>
      </w:r>
    </w:p>
    <w:p w:rsidR="008107C7" w:rsidRDefault="008107C7" w:rsidP="008107C7">
      <w:pPr>
        <w:pStyle w:val="TextoNormal"/>
      </w:pPr>
    </w:p>
    <w:p w:rsidR="008107C7" w:rsidRDefault="008107C7" w:rsidP="008107C7">
      <w:pPr>
        <w:pStyle w:val="TextoNormal"/>
      </w:pPr>
      <w:r w:rsidRPr="008107C7">
        <w:rPr>
          <w:rStyle w:val="NumeroAFNegritaCaracter"/>
        </w:rPr>
        <w:t>13</w:t>
      </w:r>
      <w:r>
        <w:t>. Por providencia de 10 de marzo de 1996, se señaló para la deliberación y votación de la presente Sentencia, el día 11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Los actores denuncian que las resoluciones que se recurren por las que se declara la no procedencia de que en el procedimiento judicial se dicte el correspondiente Auto, con cargo al Seguro Obligatorio de Vehículos a Motor, a los efectos de indemnizar los daños y perjuicios reclamados en el procedimiento judicial por los ahora solicitantes de amparo, han vulnerado sus derechos constitucionales a la tutela judicial efectiva (art.24.1 C.E.)  y a la igualdad (art.14 C.E.).</w:t>
      </w:r>
    </w:p>
    <w:p w:rsidR="008107C7" w:rsidRDefault="008107C7" w:rsidP="008107C7">
      <w:pPr>
        <w:pStyle w:val="TextoNormal"/>
      </w:pPr>
      <w:r>
        <w:t>Alegan con relación a este último derecho, que su quiebra se ha producido, toda vez que al ser los únicos a quienes no les ha alcanzado una indemnización que por mandato de la ley les corresponde y con relación al art. 24.1 de la Constitución, en cuanto que el órgano judicial ha dejado de aplicar el art. 10 de la Ley de Uso y Circulación de Vehículos de Motor, con base a una fundamentación que se aparta del contenido y finalidad de la misma, incumpliendo así la obligación ineludible del juzgador, por medio de una resolución carente de fundamentación en Derecho.</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2</w:t>
      </w:r>
      <w:r>
        <w:t>. Tal como indica el Ministerio Fiscal, en el presente caso no existe la alegada vulneración del derecho a la tutela judicial efectiva, porque los solicitantes de amparo han recibido de los órganos judiciales intervinientes una respuesta a sus pretensiones razonada y razonable, que se encuentra debidamente motivada, sin que en la misma puedan encontrarse manifestaciones de arbitrariedad o irrazonabilidad alguna.</w:t>
      </w:r>
    </w:p>
    <w:p w:rsidR="008107C7" w:rsidRDefault="008107C7" w:rsidP="008107C7">
      <w:pPr>
        <w:pStyle w:val="TextoNormal"/>
      </w:pPr>
      <w:r>
        <w:t>Por la Audiencia Provincial se ha llevado a cabo una interpretación del citado art.10 de la Ley de Uso y Circulación de Vehículos a Motor, en el que se establece el derecho a que se dicte por el órgano judicial el correspondiente título ejecutivo, en cuya resolución se declara que en el supuesto de autos no procede dictar dicha resolución o Auto, en base al hecho de que en el mismo no concurren los requisitos legalmente establecidos al efecto en dicho precepto, y que imposibilitan, de acuerdo con los mismos, proceder a dictar tal resolución. Por otra parte, la Audiencia Provincial, al resolver el recurso de apelación formulado por los ahora solicitantes de amparo, toma en consideración la expresa manifestación de renuncia llevada a cabo en cuanto al ejercicio de acciones civiles, que como consecuencia natural, impide acceder a la pretensión indemnizatoria de tales actores.</w:t>
      </w:r>
    </w:p>
    <w:p w:rsidR="008107C7" w:rsidRDefault="008107C7" w:rsidP="008107C7">
      <w:pPr>
        <w:pStyle w:val="TextoNormal"/>
      </w:pPr>
      <w:r>
        <w:t>Por tanto la motivación en ellas contenida, satisface plenamente las exigencias del art. 24.1 C.E., aunque ésta no coincida con la pretendida y deseada por dichos solicitantes de amparo, siendo doctrina reiterada del Tribunal Constitucional que la disconformidad de la parte con la interpretación de una norma realizada por un órgano judicial, siempre que sea razonada y motivada, carece de dimensión constitucional.</w:t>
      </w:r>
    </w:p>
    <w:p w:rsidR="008107C7" w:rsidRDefault="008107C7" w:rsidP="008107C7">
      <w:pPr>
        <w:pStyle w:val="TextoNormal"/>
      </w:pPr>
    </w:p>
    <w:p w:rsidR="008107C7" w:rsidRDefault="008107C7" w:rsidP="008107C7">
      <w:pPr>
        <w:pStyle w:val="TextoNormal"/>
      </w:pPr>
      <w:r w:rsidRPr="008107C7">
        <w:rPr>
          <w:rStyle w:val="NumeroAFNegritaCaracter"/>
        </w:rPr>
        <w:t>3</w:t>
      </w:r>
      <w:r>
        <w:t>. El derecho a la tutela judicial efectiva tal como se afirma en la doctrina de este Tribunal (vid. SSTC 20/1982, 39/1985, 23/1987, entre otras muchas), tiene un contenido claro y terminante, como es el obtener de los órganos judiciales una respuesta a las pretensiones planteadas, que debe ser motivada y fundada en Derecho, y no arbitraria o irrazonable, aun cuanto dichas argumentaciones jurídicas puedan estimarse discutibles, pero no abarca el derecho consistente en que en la resolución judicial mantenga determinada interpretación de la normativa aplicable, ya que el citado precepto constitucional no garantiza en ningún caso las estimación de las pretensiones deducidas, ni ampara, como ha quedado dicho, un concreto entendimiento del sentido y alcance de la legislación aplicable al caso concreto.</w:t>
      </w:r>
    </w:p>
    <w:p w:rsidR="008107C7" w:rsidRDefault="008107C7" w:rsidP="008107C7">
      <w:pPr>
        <w:pStyle w:val="TextoNormal"/>
      </w:pPr>
    </w:p>
    <w:p w:rsidR="008107C7" w:rsidRDefault="008107C7" w:rsidP="008107C7">
      <w:pPr>
        <w:pStyle w:val="TextoNormal"/>
      </w:pPr>
      <w:r w:rsidRPr="008107C7">
        <w:rPr>
          <w:rStyle w:val="NumeroAFNegritaCaracter"/>
        </w:rPr>
        <w:t>4</w:t>
      </w:r>
      <w:r>
        <w:t>. El problema pretendidamente constitucional que plantea este recurso pertenece al campo de la legalidad ordinaria, al tratarse de la interpretación del contenido, y posterior aplicación de un precepto legal, sin que este Tribunal pueda ni deba actuar como una tercera instancia (vid. SSTC 174/1985, 160/1988, 138/1992 y 323/1993, por todas), ponderando las pruebas y con independencia de los hechos que dieron lugar al proceso en que las presuntas violaciones de los derechos constitucionales se produjeron acerca de los que, en ningún caso, entrará a conocer este Tribunal [(art.44.1 b) de la LOTC], por pertenecer esta función al ámbito de la jurisdicción ordinaria, sin que, por tales razones, puedan estimarse las alegaciones efectuadas por los recurrentes al respecto.</w:t>
      </w:r>
    </w:p>
    <w:p w:rsidR="008107C7" w:rsidRDefault="008107C7" w:rsidP="008107C7">
      <w:pPr>
        <w:pStyle w:val="TextoNormal"/>
      </w:pPr>
    </w:p>
    <w:p w:rsidR="008107C7" w:rsidRDefault="008107C7" w:rsidP="008107C7">
      <w:pPr>
        <w:pStyle w:val="TextoNormal"/>
      </w:pPr>
      <w:r w:rsidRPr="008107C7">
        <w:rPr>
          <w:rStyle w:val="NumeroAFNegritaCaracter"/>
        </w:rPr>
        <w:t>5</w:t>
      </w:r>
      <w:r>
        <w:t xml:space="preserve">. Tampoco ha existido la situación de indefensión denunciada por los recurrentes, con la consiguiente quiebra del derecho a la tutela judicial efectiva (art.24.1 C.E.), ya que los mismos han tenido acceso al proceso, así como al ejercicio de los recursos procesales, concretamente el de apelación, donde han podido reproducir las argumentaciones ya expresadas al respecto en la instancia, sin que en momento alguno, se hayan limitado o disminuido por los órganos judiciales las garantías procesales aplicables al proceso judicial, ni los medios </w:t>
      </w:r>
      <w:r>
        <w:lastRenderedPageBreak/>
        <w:t>de defensa con que los mismos han contado, habiendo hecho uso en ambas instancias jurisdiccionales de las alegaciones atinentes a su derecho, sin que, por tanto, como ya queda dicho, conste que se haya impuesto limitación alguna al respecto, ni por el Juzgado, ni por la Audiencia Provincial.</w:t>
      </w:r>
    </w:p>
    <w:p w:rsidR="008107C7" w:rsidRDefault="008107C7" w:rsidP="008107C7">
      <w:pPr>
        <w:pStyle w:val="TextoNormal"/>
      </w:pPr>
    </w:p>
    <w:p w:rsidR="008107C7" w:rsidRDefault="008107C7" w:rsidP="008107C7">
      <w:pPr>
        <w:pStyle w:val="TextoNormal"/>
      </w:pPr>
      <w:r w:rsidRPr="008107C7">
        <w:rPr>
          <w:rStyle w:val="NumeroAFNegritaCaracter"/>
        </w:rPr>
        <w:t>6</w:t>
      </w:r>
      <w:r>
        <w:t>. Los recurrentes denuncian igualmente la violación de su derecho a la igualdad (art.14 C.E.), debiendo esta pretensión ser también rechazada.</w:t>
      </w:r>
    </w:p>
    <w:p w:rsidR="008107C7" w:rsidRDefault="008107C7" w:rsidP="008107C7">
      <w:pPr>
        <w:pStyle w:val="TextoNormal"/>
      </w:pPr>
      <w:r>
        <w:t>Por los recurrentes en amparo, no se ha aportado un término de comparación, de donde se evidencie la discriminación producida por los órganos judiciales intervinientes, como consecuencia de una diferente interpretación y aplicación del art. 10 de la citada Ley, a los fines de que tal término de comparación, como señala el Ministerio Fiscal, se utilice como elemento de contraste, a los efectos de determinar en qué medida tales órganos judiciales se han separado injustificadamente de la interpretación anteriormente efectuada de dicho precepto, sin que pueda afirmarse, por tanto, que ha existido la desigualdad aquí denunciada.</w:t>
      </w:r>
    </w:p>
    <w:p w:rsidR="008107C7" w:rsidRDefault="008107C7" w:rsidP="008107C7">
      <w:pPr>
        <w:pStyle w:val="TextoNormal"/>
      </w:pPr>
      <w:r>
        <w:t>Por todo ello, los recurrentes no han sido discriminados respecto a aquellos otros litigantes a cuyo favor, tales órganos judiciales hubieran podido dictar o dictaron el meritado Auto indemnizatorio, ya que existe una importante diferencia cualitativa entre ambos: unos reunen los requisitos exigidos por la Ley, y por eso, en ellos se lleva a cabo el correspondiente pronunciamiento sobre el mismo y en otros, como el caso que nos ocupa, no sucede, procediendo, en consecuencia, tal y como ha hecho la Audiencia Provincial, no dictar dicha resolución judicial, pese a que la misma sea solicitada por los litigantes interesados, no existiendo por ello en definitiva, la quiebra del derecho constitucional a la igualdad, tal y como afirman los recurrentes en su demanda de amparo.</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CONCEDE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Denegar el amparo solicitado por don Agustín Pérez Ruiz y doña Carmen Blasco Chiquillo.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once de marzo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54" w:name="SENTENCIA_1997_51"/>
      <w:r>
        <w:lastRenderedPageBreak/>
        <w:t>SENTENCIA 51/1997, de 11 de marzo de 1997</w:t>
      </w:r>
    </w:p>
    <w:bookmarkEnd w:id="54"/>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87, de 11 de abril de 1997)</w:t>
      </w:r>
    </w:p>
    <w:p w:rsidR="008107C7" w:rsidRDefault="008107C7" w:rsidP="008107C7">
      <w:pPr>
        <w:pStyle w:val="TtuloBOE"/>
      </w:pPr>
    </w:p>
    <w:p w:rsidR="008107C7" w:rsidRDefault="008107C7" w:rsidP="008107C7">
      <w:pPr>
        <w:pStyle w:val="SntesisDescriptiva"/>
      </w:pPr>
      <w:r>
        <w:t>ECLI:ES:TC:1997:51</w:t>
      </w:r>
    </w:p>
    <w:p w:rsidR="008107C7" w:rsidRDefault="008107C7" w:rsidP="008107C7">
      <w:pPr>
        <w:pStyle w:val="SntesisDescriptiva"/>
      </w:pPr>
    </w:p>
    <w:p w:rsidR="008107C7" w:rsidRDefault="008107C7" w:rsidP="008107C7">
      <w:pPr>
        <w:pStyle w:val="SntesisDescriptiva"/>
      </w:pPr>
      <w:r>
        <w:t>Recurso de amparo 675/1996. Contra Sentencia de la Audiencia Provincial de Cadiz dictada en apelación y confirmatoria de la del Juzgado de lo Penal núm. 3 de la misma ciudad en causa seguida por delitos de calumnias e injurias.</w:t>
      </w:r>
    </w:p>
    <w:p w:rsidR="008107C7" w:rsidRDefault="008107C7" w:rsidP="008107C7">
      <w:pPr>
        <w:pStyle w:val="SntesisDescriptiva"/>
      </w:pPr>
    </w:p>
    <w:p w:rsidR="008107C7" w:rsidRDefault="008107C7" w:rsidP="008107C7">
      <w:pPr>
        <w:pStyle w:val="SntesisAnaltica"/>
      </w:pPr>
      <w:r>
        <w:t>Supuesta vulneración del derecho a la libertad de información: carencia de veracidad de la información transmitida.</w:t>
      </w:r>
    </w:p>
    <w:p w:rsidR="008107C7" w:rsidRDefault="008107C7" w:rsidP="008107C7">
      <w:pPr>
        <w:pStyle w:val="SntesisAnaltica"/>
      </w:pPr>
    </w:p>
    <w:p w:rsidR="008107C7" w:rsidRDefault="008107C7" w:rsidP="008107C7">
      <w:pPr>
        <w:pStyle w:val="Extracto"/>
      </w:pPr>
      <w:r>
        <w:t>1.</w:t>
      </w:r>
      <w:r>
        <w:tab/>
        <w:t>Sólo en el supuesto de que constatemos que las expresiones objeto del presente litigio fueron vertidas al amparo de las libertades que reconocen y garantizan los apartados a) o d) del art. 20.1 de la C.E., esto es, en el ejercicio del derecho a la libertad de expresión o en el de comunicar información veraz, será posible abordar si la ponderación, entre éstos y el derecho al honor, llevada a cabo por los órganos judiciales, se ajusta a los consolidados criterios constitucionales que permiten determinar cuál de ambos derechos, y dadas unas específicas circunstancias, debe ceder ante el otro. Pero, en caso contrario, si se concluye que el recurrente ha actuado al margen del ámbito que aquellas libertades reconocen, resultará entonces innecesario cualquier tipo de ponderación. [F.J. 3]</w:t>
      </w:r>
    </w:p>
    <w:p w:rsidR="008107C7" w:rsidRDefault="008107C7" w:rsidP="008107C7">
      <w:pPr>
        <w:pStyle w:val="Extracto"/>
      </w:pPr>
    </w:p>
    <w:p w:rsidR="008107C7" w:rsidRDefault="008107C7" w:rsidP="008107C7">
      <w:pPr>
        <w:pStyle w:val="Extracto"/>
      </w:pPr>
      <w:r>
        <w:t>2.</w:t>
      </w:r>
      <w:r>
        <w:tab/>
        <w:t>No es ocioso insistir que este Tribunal sostiene que el contenido constitucional del art. 20.1 d) C.E. consiste en suministrar información sobre hechos que se pretenden ciertos, por lo que la protección constitucional de su reconocimiento se extiende únicamente a la información veraz (entre otras muchas otras, SSTC 6/1988, 20/1990, 105/1990 y 133/1995). De este modo, determinar qué debe entenderse por veracidad es de especial importancia para establecer si la conducta del informador responde al ejercicio de un derecho constitucional o si su actuación se sitúa fuera del campo de protección del mismo . [F.J. 5]</w:t>
      </w:r>
    </w:p>
    <w:p w:rsidR="008107C7" w:rsidRDefault="008107C7" w:rsidP="008107C7">
      <w:pPr>
        <w:pStyle w:val="Extracto"/>
      </w:pPr>
    </w:p>
    <w:p w:rsidR="008107C7" w:rsidRDefault="008107C7" w:rsidP="008107C7">
      <w:pPr>
        <w:pStyle w:val="Extracto"/>
      </w:pPr>
      <w:r>
        <w:t>3.</w:t>
      </w:r>
      <w:r>
        <w:tab/>
        <w:t>Al no comprobar la veracidad mediante las oportunas averiguaciones y transmitir como hechos verdaderos simples rumores carentes de toda constatación, el representante sindical, cuya condición en nada afecta a este deber de diligencia, pues es exigible a cualquier sujeto que pretenda ejercer el derecho a comunicar libremente información, actuó al margen de la libertad que reconoce el art. 20.1 d) de la C.E. . [F.J. 6]</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lastRenderedPageBreak/>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675/96 promovido por don Fernando Domínguez Salguero representado por el Procurador de los Tribunales don Antonio de Palma Villalón y asistido por el Letrado don Filomeno Aparicio Lobo, contra la Sentencia de la Sección Cuarta de la Audiencia Provincial de Cádiz, de 18 de enero de 1996, dictada en apelación contra la del Juzgado de lo Penal núm. 3 de la misma Ciudad, de 21 de enero de 1995, en causa seguida por delitos de calumnias e injurias. Ha sido parte don Alfonso Guillén Madriñán representado por el Procurador don Argimiro Vázquez Guillén con la dirección del Letrado D. José Velasco Poyatos y ha intervenido el Ministerio Fiscal. Ha sido Ponente el Magistrado don Vicente Gimeno Sendra,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Por escrito registrado en este Tribunal el 21 de febrero de 1996, don Antonio de Palma Villalón, Procurador de los Tribunales, en nombre y representación de don Fernando Domínguez Salguero , interpone recurso de amparo contra la Sentencia de la Sección Cuarta de la Audiencia Provincial de Cádiz, de 18 de enero de 1996, dictada en apelación contra la del Juzgado de lo Penal núm. 3 de la misma ciudad, de 21 de enero de 1995, en causa seguida por delitos de calumnias e injurias.</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hechos en los que se fundamenta la demanda son, sucintamente expuestos, los siguientes: </w:t>
      </w:r>
    </w:p>
    <w:p w:rsidR="008107C7" w:rsidRDefault="008107C7" w:rsidP="008107C7">
      <w:pPr>
        <w:pStyle w:val="TextoNormal"/>
      </w:pPr>
      <w:r>
        <w:t xml:space="preserve">a) Don Fernando Domínguez Salguero, Secretario de la Federación de Trabajadores de Comercio de la Provincia de Cádiz del Sindicato U.G.T., de acuerdo con la Sección Sindical de PRYCA del Puerto de Santa María, convocó una rueda de prensa para el día 9 de enero de 1992, que debía celebrarse en horas de la mañana en la sede del referido Sindicato en Cádiz. El objeto de la convocatoria a los medios de comunicación era informar a la opinión pública sobre un juicio, que esa misma mañana habría de celebrarse ante el Juzgado de lo Social núm. 2 de Cádiz, contra la Empresa PRYCA por tutela de libertad sindical. Cuando los representantes de los medios de comunicación convocados acudieron a la sede de U.G.T., como el juicio se había retrasado, se les indicó que se dirigieran al edificio de los Juzgados en el que estaban esperando la celebración del juicio tanto el Sr. Domínguez Salguero como la Presidente del comité de empresa. </w:t>
      </w:r>
    </w:p>
    <w:p w:rsidR="008107C7" w:rsidRDefault="008107C7" w:rsidP="008107C7">
      <w:pPr>
        <w:pStyle w:val="TextoNormal"/>
      </w:pPr>
      <w:r>
        <w:t xml:space="preserve">En los pasillos del edificio judicial tuvo lugar la rueda de prensa ante el periodista que cubría la información del "Diario de Cádiz", el redactor que representaba a la cadena de radio SER y un fotógrafo. </w:t>
      </w:r>
    </w:p>
    <w:p w:rsidR="008107C7" w:rsidRDefault="008107C7" w:rsidP="008107C7">
      <w:pPr>
        <w:pStyle w:val="TextoNormal"/>
      </w:pPr>
      <w:r>
        <w:t xml:space="preserve">La información a los periodistas la asumió exclusivamente el Sr. Domínguez Salguero, quien hablando en la condición y con el carácter del cargo sindical que ostentaba, expuso a los periodistas los problemas laborales que eran objeto de la convocatoria, en tanto que el </w:t>
      </w:r>
      <w:r>
        <w:lastRenderedPageBreak/>
        <w:t xml:space="preserve">representante del "Diario de Cádiz" iba tomando nota de sus palabras y el redactor de la cadena SER las iba recogiendo en la grabadora que portaba. </w:t>
      </w:r>
    </w:p>
    <w:p w:rsidR="008107C7" w:rsidRDefault="008107C7" w:rsidP="008107C7">
      <w:pPr>
        <w:pStyle w:val="TextoNormal"/>
      </w:pPr>
      <w:r>
        <w:t xml:space="preserve">En el curso de la información, como posible responsable de la falta de solución a los problemas laborales que se exponían, el Sr. Domínguez Salguero aludió ocasionalmente al Inspector de Trabajo don Alfonso Guillén Madriñán, a quien correspondía la inspección de las empresas de la zona, de cuya actuación profesional tenía quejas el acusado y los miembros del comité de empresa; de tal modo que, dejando al margen el verdadero tema que había motivado la rueda de prensa, la exposición se centró en la trayectoria profesional del Sr. Guillén Madriñán, sacando a colación el Sr. Domínguez Salguero la actuación de aquél cuando era Inspector de Trabajo de la zona de Algeciras. Durante su exposición de queja y censura al referido Inspector, el Sr. Domínguez dijo que esta persona aceptaba regalos y comidas para paralizar las denuncias o quejas de los trabajadores y que eso era práctica habitual en él; que resolvía la denuncias comiendo con los empresarios; y que siempre daba la razón a la parte empresarial y que nunca oía ni enviaba sus resoluciones a la Sección Sindical de U.G.T. </w:t>
      </w:r>
    </w:p>
    <w:p w:rsidR="008107C7" w:rsidRDefault="008107C7" w:rsidP="008107C7">
      <w:pPr>
        <w:pStyle w:val="TextoNormal"/>
      </w:pPr>
      <w:r>
        <w:t xml:space="preserve">Ante la seriedad e importancia de lo que estaba manifestando el representante sindical, los periodistas le hicieron ver que lo que decía era muy grave, puesto que los hechos que contaba constituían soborno. El Sr. Domínguez Salguero lo corroboró; y afirmó que, además, tenía pruebas de ello, que lo habían denunciado a la Delegación de Trabajo y que estaban dispuestos a llegar hasta el Defensor del Pueblo, estimando que el Sr. Guillén debería dimitir de su cargo. </w:t>
      </w:r>
    </w:p>
    <w:p w:rsidR="008107C7" w:rsidRDefault="008107C7" w:rsidP="008107C7">
      <w:pPr>
        <w:pStyle w:val="TextoNormal"/>
      </w:pPr>
      <w:r>
        <w:t xml:space="preserve">Finalizada la rueda de prensa, el periodista del "Diario de Cádiz" redactó la información recibida para su publicación, entrecomillando las frases que había anotado como textuales de las pronunciadas por el Sr. Domínguez; y, así, al siguiente día 10 de enero de 1992, apareció en la primera página del citado periódico, en el recuadro que contiene el sumario de las principales noticias, la de que estaba denunciado un Inspector de Trabajo por soborno, con remisión a la página 11 del periódico. En esta página, y cubriendo prácticamente toda la misma, en grandes titulares se expone: "U.G.T. acusa a un Inspector de Trabajo de aceptar sobornos"; noticia que se apostilla con un subtítulo o epígrafe que dice: "El Sindicato asegura que resuelve demandas comiendo con los empresarios denunciados". Más adelante, en el cuerpo de la información publicada, se identifica por su nombre al Inspector de Trabajo Alfonso Guillén y se resumen las manifestaciones que el Secretario de Comercio de U.G.T., Sr. Domínguez, hizo al periodista. </w:t>
      </w:r>
    </w:p>
    <w:p w:rsidR="008107C7" w:rsidRDefault="008107C7" w:rsidP="008107C7">
      <w:pPr>
        <w:pStyle w:val="TextoNormal"/>
      </w:pPr>
      <w:r>
        <w:t xml:space="preserve">De forma parecida, la noticia fue retransmitida por Radio Cadena SER y difunda por el diario "El País", edición de Andalucía", a quien la trasladó la redacción de la mencionada Radio, publicando este Diario que "U.G.T. acusa a un Inspector de Trabajo de aceptar sobornos". Igualmente, en el periódico de "El Guadalete" se publicó: "Denuncian a un Inspector por aceptar sobornos". </w:t>
      </w:r>
    </w:p>
    <w:p w:rsidR="008107C7" w:rsidRDefault="008107C7" w:rsidP="008107C7">
      <w:pPr>
        <w:pStyle w:val="TextoNormal"/>
      </w:pPr>
      <w:r>
        <w:t xml:space="preserve">b) El Sr. Guillén, ante las noticias dadas a conocer en los medios de comunicación, en la misma tarde del día 11 de enero, acudió a la sede de la cadena de Radio SER y después de oír la cinta grabada y comprobar las manifestaciones del Sr. Domínguez Salguero, dejó constancia de su intención de querellarse y, además, remitió a la prensa un escrito de rotundo desmentido de las acusaciones publicadas contra él. </w:t>
      </w:r>
    </w:p>
    <w:p w:rsidR="008107C7" w:rsidRDefault="008107C7" w:rsidP="008107C7">
      <w:pPr>
        <w:pStyle w:val="TextoNormal"/>
      </w:pPr>
      <w:r>
        <w:t xml:space="preserve">Ni el Sindicato aludido en los medios de comunicación que dieron cuenta de las manifestaciones del Sr. Domínguez, ni tampoco éste, desmintieron el contenido de lo que se dio a conocer a la prensa y radio. </w:t>
      </w:r>
    </w:p>
    <w:p w:rsidR="008107C7" w:rsidRDefault="008107C7" w:rsidP="008107C7">
      <w:pPr>
        <w:pStyle w:val="TextoNormal"/>
      </w:pPr>
      <w:r>
        <w:lastRenderedPageBreak/>
        <w:t xml:space="preserve">c) Mediante escrito de 17 de enero de 1992, la representación de don Alfonso Guillén formuló querella por presuntos delitos de calumnias e injurias contra el Sr. Domínguez Salguero. Tras los correspondientes trámites, el Juzgado de lo Penal núm. 3 de Cádiz dictó Sentencia, de 21 de enero de 1995, en cuyo fallo condenó al acusado Fernando Domínguez Salguero, como autor responsable de un delito de injurias graves hechas por escrito y con publicidad, a las penas de tres meses de arresto mayor, con las accesorias legales de suspensión de cargo y derecho de sufragio durante el tiempo de la condena, y a la multa de 150.000,- ptas.; y, como reparación civil, a indemnizar al Sr. Guillén Madriñán en la cantidad de 3.000.000 ptas., cuya indemnización, en defecto del condenado principal, por insolvencia de éste, debía hacer efectiva subsidiariamente la Federación Provincial de Trabajadores de Comercio de Cádiz. Asimismo, se estableció que si en ejecución de Sentencia se acreditara la imposibilidad de hacer efectiva la indemnización, por carecer de patrimonio autónomo la mencionada Federación Provincial dentro del Sindicato de U.G.T., la suma sería satisfecha por la propia Central Sindical. </w:t>
      </w:r>
    </w:p>
    <w:p w:rsidR="008107C7" w:rsidRDefault="008107C7" w:rsidP="008107C7">
      <w:pPr>
        <w:pStyle w:val="TextoNormal"/>
      </w:pPr>
      <w:r>
        <w:t xml:space="preserve">El razonamiento del órgano judicial que sustenta el fallo anterior sería, resumidamente, el siguiente: Se parte de la necesidad, para la resolución adecuada del caso, de llevar a cabo una ponderación entre los derechos de expresión e información, por una parte, y el derecho al honor, por otra. Para ello, se relacionan los elementos que, desde una perspectiva constitucional, deben tenerse en cuenta en dicha ponderación (fundamentos jurídicos 2º, 3º y 4º); y, al aplicarlos al caso de autos, se concluye que "aunque se acepte que la intencionalidad que guiaba al acusado fuera la de dar conocimiento público de hechos que más o menos había recogido de algunos rumores o quejas de trabajadores de algunas empresas, lo cierto es que no ha probado que las imputaciones concretas que formuló fueran veraces. Una cosa son los rumores o las quejas laborales de algunos miembros de un comité de empresa en cuanto a la forma en que un Inspector de trabajo resolviera las denuncias de los trabajadores (...), y otra cosa muy diferente es la concreción de esas quejas en imputaciones faltas de verdad, que por el tono y contenido de la exposición a los periodistas comportan la exigencia de su tipificación penal, puesto que la libertad de expresión o de información no conlleva el derecho de difamar o vilipendiar" (fundamento jurídico 6º). En este sentido, según el órgano judicial, "no ha existido proporcionalidad alguna entre el derecho a la información sindical sobre asuntos laborales, atendiendo a su contenido y finalidad, y el respeto al honor y dignidad del querellante, habiéndose producido un sacrificio desproporcionado en detrimento de este último, pues que en el curso de la información pública que legítimamente ejercía el acusado pronunciara afirmaciones faltas de veracidad y emitiera juicios críticos, con expresiones que indudablemente han hecho desmerecer al querellado en el respeto y consideración social y en el de su prestigio profesional, implica que hayamos de declarar la antijuricidad penal de la conducta enjuiciada, al no operar la causa de justificación que por excelencia suele legitimar en la actualidad estos ataques graves al honor, que es lo que genéricamente se denomina libertad de expresión" (fundamento jurídico 7º). </w:t>
      </w:r>
    </w:p>
    <w:p w:rsidR="008107C7" w:rsidRDefault="008107C7" w:rsidP="008107C7">
      <w:pPr>
        <w:pStyle w:val="TextoNormal"/>
      </w:pPr>
      <w:r>
        <w:t xml:space="preserve">Finalmente, se rechaza que los hechos descritos sean constitutivos de un delito de calumnia. Así, se razona que si bien existen imputaciones de que el querellante resuelve las denuncias comiendo con los empresarios, o que siempre da la razón a éstos, o que acepta regalos, estas manifestaciones están dichas en sentido genérico y vago, sin concreción de circunstancias, lugares o fechas, ni personas específicas perjudicadas o afectadas, todo lo cual no constituye una imputación circunstanciada y precisa que exige el tipo del injusto de este delito de calumnia conforme a la doctrina jurisprudencial. Se advierte, además, que no concurre en el caso "animus infamandi", es decir, que el acusado no actuaba con voluntad </w:t>
      </w:r>
      <w:r>
        <w:lastRenderedPageBreak/>
        <w:t xml:space="preserve">consciente y animo deliberado de perjudicar al calumniado o con la finalidad de desacreditarle y difamarle. Sin embargo, lo que sí constata el órgano judicial en la conducta enjuiciada, globalmente valorada, es la especie injuriosa prevista en los amplios términos de los arts. 457 y 458 del Código Penal entonces vigente, pues "El acusado había oído quejas de disconformidad en cuanto a la resolución de asuntos laborales por parte del Inspector y, sin preocuparse ni averiguar nada dio rienda suelta de forma obsesiva y reiterada a exponer su encono y resentimiento contra el funcionario, sacando a colación infundios, rumores, opiniones personales y críticas injustificadas, que en su conjunto no puede negarse que iban dirigidas a la consecución de un deterioro grave de la imagen pública del Sr. Guillén, que indudablemente quedó ofendida en su prestigio personal y profesional" (fundamento jurídico 9º). Se concluye, en consecuencia, que las expresiones vertidas por el querellado, objetivamente consideradas, integran una clara expresión de menosprecio personal que tiene carácter de injuria grave, porque se trata de imputaciones afrentosas, que encierran en si mismas trascendente vilipendio y, dadas las circunstancias profesionales y dignidad personal del agraviado, forzosamente perjudican su fama y mencionada dignidad (fundamentos jurídicos 8º y 9º). </w:t>
      </w:r>
    </w:p>
    <w:p w:rsidR="008107C7" w:rsidRDefault="008107C7" w:rsidP="008107C7">
      <w:pPr>
        <w:pStyle w:val="TextoNormal"/>
      </w:pPr>
      <w:r>
        <w:t>d) La resolución de instancia fue apelada tanto por el Sr. Domínguez Salguero y la Federación Estatal de Trabajadores y Empleados de Servicios de U.G.T. de Cádiz, como por el Sr. Guillén Madriñán. La Sección Cuarta de la Audiencia Provincial de Cádiz dictó Sentencia, de 18 de enero de 1996, por la que desestimó el recurso de apelación interpuesto por el Sr. Guillén y estimó en parte el del Sr. Domínguez y el de la mencionada Federación. En su virtud, si bien modificó la resolución anterior, en el sentido de no extender la responsabilidad subsidiaria al Sindicato de la Unión General de Trabajadores, mantuvo el resto de pronunciamientos condenatorios, basándose en argumentos similares a los ofrecidos en la instancia, pero insistiendo en los aspectos de la falsedad de la información y de la falta de diligencia del condenado en contrastar la veracidad de los hechos sobre los que informó.</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En la demanda de amparo se aduce que las resoluciones anteriores infringen los apartados a) y d) del art. 20 C.E. A juicio del recurrente, el recurso debe encuadrarse en el marco de la colisión entre el derecho a la libertad de información y expresión de una persona elegida por los trabajadores en el ámbito sindical, de una parte, y el derecho al honor de una figura con relevancia pública en el ámbito laboral, como es un Inspector de Trabajo, de otra. En este marco, sostiene que, aunque la Sentencia del Juzgado de lo Penal, al igual que la de la Audiencia, contengan una base dogmática correcta en orden a los principios aplicables en supuestos de colisión entre los derechos mencionados, en la aplicación de tales principios al caso concreto ha existido la infracción que se denuncia. Desde esta perspectiva, entiende que lo relevante es que la información no fue gratuita o notoriamente infundada sino que el Sr. Domínguez, que realizaba una información sobre un juicio por tutela de la libertad sindical, expuso a los periodistas los problemas laborales que eran objeto de la convocatoria, aludiendo ocasionalmente al Inspector de Trabajo don Alfonso Guillén; los hechos, pues, eran de relevancia pública. Además, destaca, como se reconoce en ambas Sentencias, que no existía plena conciencia de falsedad en la información que el Sr. Domínguez transmitía durante la rueda de prensa. En definitiva, a juicio de esta parte, se dan cuantas circunstancias se requieren desde el punto de vista constitucional para entender que el derecho a la libertad de expresión y de información operaron como excluyentes de la antijuricidad. Por todo ello, se solicita en la demanda la estimación del recurso y el reconocimiento del derecho del actor </w:t>
      </w:r>
      <w:r>
        <w:lastRenderedPageBreak/>
        <w:t>a la libertad de expresión y de información, declarando la nulidad de las Sentencias impugnadas. Asimismo, se solicita, de conformidad con lo establecido en el art. 56 de la LOTC, la suspensión de la ejecución de la Sentencia recurrida.</w:t>
      </w:r>
    </w:p>
    <w:p w:rsidR="008107C7" w:rsidRDefault="008107C7" w:rsidP="008107C7">
      <w:pPr>
        <w:pStyle w:val="TextoNormal"/>
      </w:pPr>
    </w:p>
    <w:p w:rsidR="008107C7" w:rsidRDefault="008107C7" w:rsidP="008107C7">
      <w:pPr>
        <w:pStyle w:val="TextoNormal"/>
      </w:pPr>
      <w:r w:rsidRPr="008107C7">
        <w:rPr>
          <w:rStyle w:val="NumeroAFNegritaCaracter"/>
        </w:rPr>
        <w:t>4</w:t>
      </w:r>
      <w:r>
        <w:t>. Mediante providencia de 20 de mayo de 1996, la Sección Primera de este Tribunal acordó admitir a trámite la demanda de amparo y, en aplicación de lo dispuesto en el art. 51 LOTC, dirigir comunicación al Juzgado de lo Penal núm. 3 de Cádiz y a la Audiencia Provincial de dicha capital, a fin de que, en un plazo no superior a diez días, remitieran, respectivamente, testimonio del procedimiento abreviado núm. 242/94 y del rollo de Sala núm. 144/95; interesándose al propio tiempo, que se emplazaran a quienes fueron parte en el mencionado procedimiento, para que en plazo de diez días pudieran comparecer en el recurso de amparo.</w:t>
      </w:r>
    </w:p>
    <w:p w:rsidR="008107C7" w:rsidRDefault="008107C7" w:rsidP="008107C7">
      <w:pPr>
        <w:pStyle w:val="TextoNormal"/>
      </w:pPr>
    </w:p>
    <w:p w:rsidR="008107C7" w:rsidRDefault="008107C7" w:rsidP="008107C7">
      <w:pPr>
        <w:pStyle w:val="TextoNormal"/>
      </w:pPr>
      <w:r w:rsidRPr="008107C7">
        <w:rPr>
          <w:rStyle w:val="NumeroAFNegritaCaracter"/>
        </w:rPr>
        <w:t>5</w:t>
      </w:r>
      <w:r>
        <w:t>. En la misma fecha, la Sección dictó providencia acordando formar la oportuna pieza para la tramitación del incidente sobre suspensión y, conforme a lo dispuesto en el art. 56 LOTC, conceder a la parte recurrente y al Ministerio Fiscal un plazo común de tres días para que alegaran lo que estimaran pertinente sobre dicha suspensión. Por Auto de 10 de junio de 1996, la Sala acordó, tras los oportunos trámites, la suspensión de la ejecución de la Sentencia impugnada en cuanto a la pena privativa de libertad impuesta y a las accesorias, así como en cuanto al arresto sustitutorio en ella previsto; pero denegó la suspensión de la ejecución en relación con la pena de multa, las costas y la cantidad fijada en concepto de responsabilidad civil.</w:t>
      </w:r>
    </w:p>
    <w:p w:rsidR="008107C7" w:rsidRDefault="008107C7" w:rsidP="008107C7">
      <w:pPr>
        <w:pStyle w:val="TextoNormal"/>
      </w:pPr>
    </w:p>
    <w:p w:rsidR="008107C7" w:rsidRDefault="008107C7" w:rsidP="008107C7">
      <w:pPr>
        <w:pStyle w:val="TextoNormal"/>
      </w:pPr>
      <w:r w:rsidRPr="008107C7">
        <w:rPr>
          <w:rStyle w:val="NumeroAFNegritaCaracter"/>
        </w:rPr>
        <w:t>6</w:t>
      </w:r>
      <w:r>
        <w:t>. Mediante escrito registrado en este Tribunal el 2 de julio de 1996, don Argimiro Vázquez Guillén, Procurador de los Tribunales, y en nombre y representación de don Alfonso Guillén Madriñán, solicitó que se le tuviera por comparecido y personado en las presentes actuaciones.</w:t>
      </w:r>
    </w:p>
    <w:p w:rsidR="008107C7" w:rsidRDefault="008107C7" w:rsidP="008107C7">
      <w:pPr>
        <w:pStyle w:val="TextoNormal"/>
      </w:pPr>
    </w:p>
    <w:p w:rsidR="008107C7" w:rsidRDefault="008107C7" w:rsidP="008107C7">
      <w:pPr>
        <w:pStyle w:val="TextoNormal"/>
      </w:pPr>
      <w:r w:rsidRPr="008107C7">
        <w:rPr>
          <w:rStyle w:val="NumeroAFNegritaCaracter"/>
        </w:rPr>
        <w:t>7</w:t>
      </w:r>
      <w:r>
        <w:t>. La Sección dictó providencia, de 15 de julio de 1996, acordando tener por recibidos los testimonios de actuaciones remitidos por la Audiencia Provincial de Cádiz y el Juzgado de lo Penal núm. 3 de dicha capital y acusar recibo de los mismos; y tener por personado y parte al Procurador Sr. Vázquez Guillén, en nombre y representación del Sr. Guillén Madriñán. Y a tenor de lo dispuesto en el art. 52 de la LOTC, acordó dar vista de todas las actuaciones, por un plazo común de veinte días, al Ministerio Fiscal y a los Procuradores representantes de las partes.</w:t>
      </w:r>
    </w:p>
    <w:p w:rsidR="008107C7" w:rsidRDefault="008107C7" w:rsidP="008107C7">
      <w:pPr>
        <w:pStyle w:val="TextoNormal"/>
      </w:pPr>
    </w:p>
    <w:p w:rsidR="008107C7" w:rsidRDefault="008107C7" w:rsidP="008107C7">
      <w:pPr>
        <w:pStyle w:val="TextoNormal"/>
      </w:pPr>
      <w:r w:rsidRPr="008107C7">
        <w:rPr>
          <w:rStyle w:val="NumeroAFNegritaCaracter"/>
        </w:rPr>
        <w:t>8</w:t>
      </w:r>
      <w:r>
        <w:t xml:space="preserve">. El Ministerio Fiscal formuló alegaciones en escrito registrado el 8 de agosto de 1996. Los razonamientos aducidos por el Fiscal comienzan con una reestructuración de los argumentos jurídicos esgrimidos en el presente caso. En este sentido, a juicio del Fiscal, la presente demanda de amparo plantea única y exclusivamente una situación de conflicto entre el derecho a libertad de información que proclama el art. 20.1d) de la C.E. y el derecho al honor, que igualmente configura el art. 18 del propio texto constitucional. Considera, así, que aunque otra cosa pudiera pensarse por el hecho de que el recurrente haya sido condenado por delito de injurias, la naturaleza de los hechos, que se producen en una rueda de prensa y su contenido esencial, entraña una atribución de conducta a un tercero y no una emisión de juicios u opiniones sobre el mismo. </w:t>
      </w:r>
    </w:p>
    <w:p w:rsidR="008107C7" w:rsidRDefault="008107C7" w:rsidP="008107C7">
      <w:pPr>
        <w:pStyle w:val="TextoNormal"/>
      </w:pPr>
      <w:r>
        <w:lastRenderedPageBreak/>
        <w:t xml:space="preserve">Partiendo de la anterior premisa, analiza los elementos que, a su juicio,es preciso tener en cuenta: En primer lugar, subraya que del hecho probado de la Sentencia de instancia resulta, por un lado, que la información hecha por el recurrente no es veraz; y, por otro, que ninguna actividad llevó éste a cabo antes de comunicar la información para cerciorarse de la veracidad de los hechos que dio a conocer. En segundo lugar, advierte que ambas Sentencias hacen un juicio de ponderación entre los derechos constitucionales en conflicto, ponderación que ambos Tribunales resuelven en favor del derecho al honor, fundándose en la falsedad de la información: la Sentencia de instancia apoya su valoración de los hechos y su incidencia en el honor del ofendido en la falsedad objetiva de lo informado y la de apelación tiene presente, de modo expreso, el deber de contrastar los hechos sobre los que la información versa y la diligencia exigible a tal objeto, con citas reiteradas de la doctrina jurisprudencial de este Tribunal. </w:t>
      </w:r>
    </w:p>
    <w:p w:rsidR="008107C7" w:rsidRDefault="008107C7" w:rsidP="008107C7">
      <w:pPr>
        <w:pStyle w:val="TextoNormal"/>
      </w:pPr>
      <w:r>
        <w:t xml:space="preserve">De lo expuesto, infiere que el demandante en amparo, conocido el hecho sobre el que proyectaba informar, y aun partiendo de que no le constara su falsedad, omitió la diligencia exigible para indagar la certeza de los hechos de que informó. Ello, a juicio del Fiscal, pone de manifiesto que el informador se extralimitó del derecho constitucional que configura el art. 20.1 d) C.E., lo que le situó fuera del ámbito de la libertad de información, como señala la STC 105/90, desapareciendo, así, la pretendida situación de conflicto, puesto que el derecho constitucional invocado por el recurrente no existía como tal en el momento de producirse la información. Si ello conduce, desde el planteamiento constitucional, a la negación de la situación de conflicto, o, si se prefiere a la prevalencia del derecho del honor sobre la libertad de expresión, desde una perspectiva estrictamente penal y partiendo de la concepción de la antijuricidad del delito como elemento integrado por un requisito positivo -la adecuación del comportamiento a la descripción legal: tipicidad-, y otro negativo -la ausencia de causas de justificación que legitimen la conducta-, se llega a la conclusión de que no se cumpliría el requisito de la antijuricidad del comportamiento porque, siendo típico respecto de la figura de delito, no concurriría, como se pretende, la causa de justificación que previene el art. 8.11 del C.P. en relación, en este caso, con el art. 20.1d) de la C.E. </w:t>
      </w:r>
    </w:p>
    <w:p w:rsidR="008107C7" w:rsidRDefault="008107C7" w:rsidP="008107C7">
      <w:pPr>
        <w:pStyle w:val="TextoNormal"/>
      </w:pPr>
      <w:r>
        <w:t xml:space="preserve">Del razonamiento expuesto, se llega a la conclusión de que el juicio de ponderación que llevaron a cabo tanto el Juzgado de lo Penal como la Sala de apelación, resuelto en ambos casos en favor del derecho al honor, serían correctos, con la salvedad que se ha señalado. Pero, en todo caso, como señala la STC 172/90, lo transcendente, aunque los medios empleados no sean correctos, es el resultado final de la ponderación. </w:t>
      </w:r>
    </w:p>
    <w:p w:rsidR="008107C7" w:rsidRDefault="008107C7" w:rsidP="008107C7">
      <w:pPr>
        <w:pStyle w:val="TextoNormal"/>
      </w:pPr>
      <w:r>
        <w:t>Por todo ello, el Fiscal solicita que el Tribunal dicte Sentencia denegando el amparo.</w:t>
      </w:r>
    </w:p>
    <w:p w:rsidR="008107C7" w:rsidRDefault="008107C7" w:rsidP="008107C7">
      <w:pPr>
        <w:pStyle w:val="TextoNormal"/>
      </w:pPr>
    </w:p>
    <w:p w:rsidR="008107C7" w:rsidRDefault="008107C7" w:rsidP="008107C7">
      <w:pPr>
        <w:pStyle w:val="TextoNormal"/>
      </w:pPr>
      <w:r w:rsidRPr="008107C7">
        <w:rPr>
          <w:rStyle w:val="NumeroAFNegritaCaracter"/>
        </w:rPr>
        <w:t>9</w:t>
      </w:r>
      <w:r>
        <w:t>. Don Argimiro Vázquez Guillén, en nombre y representación de don Alfonso Guillén Madriñán, registró su escrito de alegaciones el 7 de septiembre de 1996. A juicio de esta parte, el demandante de amparo ha obviado toda referencia a los límites que a los derechos reconocidos en los arts. 20.1 a) y d) impone el mismo precepto en su apartado 4º y todo razonamiento atinente a la veracidad de las imputaciones, parapetándose en la condición de Secretario de la Federación de Trabajadores de Comercio de la provincia de Cádiz del Sindicato de la U.G.T., como si tal rango representara para él una patente de corso para poder realizar las imputaciones que tuviera por conveniente. Dado que tales manifestaciones han causado un daño al derecho al honor de esta parte y no pueden encontrar cobertura en los arts. 20.1a) y d) de la C.E., se solicita que se declare no haber lugar al amparo pretendido desestimando en su integridad el recurso.</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10</w:t>
      </w:r>
      <w:r>
        <w:t xml:space="preserve">. El Procurador don Antonio de Palma Villalón, en nombre y representación de don Fernando Domínguez Salguero, registró su escrito de alegaciones ante este Tribunal el 9 de septiembre de 1996. En el mismo, se da por reproducido íntegramente el contenido del escrito de demanda y los argumentos allí expuestos, haciéndose alguna matización a la luz de la doctrina sentada en las SSTC 132/1995 y 173/1995. En base a ello, insiste en la trascendencia pública de la información transmitida por el demandante de amparo, lo noticiable que resultó para los periodistas la información recibida y la opinión expresada sobre el Inspector de Trabajo, y el carácter de personalidad pública en el sentido de ejercicio de función pública trascendente en el medio laboral del referido Inspector. A ello añade, además, el carácter de veraz de la información transmitida ya que el demandante la había obtenido de las continuas quejas recibidas de los comités de empresas, lo que hizo que incluso la Sentencia del Juzgado de lo Penal rechazase la idea de que el acusado "... tuviera plena consciencia de la falsedad". Y, finalmente, y sobre la base de la doctrina citada, concluye que aunque las críticas sean duras e incluso improcedentes, ello no implica que traspasen los límites constitucionalmente protegidos por las libertades de expresión e información. La crítica de una actuación o una decisión de carácter público está protegida por el derecho constitucional a la libertad de expresión. </w:t>
      </w:r>
    </w:p>
    <w:p w:rsidR="008107C7" w:rsidRDefault="008107C7" w:rsidP="008107C7">
      <w:pPr>
        <w:pStyle w:val="TextoNormal"/>
      </w:pPr>
      <w:r>
        <w:t>Teniendo, pues, en cuenta la Sentencias citadas y reiterando que se está en presencia de una condena en vía penal, esta parte considera que debe otorgarse el amparo solicitado, reconociendo el derecho del recurrente a la libertad de expresión y de información conculcado por las Sentencias impugnadas.</w:t>
      </w:r>
    </w:p>
    <w:p w:rsidR="008107C7" w:rsidRDefault="008107C7" w:rsidP="008107C7">
      <w:pPr>
        <w:pStyle w:val="TextoNormal"/>
      </w:pPr>
    </w:p>
    <w:p w:rsidR="008107C7" w:rsidRDefault="008107C7" w:rsidP="008107C7">
      <w:pPr>
        <w:pStyle w:val="TextoNormal"/>
      </w:pPr>
      <w:r w:rsidRPr="008107C7">
        <w:rPr>
          <w:rStyle w:val="NumeroAFNegritaCaracter"/>
        </w:rPr>
        <w:t>11</w:t>
      </w:r>
      <w:r>
        <w:t>. Por providencia de 10 de marzo de 1997 se acordó señalar el siguiente día 11 de marzo para deliberación y votación de la presente Sentencia.</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Objeto del presente recurso de amparo lo constituye la Sentencia de la Sección Cuarta de la Audiencia Provincial de Cádiz, de 18 de enero de 1996, dictada en apelación y confirmatoria de la del Juzgado de lo Penal núm. 3 de la misma Ciudad, de 21 de enero de 1995, recaída en causa penal en la que resultó condenado el recurrente en amparo como autor responsable de un delito de injurias graves hechas por escrito y con publicidad.</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Tal como se desprende de la declaración de hechos probados de la Sentencia de instancia, la causa penal tiene su origen fáctico, como con detalle se expone en los Antecedentes, en la rueda de prensa que convocó, de acuerdo con la Sección Sindical de PRYCA del Puerto de Santa María, el Sr. Domínguez Salguero, Secretario de la Federación de Trabajadores de Comercio de la Provincia de Cádiz del Sindicato U.G.T. El objeto de la convocatoria a los medios de comunicación era informar a la opinión pública sobre un juicio que esa misma mañana habría de celebrarse ante el Juzgado de lo Social núm. 2 de Cádiz contra la Empresa PRYCA por tutela de libertad sindical. La rueda de prensa se convocó, finalmente, en el edificio de los Juzgados en el que estaba esperando la celebración del juicio el Sr. Domínguez. La información a los periodistas la asumió él exclusivamente quien, hablando en la condición y con el carácter de cargo sindical que ostentaba, expuso a aquéllos los problemas laborales que eran objeto de la convocatoria. En el curso de la información se aludió ocasionalmente al Inspector de Trabajo don Alfonso Guillén Madriñán, a quien </w:t>
      </w:r>
      <w:r>
        <w:lastRenderedPageBreak/>
        <w:t>correspondía la inspección de las empresas de la zona. La exposición se centró, así, en la trayectoria profesional del Sr. Guillén sacándose a colación por parte del Sr. Domínguez su actuación cuando era Inspector de Trabajo de la zona de Algeciras. Durante su exposición de censura al referido Inspector, el hoy recurrente dijo que esta persona aceptaba regalos y comidas para paralizar las denuncias o quejas de los trabajadores, que eso era práctica habitual en él y que resolvía las denuncias comiendo con los empresarios. También dijo que el Sr. Guillén siempre daba la razón a la parte empresarial y que nunca oía ni enviaba sus resoluciones a la Sección Sindical de U.G.T. Ante la importancia de lo que decía el informador, los periodistas intentaron hacerle ver que lo que decía era muy grave, que constituía soborno, a lo que él contestó afirmativamente, asegurando que, además, tenía pruebas sobre ello y que lo habían denunciado a la Delegación de Trabajo. En definitiva, el informante acusó al Inspector de Trabajo de aceptar sobornos y de resolver demandas comiendo con los empresarios denunciados; y, asimismo, expresó que el Sr. Guillén Madriñán debería dimitir del cargo que desempeñaba.</w:t>
      </w:r>
    </w:p>
    <w:p w:rsidR="008107C7" w:rsidRDefault="008107C7" w:rsidP="008107C7">
      <w:pPr>
        <w:pStyle w:val="TextoNormal"/>
      </w:pPr>
      <w:r>
        <w:t>El recurrente en amparo considera que las resoluciones judiciales que le condenaron por estos hechos, como autor responsable de un delito de injurias graves, lesionan los arts.  20.1a) y d) de la C.E., puesto que, en el presente caso, concurren cuantas circunstancias se requieren desde el punto de vista constitucional para entender que el derecho a la libertad de expresión y de información operaron como excluyentes de la antijuricidad. Así, por una parte, la información no fue gratuita o notoriamente infundada; por el contrario, el Sr. Domínguez, que realizaba una información sobre un juicio por tutela de la libertad sindical, expuso a los periodistas los problemas laborales que eran objeto de la convocatoria, aludiendo ocasionalmente al Inspector de Trabajo don Alfonso Guillén; ello, daba a esta información el carácter de información de relevancia pública. Por otra parte, y como se reconoce en ambas Sentencias, no existió plena conciencia de falsedad en la información que el Sr. Domínguez transmitía durante la rueda de prensa, por lo que su actuación se incardinó en el ámbito de los derechos fundamentales alegados.</w:t>
      </w:r>
    </w:p>
    <w:p w:rsidR="008107C7" w:rsidRDefault="008107C7" w:rsidP="008107C7">
      <w:pPr>
        <w:pStyle w:val="TextoNormal"/>
      </w:pPr>
      <w:r>
        <w:t>Frente a la pretensión de amparo, tanto el Ministerio Fiscal como la representación del Sr.  Guillén Madriñán entienden que la conducta penada no tiene cobertura en los apartados a) y d) del art. 20.1 de la C.E. El Fiscal manifiesta que en este amparo no tiene cabida el art. 20.1.a) CE, dado el carácter de las manifestaciones del recurrente; sólo el derecho a transmitir información veraz estaría, a su juicio, en juego. Pero, como a lo largo del juicio se demostró que la información no era cierta y que, además, el informante ningún deber de diligencia empleó para contrastar la veracidad de la noticia, solicita la desestimación del amparo, pues, en su opinión, la conducta penada no fue ejercida ex art. 20.1d) C.E. Distintos argumentos emplea la parte demandada para solicitar, también, la desestimación del recurso, haciendo especial hincapié en la falsedad de las imputaciones hechas a su persona y la consiguiente intromisión ilegítima en su derecho al honor, sin posibilidad de que aquéllas gocen de cobertura en las libertades de expresión o de información.</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Pues bien, centrado el recurso en tales términos, este Tribunal está llamado a resolver, una vez más, un supuesto típico de conflicto entre derechos fundamentales. En tales casos, el iter lógico de nuestro examen constitucional debe acometer una cuestión previa y fundamental, que es la de determinar si, efectivamente, concurren en el caso concreto dos o más derechos fundamentales a ponderar. Dicho de otro modo, y recordando el razonamiento seguido en nuestra STC 133/1995, sólo en el supuesto de que constatemos que las expresiones objeto del presente litigio fueron vertidas al amparo de las libertades que reconocen y garantizan los apartados a) o d) del art. 20.1 de la C.E., esto es, en el ejercicio del derecho </w:t>
      </w:r>
      <w:r>
        <w:lastRenderedPageBreak/>
        <w:t>a la libertad de expresión o en el de comunicar información veraz, será posible abordar si la ponderación, entre éstos y el derecho al honor, llevada a cabo por los órganos judiciales, se ajusta a los consolidados criterios constitucionales que permiten determinar cuál de ambos derechos, y dadas unas específicas circunstancias, debe ceder ante el otro. Pero, en caso contrario, si se concluye que el recurrente ha actuado al margen del ámbito que aquellas libertades reconocen, resultará entonces innecesario cualquier tipo de ponderación.</w:t>
      </w:r>
    </w:p>
    <w:p w:rsidR="008107C7" w:rsidRDefault="008107C7" w:rsidP="008107C7">
      <w:pPr>
        <w:pStyle w:val="TextoNormal"/>
      </w:pPr>
    </w:p>
    <w:p w:rsidR="008107C7" w:rsidRDefault="008107C7" w:rsidP="008107C7">
      <w:pPr>
        <w:pStyle w:val="TextoNormal"/>
      </w:pPr>
      <w:r w:rsidRPr="008107C7">
        <w:rPr>
          <w:rStyle w:val="NumeroAFNegritaCaracter"/>
        </w:rPr>
        <w:t>4</w:t>
      </w:r>
      <w:r>
        <w:t>. Debiéndose descartar que la libertad sindical del art. 28 C.E. se encuentre aquí comprometida (aún cuando el actor ostente la cualidad de representante sindical y las expresiones, objeto de nuestro examen, pudieran tener su origen en el ejercicio de aquel derecho fundamental), la primera cuestión a abordar al hilo de este análisis previo consiste en determinar si, realmente, en el presente caso, están involucrados los dos derechos fundamentales que alega el actor en su demanda de amparo: la libertad de expresión, consagrada en el art.  20.1 a), C.E. y la libertad de información reconocida en el art. 20.1 d) del texto constitucional.</w:t>
      </w:r>
    </w:p>
    <w:p w:rsidR="008107C7" w:rsidRDefault="008107C7" w:rsidP="008107C7">
      <w:pPr>
        <w:pStyle w:val="TextoNormal"/>
      </w:pPr>
      <w:r>
        <w:t>Para ello, es menester recordar la consolidada doctrina de este Tribunal sobre el distinto contenido que cada una de estas libertades protege y reconoce. La libertad de expresión consistiría en el derecho a formular juicios y opiniones, sin pretensión de sentar hechos o afirmar datos objetivos, por lo que el campo de acción vendría sólo determinado por la ausencia de expresiones indudablemente injuriosas sin relación con las ideas u opiniones que se expongan, y que resulten innecesarias para la exposición de las mismas. Por el contrario, cuando lo que se persigue es suministrar información sobre hechos que se pretenden ciertos, estaríamos ante la libertad de información; entonces, la protección constitucional se extiende únicamente a la información veraz.  Ciertamente, resultará en ocasiones difícil o imposible separar en una misma exposición, los elementos que pretenden informar de los dirigidos a valorar, y en tal caso habrá de atenderse al elemento predominante (SSTC 6/1988, 20/1990, 105/1990, entre muchas otras).</w:t>
      </w:r>
    </w:p>
    <w:p w:rsidR="008107C7" w:rsidRDefault="008107C7" w:rsidP="008107C7">
      <w:pPr>
        <w:pStyle w:val="TextoNormal"/>
      </w:pPr>
      <w:r>
        <w:t>No es difícil inferir, a la luz de la doctrina reseñada, que el único derecho que, en el caso enjuiciado, podría amparar las expresiones vertidas por el actor es el derecho a la libertad de información. Por lo relatado, lo que el Sr. Domínguez transmitía a los periodistas era una información sobre unos determinados hechos: que un Inspector de Trabajo aceptaba sobornos y resolvía denuncias aceptando dádivas de los empresarios denunciados. Sin duda, en el fondo de estas expresiones yacía un juicio de valor negativo acerca de la persona del Inspector de Trabajo, que le llevó a afirmar que éste debería dimitir de su puesto. Pero, la intención preponderante de tales expresiones es la de afirmar datos objetivos y sentar hechos; hechos consistentes en una determinada actuación del Inspector de Trabajo que se pretendían ciertos por el informante.</w:t>
      </w:r>
    </w:p>
    <w:p w:rsidR="008107C7" w:rsidRDefault="008107C7" w:rsidP="008107C7">
      <w:pPr>
        <w:pStyle w:val="TextoNormal"/>
      </w:pPr>
      <w:r>
        <w:t>En definitiva, pues, se constata que el único derecho fundamental implicado, desde la perspectiva del recurrente en amparo y dadas las circunstancias del presente caso, es el derecho a la libertad de información reconocido en el art. 20.1 d) C.E.</w:t>
      </w:r>
    </w:p>
    <w:p w:rsidR="008107C7" w:rsidRDefault="008107C7" w:rsidP="008107C7">
      <w:pPr>
        <w:pStyle w:val="TextoNormal"/>
      </w:pPr>
    </w:p>
    <w:p w:rsidR="008107C7" w:rsidRDefault="008107C7" w:rsidP="008107C7">
      <w:pPr>
        <w:pStyle w:val="TextoNormal"/>
      </w:pPr>
      <w:r w:rsidRPr="008107C7">
        <w:rPr>
          <w:rStyle w:val="NumeroAFNegritaCaracter"/>
        </w:rPr>
        <w:t>5</w:t>
      </w:r>
      <w:r>
        <w:t>. Centrándonos, pues, de forma exclusiva, en el contenido de la libertad de información, debe examinarse ya si el recurrente ha actuado bajo su protección o bien al margen de la libertad que el art. 20.1d) C.E. consagra.</w:t>
      </w:r>
    </w:p>
    <w:p w:rsidR="008107C7" w:rsidRDefault="008107C7" w:rsidP="008107C7">
      <w:pPr>
        <w:pStyle w:val="TextoNormal"/>
      </w:pPr>
      <w:r>
        <w:t xml:space="preserve">Desde esta perspectiva, no es ocioso insistir que este Tribunal sostiene que el contenido constitucional del art. 20.1 d) C.E. consiste en suministrar información sobre hechos que se pretenden ciertos, por lo que la protección constitucional de su reconocimiento se extiende únicamente a la información veraz (entre otras muchas otras, SSTC 6/1988, 20/1990, </w:t>
      </w:r>
      <w:r>
        <w:lastRenderedPageBreak/>
        <w:t>105/1990 y 133/1995).  De este modo, determinar qué debe entenderse por veracidad es de especial importancia para establecer si la conducta del informador responde al ejercicio de un derecho constitucional o si su actuación se sitúa fuera del campo de protección del mismo.</w:t>
      </w:r>
    </w:p>
    <w:p w:rsidR="008107C7" w:rsidRDefault="008107C7" w:rsidP="008107C7">
      <w:pPr>
        <w:pStyle w:val="TextoNormal"/>
      </w:pPr>
      <w:r>
        <w:t>A este respecto el Tribunal ha precisado que, en este contexto, la veracidad de la información no es sinónima de la verdad objetiva e incontestable de los hechos, sino reflejo de la necesaria diligencia en la búsqueda de lo cierto o, si se prefiere de la especial diligencia a fin de contrastar debidamente las fuentes de la información. Por esta razón, en la STC 320/1994 (fundamento jurídico 3º) se declaró que la veracidad de lo que se informa "no va dirigida tanto a la exigencia de una rigurosa y total exactitud en el contenido de la información, sino a negar la protección constitucional a los que, defraudando el derecho de todos a recibir información veraz, transmiten como hechos verdaderos, bien simples rumores, carentes de toda constatación, bien meras invenciones o insinuaciones, sin comprobar su veracidad mediante las oportunas averiguaciones".</w:t>
      </w:r>
    </w:p>
    <w:p w:rsidR="008107C7" w:rsidRDefault="008107C7" w:rsidP="008107C7">
      <w:pPr>
        <w:pStyle w:val="TextoNormal"/>
      </w:pPr>
    </w:p>
    <w:p w:rsidR="008107C7" w:rsidRDefault="008107C7" w:rsidP="008107C7">
      <w:pPr>
        <w:pStyle w:val="TextoNormal"/>
      </w:pPr>
      <w:r w:rsidRPr="008107C7">
        <w:rPr>
          <w:rStyle w:val="NumeroAFNegritaCaracter"/>
        </w:rPr>
        <w:t>6</w:t>
      </w:r>
      <w:r>
        <w:t>. Pues bien, al aplicar esta doctrina al supuesto de hecho que enjuiciamos, no puede más que concluirse que la información que el recurrente transmitió a los periodistas acerca de la trayectoria laboral del Sr. Guillén Madriñán, cuyo contenido nuclear consistía en que la afirmación de que éste era objeto de sobornos por parte de ciertos empresarios, no era información veraz en el sentido indicado.</w:t>
      </w:r>
    </w:p>
    <w:p w:rsidR="008107C7" w:rsidRDefault="008107C7" w:rsidP="008107C7">
      <w:pPr>
        <w:pStyle w:val="TextoNormal"/>
      </w:pPr>
      <w:r>
        <w:t>Tanto de la Sentencia del Juzgado de lo Penal como de la Sentencia de la Audiencia Provincial se deduce que las imputaciones del ahora recurrente al inspector de Trabajo, no resultaron probadas durante el juicio por el primero, por lo que en ambas instancias dichas imputaciones se tuvieron por falsas.</w:t>
      </w:r>
    </w:p>
    <w:p w:rsidR="008107C7" w:rsidRDefault="008107C7" w:rsidP="008107C7">
      <w:pPr>
        <w:pStyle w:val="TextoNormal"/>
      </w:pPr>
      <w:r>
        <w:t>Ahora bien, que la información transmitida fuera falsa no obstaría, como se ha indicado, para que siguiera teniendo cobertura bajo el ámbito de protección del art. 20.1d) CE. Como se ha dicho, aun cuando la Constitución someta la libertad de información al expreso límite de la "veracidad" de la noticia, no puede exigirse al profesional de la información o al ciudadano que transmita la verdad objetiva, histórica o judicial, sino que ponga todo su deber de diligencia para contrastar sus fuentes de información en punto a alcanzar la verdad que el art.  20.1d) C.E.  requiere.</w:t>
      </w:r>
    </w:p>
    <w:p w:rsidR="008107C7" w:rsidRDefault="008107C7" w:rsidP="008107C7">
      <w:pPr>
        <w:pStyle w:val="TextoNormal"/>
      </w:pPr>
      <w:r>
        <w:t>Sin embargo, llegados a este punto, también resulta acreditado en ambas instancias que el ahora recurrente dio conocimiento público de "hechos que más o menos había recogido de algunos rumores o quejas de trabajadores de algunas empresas" (fundamento jurídico 6º, Sentencia de instancia; fundamento jurídico 5º Sentencia de apelación). Con lo cual, imputó al Inspector de Trabajo gravísimos hechos que, objetivamente, afectaban a su íntegra actuación profesional; y tales imputaciones, no obstante su gravedad, se realizaron con total desconocimiento del deber de comprobar, con la diligencia exigible, la veracidad de lo que, hasta el momento, eran simples rumores o quejas de trabajadores.</w:t>
      </w:r>
    </w:p>
    <w:p w:rsidR="008107C7" w:rsidRDefault="008107C7" w:rsidP="008107C7">
      <w:pPr>
        <w:pStyle w:val="TextoNormal"/>
      </w:pPr>
      <w:r>
        <w:t xml:space="preserve">Es más, tampoco en esta sede el recurrente ha intentado acreditar que de algún modo trató de cumplir con el deber de diligencia exigible a fin de transmitir la información que protege el art. 20.1d) C.E. En la demanda de amparo se limita a alegar, como también hizo ante la jurisdicción ordinaria, que "no tenía plena conciencia de falsedad en la información que transmitía...durante la rueda de prensa". Pero ello no basta, como hemos dicho, para ejercer la libertad que aquél precepto ampara. Al no comprobar la veracidad mediante las oportunas averiguaciones y transmitir como hechos verdaderos simples rumores carentes de toda constatación, el representante sindical, cuya condición en nada afecta a este deber de </w:t>
      </w:r>
      <w:r>
        <w:lastRenderedPageBreak/>
        <w:t>diligencia, pues es exigible a cualquier sujeto que pretenda ejercer tal derecho, actuó al margen de la libertad que reconoce el art. 20.1d) de la C.E.</w:t>
      </w:r>
    </w:p>
    <w:p w:rsidR="008107C7" w:rsidRDefault="008107C7" w:rsidP="008107C7">
      <w:pPr>
        <w:pStyle w:val="TextoNormal"/>
      </w:pPr>
    </w:p>
    <w:p w:rsidR="008107C7" w:rsidRDefault="008107C7" w:rsidP="008107C7">
      <w:pPr>
        <w:pStyle w:val="TextoNormal"/>
      </w:pPr>
      <w:r w:rsidRPr="008107C7">
        <w:rPr>
          <w:rStyle w:val="NumeroAFNegritaCaracter"/>
        </w:rPr>
        <w:t>7</w:t>
      </w:r>
      <w:r>
        <w:t>. En consecuencia, dado que el Sr. Domínguez Salguero ha transmitido una información a los medios de comunicación que acarrea objetivamente una lesión en el honor del querellante; comprobado, a su vez, que la información transmitida era falsa, pues no quedó acreditado durante el proceso que los hechos imputados al Sr. Guillén Madriñán fueran verdaderos; y constatado, además, que en ninguna de las dos instancias ordinarias el informador acreditó su diligencia en la comprobación de la veracidad de lo expresado, así como tampoco lo hizo en esta sede, debe concluirse que las resoluciones impugnadas no han vulnerado el art. 20.1d) de la C.E., puesto que la libertad consagrada en tal precepto fue ejercida transgrediendo el ámbito de protección que la Constitución le reconoce.</w:t>
      </w:r>
    </w:p>
    <w:p w:rsidR="008107C7" w:rsidRDefault="008107C7" w:rsidP="008107C7">
      <w:pPr>
        <w:pStyle w:val="TextoNormal"/>
      </w:pPr>
      <w:r>
        <w:t>No obsta a esta conclusión, como bien advierte el Ministerio Fiscal, el hecho que los Tribunales ordinarios no hayan utilizado, para la resolución del caso, el razonamiento aquí seguido. En todo caso, como señalamos en la STC 172/1990, lo decisivo es determinar si el ejercicio de la libertad de información ha sido o no legítimo, aunque para llegar a la misma conclusión, como ahora es el caso, haya sido preciso utilizar criterios distintos de los utilizados por el Poder Judicial.</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Denegar el amparo solicitado por don Fernando Domínguez Salguero.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once de marzo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55" w:name="SENTENCIA_1997_52"/>
      <w:r>
        <w:lastRenderedPageBreak/>
        <w:t>SENTENCIA 52/1997, de 17 de marzo de 1997</w:t>
      </w:r>
    </w:p>
    <w:bookmarkEnd w:id="55"/>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92, de 17 de abril de 1997)</w:t>
      </w:r>
    </w:p>
    <w:p w:rsidR="008107C7" w:rsidRDefault="008107C7" w:rsidP="008107C7">
      <w:pPr>
        <w:pStyle w:val="TtuloBOE"/>
      </w:pPr>
    </w:p>
    <w:p w:rsidR="008107C7" w:rsidRDefault="008107C7" w:rsidP="008107C7">
      <w:pPr>
        <w:pStyle w:val="SntesisDescriptiva"/>
      </w:pPr>
      <w:r>
        <w:t>ECLI:ES:TC:1997:52</w:t>
      </w:r>
    </w:p>
    <w:p w:rsidR="008107C7" w:rsidRDefault="008107C7" w:rsidP="008107C7">
      <w:pPr>
        <w:pStyle w:val="SntesisDescriptiva"/>
      </w:pPr>
    </w:p>
    <w:p w:rsidR="008107C7" w:rsidRDefault="008107C7" w:rsidP="008107C7">
      <w:pPr>
        <w:pStyle w:val="SntesisDescriptiva"/>
      </w:pPr>
      <w:r>
        <w:t>Recurso de amparo 2.753/1992. Unión General de Trabajadores de Palencia contra Sentencia del Juzgado de lo Social de la misma ciudad recaída en autos sobre elecciones sindicales promovidas por el mencionado Sindicato, y que declaró la nulidad de las mismas.</w:t>
      </w:r>
    </w:p>
    <w:p w:rsidR="008107C7" w:rsidRDefault="008107C7" w:rsidP="008107C7">
      <w:pPr>
        <w:pStyle w:val="SntesisDescriptiva"/>
      </w:pPr>
    </w:p>
    <w:p w:rsidR="008107C7" w:rsidRDefault="008107C7" w:rsidP="008107C7">
      <w:pPr>
        <w:pStyle w:val="SntesisAnaltica"/>
      </w:pPr>
      <w:r>
        <w:t>Vulneración del derecho a la tutela judicial efectiva: Sentencia dictada "inaudita parte".</w:t>
      </w:r>
    </w:p>
    <w:p w:rsidR="008107C7" w:rsidRDefault="008107C7" w:rsidP="008107C7">
      <w:pPr>
        <w:pStyle w:val="SntesisAnaltica"/>
      </w:pPr>
    </w:p>
    <w:p w:rsidR="008107C7" w:rsidRDefault="008107C7" w:rsidP="008107C7">
      <w:pPr>
        <w:pStyle w:val="Extracto"/>
      </w:pPr>
      <w:r>
        <w:t>1.</w:t>
      </w:r>
      <w:r>
        <w:tab/>
        <w:t>Ante la patente omisión sufrida por la parte actora, que no demandó al Sindicato afectado por el acto frente al que se formulaba la acción, y, por el contrario, señaló como demandados erróneamente a quienes no podían serlo, el Juez debió, de oficio, acudir a la audiencia preliminar que le concedía el art. 130.3 de la L.P.L., a los efectos de subsanar la defectuosa constitución de la relación jurídica procesal formulada por la demanda inicial. No haciéndolo así, el órgano judicial privó al Sindicato demandante de amparo de ejercitar su posibilidad de alegar y defender sus derechos e intereses en el ejercicio del principio de contradicción. Por todo ello, la decisión judicial que declaró la nulidad del proceso electoral, afectando a los derechos e interés del Sindicato UGT de Palencia, y contra la cual no cabía recurso, dio lugar a una situación de indefensión de este Sindicato, sin que, de otra parte, conste su conocimiento extraprocesal del citado procedimiento . [F.J. 4]</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2.753/92, interpuesto por doña Elisa Hurtado Pérez, Procuradora de los Tribunales, en representación de la Unión General de Trabajadores de Palencia, con la asistencia letrada de don Angel Paredes Montero, contra la Sentencia del Juzgado de lo Social de Palencia, de 14 de julio de 1992, recaída en los autos núm. 393/92, sobre elecciones sindicales. Ha intervenido el Ministerio Fiscal. Ha sido Ponente el Magistrado don Carles Viver Pi-Sunyer, quien expresa el parecer de la Sala.</w:t>
      </w:r>
    </w:p>
    <w:p w:rsidR="008107C7" w:rsidRDefault="008107C7" w:rsidP="008107C7">
      <w:pPr>
        <w:pStyle w:val="TextoNormal"/>
      </w:pPr>
    </w:p>
    <w:p w:rsidR="008107C7" w:rsidRDefault="008107C7" w:rsidP="008107C7">
      <w:pPr>
        <w:pStyle w:val="TextoNormalNegritaCentrado"/>
        <w:keepNext/>
      </w:pPr>
      <w:r>
        <w:lastRenderedPageBreak/>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registrado en este Tribunal el 16 de noviembre de 1992, doña Elisa Hurtado Pérez, Procuradora de los Tribunales, en nombre y representación de la Unión General de Trabajadores de Palencia, interpone recurso de amparo contra la Sentencia del Juzgado de lo Social de Palencia, de 14 de julio de 1992, recaída en los autos núm. 393/92, sobre elecciones sindicales. Se invoca el art. 24. 1 de la C.E.</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Constituyen la base fáctica de la demanda los siguientes antecedentes de hecho: </w:t>
      </w:r>
    </w:p>
    <w:p w:rsidR="008107C7" w:rsidRDefault="008107C7" w:rsidP="008107C7">
      <w:pPr>
        <w:pStyle w:val="TextoNormal"/>
      </w:pPr>
      <w:r>
        <w:t xml:space="preserve">a) El Sindicato Unión General de Trabajadores (U.G.T.) de Palencia presentó, el día 5 de mayo de 1992, ante la Unidad de Mediación, Arbitraje y Conciliación de Palencia preaviso para la promoción de elecciones sindicales en la empresa Cantábrico de Prensa, S.A., fijándose como fecha de iniciación del proceso electoral el día 18 de mayo de 1992. La dirección de la citada empresa, una vez tuvo conocimiento de la próxima celebración de elecciones sindicales, se puso en contacto con representantes de la U.G.T. de Palencia, alegando su disconformidad con el procedimiento seguido por el Sindicato para la promoción de las mismas. </w:t>
      </w:r>
    </w:p>
    <w:p w:rsidR="008107C7" w:rsidRDefault="008107C7" w:rsidP="008107C7">
      <w:pPr>
        <w:pStyle w:val="TextoNormal"/>
      </w:pPr>
      <w:r>
        <w:t xml:space="preserve">b) El día 18 de mayo de 1992, el representante legal de la empresa impidió la constitución de la mesa electoral aduciendo su disconformidad con la promoción de elecciones sindicales en la empresa. </w:t>
      </w:r>
    </w:p>
    <w:p w:rsidR="008107C7" w:rsidRDefault="008107C7" w:rsidP="008107C7">
      <w:pPr>
        <w:pStyle w:val="TextoNormal"/>
      </w:pPr>
      <w:r>
        <w:t xml:space="preserve">c) El día 19 de mayo de 1992, el citado Sindicato envió escrito a la Dirección Provincial de Trabajo de Palencia, recabando el auxilio de la Inspección de Trabajo para la regular celebración del proceso electoral en curso. Tras la visita al centro de trabajo por parte de una Inspectora de Trabajo, ésta emitió informe señalando que la empresa había sido requerida a no impedir sino a facilitar el desenvolvimiento del proceso electoral ya iniciado, y que el incumplimiento de tal requerimiento (que consta en el Libro de Visitas) originaría la instrucción de la correspondiente acta de infracción. </w:t>
      </w:r>
    </w:p>
    <w:p w:rsidR="008107C7" w:rsidRDefault="008107C7" w:rsidP="008107C7">
      <w:pPr>
        <w:pStyle w:val="TextoNormal"/>
      </w:pPr>
      <w:r>
        <w:t xml:space="preserve">d) Con fecha de 25 de mayo de 1992, se celebraron las elecciones en la empresa resultando elegida, como Delegada de Personal, doña María del Carmen García Zabaco, por la candidatura del Sindicato U.G.T. </w:t>
      </w:r>
    </w:p>
    <w:p w:rsidR="008107C7" w:rsidRDefault="008107C7" w:rsidP="008107C7">
      <w:pPr>
        <w:pStyle w:val="TextoNormal"/>
      </w:pPr>
      <w:r>
        <w:t xml:space="preserve">e) Con fecha de 29 de mayo de 1992, la empresa Cantábrico de Prensa, S.A., presentó demanda de impugnación de las elecciones celebradas, donde figuraban como demandados doña Carmen Muñoz Postigo, doña Lourdes Merino Diez, y don Carlos Rossi Muñoz, componentes de la Mesa electoral. </w:t>
      </w:r>
    </w:p>
    <w:p w:rsidR="008107C7" w:rsidRDefault="008107C7" w:rsidP="008107C7">
      <w:pPr>
        <w:pStyle w:val="TextoNormal"/>
      </w:pPr>
      <w:r>
        <w:t>f) La Sentencia del Juzgado de lo Social de Palencia, de 14 de julio de 1992, declaró la nulidad de las elecciones celebradas, dejándolas sin efecto alguno, y previniendo a las partes sobre la inexistencia de recurso contra la misma.</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Contra esta Sentencia se interpone recurso de amparo, por presunta vulneración del art. 24.1 de la C.E. con la súplica de que se anule la misma, y se repongan las actuaciones al momento de interposición de la demanda, para ser llamado al proceso el Sindicato U.G.T., promotor de las elecciones sindicales. Considera el Sindicato recurrente que la relación jurídico procesal en esta litis está viciada, ya que, siendo el promotor de las elecciones sindicales, no fue citado como demandado en el proceso judicial de impugnación de las mismas, contraviniendo lo preceptuado por el art. 76.2 de la Ley del Estatuto de los Trabajadores, y el art. 130.1. de la L.P.L.; siendo demandados los componentes de la Mesa electoral, en contra de lo establecido por el art. 130.2 de la L.P.L.. Además, también se ha vulnerado el </w:t>
      </w:r>
      <w:r>
        <w:lastRenderedPageBreak/>
        <w:t xml:space="preserve">art. 130.3 de la L.P.L., pues el juzgador debió haber advertido a las partes sobre la posible excepción de falta de legitimación pasiva, al no haber sido llamados a juicio todos los afectados. </w:t>
      </w:r>
    </w:p>
    <w:p w:rsidR="008107C7" w:rsidRDefault="008107C7" w:rsidP="008107C7">
      <w:pPr>
        <w:pStyle w:val="TextoNormal"/>
      </w:pPr>
      <w:r>
        <w:t>Por todo ello y a juicio del recurrente, la citada infracción de la normativa procesal le ha impedido ser oído en el proceso, así como toda posibilidad de ejercer la defensa pertinente en el mismo, dictándose una Sentencia que le afecta, al determinar la nulidad de las elecciones sindicales, y que le ha producido una evidente indefensión.</w:t>
      </w:r>
    </w:p>
    <w:p w:rsidR="008107C7" w:rsidRDefault="008107C7" w:rsidP="008107C7">
      <w:pPr>
        <w:pStyle w:val="TextoNormal"/>
      </w:pPr>
    </w:p>
    <w:p w:rsidR="008107C7" w:rsidRDefault="008107C7" w:rsidP="008107C7">
      <w:pPr>
        <w:pStyle w:val="TextoNormal"/>
      </w:pPr>
      <w:r w:rsidRPr="008107C7">
        <w:rPr>
          <w:rStyle w:val="NumeroAFNegritaCaracter"/>
        </w:rPr>
        <w:t>4</w:t>
      </w:r>
      <w:r>
        <w:t>. Por providencia, de 1 de marzo de 1993, la Sección Tercera acuerda admitir a trámite la demanda y, a tenor de lo dispuesto en el art. 51 de la LOTC, requerir al Juzgado de lo Social de Palencia a fin de que, en un plazo que no exceda de diez días, remita certificación o fotocopia adverada de las actuaciones correspondientes a los autos núm. 393/92, en los que recayó la Sentencia de 14 de julio de 1992, debiendo previamente emplazarse a quienes fueron parte en el procedimiento, excepto el recurrente de amparo, para que en el plazo de diez días puedan comparecer, si lo desean, en el recurso de amparo, y defender sus derechos.</w:t>
      </w:r>
    </w:p>
    <w:p w:rsidR="008107C7" w:rsidRDefault="008107C7" w:rsidP="008107C7">
      <w:pPr>
        <w:pStyle w:val="TextoNormal"/>
      </w:pPr>
    </w:p>
    <w:p w:rsidR="008107C7" w:rsidRDefault="008107C7" w:rsidP="008107C7">
      <w:pPr>
        <w:pStyle w:val="TextoNormal"/>
      </w:pPr>
      <w:r w:rsidRPr="008107C7">
        <w:rPr>
          <w:rStyle w:val="NumeroAFNegritaCaracter"/>
        </w:rPr>
        <w:t>5</w:t>
      </w:r>
      <w:r>
        <w:t>. Por providencia, de 6 de mayo de 1993, la Sección Cuarta acuerda acusar recibo al Juzgado de lo Social de Palencia de las actuaciones remitidas y, conforme a lo dispuesto en el art. 52 de la LOTC, dar vista de las mismas a la parte recurrente y al Ministerio Fiscal para la formulación de las alegaciones en el plazo común de veinte días.</w:t>
      </w:r>
    </w:p>
    <w:p w:rsidR="008107C7" w:rsidRDefault="008107C7" w:rsidP="008107C7">
      <w:pPr>
        <w:pStyle w:val="TextoNormal"/>
      </w:pPr>
    </w:p>
    <w:p w:rsidR="008107C7" w:rsidRDefault="008107C7" w:rsidP="008107C7">
      <w:pPr>
        <w:pStyle w:val="TextoNormal"/>
      </w:pPr>
      <w:r w:rsidRPr="008107C7">
        <w:rPr>
          <w:rStyle w:val="NumeroAFNegritaCaracter"/>
        </w:rPr>
        <w:t>6</w:t>
      </w:r>
      <w:r>
        <w:t>. El recurrente no formuló alegaciones.</w:t>
      </w:r>
    </w:p>
    <w:p w:rsidR="008107C7" w:rsidRDefault="008107C7" w:rsidP="008107C7">
      <w:pPr>
        <w:pStyle w:val="TextoNormal"/>
      </w:pPr>
    </w:p>
    <w:p w:rsidR="008107C7" w:rsidRDefault="008107C7" w:rsidP="008107C7">
      <w:pPr>
        <w:pStyle w:val="TextoNormal"/>
      </w:pPr>
      <w:r w:rsidRPr="008107C7">
        <w:rPr>
          <w:rStyle w:val="NumeroAFNegritaCaracter"/>
        </w:rPr>
        <w:t>7</w:t>
      </w:r>
      <w:r>
        <w:t>. El Ministerio Fiscal, en el escrito presentado el 3 de junio de 1993, interesa la estimación del amparo solicitado, por entender que la Sentencia recurrida ha vulnerado el art. 24.1 de la C.E. A su juicio, en el presente caso, en el que el Sindicato promotor del proceso electoral, y que había conseguido que saliera elegida una trabajadora de dicho Sindicato, no fue sin embargo, citado como parte al juicio, en cuya virtud las elecciones fueron declaradas nulas, aparte de contradecir la regulación legal (arts. 76.2 de la L.E.T., y 130. 1, 2, y 3 de la L.P.L.) significa que el juzgador ha impedido al Sindicato defender un interés legítimo a la no prosperabilidad del citado juicio, colocándole en una situación de indefensión e impidiendo la contradicción procesal, por lo que ha vulnerado el derecho a la tutela judicial efectiva protegido en el art. 24. 1 de la C.E. La constitución de la relación procesal estuvo mal hecha, prosigue el Ministerio Público, y el Juez debió, de oficio, dada la patente omisión sufrida por la parte actora, acudir a la audiencia preliminar que le concede el art. 130.3 de la L.P.L., porque no solamente faltaba como demandado el Sindicato -que evidentemente tenía un interés legítimo y directo en ello- sino que precisamente habían sido demandados quienes conforme a la ley no podían serlo, es decir, los componentes de la Mesa electoral (art. 130.2 de la L.P.L.).</w:t>
      </w:r>
    </w:p>
    <w:p w:rsidR="008107C7" w:rsidRDefault="008107C7" w:rsidP="008107C7">
      <w:pPr>
        <w:pStyle w:val="TextoNormal"/>
      </w:pPr>
    </w:p>
    <w:p w:rsidR="008107C7" w:rsidRDefault="008107C7" w:rsidP="008107C7">
      <w:pPr>
        <w:pStyle w:val="TextoNormal"/>
      </w:pPr>
      <w:r w:rsidRPr="008107C7">
        <w:rPr>
          <w:rStyle w:val="NumeroAFNegritaCaracter"/>
        </w:rPr>
        <w:t>8</w:t>
      </w:r>
      <w:r>
        <w:t>. Por providencia de 13 de marzo de 1997, se señaló para deliberación y votación de la presente Sentencia el día 17 del mismo mes y año.</w:t>
      </w:r>
    </w:p>
    <w:p w:rsidR="008107C7" w:rsidRDefault="008107C7" w:rsidP="008107C7">
      <w:pPr>
        <w:pStyle w:val="TextoNormal"/>
      </w:pPr>
    </w:p>
    <w:p w:rsidR="008107C7" w:rsidRDefault="008107C7" w:rsidP="008107C7">
      <w:pPr>
        <w:pStyle w:val="TextoNormalNegritaCentrado"/>
        <w:keepNext/>
      </w:pPr>
      <w:r>
        <w:lastRenderedPageBreak/>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Lo que ha de dilucidarse en este procedimiento de amparo constitucional es si el recurrente -el Sindicato U.G.T. de Palencia, que fue promotor de las elecciones a representantes unitarios en la empresa Cantábrico de Prensa, S.A.- ha padecido una inconstitucional privación del derecho fundamental a la tutela judicial efectiva y, en consecuencia, si se encuentra en la situación de indefensión que proscribe la Norma fundamental, todo ello a consecuencia de no haber sido citado como demandado en el proceso de impugnación de las referidas elecciones sindicales, iniciado a instancias de la empresa, y que concluyó mediante Sentencia anulatoria de las elecciones celebradas.</w:t>
      </w:r>
    </w:p>
    <w:p w:rsidR="008107C7" w:rsidRDefault="008107C7" w:rsidP="008107C7">
      <w:pPr>
        <w:pStyle w:val="TextoNormal"/>
      </w:pPr>
    </w:p>
    <w:p w:rsidR="008107C7" w:rsidRDefault="008107C7" w:rsidP="008107C7">
      <w:pPr>
        <w:pStyle w:val="TextoNormal"/>
      </w:pPr>
      <w:r w:rsidRPr="008107C7">
        <w:rPr>
          <w:rStyle w:val="NumeroAFNegritaCaracter"/>
        </w:rPr>
        <w:t>2</w:t>
      </w:r>
      <w:r>
        <w:t>. La solución a esta cuestión obliga a efectuar un sucinto examen de la normativa en esta materia, en orden a esclarecer si el Sindicato demandante debió o no ser citado como parte demandada en el proceso seguido en materia electoral, a los efectos de poder estimar vulnerado su derecho de defensa.</w:t>
      </w:r>
    </w:p>
    <w:p w:rsidR="008107C7" w:rsidRDefault="008107C7" w:rsidP="008107C7">
      <w:pPr>
        <w:pStyle w:val="TextoNormal"/>
      </w:pPr>
      <w:r>
        <w:t>Conviene recordar que la legislación sobre reclamaciones en materia electoral, entonces vigente (art. 76 de la Ley 8/1980, de 10 de marzo, del Estatuto de lo Trabajadores y arts. 127 a 136 del Real Decreto legislativo 521/1990, por el que se aprueba el Texto articulado de la Ley de Procedimiento Laboral, modificados por la Ley 11/1994, de 19 de mayo) establecía que "la elección, así como las resoluciones que dicte la mesa y cualesquiera otras actuaciones producidas a lo largo del proceso electoral, podrán ser impugnadas por todos aquellos que tengan interés directo, considerándose parte demandada las personas y sindicatos afectos por el acto o situación frente a la cual se formula la acción" (art. 76.2 de la L.E.T.); que "la demanda deberá dirigirse contra las personas y sindicatos afectados por el acto o situación frente al que se formule la acción, si los hubiere" (art. 130.1 de la L.P.L.); que "en ningún caso tendrán la consideración de demandados los Comites de Empresa, los Delegados de Personal, ni la Mesa electoral (art. 130.2 de la L.P.L.); y que "si examinada la demanda el Juez estima que puede no haber sido dirigida contra todos los afectados, citará a las partes para que comparezcan, dentro del día siguiente, a una audiencia preliminar en la que, oyendo a las partes sobre la posible situación de litisconsorcio pasivo necesario, resolverá sobre la misma en el acto" (art. 130.3 de la L.P.L.).</w:t>
      </w:r>
    </w:p>
    <w:p w:rsidR="008107C7" w:rsidRDefault="008107C7" w:rsidP="008107C7">
      <w:pPr>
        <w:pStyle w:val="TextoNormal"/>
      </w:pPr>
    </w:p>
    <w:p w:rsidR="008107C7" w:rsidRDefault="008107C7" w:rsidP="008107C7">
      <w:pPr>
        <w:pStyle w:val="TextoNormal"/>
      </w:pPr>
      <w:r w:rsidRPr="008107C7">
        <w:rPr>
          <w:rStyle w:val="NumeroAFNegritaCaracter"/>
        </w:rPr>
        <w:t>3</w:t>
      </w:r>
      <w:r>
        <w:t>. En reiteradas Sentencias ha declarado este Tribunal que la indefensión proscrita por el art. 24 de la C.E., identifica aquella limitación de los medios de defensa producida por una indebida actuación de los órganos judiciales, no sin dejar sentado que la indefensión de alcance constitucional es algo diverso de la indefensión meramente procesal, y debe alcanzar una significación material produciendo una lesión efectiva, o , en otras palabras, un menoscabo real y efectivo del derecho de defensa (SSTC 135/1986, 207/1989, 6/1992, 289/1993, 140/1996).</w:t>
      </w:r>
    </w:p>
    <w:p w:rsidR="008107C7" w:rsidRDefault="008107C7" w:rsidP="008107C7">
      <w:pPr>
        <w:pStyle w:val="TextoNormal"/>
      </w:pPr>
    </w:p>
    <w:p w:rsidR="008107C7" w:rsidRDefault="008107C7" w:rsidP="008107C7">
      <w:pPr>
        <w:pStyle w:val="TextoNormal"/>
      </w:pPr>
      <w:r w:rsidRPr="008107C7">
        <w:rPr>
          <w:rStyle w:val="NumeroAFNegritaCaracter"/>
        </w:rPr>
        <w:t>4</w:t>
      </w:r>
      <w:r>
        <w:t>. En el caso que examinamos, ha de afirmarse que la resolución judicial que declaró la nulidad del procedimiento electoral, promovido por el Sindicato demandante de amparo, sin que éste haya podido hacer valer sus derechos o intereses ante el órgano judicial, vulnera la garantía constitucional contenida en el art. 24.1 C.E., dando lugar a un menoscabo real y efectivo del derecho de defensa del recurrente, y produciendo así una indefensión constitucionalmente amparable en esta sede.</w:t>
      </w:r>
    </w:p>
    <w:p w:rsidR="008107C7" w:rsidRDefault="008107C7" w:rsidP="008107C7">
      <w:pPr>
        <w:pStyle w:val="TextoNormal"/>
      </w:pPr>
      <w:r>
        <w:lastRenderedPageBreak/>
        <w:t>En efecto, en el presente supuesto existe un conjunto de factores que identifican la existencia de una indefensión contraria al derecho fundamental que reconoce el art. 24.1 C.E..  En primer lugar, el Juzgado citó como demandados a quienes erróneamente habían sido demandados por la parte actora, los componentes de la Mesa electoral, y que conforme a la normativa legal, en ningún caso podían serlo. En segundo lugar, y atendiendo a los términos de la normativa legal, en el proceso de impugnación de las elecciones sindicales, no puede entenderse que resulte compleja la identificación de quienes puedan ser partes (SSTC 65/1985, 151/1988). Por último, del examen de las actuaciones judiciales resulta claro que el Sindicato U.G.T. había sido el promotor de las elecciones, que era el único que había presentado una candidatura, y que el candidato propuesto por este Sindicato había sido designado como delegado de personal.  Además, como se desprende del acta del juicio, los demandados se limitaron a alegar que el procedimiento electoral discurrió en todo momento bajo dirección y supervisión sindical.</w:t>
      </w:r>
    </w:p>
    <w:p w:rsidR="008107C7" w:rsidRDefault="008107C7" w:rsidP="008107C7">
      <w:pPr>
        <w:pStyle w:val="TextoNormal"/>
      </w:pPr>
      <w:r>
        <w:t>Por tanto, y como pone de relieve el Ministerio Fiscal, ante la patente omisión sufrida por la parte actora, que no demandó al Sindicato afectado por el acto frente al que se formulaba la acción, y, por el contrario, señaló como demandados erróneamente a quienes no podían serlo, el Juez debió, de oficio, acudir a la audiencia preliminar que le concedía el art. 130.3 de la L.P.L., a los efectos de subsanar la defectuosa constitución de la relación jurídica procesal formulada por la demanda inicial.</w:t>
      </w:r>
    </w:p>
    <w:p w:rsidR="008107C7" w:rsidRDefault="008107C7" w:rsidP="008107C7">
      <w:pPr>
        <w:pStyle w:val="TextoNormal"/>
      </w:pPr>
      <w:r>
        <w:t>No haciéndolo así, el órgano judicial privó al Sindicato demandante de amparo de ejercitar su posibilidad de alegar, y defender sus derechos e intereses en el ejercicio del principio de contradicción. Por todo ello, la decisión judicial que declaró la nulidad del proceso electoral, afectando a los derechos e interés del Sindicato U.G.T. de Palencia, y contra la cual no cabía recurso, dio lugar a una situación de indefensión de este Sindicato, sin que, de otra parte, conste su conocimiento extraprocesal del citado procedimiento.</w:t>
      </w:r>
    </w:p>
    <w:p w:rsidR="008107C7" w:rsidRDefault="008107C7" w:rsidP="008107C7">
      <w:pPr>
        <w:pStyle w:val="TextoNormal"/>
      </w:pPr>
      <w:r>
        <w:t>En consecuencia, la señalada infracción de la normativa procesal ha determinado para el demandante de amparo una situación de indefensión material, constitucionalmente proscrita, que ha vulnerado el derecho a la tutela judicial efectiva protegido por el art. 24.1 de la C.E..</w:t>
      </w:r>
    </w:p>
    <w:p w:rsidR="008107C7" w:rsidRDefault="008107C7" w:rsidP="008107C7">
      <w:pPr>
        <w:pStyle w:val="TextoNormal"/>
      </w:pPr>
    </w:p>
    <w:p w:rsidR="008107C7" w:rsidRDefault="008107C7" w:rsidP="008107C7">
      <w:pPr>
        <w:pStyle w:val="TextoNormal"/>
      </w:pPr>
      <w:r w:rsidRPr="008107C7">
        <w:rPr>
          <w:rStyle w:val="NumeroAFNegritaCaracter"/>
        </w:rPr>
        <w:t>5</w:t>
      </w:r>
      <w:r>
        <w:t>. El otorgamiento del amparo habría de conducir lógicamente además de a la declaración de nulidad de la resolución impugnada, al restablecimiento del derecho del Sindicato demandante, reponiendo las actuaciones al momento de interposición de la demanda, para que el mismo sea llamado al proceso.</w:t>
      </w:r>
    </w:p>
    <w:p w:rsidR="008107C7" w:rsidRDefault="008107C7" w:rsidP="008107C7">
      <w:pPr>
        <w:pStyle w:val="TextoNormal"/>
      </w:pPr>
      <w:r>
        <w:t>Existen, sin embargo, circunstancias en el presente caso que impiden alcanzar tales consecuencias. En primer lugar, este Tribunal no puede eludir el dato de que el procedimiento en materia electoral, tras la reforma introducida por la ya citada Ley 11/1994, de 19 de mayo, es hoy un proceso de impugnación de los laudos arbitrales previstos por el art. 76 del Estatuto de los Trabajadores (regulado por los arts. 127 a 132 del Real Decreto legislativo 2/1995, de 7 de abril, por el que se aprueba el texto refundido de la Ley de Procedimiento Laboral) por lo que la retroacción para que el Juzgado dictase nueva Sentencia en un procedimiento hoy desaparecido carecería de todo sentido. En segundo término, el mandato representativo de la delegada de personal elegida en virtud de las elecciones sindicales que fueron anuladas por la decisión judicial aquí recurrida, habría ya expirado. Finalmente, en todo caso, el Sindicato demandante u otro Sindicato legitimado pudo en cualquier momento volver a convocar un nuevo proceso electoral en la empresa Cantábrico de Prensa, S.A..</w:t>
      </w:r>
    </w:p>
    <w:p w:rsidR="008107C7" w:rsidRDefault="008107C7" w:rsidP="008107C7">
      <w:pPr>
        <w:pStyle w:val="TextoNormal"/>
      </w:pPr>
      <w:r>
        <w:lastRenderedPageBreak/>
        <w:t>Ello conduce en el presente caso a limitar el pronunciamiento de este Tribunal al reconocimiento del derecho de conformidad con su contenido constitucionalmente garantizado (art.  55 LOTC).</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1º. Otorgar el amparo y declarar que la Resolución recurrida, al decretar la nulidad del procedimiento electoral sin que el Sindicato promotor de la elección haya podido hacer valer sus derechos e intereses, ha lesionado su derecho a la tutela judicial efectiva (art. 24.1 C.E.).</w:t>
      </w:r>
    </w:p>
    <w:p w:rsidR="008107C7" w:rsidRDefault="008107C7" w:rsidP="008107C7">
      <w:pPr>
        <w:pStyle w:val="TextoNormal"/>
      </w:pPr>
      <w:r>
        <w:t>2º. Declarar la nulidad de la Sentencia del Juzgado de lo Social de Palencia, de 14 de julio de 1992, recaída en los autos núm. 393/92, así como el derecho del Sindicato recurrente a ser citado en el procedimiento que concluyó con la anterior Sentencia, de conformidad con los términos del fundamento jurídico 5º de la presente Sentencia.</w:t>
      </w:r>
    </w:p>
    <w:p w:rsidR="008107C7" w:rsidRDefault="008107C7" w:rsidP="008107C7">
      <w:pPr>
        <w:pStyle w:val="TextoNormal"/>
      </w:pPr>
      <w:r>
        <w:t>3º. Desestimar el recurso en todo lo demás.</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diecisiete de marzo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56" w:name="SENTENCIA_1997_53"/>
      <w:r>
        <w:lastRenderedPageBreak/>
        <w:t>SENTENCIA 53/1997, de 17 de marzo de 1997</w:t>
      </w:r>
    </w:p>
    <w:bookmarkEnd w:id="56"/>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92, de 17 de abril de 1997)</w:t>
      </w:r>
    </w:p>
    <w:p w:rsidR="008107C7" w:rsidRDefault="008107C7" w:rsidP="008107C7">
      <w:pPr>
        <w:pStyle w:val="TtuloBOE"/>
      </w:pPr>
    </w:p>
    <w:p w:rsidR="008107C7" w:rsidRDefault="008107C7" w:rsidP="008107C7">
      <w:pPr>
        <w:pStyle w:val="SntesisDescriptiva"/>
      </w:pPr>
      <w:r>
        <w:t>ECLI:ES:TC:1997:53</w:t>
      </w:r>
    </w:p>
    <w:p w:rsidR="008107C7" w:rsidRDefault="008107C7" w:rsidP="008107C7">
      <w:pPr>
        <w:pStyle w:val="SntesisDescriptiva"/>
      </w:pPr>
    </w:p>
    <w:p w:rsidR="008107C7" w:rsidRDefault="008107C7" w:rsidP="008107C7">
      <w:pPr>
        <w:pStyle w:val="SntesisDescriptiva"/>
      </w:pPr>
      <w:r>
        <w:t>Recurso de amparo 2.016/1993. Contra falta de pronunciamiento de Sentencia por el Juez de Primera Instancia núm. 5 de Madrid en juicio de cognición.</w:t>
      </w:r>
    </w:p>
    <w:p w:rsidR="008107C7" w:rsidRDefault="008107C7" w:rsidP="008107C7">
      <w:pPr>
        <w:pStyle w:val="SntesisDescriptiva"/>
      </w:pPr>
    </w:p>
    <w:p w:rsidR="008107C7" w:rsidRDefault="008107C7" w:rsidP="008107C7">
      <w:pPr>
        <w:pStyle w:val="SntesisAnaltica"/>
      </w:pPr>
      <w:r>
        <w:t>Vulneración del derecho a un proceso sin dilaciones indebidas.</w:t>
      </w:r>
    </w:p>
    <w:p w:rsidR="008107C7" w:rsidRDefault="008107C7" w:rsidP="008107C7">
      <w:pPr>
        <w:pStyle w:val="SntesisAnaltica"/>
      </w:pPr>
    </w:p>
    <w:p w:rsidR="008107C7" w:rsidRDefault="008107C7" w:rsidP="008107C7">
      <w:pPr>
        <w:pStyle w:val="Extracto"/>
      </w:pPr>
      <w:r>
        <w:t>1.</w:t>
      </w:r>
      <w:r>
        <w:tab/>
        <w:t>Aunque el concepto de dilaciones indebidas no pueda ser identificado con el respeto a los plazos procesales, parece claro que convertir uno de tres días, considerado suficiente al efecto por la Ley, en otro de once meses, resulta lisa y llanamente inaceptable, sin que esa tardanza, fuera o no explicable, deba ser soportada por el ciudadano, cuyo derecho a un proceso rápido resulta así vulnerado. No obsta a tal conclusión que la Sentencia haya sido dictada ya, aun cuando después de incoado este proceso de amparo. Se ha sanado la dolencia pero ello no volatiliza la realidad histórica del retraso ya consumado y no cura tampoco la consumada lesión del derecho fundamental agredido (STC 31/1997). Tampoco es óbice que el sentido de la decisión judicial fuere desestimatorio, dejando las cosas como estaban, pues el derecho fundamental en cuestión se encuentra desvinculado del contenido de la pretensión y de las expectativas de su éxito o fracaso. El efecto único de que aquí se den esas circunstancias es que ahora, una vez comprobada la transgresión constitucional, no se siguen de ella medidas concretas para su «restitutio in integrum». En este caso sólo podrían conducir a la reanudación del curso procesal, dictando la Sentencia oportuna, como ya se ha hecho. El nuestro ha de ser un pronunciamiento declarativo, pero no simbólico, desprovisto de eficacia práctica, desde el momento en que, en su caso, constituye el presupuesto del derecho a la indemnización de daños y perjuicios por el anormal funcionamiento de la Administración de Justicia (STC 33/1997) . [F.J. único]</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lastRenderedPageBreak/>
        <w:t>SENTENCIA</w:t>
      </w:r>
    </w:p>
    <w:p w:rsidR="008107C7" w:rsidRDefault="008107C7" w:rsidP="008107C7">
      <w:pPr>
        <w:pStyle w:val="TextoNormalCentrado"/>
        <w:keepNext/>
      </w:pPr>
    </w:p>
    <w:p w:rsidR="008107C7" w:rsidRDefault="008107C7" w:rsidP="008107C7">
      <w:pPr>
        <w:pStyle w:val="TextoNormal"/>
      </w:pPr>
      <w:r>
        <w:t>En el recurso de amparo núm. 2.016/93, interpuesto por doña María Dolores Araujo de Caso, representada por su apoderado y administrador don José Luis Portoles Castiñeira, a quien a su vez representa la Procuradora doña María del Carmen Moreno Ramos, con la dirección del Letrado don Manuel Muñoz Ramos, contra la falta de pronunciamiento de Sentencia por el Juez de Primera Instancia núm. 5 de Madrid, en el juicio de cognición núm. 1.434/91. Ha comparecido el Fiscal, siendo Ponente el Magistrado don Rafael de Mendizábal Allende,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Doña María Dolores Araujo de Caso, en escrito que presentó el 18 de junio de 1993, interpuso el recurso de amparo de que se hace mérito en el encabezamiento relatando que en 1991 dedujo demanda de juicio de cognición contra don Luis y don Manuel Vázquez Fernández, cuyo conocimiento correspondió al Juzgado de Primera Instancia núm. 5 de Madrid (núm. 1.434/91). El procedimiento judicial se desenvolvió con normalidad hasta el 15 de septiembre de 1992, en que fue dictada providencia declarando los autos conclusos para Sentencia. A partir de dicho momento y hasta la fecha de interposición del recurso de amparo quedó paralizado, sin que fuese dictada Sentencia en su resolución, pese a que su representación procesal presentó los días 23 de diciembre de 1992 y 27 de enero, 19 de abril, 26 de mayo y 6 de junio de 1993 sendos escritos interesando el pronunciamiento de Sentencia y denunciando dilaciones indebidas. Tan sólo obtuvieron respuesta los tres primeros, respecto de los que se acordó unirlos a los autos y tener por hechas las manifestaciones en ellos contenidas. </w:t>
      </w:r>
    </w:p>
    <w:p w:rsidR="008107C7" w:rsidRDefault="008107C7" w:rsidP="008107C7">
      <w:pPr>
        <w:pStyle w:val="TextoNormal"/>
      </w:pPr>
      <w:r>
        <w:t>La demandante de amparo invoca el art. 24.2 C.E. y denuncia la infracción de su derecho a un proceso sin dilaciones indebidas, interesando de este Tribunal el pronunciamiento de Sentencia en la que, otorgando el amparo que solicita, declare violado el mencionado derecho fundamental y ordene el cese inmediato de la situación de paralización en la que se encuentran los autos del juicio de cognición seguidos ante el Juzgado de Primera Instancia núm. 5 de Madrid con el núm. 1.434/91.</w:t>
      </w:r>
    </w:p>
    <w:p w:rsidR="008107C7" w:rsidRDefault="008107C7" w:rsidP="008107C7">
      <w:pPr>
        <w:pStyle w:val="TextoNormal"/>
      </w:pPr>
    </w:p>
    <w:p w:rsidR="008107C7" w:rsidRDefault="008107C7" w:rsidP="008107C7">
      <w:pPr>
        <w:pStyle w:val="TextoNormal"/>
      </w:pPr>
      <w:r w:rsidRPr="008107C7">
        <w:rPr>
          <w:rStyle w:val="NumeroAFNegritaCaracter"/>
        </w:rPr>
        <w:t>2</w:t>
      </w:r>
      <w:r>
        <w:t>. La Sección Tercera, en providencia de 7 de febrero de 1994, admitió a trámite la demanda, solicitando del Juez de Primera Instancia núm. 5 de Madrid la remisión de certificación o copia adverada de las actuaciones, así como el emplazamiento de quienes fueron parte en el proceso para que pudieran comparecer en este de amparo, si les conviniere. Una vez recibidas las actuaciones, en providencia de 2 de junio, se dio vista de ellas a las partes por plazo común de veinte días.</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La demandante de amparo evacuó el traslado el 27 de junio, mediante escrito en el que expuso que el pronunciamiento de Sentencia una vez interpuesto este recurso de amparo no excluye que se haya producido la vulneración del derecho a un proceso sin dilaciones indebidas y reiteró la pretensión que dedujo en el escrito de demanda. </w:t>
      </w:r>
    </w:p>
    <w:p w:rsidR="008107C7" w:rsidRDefault="008107C7" w:rsidP="008107C7">
      <w:pPr>
        <w:pStyle w:val="TextoNormal"/>
      </w:pPr>
      <w:r>
        <w:t xml:space="preserve">El Fiscal hizo lo propio el 29 de junio interesando la concesión del amparo. Tras exponer la doctrina de este Tribunal sobre el derecho fundamental en litigio, constata que en el caso el órgano judicial dilató el pronunciamiento de Sentencia durante aproximadamente nueve meses, dilación que conforme a aquella doctrina debe ser calificada de indebida. Se trataba </w:t>
      </w:r>
      <w:r>
        <w:lastRenderedPageBreak/>
        <w:t>de un proceso sencillo, sin ninguna complicación jurídica, en el que se pretendía la resolución de un contrato de arrendamiento urbano. Por otra parte, la demandante de amparo no contribuyó a la dilación y la situación de "atasco" del Juzgado no justifica la misma. Finalmente, el pronunciamiento de Sentencia poco después de interponerse el recurso de amparo no subsana la vulneración denunciada.</w:t>
      </w:r>
    </w:p>
    <w:p w:rsidR="008107C7" w:rsidRDefault="008107C7" w:rsidP="008107C7">
      <w:pPr>
        <w:pStyle w:val="TextoNormal"/>
      </w:pPr>
    </w:p>
    <w:p w:rsidR="008107C7" w:rsidRDefault="008107C7" w:rsidP="008107C7">
      <w:pPr>
        <w:pStyle w:val="TextoNormal"/>
      </w:pPr>
      <w:r w:rsidRPr="008107C7">
        <w:rPr>
          <w:rStyle w:val="NumeroAFNegritaCaracter"/>
        </w:rPr>
        <w:t>4</w:t>
      </w:r>
      <w:r>
        <w:t>. En providencia de fecha 13 de marzo de 1997 se acordó señalar el siguiente día 17 de febrero para votación y deliberación de la presente Sentencia.</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t>UNICO.- Nada importan en este momento los pormenores que servirían usualmente para identificar el objeto de este amparo constitucional, pero sí en cambio sus características y sus avatares. En tal sentido la situación enjuiciada se produjo en un procedimiento conocido como juicio de cognición para encauzar la acción resolutoria de un contrato de inquilinato por cesión no consentida. El procedimiento siguió su curso hasta quedar visto o concluso para Sentencia que, pese a haberse denunciado la mora hasta cinco veces, fue dictada casi un año después, desestimando la pretensión. La simple narración de lo sucedido pone de manifiesto el hecho del retraso, que supera notoriamente y con exceso el plazo de tres días fijado para redactar la decisión (art. 59, Decreto 21 de noviembre de 1952 en la versión dada por la Ley 34/1984). Ahora bien, este dato objetivo no es suficiente por si mismo para considerar indebida la dilación.</w:t>
      </w:r>
    </w:p>
    <w:p w:rsidR="008107C7" w:rsidRDefault="008107C7" w:rsidP="008107C7">
      <w:pPr>
        <w:pStyle w:val="TextoNormal"/>
      </w:pPr>
      <w:r>
        <w:t>Este concepto jurídico indeterminado, como equivalente del "plazo razonable" dentro del cual debe desarrollarse cualquier proceso, según se mire desde la perspectiva de nuestra Constitución y del Pacto de Nueva York o del Convenio Europeo de 1950, exige la ponderación de tres factores, "la complejidad del asunto, el comportamiento de los litigantes y el de las autoridades judiciales" (T.E.D.H., caso Sanders, 7 de julio de 1989 y otra media docena de precedentes). En un análisis de esos elementos, parece obvia la sencillez y aun la simplicidad de las cuestiones jurídicas implicadas en la resolución de un contrato de arrendamiento por cesión no autorizada dentro de un juicio de cognición sin mayores complicaciones, con un acervo probatorio más bien sobrio.  El asunto, pues, carecía de complejidad tanto en el supuesto de hecho como en su calificación jurídica. Por otra parte, la demandante desarrolló la actividad propia del caso, incluso con exceso, quejándose en cinco ocasiones a lo largo de once meses, o sea una cada setenta días como promedio. Su conducta puede tildarse de diligente sin énfasis alguno. La demora fue obra por lo tanto, de la mera inactividad judicial, sin que pueda constituir causa de justificación la sobrecarga de trabajo del órgano jurisdiccional ni las peripecias personales de sus titulares (baja por maternidad, sustitución temporal) aun cuando esas circunstancias puedan servir para exonerarlos de culpa y trasladar la responsabilidad desde un plano subjetivo al objetivo.</w:t>
      </w:r>
    </w:p>
    <w:p w:rsidR="008107C7" w:rsidRDefault="008107C7" w:rsidP="008107C7">
      <w:pPr>
        <w:pStyle w:val="TextoNormal"/>
      </w:pPr>
      <w:r>
        <w:t xml:space="preserve">En consecuencia, aunque el concepto de dilaciones indebidas no pueda ser identificado con el respeto a los plazos procesales, parece claro que convertir uno de tres días, considerado suficiente al efecto por la Ley, en otro de once meses, resulta lisa y llanamente inaceptable, sin que esa tardanza, fuera o no explicable, deba ser soportada por el ciudadano, cuyo derecho a un proceso rápido resulta así vulnerado. No obsta a tal conclusión que la Sentencia haya sido dictada ya, aun cuando después de incoado este proceso de amparo. Se ha sanado la dolencia pero ello no volatiliza la realidad histórica del retraso ya consumado y no cura tampoco la consumada lesión del derecho fundamental agredido (STC 31/1997). Tampoco </w:t>
      </w:r>
      <w:r>
        <w:lastRenderedPageBreak/>
        <w:t>es óbice que el sentido de la decisión judicial fuere desestimatorio, dejando las cosas como estaban, pues el derecho fundamental en cuestión se encuentra desvinculado del contenido de la pretensión y de las expectativas de su éxito o fracaso. El efecto único de que aquí se den esas circunstancias es que, ahora, una vez comprobada la transgresión constitucional, no se siguen de ella medidas concretas para su restitutio in integrum. En este caso sólo podrían conducir a la reanudación del curso procesal, dictando la Sentencia oportuna, como ya se ha hecho. El nuestro ha de ser un pronunciamiento declarativo, pero no simbólico, desprovisto de eficacia práctica, desde el momento en que, en su caso, constituye el presupuesto del derecho a la indemnización de daños y perjuicios por el anormal funcionamiento de la Administración de Justicia (STC 33/1997).</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Estimar en parte el presente recurso de amparo y, en su consecuencia:</w:t>
      </w:r>
    </w:p>
    <w:p w:rsidR="008107C7" w:rsidRDefault="008107C7" w:rsidP="008107C7">
      <w:pPr>
        <w:pStyle w:val="TextoNormal"/>
      </w:pPr>
      <w:r>
        <w:t>1º Declarar que ha sido vulnerado el derecho fundamental de la demandante a un proceso sin dilaciones indebidas por paralización en el trámite de dictar Sentencia del juicio de cognición seguido ante el Juzgado de Primera Instancia núm. 5 de Madrid con el núm. 1.434/91.</w:t>
      </w:r>
    </w:p>
    <w:p w:rsidR="008107C7" w:rsidRDefault="008107C7" w:rsidP="008107C7">
      <w:pPr>
        <w:pStyle w:val="TextoNormal"/>
      </w:pPr>
      <w:r>
        <w:t>2º Desestimar el recurso en todo lo demás.</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diecisiete de marzo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57" w:name="SENTENCIA_1997_54"/>
      <w:r>
        <w:lastRenderedPageBreak/>
        <w:t>SENTENCIA 54/1997, de 17 de marzo de 1997</w:t>
      </w:r>
    </w:p>
    <w:bookmarkEnd w:id="57"/>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92, de 17 de abril de 1997)</w:t>
      </w:r>
    </w:p>
    <w:p w:rsidR="008107C7" w:rsidRDefault="008107C7" w:rsidP="008107C7">
      <w:pPr>
        <w:pStyle w:val="TtuloBOE"/>
      </w:pPr>
    </w:p>
    <w:p w:rsidR="008107C7" w:rsidRDefault="008107C7" w:rsidP="008107C7">
      <w:pPr>
        <w:pStyle w:val="SntesisDescriptiva"/>
      </w:pPr>
      <w:r>
        <w:t>ECLI:ES:TC:1997:54</w:t>
      </w:r>
    </w:p>
    <w:p w:rsidR="008107C7" w:rsidRDefault="008107C7" w:rsidP="008107C7">
      <w:pPr>
        <w:pStyle w:val="SntesisDescriptiva"/>
      </w:pPr>
    </w:p>
    <w:p w:rsidR="008107C7" w:rsidRDefault="008107C7" w:rsidP="008107C7">
      <w:pPr>
        <w:pStyle w:val="SntesisDescriptiva"/>
      </w:pPr>
      <w:r>
        <w:t>Recurso de amparo 2.100/1993. Contra Sentencia de la Audiencia Provincial de Madrid dictada en apelación sobre medidas económicas acordadas en Sentencia de separación matrimonial.</w:t>
      </w:r>
    </w:p>
    <w:p w:rsidR="008107C7" w:rsidRDefault="008107C7" w:rsidP="008107C7">
      <w:pPr>
        <w:pStyle w:val="SntesisDescriptiva"/>
      </w:pPr>
    </w:p>
    <w:p w:rsidR="008107C7" w:rsidRDefault="008107C7" w:rsidP="008107C7">
      <w:pPr>
        <w:pStyle w:val="SntesisAnaltica"/>
      </w:pPr>
      <w:r>
        <w:t>Supuesta vulneración del derecho a la tutela judicial efectiva: motivación suficiente de la Sentencia recurrida. Voto particular.</w:t>
      </w:r>
    </w:p>
    <w:p w:rsidR="008107C7" w:rsidRDefault="008107C7" w:rsidP="008107C7">
      <w:pPr>
        <w:pStyle w:val="SntesisAnaltica"/>
      </w:pPr>
    </w:p>
    <w:p w:rsidR="008107C7" w:rsidRDefault="008107C7" w:rsidP="008107C7">
      <w:pPr>
        <w:pStyle w:val="Extracto"/>
      </w:pPr>
      <w:r>
        <w:t>1.</w:t>
      </w:r>
      <w:r>
        <w:tab/>
        <w:t>En la situación de crisis matrimonial formalizada judicialmente, uno de los cónyuges pide que se adapten las cláusulas del convenio regulador de la separación matrimonial a su nueva posición económica por haberse reducido sus ingresos, pretensión atendida en la primera instancia pero denegada en apelación, aun reconociéndose la realidad del cambio de circunstancias, porque ese menoscabo patrimonial fue obra de su voluntaria decisión, y la equidad impide la modificación de lo pactado en perjuicio de quien hasta ese momento era beneficiaria de un derecho legalmente adquirido. Estése o no de acuerdo con tal conclusión o con el discurso para obtenerla, resulta inconcuso que es el desarrollo dialéctico de un planteamiento estrictamente jurídico, como pone de manifiesto su atenta lectura cuya última razón, «ratio decidendi», consiste en negar que se haya producido un cambio sustancial de las circunstancias en la fortuna del cónyuge y padre, con el efecto correlativo de una eventual reducción de las pensiones de alimentos y compensatoria (arts. 91 y 100 C.C.). [F.J. 3]</w:t>
      </w:r>
    </w:p>
    <w:p w:rsidR="008107C7" w:rsidRDefault="008107C7" w:rsidP="008107C7">
      <w:pPr>
        <w:pStyle w:val="Extracto"/>
      </w:pPr>
    </w:p>
    <w:p w:rsidR="008107C7" w:rsidRDefault="008107C7" w:rsidP="008107C7">
      <w:pPr>
        <w:pStyle w:val="Extracto"/>
      </w:pPr>
      <w:r>
        <w:t>2.</w:t>
      </w:r>
      <w:r>
        <w:tab/>
        <w:t>Esta motivación, arreglada a los hechos, tal y como los considera probados la Audiencia Provincial, da respuesta fundada y suficiente a lo pedido, aunque negativa o desfavorable. En ella, la invocación a la equidad no tiene carácter exclusivo ni, por tanto, influencia por sí misma, sino tan sólo la función mitigadora en la aplicación de las normas pertinentes que le está permitida dentro, pues, del sistema de fuentes configurado en el Código Civil (art. 3). No se trata de una construcción caprichosa para el caso ni aboca a una decisión huérfana de un fundamento razonable y, por ello, arbitraria. En consecuencia, desde la perspectiva que nos es propia, nada hay que objetar a una solución concreta obtenida en el plano de la legalidad, sin trascendencia constitucional alguna (por todas, STC 237/1993). [F.J. 3]</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Rafael de Mendizábal Allende, don Julio Diego González Campos, don Carles Viver i Pi-Sunyer y don Tomás S. Vives Antón, Magistrados, ha pronunciado</w:t>
      </w:r>
    </w:p>
    <w:p w:rsidR="008107C7" w:rsidRDefault="008107C7" w:rsidP="008107C7">
      <w:pPr>
        <w:pStyle w:val="TextoNormal"/>
      </w:pPr>
    </w:p>
    <w:p w:rsidR="008107C7" w:rsidRDefault="008107C7" w:rsidP="008107C7">
      <w:pPr>
        <w:pStyle w:val="TextoNormalCentrado"/>
        <w:keepNext/>
      </w:pPr>
      <w:r>
        <w:lastRenderedPageBreak/>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2.100/93 interpuesto por don Eduardo Trillo Torres, representado por el Procurador don Argimiro Vázquez Guillén y bajo la dirección de la Letrada doña Marta Cugota San Martín, contra la Sentencia de 22 de mayo de 1993, de la Sección Vigesimosegunda de la Audiencia Provincial de Madrid, dictada en el rollo de apelación 1.183/92. Ha intervenido el Ministerio Fiscal y ha sido parte doña María-José Ruiz de la Cierva, representada por la Procuradora doña María- Luisa Gavilán Rodríguez, bajo la dirección del Letrado don Carlos Merino Vázquez. Ha sido Ponente el Magistrado don Rafael de Mendizábal Allende,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Por escrito registrado el 28 de junio de 1993, don Eduardo Trillo Torres formuló la demanda de amparo de que se hace mérito en el encabezamiento, donde nos dice que promovió el procedimiento incidental 169/91 ante el Juez de Primera Instancia núm. 22 de Madrid contra doña María-José Ruiz de la Cierva, solicitando la modificación de las medidas definitivas acordadas en la Sentencia de separación matrimonial dictada por el mismo Juez el 19 de diciembre de 1989, pactadas por los cónyuges en el correspondiente convenio regulador, según las cuales los tres hijos del matrimonio quedaban bajo la guarda y custodia de la madre, quien percibiría en concepto de alimentos y para el levantamiento de las cargas del matrimonio una pensión mensual de 200.000 pesetas del esposo, así como 100.000 pesetas como pensión compensatoria. Para el caso de que los hijos voluntariamente decidieran vivir con el padre, la pensión alimenticia se reduciría en 40.000 pesetas por cada uno o se extinguiría si todos tomaban esa decisión. El Juez dictó Sentencia el 15 de noviembre de 1991, estimando parcialmente la demanda por considerar que se había producido una modificación sustancial de las circunstancias tenidas en cuenta cuando se aprobó judicialmente el convenio regulador suscrito por los cónyuges, ya que los ingresos del actor se habían reducido desde un millón a 294.681 pesetas mensuales, cuantía de sus retribuciones como Abogado del Estado. En consecuencia, se modificaban las medidas antedichas y en las nuevas se estableció que el hijo primogénito del matrimonio permanecería con la madre y los otros dos con el padre, quien en concepto de alimentos para aquél pagaría una pensión mensual de 62.OOO pesetas asumiendo íntegramente los alimentos de los dos restantes y con extinción de la pensión compensatoria por desequilibrio económico fijada para la esposa. </w:t>
      </w:r>
    </w:p>
    <w:p w:rsidR="008107C7" w:rsidRDefault="008107C7" w:rsidP="008107C7">
      <w:pPr>
        <w:pStyle w:val="TextoNormal"/>
      </w:pPr>
      <w:r>
        <w:t xml:space="preserve">Esta interpuso apelación y la Sección Vigesimosegunda de la Audiencia Provincial de Madrid (rollo 1.183/92) dictó Sentencia el 22 de mayo de 1993, notificada el 4 de junio, donde consideró que no se había producido la "alteración sustancial con los caracteres exigidos por el art. 100 y concordantes del Código Civil", por lo cual estimó el recurso y declaró que continuaran vigentes las medidas económicas acordadas en la sentencia de separación. El razonamiento básico para llegar a esta conclusión consiste en que el esposo y padre había disminuido sus ingresos económicos por voluntad propia, al aceptar el despido en una empresa en la cual trabajaba y por cuyo trabajo percibía 700.000 pesetas mensuales, </w:t>
      </w:r>
      <w:r>
        <w:lastRenderedPageBreak/>
        <w:t xml:space="preserve">y "no puede considerarse ajustado a equidad que quien fue causante voluntario de una alteración en sus medios de fortuna pueda beneficiarse de la modificación que pudiera corresponder, en perjuicio de quien, hasta ese momento, era beneficiario de un derecho legalmente reconocido". </w:t>
      </w:r>
    </w:p>
    <w:p w:rsidR="008107C7" w:rsidRDefault="008107C7" w:rsidP="008107C7">
      <w:pPr>
        <w:pStyle w:val="TextoNormal"/>
      </w:pPr>
      <w:r>
        <w:t>La demanda de amparo denuncia la vulneración del derecho a la tutela judicial efectiva en que incurre la sentencia aludida, donde se reconoce que el recurrente ha cesado en su trabajo en la empresa privada que le procuraba unos ingresos de 700.000 pesetas mensuales, quedando reducidos ahora a los que obtiene como Abogado del Estado, no superiores a 300.000 pesetas, pese a lo cual le impone la obligación de abonar a la esposa cantidades superiores a sus actuales ingresos, con manifiesta arbitrariedad e irrazonabilidad de la resolución judicial. En efecto, no ha resuelto el pleito secundum legem, por no atenerse la Audiencia al sistema de fuentes establecido y resolver según la equidad, desconociendo palmariamente la letra clarísima del art. 3.2 del Código Civil, con invocación de la doctrina de las SSTC 23/1988 y 12/1991. Por otra parte, no extrae de los presupuestos de hecho concurrentes en el caso las consecuencias jurídicas previstas en las normas de aplicación, pues aun cuando admita la disminución de las retribuciones del recurrente y por tanto el cambio económico producido, mantiene las medidas acordadas en su día, como si tal cambio no se hubiera producido. Además, la Sentencia es arbitraria por imponer al demandante una obligación económica que el propio juzgador sabe ser de imposible cumplimiento, obligándole a satisfacer a su cónyuge una pensión en cuantía superior a la totalidad de sus retribuciones. Finalmente, parece imponerle también la obligación de no dejar nunca voluntariamente su puesto de trabajo y conservarlo a toda costa, obligación que resulta disparatada y contradice totalmente el principio de dignidad y libertad, y el derecho al libre desarrollo de la personalidad recogidos en los arts. 10.1 y 35 C.E. Asimismo, la Sentencia imputa un fraude al esposo y padre incurriendo así en arbitrariedad, ya que ni se motiva en su texto, ni fue alegada y menos probada por la esposa en el proceso.</w:t>
      </w:r>
    </w:p>
    <w:p w:rsidR="008107C7" w:rsidRDefault="008107C7" w:rsidP="008107C7">
      <w:pPr>
        <w:pStyle w:val="TextoNormal"/>
      </w:pPr>
    </w:p>
    <w:p w:rsidR="008107C7" w:rsidRDefault="008107C7" w:rsidP="008107C7">
      <w:pPr>
        <w:pStyle w:val="TextoNormal"/>
      </w:pPr>
      <w:r w:rsidRPr="008107C7">
        <w:rPr>
          <w:rStyle w:val="NumeroAFNegritaCaracter"/>
        </w:rPr>
        <w:t>2</w:t>
      </w:r>
      <w:r>
        <w:t>. La Sección Primera, en providencias de 25 de octubre y 14 de diciembre de 1993, acordó abrir el trámite del art. 50.3 LOTC y conceder al demandante y al Fiscal un plazo común de diez días para que pudieran alegar cuanto les conviniere acerca de la posible existencia del motivo de inadmisión previsto en el art. 50.1 c) LOTC, carecer la demanda manifiestamente de contenido constitucional. Evacuada tal audiencia la providencia de 17 de enero de 1994 acordó admitir a trámite la demanda de amparo y requerir a la Sección Vigesimosegunda de la Audiencia Provincial de Madrid y al Juez núm. 22 de Madrid para que remitiesen testimonio del rollo de apelación 1.183/92 y de los autos 169/91, interesando al propio tiempo el emplazamiento de cuantos fueron parte en el procedimiento judicial, para que en el plazo de diez días pudieran comparecer en este proceso constitucional. Más adelante, en providencia de 25 de febrero se acordó tener por recibidas las actuaciones solicitadas y por parte a la Procuradora doña María-Luisa Gavilán Rodríguez, en nombre y representación de doña María-José Ruiz de la Cierva, así como dar vista de las actuaciones a las partes y al Fiscal para que en el plazo común de veinte días pudieran formular las alegaciones correspondiente.</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El Fiscal, en las suyas, entiende que según la doctrina del Tribunal Constitucional, determinar cuál sea la norma aplicable al caso concreto es una cuestión de estricta legalidad en la cual no procede que se inmiscuya el Tribunal Constitucional, habida cuenta que la selección de las normas aplicables y su interpretación corresponde, en principio, a los Tribunales ordinarios en el ejercicio de la función jurisdiccional que con carácter exclusivo les </w:t>
      </w:r>
      <w:r>
        <w:lastRenderedPageBreak/>
        <w:t>atribuye el art. 117.3 C.E. (entre otras SSTC 178/1988, 211/1988 y 95/1993). El control por el Tribunal Constitucional de la selección de la norma aplicable sólo podrá producirse si fuere arbitraria, manifiestamente irrazonable o fruto de un error patente (SSTC 23/1987, 233/1991 y la mencionada 95/1993), si además con ello se reclama un derecho fundamental, pues de otra forma no puede ser revisable ninguna resolución judicial en sede constitucional, porque este Tribunal se convertiría así en una tercera instancia (SSTC 245/1993 y 259/1993). La Sentencia aquí recurrida en amparo puede contener un error, o puede estimarse que realiza una aplicación arbitraria del art. 100 del Código Civil, pero no cierra el camino de una decisión sobre el fondo del asunto ni vulnera derecho fundamental alguno. Por otra parte, el hoy demandante,con base precisamente en lo dispuesto por el art. 100 del C.C., podrá intentar nuevamente, en su momento, la modificación de la pensión. Por todo lo expuesto, el Fiscal pide que se desestime el amparo.</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El demandante, en sus alegaciones, se limita a dar por reproducidos sus anteriores escritos, que ratifica. Por su parte, doña María-José Ruiz de la Cierva alega, en primer lugar, que no se han agotado todos los recursos utilizables dentro de la vía judicial, pues el recurrente puede volver a plantear la modificación de las medidas contenidas en el convenio regulador, cuya naturaleza permite que puedan ser objeto de revisión si se dan las condiciones legalmente establecidas. Asimismo, considera que la demanda carece de contenido constitucional, pues la sentencia de la Audiencia no ha incurrido en aplicación arbitraria de la normativa, ni en interpretación irracional de los hechos, sin que exista violación de ningún derecho fundamental. El demandante convino con su esposa todas las medidas de su separación, que fueron aprobadas por el Juez en su Sentencia inicial de 19 de diciembre de 1989. Estas medidas, libremente pactadas por los cónyuges, son las que ha acordado mantener la Audiencia Provincial, por no considerar probado un cambio real en la fortuna del demandante, aplicando lo dispuesto en el art. 100 del Código Civil. Se invoca al respecto la violación del derecho a la tutela judicial efectiva (art. 24.1 C.E.), pero se olvida interesadamente que el mismo derecho asiste a su esposa y en tanto que ésta ha cumplido estrictamente todos los pactos voluntariamente asumidos y las sucesivas resoluciones judiciales que se han producido, le hayan sido favorables o adversas, el otro cónyuge ha incumplido desde el primer momento sus obligaciones, abusando del derecho a esta protección efectiva que entiende conculcada. </w:t>
      </w:r>
    </w:p>
    <w:p w:rsidR="008107C7" w:rsidRDefault="008107C7" w:rsidP="008107C7">
      <w:pPr>
        <w:pStyle w:val="TextoNormal"/>
      </w:pPr>
      <w:r>
        <w:t xml:space="preserve">No existe arbitrariedad alguna por parte de la Audiencia Provincial cuando mantiene la vigencia de las medidas que el marido aceptó libremente, porque le constaba que él nunca las cumplió de modo espontáneo y si su sueldo oficial no permitía apenas su cumplimiento era porque voluntariamente se había colocado en esa situación aparente de insuficiencia de medios. El habitual laconismo del acta de la vista -único momento procesal en que se exponen los fundamentos de hecho y de Derecho de las pretensiones de las partes en la segunda instancia- no permite conocer las alegaciones formuladas por esta parte, que el actor en su demanda considera inexistentes, pero cabría resumirlas en dos puntos, a los cuales se hace referencia en el escrito unido al rollo, producido con posterioridad a la vista valorando la prueba practicada para mejor proveer: 1) Por las propias características legales del procedimiento de modificación de medidas, la carga de la prueba de la alteración sustancial de fortuna experimentada corresponde a quien solicita el cambio. El demandante no probó tal hecho, sino que había dejado voluntariamente de tener una fuente declarada de ingresos, pero seguía manteniendo su mismo nivel de vida, residiendo en La Moraleja, pagando la costosa hipoteca de esta casa, manteniendo servicio doméstico, etc., circunstancias todas que hacen evidente la existencia de otros ingresos no procedentes de su sueldo oficial como </w:t>
      </w:r>
      <w:r>
        <w:lastRenderedPageBreak/>
        <w:t xml:space="preserve">Abogado del Estado. 2) La prueba de que la baja voluntaria del demandante en la empresa no era causa sino pretexto para la modificación de medidas, estaba en que el procedimiento 169/91, finalmente resuelto por la Sentencia de la Audiencia ahora impugnada, se inició con la demanda fechada el 25 de enero de 1991, cuando aún tenía su doble empleo, y sólo a la vista de la contestación en que se argumentaba la necesidad de un cambio sustancial de circunstancias, se dio de baja voluntariamente en la empresa y presentó su segunda demanda, fechada el 9 de abril de 1991, que se acumuló al procedimiento precedente. </w:t>
      </w:r>
    </w:p>
    <w:p w:rsidR="008107C7" w:rsidRDefault="008107C7" w:rsidP="008107C7">
      <w:pPr>
        <w:pStyle w:val="TextoNormal"/>
      </w:pPr>
      <w:r>
        <w:t>No existe, por tanto, arbitrariedad, irracionalidad ni error en la apreciación de los hechos por parte de la Audiencia Provincial en su sentencia. Lo que tenía presente al resolver, en correcta aplicación de las prescripciones del Código Civil y de la Ley de Enjuiciamiento Civil, es que la modificación de las medidas económicas fijadas en la sentencia de separación sólo puede fundarse en alteraciones sustanciales en la fortuna, que debe probar quien la pretende. Además, no es cierto que las obligaciones económicas del demandante sean superiores a su retribución, ni siquiera en el momento al cual se refiere la Sentencia impugnada. El demandante percibía una retribución reducida como Abogado del Estado cuando compatibilizaba esta función con sus servicios a la empresa privada, y aún entonces sus ingresos íntegros por tal concepto, en cómputo anual, eran superiores a las pensiones que venía obligado a satisfacer. Pero es que cualquier decisión que se adoptase hoy a tal respecto debería conocer cuál es la retribución íntegra que corresponde a su actual categoría y dedicación, y cuáles son los otros ingresos que percibe por su actividad pública o profesional.</w:t>
      </w:r>
    </w:p>
    <w:p w:rsidR="008107C7" w:rsidRDefault="008107C7" w:rsidP="008107C7">
      <w:pPr>
        <w:pStyle w:val="TextoNormal"/>
      </w:pPr>
    </w:p>
    <w:p w:rsidR="008107C7" w:rsidRDefault="008107C7" w:rsidP="008107C7">
      <w:pPr>
        <w:pStyle w:val="TextoNormal"/>
      </w:pPr>
      <w:r w:rsidRPr="008107C7">
        <w:rPr>
          <w:rStyle w:val="NumeroAFNegritaCaracter"/>
        </w:rPr>
        <w:t>5</w:t>
      </w:r>
      <w:r>
        <w:t>. En cumplimiento del acuerdo que el Pleno de este Tribunal Constitucional adoptó el 25 de abril de 1995 publicado en el Boletín Oficial del Estado, el presente recurso de amparo pasó al conocimiento de la Sección Cuarta, que en providencia de 13 de marzo de 1997 fijó el siguiente día 17 para la deliberación y fallo.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Nuestra Ley Orgánica configura como presupuesto procesal de la pretensión de amparo, para preservar su carácter subsidiario, tantas veces predicado que hace innecesaria cualquier cita al respecto, el agotamiento de la vía judicial mediante la utilización de todos los recursos [art. 44.1 a) LOTC], cuyo incumplimiento provoca simétrica y automáticamente la aparición de una causa de inadmisibilidad [art. 50.1 a) LOTC]. En el caso que nos ocupa se esgrime por el Fiscal y la coadyuvante tal óbice formal, con fundamento en la naturaleza de la Sentencia de separación objeto de este proceso constitucional, que permite explícitamente la modificación de los pronunciamientos sobre cuantía de la pensión compensatoria y bases para actualizarla (art.  100 C.C.), negándole al respecto implícitamente la autoridad de cosa juzgada y permitiendo, en definitiva, el replanteamiento de la cuestión con carácter indefinido. La objeción carece de consistencia por variadas condideraciones. La primera, y más visible, que la palabra "recursos" tiene aquí una acepción estricta y rigurosamente procesal, como equivalente a medios de impugnación, tanto ordinarios, del cual es tipo la apelación, como extraordinarios -casación- e incluso excepcionales -revisión-, excluyendo de su ámbito cualquier otro planteamiento distinto, como la aclaración, desprovista de tal carácter (STC/1995) o la posibilidad de instar una y otra vez la misma cuestión.</w:t>
      </w:r>
    </w:p>
    <w:p w:rsidR="008107C7" w:rsidRDefault="008107C7" w:rsidP="008107C7">
      <w:pPr>
        <w:pStyle w:val="TextoNormal"/>
      </w:pPr>
      <w:r>
        <w:t xml:space="preserve">En efecto, ello significa una nueva demanda, no una fase posterior en el enjuiciamiento de la precedente. No se revisa una decisión judicial desde una perspectiva histórica, sino que se pretende su modificación por circunstancias sobrevenidas, inexistentes cuando se </w:t>
      </w:r>
      <w:r>
        <w:lastRenderedPageBreak/>
        <w:t>dictó, si se produjera una alteración sustancial en la fortuna de uno o del otro conyuge (arts. 91 y 100 C.C.). Es ostensible, por tanto, no sólo el distinto carácter procesal de ambos mecanismos, sino también que el replanteamiento de la cuestión con el mismo fundamento resultaría inviable. No puede pretenderse la modificación de las pensiones una y otra vez sin un cambio de situación y, por tanto, ha de considerarse agotada en sí misma. No se trata, pues, de un procedimiento para la impugnación de la primera Sentencia, donde se aprobaron las medidas originarias, sino de un proceso ex novo con regulación y sustanciación propias (Disposición adicional sexta, 8 y 11, Ley 30/1981, de 7 de julio), cuyos recursos en el sentido riguroso de la expresión se han utilizado en el presente caso.</w:t>
      </w:r>
    </w:p>
    <w:p w:rsidR="008107C7" w:rsidRDefault="008107C7" w:rsidP="008107C7">
      <w:pPr>
        <w:pStyle w:val="TextoNormal"/>
      </w:pPr>
    </w:p>
    <w:p w:rsidR="008107C7" w:rsidRDefault="008107C7" w:rsidP="008107C7">
      <w:pPr>
        <w:pStyle w:val="TextoNormal"/>
      </w:pPr>
      <w:r w:rsidRPr="008107C7">
        <w:rPr>
          <w:rStyle w:val="NumeroAFNegritaCaracter"/>
        </w:rPr>
        <w:t>2</w:t>
      </w:r>
      <w:r>
        <w:t>. La tutela judicial es un concepto constitucionalmente polivalente que cobija a todos los litigantes en la misma medida y por igual siempre que no exista sombra de arbitrariedad, y se conecta desde su raíz a la función jurisdiccional, cuyo ejercicio encomienda la Constitución a los Jueces y Tribunales con carácter exclusivo y excluyente, a quienes corresponde privativamente la potestad de juzgar (art.  117). Su contenido conlleva una serie de operaciones jurídicas, cuya disección analítica ha sido practicada y expuesta por este Tribunal Constitucional con insistencia y un cierto enfásis muy recientemente (STC 37/1995; AATC 45/1995 y 78/1995) y no sólo comprende la premisa mayor del razonamiento jurídico, en una metáfora silogística ajena por lo demás a la esencia del razonamiento jurídico (selección de la norma e incluso en la dimensión temporal y su interpretación), sino a la determinación del presupuesto de hecho -premisa menor- cuya subsunción en la norma desencadenará el pronunciamiento final o conclusión. Para fijar lo sucedido con significación jurídica se arbitran los medios de prueba que regulan, desde una óptica sustantiva el Código Civil y desde la procesal la Ley de Enjuiciamiento Civil, en cuya virtud corresponde al juzgador decidir sobre la admisibilidad de cada tipo de prueba, según su naturaleza y su relación con cuanto se intenta verificar, adecuación e idoneidad con reflejo en la pertinencia. Una vez que la respuesta a estas incógnitas sea positiva, la práctica ha de garantizar las formas que aseguren su pureza, con respeto al principio de contradicción, como requisito no sólo de su validez sino de su eficacia probatoria a la hora de la valoración en conciencia por el Juez o la Sala, libertad de criterio cuyo norte han de ser las reglas de la sana crítica que en definitiva nos ponen en el terreno del sentido común guiado por la experiencia profesional (ATC 305/1994).</w:t>
      </w:r>
    </w:p>
    <w:p w:rsidR="008107C7" w:rsidRDefault="008107C7" w:rsidP="008107C7">
      <w:pPr>
        <w:pStyle w:val="TextoNormal"/>
      </w:pPr>
      <w:r>
        <w:t>Sin embargo, esta configuración de la potestad de juzgar no sería completa si no se le añadiera el criterio para deslindarla de la jurisdicción constitucional en la vía de amparo (única necesitada de una cuidadosa delimitación permanente), criterio que no es otro sino la presencia de uno o varios de los derechos fundamentales especialmente protegidos. En el plano de la legalidad, la última palabra corresponde al Tribunal Supremo, a quien le está atribuída la función de perfilar la doctrina legal con valor complementario del ordenamiento jurídico (art.  1.6 C.C.)  y, por tanto, con un significado normativo. Ahora bien, el Tribunal Constitucional, a su vez, es el guardián de las garantías constitucionales (art. 123 C.E.)  y desde tal perspectiva, sólo desde ella, puede y debe residenciar cualesquiera decisiones judiciales. En tal sentido, y dentro de tan estricto perimetro, hemos dicho en más de una ocasión que una resolución arbitraria, manifiestamente irrazonable o cuyo fundamento fuere un error patente, lesiona el derecho a la tutela judicial efectiva (SSTC 13/1995 y las allí recogidas).</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3</w:t>
      </w:r>
      <w:r>
        <w:t>. Ello nos retrotrae al principio, que no es otro sino el acceso a la justicia como elemento esencial del contenido de la tutela judicial, consistente en provocar una actividad jurisdiccional que desemboque en la decisión del Juez y esta posibilidad de dirigirse a uno de ellos en busca de protección para hacer valer el derecho de cada quien, tiene naturaleza constitucional por nacer directamente de la Ley Suprema. En definitiva ha de manifestarse en una respuesta, cualquiera que sea su forma, una de cuyas cualidades ha de ser la necesidad de que todas las resoluciones, salvo las providencias, en todos los grados jurisdiccionales y cualquiera que sea su contenido sustantivo o procesal, y su sentido, favorable o desfavorable, exterioricen el proceso mental conducente a su parte dispositiva.  La estructura de la Sentencia contiene, desde siempre, una parte dedicada a justificar jurídicamente la decisión en que termina la Sentencia, parte dispositiva o fallo que lleva dentro el imperium o la potestas. La argumentación que precede al solemne pronunciamiento judicial dota a la Sentencia de la auctoritas y le proporciona la fuerza de la razón. Ahora bien, la motivación de las Sentencias como exigencia constitucional (art. 120.3 C.E.)  que se integra sin violencia conceptual alguna en el derecho a una efectiva tutela judicial, ofrece una doble función. Por una parte, da a conocer las reflexiones que conducen al fallo, como factor de racionalidad en el ejercicio del poder y a la vez facilita su control mediante los recursos que proceden (uno de ellos, éste de amparo). Actúa, en suma, para favorecer un más completo derecho de la defensa en juicio y como un elemento preventivo de la arbitrariedad (ATC 77/1993).</w:t>
      </w:r>
    </w:p>
    <w:p w:rsidR="008107C7" w:rsidRDefault="008107C7" w:rsidP="008107C7">
      <w:pPr>
        <w:pStyle w:val="TextoNormal"/>
      </w:pPr>
      <w:r>
        <w:t>La motivación no consiste ni puede consistir en una mera declaración de conocimiento y menos aún en una manifestación de voluntad que sería una proposición apodíctica, sino que éstas -en su caso- han de ser la conclusión de una argumentación ajustada al tema o temas en litigio, para que el interesado, destinatario inmediato pero no único, y los demás, los órganos judiciales superiores y también los ciudadanos, por qué no, puedan conocer el fundamento, la ratio decidendi de las resoluciones. Se convierte así en "una garantía esencial del justiciable mediante la cual, sin perjuicio de la libertad del Juez en la interpretación de las normas, se puede comprobar que la solución dada al caso es consecuencia de una exégesis racional del ordenamiento y no el fruto de la arbitrariedad" (STC 109/1992, así como la 159/1989, entre otras). Ahora bien, la obligación de motivar, o lo que es lo mismo, lisa y llanamente, de explicar la decisión judicial, no conlleva una simétrica exigencia de extensión, elegancia retórica, rigor lógico o apoyos académicos, que están en función del autor y de las cuestiones controvertidas.  La Ley de Enjuiciamiento Civil (art. 359) pide al respecto, nada menos pero nada más, que claridad y precisión (STC 159/1992). No existe norma alguna en nuestras leyes de enjuiciamiento que imponga a priori una determinada extensión o en cierto modo de razonar. La motivación ha de ser suficiente y este concepto jurídico indeterminado nos lleva de la mano a cada caso concreto, en función de la importancia intrínseca y de las cuestiones que plantee.</w:t>
      </w:r>
    </w:p>
    <w:p w:rsidR="008107C7" w:rsidRDefault="008107C7" w:rsidP="008107C7">
      <w:pPr>
        <w:pStyle w:val="TextoNormal"/>
      </w:pPr>
      <w:r>
        <w:t>Sin embargo, para no forzar los conceptos manipulando las palabras, parece necesario distinguir entre la existencia del razonamiento en que consiste la motivación y su discurso. En el presente caso la hubo formal y materialmente, no sólo bastante sino clara e inequívoca, con argumentos extraídos del acervo jurídico. La realidad de su existencia no puede ser negada o desconocida en función de que se comparta, o no, la argumentación o las conclusiones a las cuales se llega. Dicho esto no estará de más recordar que la queja de quien nos demanda amparo apunta directamente al fondo de la decisión judicial combatida, a la cual tacha de arbitraria e irrazonable, único calificativo que de ser cierto abriría a este Tribunal el portillo del art. 24.1 C.E.  para revisar, con el instrumento procesal del amparo, la médula de la cuestión polémica, pues la arbitrariedad es la negación radical de la tutela judicial consagrada allí.</w:t>
      </w:r>
    </w:p>
    <w:p w:rsidR="008107C7" w:rsidRDefault="008107C7" w:rsidP="008107C7">
      <w:pPr>
        <w:pStyle w:val="TextoNormal"/>
      </w:pPr>
      <w:r>
        <w:lastRenderedPageBreak/>
        <w:t>Pues bien, en la situación de crisis matrimonial formalizada judicialmente, uno de los cónyuges pide que se adapten las cláusulas del convenio regulador de la separación matrimonial a su nueva posición económica por haberse reducido sus ingresos, pretensión atendida en la primera instancia pero denegada en apelación, aun reconociéndose la realidad del cambio de circunstancias, porque ese menoscabo patrimonial fue obra de su voluntaria decisión y la equidad impide la modificación de lo pactado en perjuicio de quien hasta ese momento era beneficiaria de un derecho legalmente adquirido.  Estese, o no, de acuerdo con tal conclusión o con el discurso para obtenerla, resulta inconcuso que es el desarrollo dialéctico de un planteamiento estrictamente jurídico, como pone de manifiesto su atenta lectura cuya última razón, ratio decidendi, consiste en negar que se haya producido un cambio sustancial de las circunstancias en la fortuna del cónyuge y padre, con el efecto correlativo de una eventual reducción de las pensiones de alimentos y compensatoria (arts. 91 y 100 C.C.).</w:t>
      </w:r>
    </w:p>
    <w:p w:rsidR="008107C7" w:rsidRDefault="008107C7" w:rsidP="008107C7">
      <w:pPr>
        <w:pStyle w:val="TextoNormal"/>
      </w:pPr>
      <w:r>
        <w:t>Esta motivación, arreglada a los hechos, tal y como los considera probados la Audiencia Provincial, da respuesta fundada y suficiente a lo pedido, aunque negativa o desfavorable. En ella, la invocación a la equidad no tiene carácter exclusivo ni por tanto influencia por sí misma, sino tan sólo la función mitigadora en la aplicación de las normas pertinentes que le está permitida dentro pues del sistema de fuentes configurado en el Código Civil (art. 3). No se trata de una construcción caprichosa para el caso, ni aboca a una decisión huérfana de un fundamento razonable y, por ello, arbitraria. En consecuencia, desde la perspectiva que nos es propia, nada hay que objetar a una solución concreta obtenida en el plano de la legalidad, sin trascendencia constitucional alguna (por todas, STC 237/1993).</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Denegar el amparo solicitado por don Eduardo Trillo Torres.</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Madrid, a diecisiete de marzo de mil novecientos noventa y siete.</w:t>
      </w:r>
    </w:p>
    <w:p w:rsidR="008107C7" w:rsidRDefault="008107C7" w:rsidP="008107C7">
      <w:pPr>
        <w:pStyle w:val="ParrafoNormal"/>
      </w:pPr>
    </w:p>
    <w:p w:rsidR="008107C7" w:rsidRDefault="008107C7" w:rsidP="008107C7">
      <w:pPr>
        <w:pStyle w:val="TextoNormalNegritaCentrado"/>
        <w:keepNext/>
      </w:pPr>
      <w:r>
        <w:t>Voto particular que formula don Rafael de Mendizábal Allende, Magistrado del Tribunal Constitucional, discutiendo de la Sentencia que en el día de hoy ha dictado la Sala Segunda en el recurso de amparo número 2.100/93.</w:t>
      </w:r>
    </w:p>
    <w:p w:rsidR="008107C7" w:rsidRDefault="008107C7" w:rsidP="008107C7">
      <w:pPr>
        <w:pStyle w:val="TextoNormalNegritaCentrado"/>
        <w:keepNext/>
      </w:pPr>
    </w:p>
    <w:p w:rsidR="008107C7" w:rsidRDefault="008107C7" w:rsidP="008107C7">
      <w:pPr>
        <w:pStyle w:val="TextoNormal"/>
      </w:pPr>
      <w:r>
        <w:t xml:space="preserve">Nada obsta por mi parte, en la Sentencia de la cual discrepo, al texto de su discurso, salvo los tres últimos párrafos y el pronunciamiento final. No deja de ser cierto que el problema, como todos cuantos se nos plantean, tiene un primer y sustantivo aspecto en la legalidad, pero no lo es menos que hay que transcender ésta para encontrar su dimensión constitucional en un estrato más profundo. Aunque a las veces se hable de la Constitución y del ordenamiento jurídico, separándolas aparentemente al juntarlos, la realidad es que componen una estructura inescindible y, por tanto, que la una y el otro se hallan interrelacionados hasta </w:t>
      </w:r>
      <w:r>
        <w:lastRenderedPageBreak/>
        <w:t>formar una unidad alejada de cualquier dicotomía abstracta. Desde el nivel de la legalidad se llega escalando hasta el constitucional, que a su vez le da su luz propia.</w:t>
      </w:r>
    </w:p>
    <w:p w:rsidR="008107C7" w:rsidRDefault="008107C7" w:rsidP="008107C7">
      <w:pPr>
        <w:pStyle w:val="TextoNormal"/>
      </w:pPr>
      <w:r>
        <w:t>Dicho esto, no está de más reconocer desde ahora la solidez de los fundamentos radicales del amparo que se pide. En efecto, hay una distonía evidente entre los hechos que se aceptan en la Sentencia y las conclusiones a las cuales llega. No se niega en ella que los ingresos del demandante se hayan reducido a su cuarta parte, pasando de un millón de pesetas mensuales a poco menos de trescientas mil, suma a su vez de las dos pensiones fijadas en el convenio regulador. En principio, estas absorben el total de las retribuciones de quien ha de pagarlas o, en el menos favorable de las hipótesis, dejarían libres tan sólo 80.000 pesetas cada mes, insuficientes para la manutención de tres personas, ya que tal reducción es consecuencia de asumir el padre la guarda y custodia de dos de sus hijos, conviviendo con ellos.</w:t>
      </w:r>
    </w:p>
    <w:p w:rsidR="008107C7" w:rsidRDefault="008107C7" w:rsidP="008107C7">
      <w:pPr>
        <w:pStyle w:val="TextoNormal"/>
      </w:pPr>
      <w:r>
        <w:t>Cerrar los ojos ante hechos reconocidos con efectos negativos casi automáticos y notorios por lo demás, presumiendo la existencia de otros ingresos tan desconocidos en su fuente como en su cuantía, con imputación de una actitud fraudulenta, sin base en otros perfectamente acreditados que permitan el razonamiento inductivo, con un enlace preciso y directo, según las reglas del criterio humano, en que consiste toda presunción (art.  1253 C.C.), no es una actitud razonable y puede ser calificada sin dificultad como arbitraria. Aun cuando el art. 9 C.E. donde se proclama la interdicción de la arbitrariedad de los poderes públicos quede extramuros del ámbito del amparo constitucional no sólo por razones ordinales sino sustantivas, por no configurar un derecho subjetivo en favor de nadie, es evidente no obstante que a su luz ha de ser perfilada la efectividad de la tutela judicial, cuya negación intrínseca es, por incorporar un mandato terminante a quienes ejercen en cualquier medida cualquier potestad, la judicial entre ellas, arbitrariedad que no debe confundirse con la discrecionalidad o facultad de elegir entre soluciones igualmente legales. Aquella consiste en la carencia de "fundamento alguno, ni de razón o de experiencia", convirtiendo en caprichoso el comportamiento humano, cuyas pautas han de ser la racionalidad, la coherencia y la objetividad (STC 325/1994). Una interpretación que conduce al resultado absurdo de reflejar por sí misma la imposibilidad material de cumplir la prestación impuesta, el pago de las dos pensiones, cuya cuantía excede ya de los ingresos conocidos del obligado, sin dejarle margen alguno para su propia y congrua sustentación, pone de manifiesto el carácter decisionista o voluntarista de la Sentencia o del pronunciamiento judicial, que se refleja en su doble soporte, la presunción antedicha y la invocación de la equidad por encima y más allá del texto de la Ley rectamente aplicado en función de los hecho determinantes.  Por otra parte, también resulta sorprendente que se castigue la voluntariedad del cese en un puesto de trabajo remunerado, por razones o motivos que no constan, con la negación de los efectos reductores de las pensiones, en función de los menores ingresos.  Ello significa lisa y llanamente condicionar gravemente la libertad de trabajo, consagrada constitucionalmente, en una de sus facetas principales (art. 35.1 C.E.)  y negar la movilidad consiguiente, creando una carga y un límite donde ni la Ley ni la Constitución lo autorizan, como una modalidad actual de los siervos de la gleba.</w:t>
      </w:r>
    </w:p>
    <w:p w:rsidR="008107C7" w:rsidRDefault="008107C7" w:rsidP="008107C7">
      <w:pPr>
        <w:pStyle w:val="TextoNormal"/>
      </w:pPr>
      <w:r>
        <w:t>En definitiva, el pronunciamiento final hubiera debido ser, en mi opinión, el contrario, dando lugar al amparo con los efectos jurídicos inherentes a él.</w:t>
      </w:r>
    </w:p>
    <w:p w:rsidR="008107C7" w:rsidRDefault="008107C7" w:rsidP="008107C7">
      <w:pPr>
        <w:pStyle w:val="TextoNormal"/>
      </w:pPr>
      <w:r>
        <w:t>Madrid, a diecisiete de marzo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58" w:name="SENTENCIA_1997_55"/>
      <w:r>
        <w:lastRenderedPageBreak/>
        <w:t>SENTENCIA 55/1997, de 17 de marzo de 1997</w:t>
      </w:r>
    </w:p>
    <w:bookmarkEnd w:id="58"/>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92, de 17 de abril de 1997)</w:t>
      </w:r>
    </w:p>
    <w:p w:rsidR="008107C7" w:rsidRDefault="008107C7" w:rsidP="008107C7">
      <w:pPr>
        <w:pStyle w:val="TtuloBOE"/>
      </w:pPr>
    </w:p>
    <w:p w:rsidR="008107C7" w:rsidRDefault="008107C7" w:rsidP="008107C7">
      <w:pPr>
        <w:pStyle w:val="SntesisDescriptiva"/>
      </w:pPr>
      <w:r>
        <w:t>ECLI:ES:TC:1997:55</w:t>
      </w:r>
    </w:p>
    <w:p w:rsidR="008107C7" w:rsidRDefault="008107C7" w:rsidP="008107C7">
      <w:pPr>
        <w:pStyle w:val="SntesisDescriptiva"/>
      </w:pPr>
    </w:p>
    <w:p w:rsidR="008107C7" w:rsidRDefault="008107C7" w:rsidP="008107C7">
      <w:pPr>
        <w:pStyle w:val="SntesisDescriptiva"/>
      </w:pPr>
      <w:r>
        <w:t>Recurso de amparo 98/1995. Confedereción Sindical de Comisiones Obreras contra Sentencia de la Sala de lo Contencioso-Administrativa del T.S.J. de la Comunidad Valenciana sobre Resolución de la Comisión de Gobierno del Ayuntamiento de Carcaixent.</w:t>
      </w:r>
    </w:p>
    <w:p w:rsidR="008107C7" w:rsidRDefault="008107C7" w:rsidP="008107C7">
      <w:pPr>
        <w:pStyle w:val="SntesisDescriptiva"/>
      </w:pPr>
    </w:p>
    <w:p w:rsidR="008107C7" w:rsidRDefault="008107C7" w:rsidP="008107C7">
      <w:pPr>
        <w:pStyle w:val="SntesisAnaltica"/>
      </w:pPr>
      <w:r>
        <w:t>Vulneración del derecho a la tutela judicial efectiva: interpretación lesiva al derecho de los requisitos procesales para acceder al previo recurso de reposición. Voto particular.</w:t>
      </w:r>
    </w:p>
    <w:p w:rsidR="008107C7" w:rsidRDefault="008107C7" w:rsidP="008107C7">
      <w:pPr>
        <w:pStyle w:val="SntesisAnaltica"/>
      </w:pPr>
    </w:p>
    <w:p w:rsidR="008107C7" w:rsidRDefault="008107C7" w:rsidP="008107C7">
      <w:pPr>
        <w:pStyle w:val="Extracto"/>
      </w:pPr>
      <w:r>
        <w:t>1.</w:t>
      </w:r>
      <w:r>
        <w:tab/>
        <w:t>Si bien una declaración de inadmisibilidad por motivo legalmente previsto no vulneraría el derecho de acceso a la jurisdicción, sí lo conculca cuando se ha aplicado al mismo una interpretación no acorde con el referido principio general favorable al examen del fondo de la pretensión, coincidente por otra parte con el que informa la aplicación del art. 24.1 C.E. Así, según dijimos en la STC 217/1994 (en relación con otro presupuesto del proceso) «Se vulnera el mencionado derecho (de acceso a la jurisdicción) cuando el órgano judicial injustificadamente, por acción u omisión, cierra a una persona la posibilidad de suplir, por los medios que el ordenamiento pone a su disposición, su falta de postulación procesal». Lo cual es claramente el caso cuando, como aquí, lejos de aplicar el precepto legal que establecía la subsanación de la falta del recurso de reposición previo por parte de la recurrente, se estimó su falta de legitimación para el proceso sin examinar si en ella concurría un interés directo como la Ley exige. [F.J. 3]</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Rafael de Mendizabal Allende, don Julio Diego González Campos,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Centrado"/>
        <w:keepNext/>
      </w:pPr>
      <w:r>
        <w:t xml:space="preserve">En el recurso de amparo núm. 98/95, promovido por la </w:t>
      </w:r>
    </w:p>
    <w:p w:rsidR="008107C7" w:rsidRDefault="008107C7" w:rsidP="008107C7">
      <w:pPr>
        <w:pStyle w:val="TextoNormal"/>
      </w:pPr>
      <w:r>
        <w:t>Confederación Sindical de CC.OO., representada por la Procuradora doña Isabel Cañedo Vega y asistida del Letrado don Jorge Mena e Ivars, contra Sentencia de la Sección Tercera de la Sala de lo Contencioso-Administrativo del Tribunal Superior de Justicia de la Comu</w:t>
      </w:r>
      <w:r>
        <w:lastRenderedPageBreak/>
        <w:t>nidad Valenciana, de 14 de diciembre de 1994, sobre Resolución de la Comisión de Gobierno del Ayuntamiento de Carcaixent, de 9 de julio de 1992. Ha sido Ponente el Magistrado don José Gabaldón López,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Por escrito presentado en este Tribunal el 11 de enero de 1995, la Procuradora de los Tribunales doña Isabel Cañedo Vega, actuando en nombre y representación de la Confederación Sindical de CC.OO., interpone recurso de amparo contra la Sentencia dictada por la Sección Tercera de la Sala de lo Contencioso Administrativo del Tribunal Superior de Justicia de la Comunidad Valenciana, de 14 de diciembre de 1994, que declaró la inadmisibilidad del recurso contencioso deducido contra la resolución de la Comisión de Gobierno del Ayuntamiento de Carcaixent, de 9 de julio de 1992.</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hechos relevantes en el presente recurso de amparo son, en síntesis, los siguientes: </w:t>
      </w:r>
    </w:p>
    <w:p w:rsidR="008107C7" w:rsidRDefault="008107C7" w:rsidP="008107C7">
      <w:pPr>
        <w:pStyle w:val="TextoNormal"/>
      </w:pPr>
      <w:r>
        <w:t xml:space="preserve">a) Por el Ayuntamiento de Carcaixent se dictó Resolución el día 14 de mayo de 1992 resolviendo la convocatoria para la contratación de una plaza de Jefe de Brigada de Obras y Servicios. Contra tal Acuerdo, don Angel Vicente Martí Carbonell, Secretario General de la Federación Sindical de Administraciones Públicas de Comisiones Obreras del País Valenciano, interpuso recurso de reposición. En su escrito de recurso, el Sr. Martí, que no había participado en la convocatoria, no hizo constar expresamente que actuaba como representante de Comisiones Obreras, si bien señaló como domicilio, a efectos de notificaciones, el local del Sindicato. </w:t>
      </w:r>
    </w:p>
    <w:p w:rsidR="008107C7" w:rsidRDefault="008107C7" w:rsidP="008107C7">
      <w:pPr>
        <w:pStyle w:val="TextoNormal"/>
      </w:pPr>
      <w:r>
        <w:t xml:space="preserve">b) Por resolución de 14 de mayo de 1992, el Ayuntamiento desestimó el recurso. </w:t>
      </w:r>
    </w:p>
    <w:p w:rsidR="008107C7" w:rsidRDefault="008107C7" w:rsidP="008107C7">
      <w:pPr>
        <w:pStyle w:val="TextoNormal"/>
      </w:pPr>
      <w:r>
        <w:t xml:space="preserve">c) La Confederación Sindical de Comisiones Obreras del País Valenciano interpuso recurso contencioso-administrativo ante la Sala de lo Contencioso-Administrativo del Tribunal Superior de Justicia de la Comunidad Valenciana. Por providencia del día 14 de octubre de 1994, la Sala de conformidad con lo dispuesto en el art. 43.2 L.J.C.A. concedió diez días a las partes a fin de que informaran y alegaran acerca de la posible inadmisibilidad del recurso, dado que la Confederación Sindical de CC.OO. no constaba que hubiera sido recurrente en el procedimiento administrativo previo. En tal trámite, la actora aportó poderes que acreditaban que el Sr. Martí Carbonell era apoderado del Sindicato CC.OO. </w:t>
      </w:r>
    </w:p>
    <w:p w:rsidR="008107C7" w:rsidRDefault="008107C7" w:rsidP="008107C7">
      <w:pPr>
        <w:pStyle w:val="TextoNormal"/>
      </w:pPr>
      <w:r>
        <w:t>d) El día 14 de diciembre de 1994, la referida Sala dictó Sentencia estimando la causa de inadmisibilidad prevista en el art. 82 b) y c) L.J.C.A., por entender que la entidad CC.OO. no estaba legitimada para recurrir las resoluciones impugnadas pues, aun cuando hubiera aportado los poderes acreditadores de que el Sr. Martí Carbonell era apoderado del referido Sindicato, no costaba que en la vía administrativa previa hubiera actuado como tal, ni que aportase los poderes. Al contrario, afirmaba la Sala, que el citado Sr. Martí actuó a título particular.</w:t>
      </w:r>
    </w:p>
    <w:p w:rsidR="008107C7" w:rsidRDefault="008107C7" w:rsidP="008107C7">
      <w:pPr>
        <w:pStyle w:val="TextoNormal"/>
      </w:pPr>
    </w:p>
    <w:p w:rsidR="008107C7" w:rsidRDefault="008107C7" w:rsidP="008107C7">
      <w:pPr>
        <w:pStyle w:val="TextoNormal"/>
      </w:pPr>
      <w:r w:rsidRPr="008107C7">
        <w:rPr>
          <w:rStyle w:val="NumeroAFNegritaCaracter"/>
        </w:rPr>
        <w:t>3</w:t>
      </w:r>
      <w:r>
        <w:t>. En la demanda de amparo se invoca la vulneración del derecho a la tutela judicial efectiva garantizado en el art. 24.1 C.E. Tal lesión se imputa a la Sentencia objeto de impugnación en cuanto declara la inadmisibilidad del recurso fundándose en que la demandante, la Confederación Sindical de Comisiones Obreras, carecía de legitimación al no haber intervenido en la vía administrativa previa, ya que la intervención de don Angel Vicente Martí Carbonell en este ámbito se entendía que fue a título particular y no como representante sindical.</w:t>
      </w:r>
    </w:p>
    <w:p w:rsidR="008107C7" w:rsidRDefault="008107C7" w:rsidP="008107C7">
      <w:pPr>
        <w:pStyle w:val="TextoNormal"/>
      </w:pPr>
    </w:p>
    <w:p w:rsidR="008107C7" w:rsidRDefault="008107C7" w:rsidP="008107C7">
      <w:pPr>
        <w:pStyle w:val="TextoNormal"/>
      </w:pPr>
      <w:r w:rsidRPr="008107C7">
        <w:rPr>
          <w:rStyle w:val="NumeroAFNegritaCaracter"/>
        </w:rPr>
        <w:t>4</w:t>
      </w:r>
      <w:r>
        <w:t>. La Sección Tercera, por providencia de 29 de mayo de 1995, acordó admitir a trámite la demanda de amparo y dirigir comunicación al Ayuntamiento de Carcaixent a fin de que, en plazo que no excediera de diez días, remitiera certificación o fotocopia adverada de las actuaciones correspondientes al expediente tramitado como consecuencia del recurso de reposición interpuesto por Comisiones Obreras contra Acuerdo de ese Ayuntamiento de 14 de mayo de 1992, sobre convocatoria para una plaza de Jefe de la Brigada de Obras y Servicios, así como dirigir comunicación a la Sala de lo Contencioso Administrativo del Tribunal Superior de Justicia de Valencia para que, en plazo que no excediera de diez días, remitiera certificación o fotocopia adverada de las actuaciones correspondientes al recurso núm. 1.603/93, en que recayó Sentencia en 14 de diciembre de 1994 emplazando previamente, para que en el plazo de diez días pudieran comparecer, si lo deseaban, en el recurso de amparo y defender sus derechos, a quienes hubieran sido parte en el procedimiento, excepto el recurrente en amparo.</w:t>
      </w:r>
    </w:p>
    <w:p w:rsidR="008107C7" w:rsidRDefault="008107C7" w:rsidP="008107C7">
      <w:pPr>
        <w:pStyle w:val="TextoNormal"/>
      </w:pPr>
    </w:p>
    <w:p w:rsidR="008107C7" w:rsidRDefault="008107C7" w:rsidP="008107C7">
      <w:pPr>
        <w:pStyle w:val="TextoNormal"/>
      </w:pPr>
      <w:r w:rsidRPr="008107C7">
        <w:rPr>
          <w:rStyle w:val="NumeroAFNegritaCaracter"/>
        </w:rPr>
        <w:t>5</w:t>
      </w:r>
      <w:r>
        <w:t>. Por escrito que tuvo entrada en este Tribunal el 29 de junio de 1995, el Ayuntamiento de Carcaixent remitió certificación de su Secretaría en la que se afirma que con respecto a la contratación interina de la plaza de Capataz Jefe de la Brigada de Obras y Servicios, el Pleno aprobó el 14 de mayo de 1992 las correspondientes bases de selección, contra las cuales se presentaron dos recursos de reposición, sin que ninguno de ellos perteneciera a la Confederación Sindical de CC.OO..</w:t>
      </w:r>
    </w:p>
    <w:p w:rsidR="008107C7" w:rsidRDefault="008107C7" w:rsidP="008107C7">
      <w:pPr>
        <w:pStyle w:val="TextoNormal"/>
      </w:pPr>
    </w:p>
    <w:p w:rsidR="008107C7" w:rsidRDefault="008107C7" w:rsidP="008107C7">
      <w:pPr>
        <w:pStyle w:val="TextoNormal"/>
      </w:pPr>
      <w:r w:rsidRPr="008107C7">
        <w:rPr>
          <w:rStyle w:val="NumeroAFNegritaCaracter"/>
        </w:rPr>
        <w:t>6</w:t>
      </w:r>
      <w:r>
        <w:t>. La Sección Tercera, por providencia de 17 de julio de 1995, acordó incorporar a las actuaciones el oficio recibido del Ayuntamiento de Carcaixent y dar traslado de su contenido a la parte recurrente a fin de que, en el plazo de diez días, manifestara lo que estimara pertinente.</w:t>
      </w:r>
    </w:p>
    <w:p w:rsidR="008107C7" w:rsidRDefault="008107C7" w:rsidP="008107C7">
      <w:pPr>
        <w:pStyle w:val="TextoNormal"/>
      </w:pPr>
    </w:p>
    <w:p w:rsidR="008107C7" w:rsidRDefault="008107C7" w:rsidP="008107C7">
      <w:pPr>
        <w:pStyle w:val="TextoNormal"/>
      </w:pPr>
      <w:r w:rsidRPr="008107C7">
        <w:rPr>
          <w:rStyle w:val="NumeroAFNegritaCaracter"/>
        </w:rPr>
        <w:t>7</w:t>
      </w:r>
      <w:r>
        <w:t xml:space="preserve">. La parte recurrente en amparo presentó escrito el 29 de julio de 1995, manifestando que el Ayuntamiento conocía perfectamente la calidad y cualidad del Sr. Martí pues no era el primer recurso que presentaba contra actos del mismo. </w:t>
      </w:r>
    </w:p>
    <w:p w:rsidR="008107C7" w:rsidRDefault="008107C7" w:rsidP="008107C7">
      <w:pPr>
        <w:pStyle w:val="TextoNormal"/>
      </w:pPr>
      <w:r>
        <w:t>En cualquier caso, según la recurrente, lo que hubiera procedido, de acuerdo con la vieja L.P.A. es dar el plazo de diez días previsto en su art. 71 para subsanar los defectos en la solicitud. Además, manifiesta, los poderes notariales aportados eran suficientes para acreditar la citada representación.</w:t>
      </w:r>
    </w:p>
    <w:p w:rsidR="008107C7" w:rsidRDefault="008107C7" w:rsidP="008107C7">
      <w:pPr>
        <w:pStyle w:val="TextoNormal"/>
      </w:pPr>
    </w:p>
    <w:p w:rsidR="008107C7" w:rsidRDefault="008107C7" w:rsidP="008107C7">
      <w:pPr>
        <w:pStyle w:val="TextoNormal"/>
      </w:pPr>
      <w:r w:rsidRPr="008107C7">
        <w:rPr>
          <w:rStyle w:val="NumeroAFNegritaCaracter"/>
        </w:rPr>
        <w:t>8</w:t>
      </w:r>
      <w:r>
        <w:t>. Por providencia de 11 de septiembre de 1995, la Sección Tercera acordó incorporar a las actuaciones el escrito presentado por la parte recurrente y recabar del Ayuntamiento de Carcaixent la remisión de certificación o fotocopia adverada de las actuaciones correspondientes al expediente tramitado como consecuencia del recurso de reposición interpuesto por don Angel Vicente Martí Carbonell contra Acuerdo de dicho Ayuntamiento de 14 de mayo de 1992, sobre convocatoria de una plaza de Jefe de Brigada de Obras y Servicios.</w:t>
      </w:r>
    </w:p>
    <w:p w:rsidR="008107C7" w:rsidRDefault="008107C7" w:rsidP="008107C7">
      <w:pPr>
        <w:pStyle w:val="TextoNormal"/>
      </w:pPr>
    </w:p>
    <w:p w:rsidR="008107C7" w:rsidRDefault="008107C7" w:rsidP="008107C7">
      <w:pPr>
        <w:pStyle w:val="TextoNormal"/>
      </w:pPr>
      <w:r w:rsidRPr="008107C7">
        <w:rPr>
          <w:rStyle w:val="NumeroAFNegritaCaracter"/>
        </w:rPr>
        <w:t>9</w:t>
      </w:r>
      <w:r>
        <w:t>. La Sección Tercera, por providencia de 29 de enero de 1996, acordó dar vista de las actuaciones recibidas a la parte recurrente y al Ministerio Fiscal por plazo común de 20 días, dentro de los cuales podrían presentar las alegaciones que estimaran pertinentes, conforme determina el art. 52.1 de la Ley Orgánica de este Tribunal.</w:t>
      </w:r>
    </w:p>
    <w:p w:rsidR="008107C7" w:rsidRDefault="008107C7" w:rsidP="008107C7">
      <w:pPr>
        <w:pStyle w:val="TextoNormal"/>
      </w:pPr>
    </w:p>
    <w:p w:rsidR="008107C7" w:rsidRDefault="008107C7" w:rsidP="008107C7">
      <w:pPr>
        <w:pStyle w:val="TextoNormal"/>
      </w:pPr>
      <w:r w:rsidRPr="008107C7">
        <w:rPr>
          <w:rStyle w:val="NumeroAFNegritaCaracter"/>
        </w:rPr>
        <w:t>10</w:t>
      </w:r>
      <w:r>
        <w:t>. Por escrito presentado en este Tribunal el 1 de marzo de 1996, la parte recurrente en amparo reitera lo manifestado en su demanda.</w:t>
      </w:r>
    </w:p>
    <w:p w:rsidR="008107C7" w:rsidRDefault="008107C7" w:rsidP="008107C7">
      <w:pPr>
        <w:pStyle w:val="TextoNormal"/>
      </w:pPr>
    </w:p>
    <w:p w:rsidR="008107C7" w:rsidRDefault="008107C7" w:rsidP="008107C7">
      <w:pPr>
        <w:pStyle w:val="TextoNormal"/>
      </w:pPr>
      <w:r w:rsidRPr="008107C7">
        <w:rPr>
          <w:rStyle w:val="NumeroAFNegritaCaracter"/>
        </w:rPr>
        <w:t>11</w:t>
      </w:r>
      <w:r>
        <w:t xml:space="preserve">. El Ministerio Fiscal por escrito registrado el 5 de marzo de 1996, interesa se otorgue el amparo por vulneración del derecho a la tutela judicial efectiva. </w:t>
      </w:r>
    </w:p>
    <w:p w:rsidR="008107C7" w:rsidRDefault="008107C7" w:rsidP="008107C7">
      <w:pPr>
        <w:pStyle w:val="TextoNormal"/>
      </w:pPr>
      <w:r>
        <w:t>El Ministerio Fiscal resalta el hecho de que consta que el Sr. Martí era Secretario General y ostentaba la representación de CC.OO., lo que debía haber resultado bastante para subsanar tanto el defecto de falta de recurso de reposición (que realmente existió, y fue admitido a dicha persona pese a no haber sido parte en el procedimiento administrativo) como el de falta de acreditación de la legitimación en el proceso contencioso- administrativo. Tal era la interpretación más favorable a la efectividad del derecho fundamental a la tutela judicial efectiva, y la única correcta desde la óptica de la exclusión constitucional de los formalismos obstativos o enervantes.</w:t>
      </w:r>
    </w:p>
    <w:p w:rsidR="008107C7" w:rsidRDefault="008107C7" w:rsidP="008107C7">
      <w:pPr>
        <w:pStyle w:val="TextoNormal"/>
      </w:pPr>
    </w:p>
    <w:p w:rsidR="008107C7" w:rsidRDefault="008107C7" w:rsidP="008107C7">
      <w:pPr>
        <w:pStyle w:val="TextoNormal"/>
      </w:pPr>
      <w:r w:rsidRPr="008107C7">
        <w:rPr>
          <w:rStyle w:val="NumeroAFNegritaCaracter"/>
        </w:rPr>
        <w:t>12</w:t>
      </w:r>
      <w:r>
        <w:t>. Por providencia de 13 de marzo de 1977, se acordó señalar para la deliberación y votación de la presente Sentencia, el día 17 del mismo mes.</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Se invoca en este recurso de amparo la vulneración del derecho a la tutela judicial efectiva reconocido en el art.  24.1 C.E., fundándose en que el Sindicato Comisiones Obreras recurrente fue privado del derecho a obtener una Sentencia resolutoria del fondo de la pretensión ante la Jurisdicción Contencioso-Administrativa al haberse pronunciado la inadmisión de su recurso por falta de legitimación del Sindicato, ya que no constaba que, en vía administrativa previa, su apoderado Sr.  Martí, hubiera actuado en tal concepto.  En el fundamento jurídico segundo de la Sentencia impugnada se dice que el Sr.  Martí intervino en la vía administrativa en su propio nombre y no como Secretario de CC.OO. y es por ello por lo que se declara la inadmisibilidad del recurso al faltar la legitimación a la entidad sindical.  Se argumenta en la demanda que, no obstante, la misma Administración le había reconocido legitimación como representante sindical pues procedió a resolver el recurso de reposición entablado por el mismo Sr. Martí contra la convocatoria pese a no haber participado en ella a título personal por no ser solicitante de la plaza convocada, decisión que no se explica salvo que el Ayuntamiento conociera la representación que ostentaba.</w:t>
      </w:r>
    </w:p>
    <w:p w:rsidR="008107C7" w:rsidRDefault="008107C7" w:rsidP="008107C7">
      <w:pPr>
        <w:pStyle w:val="TextoNormal"/>
      </w:pPr>
    </w:p>
    <w:p w:rsidR="008107C7" w:rsidRDefault="008107C7" w:rsidP="008107C7">
      <w:pPr>
        <w:pStyle w:val="TextoNormal"/>
      </w:pPr>
      <w:r w:rsidRPr="008107C7">
        <w:rPr>
          <w:rStyle w:val="NumeroAFNegritaCaracter"/>
        </w:rPr>
        <w:t>2</w:t>
      </w:r>
      <w:r>
        <w:t>. Conviene ante todo recordar que, conforme doctrina reiterada de este Tribunal, el art. 24.1 C.E. garantiza a todos los ciudadanos su derecho a obtener una respuesta judicial motivada, razonable y congruente con sus pretensiones, siempre que éstas se hubieran ejercido con cumplimiento de los requisitos de procedibilidad legalmente establecidos, de tal modo que no conculca el derecho a la tutela judicial efectiva la resolución judicial de inadmisión que, comprobando la inexistencia de un requisito procesal, se ve impedida de conocer del fondo y así lo declara fundadamente. No obstante, ha de tenerse en cuenta la naturaleza del requisito incumplido y la posibilidad de subsanación de los omitidos si éstos fueran subsanables, dando al recurrente la ocasión de hacerlo (STC 18/1996, por todas).</w:t>
      </w:r>
    </w:p>
    <w:p w:rsidR="008107C7" w:rsidRDefault="008107C7" w:rsidP="008107C7">
      <w:pPr>
        <w:pStyle w:val="TextoNormal"/>
      </w:pPr>
      <w:r>
        <w:t xml:space="preserve">Sin embargo, perteneciendo las normas procesales y en consecuencia los presupuestos de admisibilidad del proceso al ámbito de la legalidad ordinaria, corresponde a los tribunales </w:t>
      </w:r>
      <w:r>
        <w:lastRenderedPageBreak/>
        <w:t>del orden judicial correspondiente la interpretación y aplicación de esas normas y en su caso la apreciación de la falta de algún presupuesto de admisión. Mas, tratándose también de normas cuyo cumplimiento confiere el acceso a la jurisdicción, es evidente su transcendencia constitucional. Al respecto hemos dicho, entre otras, en la STC 259/1994: "El derecho a la tutela judicial efectiva se satisface, en esencia, con la respuesta jurídicamente fundada y motivada de los órganos jurisdiccionales a las pretensiones de quien acude a ellos para la defensa de sus intereses (entre otras muchas, SSTC 13/1981, 61/1982, 103/1986, 23/1987, 146/1990, 22/1994). Cabe, en consecuencia, comprobar la vulneración de este derecho fundamental cuando se priva a su titular del acceso a la jurisdicción (entre otras, SSTC 59/1983, 63/1985, 34/1994); cuando, personado ante ella, no obtiene respuesta; o cuando, obteniendo respuesta, ésta carece de fundamento jurídico o de la expresión del mismo (SSTC 75/1988, 22/1994)".</w:t>
      </w:r>
    </w:p>
    <w:p w:rsidR="008107C7" w:rsidRDefault="008107C7" w:rsidP="008107C7">
      <w:pPr>
        <w:pStyle w:val="TextoNormal"/>
      </w:pPr>
      <w:r>
        <w:t>Es por tanto procedente la interpretacion de dichas normas en el sentido más favorable a la satisfacción del derecho fundamental reconocido en el art. 24.1 C.E., es decir, al más favorable al conocimiento por el Tribunal del fondo de la pretension aúnque con la sustancial diferencia señalada en la STC 37/1995: "Es distinto el enjuiciamiento que puedan recibir las normas obstaculizadoras o impeditivas del acceso a la jurisdicción del de aquellas otras que limitan la admisibilidad de un recurso extraordinario contra una Sentencia anterior dictada en un proceso celebrado con todas las garantías (SSTC 3/1983 y 294/1994)" puesto que si, en general hemos dicho que "el derecho a la tutela judicial efectiva comporta que no se obstaculice el acceso al proceso" ...., "es claro que el rechazo de la acción basado en una interpretación restrictiva de las condiciones establecidas para su ejercicio comporta la vulneración del derecho reconocido en el art. 24.1 C.E." (STC 34/1994).</w:t>
      </w:r>
    </w:p>
    <w:p w:rsidR="008107C7" w:rsidRDefault="008107C7" w:rsidP="008107C7">
      <w:pPr>
        <w:pStyle w:val="TextoNormal"/>
      </w:pPr>
    </w:p>
    <w:p w:rsidR="008107C7" w:rsidRDefault="008107C7" w:rsidP="008107C7">
      <w:pPr>
        <w:pStyle w:val="TextoNormal"/>
      </w:pPr>
      <w:r w:rsidRPr="008107C7">
        <w:rPr>
          <w:rStyle w:val="NumeroAFNegritaCaracter"/>
        </w:rPr>
        <w:t>3</w:t>
      </w:r>
      <w:r>
        <w:t>. Esta es la doctrina aquí aplicable al pronunciamiento de inadmisión del recurso contencioso- administrativo. Así, la Sentencia recurrida declaró la inadmisibilidad del mismo por falta de legitimacion del Sindicato recurrente, fundándose para ello en que el mismo no habia intervenido en el procedimiento administativo previo ni había interpuesto el recurso de reposición (18 de junio de 1992) contra el acto municipal impugnado, que en aquel momento (previo a la vigencia de la Ley 30/1992, de 26 de noviembre de Régimen Jurídico de las Administraciones Públicas y del Procedimiento Administrativo Común) era exigible. Argumentándose, además, que dicho recurso se había interpuesto por don Angel Vicente Martí Carbonell a título particular y sin constancia de que lo hiciese como miembro o representante de Comisiones Obreras. Mas, como alega el Fiscal, aquél realmente fue admitido a una persona que era Secretario General de Comisiones Obreras y, no habiendo intervenido a título personal lo hizo con aquel carácter.</w:t>
      </w:r>
    </w:p>
    <w:p w:rsidR="008107C7" w:rsidRDefault="008107C7" w:rsidP="008107C7">
      <w:pPr>
        <w:pStyle w:val="TextoNormal"/>
      </w:pPr>
      <w:r>
        <w:t>Pero, sobre todo, ningún argumento que no fuese el señalado se enderezaba a discernir la legitimación al Sindicato para la interposición del recurso contencioso-administrativo, el cual obviamente había de tener por objeto, no sólo el acto desestimatorio de la reposición, sino la decisión municipal confirmada por éste a tenor del art. 55 de la Ley de la Jurisdiccion Contencioso-Administrativa entonces vigente. En consecuencia, la falta de legitimación se hizo derivar por la Sala sentenciadora exclusivamente del citado hecho de que el Sindicato no hubiera interpuesto el previo recurso de reposición, a tenor del art. 52.1 de la propia Ley de dicha Jurisdicción.</w:t>
      </w:r>
    </w:p>
    <w:p w:rsidR="008107C7" w:rsidRDefault="008107C7" w:rsidP="008107C7">
      <w:pPr>
        <w:pStyle w:val="TextoNormal"/>
      </w:pPr>
      <w:r>
        <w:t xml:space="preserve">Parece por tanto haberse confundido la legitimación para intervenir en el procedimiento administrativo con la exigible para la interposicion del proceso judicial frente a los actos administrativos que, a tenor del art. 28.1 a) de la citada Ley jurisdiccional, ostenta quien tuviere interés directo en la declaracion de no ser el acto impugnado conforme a derecho. Y </w:t>
      </w:r>
      <w:r>
        <w:lastRenderedPageBreak/>
        <w:t>ha de tenerse en cuenta que esta legitimación procesal no deriva de haber intervenido en el procedimiento administrativo sino de que el recurrente ostente dicho interés.  El recurso de reposición se configuraba en la Ley de aquella jurisdicción como un requisito previo a la interposición del contencioso-administrativo y, además, subsanable a tenor del art. 129.3 de la propia Ley, conclusión a la que incluso dio la jurisprudencia una interpretación extensiva en virtud del principio de la interpretación más favorable al examen de fondo de las pretensiones, rector de aquel proceso.</w:t>
      </w:r>
    </w:p>
    <w:p w:rsidR="008107C7" w:rsidRDefault="008107C7" w:rsidP="008107C7">
      <w:pPr>
        <w:pStyle w:val="TextoNormal"/>
      </w:pPr>
      <w:r>
        <w:t>De ahí que la intepretación acorde con el art. 24.1 de la Constitución difiera manifiestamente de la adoptada en la Sentencia puesto que, si bien una declaración de inadmisibilidad por motivo legalmente previsto no vulneraría el derecho de acceso a la jurisdicción, sí lo conculca cuando se ha aplicado al mismo una interpretación no acorde con el referido principio general favorable al examen del fondo de la pretensión, coincidente por otra parte con el que informa la aplicación del art. 24.1 C.E.  Así, según dijimos en la STC 217/1994 (en relación con otro presupuesto del proceso "Se vulnera el mencionado derecho (de acceso a la jurisdicción) cuando el órgano judicial injustificadamente, por acción u omisión, cierra a una persona la posibilidad de suplir, por los medios que el ordenamiento pone a su disposición, su falta de postulación procesal". Lo cual es claramente el caso cuando, como aquí, lejos de aplicar el precepto legal que establecía la subsanación de la falta del recurso de reposición previo por parte de la recurrente, se estimó su falta de legitimación para el proceso sin examinar si en ella concurría un interés directo como la Ley exige.</w:t>
      </w:r>
    </w:p>
    <w:p w:rsidR="008107C7" w:rsidRDefault="008107C7" w:rsidP="008107C7">
      <w:pPr>
        <w:pStyle w:val="TextoNormal"/>
      </w:pPr>
      <w:r>
        <w:t>Procede, en consecuencia, la estimación del recurso.</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Estimar el presente recurso de amparo y, en su virtud:</w:t>
      </w:r>
    </w:p>
    <w:p w:rsidR="008107C7" w:rsidRDefault="008107C7" w:rsidP="008107C7">
      <w:pPr>
        <w:pStyle w:val="TextoNormal"/>
      </w:pPr>
      <w:r>
        <w:t>1º.  Reconocer al Sindicato Comisiones Obreras su derecho a la tutela judicial efectiva.</w:t>
      </w:r>
    </w:p>
    <w:p w:rsidR="008107C7" w:rsidRDefault="008107C7" w:rsidP="008107C7">
      <w:pPr>
        <w:pStyle w:val="TextoNormal"/>
      </w:pPr>
      <w:r>
        <w:t>2º.  Anular la Sentencia de la Sección Tercera de la Sala de lo Contencioso-Administrativo del Tribunal Superior de Justicia de la Comunidad Valenciana, de 14 de diciembre de 1994.</w:t>
      </w:r>
    </w:p>
    <w:p w:rsidR="008107C7" w:rsidRDefault="008107C7" w:rsidP="008107C7">
      <w:pPr>
        <w:pStyle w:val="TextoNormal"/>
      </w:pPr>
      <w:r>
        <w:t>3º.  Reponer las actuaciones judiciales al momento anterior a la Sentencia para que pueda acordarse lo procedente.</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diecisiete de marzo de mil novecientos noventa y siete.</w:t>
      </w:r>
    </w:p>
    <w:p w:rsidR="008107C7" w:rsidRDefault="008107C7" w:rsidP="008107C7">
      <w:pPr>
        <w:pStyle w:val="ParrafoNormal"/>
      </w:pPr>
    </w:p>
    <w:p w:rsidR="008107C7" w:rsidRDefault="008107C7" w:rsidP="008107C7">
      <w:pPr>
        <w:pStyle w:val="TextoNormalNegritaCentrado"/>
        <w:keepNext/>
      </w:pPr>
      <w:r>
        <w:t>Voto particular que formula el Magistrado don Fernando García-Mon y González-Regueral respecto de la Sentencia dictada en el recurso de amparo número 98/95.</w:t>
      </w:r>
    </w:p>
    <w:p w:rsidR="008107C7" w:rsidRDefault="008107C7" w:rsidP="008107C7">
      <w:pPr>
        <w:pStyle w:val="TextoNormalNegritaCentrado"/>
        <w:keepNext/>
      </w:pPr>
    </w:p>
    <w:p w:rsidR="008107C7" w:rsidRDefault="008107C7" w:rsidP="008107C7">
      <w:pPr>
        <w:pStyle w:val="TextoNormal"/>
      </w:pPr>
      <w:r>
        <w:t xml:space="preserve">Discrepo respetuosamente del fallo estimatorio del citado recurso de amparo interpuesto por la Procuradora de los Tribunales doña Isabel Cañedo Vega en representación de la Confederación Sindical de Comisiones Obreras, por entender ajustada a derecho la Sentencia </w:t>
      </w:r>
      <w:r>
        <w:lastRenderedPageBreak/>
        <w:t>impugnada, de fecha 14 de diciembre de 1994, dictada por la Sección Tercera de la Sala de lo Contencioso-Administrativo del Tribunal Superior de Justicia de la Comunidad Valenciana que inadmitió dicho recurso porque la Confederación recurrente "no ha sido parte ni ha interpuesto recurso alguno" contra las Resoluciones dictadas en vía administrativa que son objeto del recurso contencioso- administrativo inadmitido por esa causa.</w:t>
      </w:r>
    </w:p>
    <w:p w:rsidR="008107C7" w:rsidRDefault="008107C7" w:rsidP="008107C7">
      <w:pPr>
        <w:pStyle w:val="TextoNormal"/>
      </w:pPr>
      <w:r>
        <w:t>A) El hecho en el que se basa la Sentencia impugnada es cierto. El recurso de reposición interpuesto el 17 de junio de 1992 contra el Acuerdo del Ayuntamiento de Carcaixent de 14 de mayo de 1992, publicado en el B.O.P. de Valencia del día 20 siguiente, fue interpuesto con carácter previo al contencioso- administrativo, por don Angel Vicente Martí Carbonell, señalando el núm. de su D.N.I. así como un domicilio en Valencia -plaza de Napoles y Sicilia 5- a efecto de notificaciones en dicha capital.</w:t>
      </w:r>
    </w:p>
    <w:p w:rsidR="008107C7" w:rsidRDefault="008107C7" w:rsidP="008107C7">
      <w:pPr>
        <w:pStyle w:val="TextoNormal"/>
      </w:pPr>
      <w:r>
        <w:t>Ni en las alegaciones de dicho recurso de reposición ni en la solicitud en él formulada, se hace referencia alguna a la Confederación Sindical de Comisiones Obreras. Tampoco alude a su carácter de Secretario General de dicha entidad ni a que actuase en nombre y representación de la misma o en defensa de los intereses de ésta. Así resulta del mencionado recurso que, naturalmente, figura en las actuaciones.</w:t>
      </w:r>
    </w:p>
    <w:p w:rsidR="008107C7" w:rsidRDefault="008107C7" w:rsidP="008107C7">
      <w:pPr>
        <w:pStyle w:val="TextoNormal"/>
      </w:pPr>
      <w:r>
        <w:t>La resolución de 9 de julio de 1992, "desestima el recurso de reposición interpuesto por don Angel Vicente Martí Carbonell contra el Acuerdo de 14 de mayo de 1992 de convocatoria de una plaza de Jefe de la Brigada de Obras y Servicios".</w:t>
      </w:r>
    </w:p>
    <w:p w:rsidR="008107C7" w:rsidRDefault="008107C7" w:rsidP="008107C7">
      <w:pPr>
        <w:pStyle w:val="TextoNormal"/>
      </w:pPr>
      <w:r>
        <w:t>B) El recurso contencioso-administrativo interpuesto el 23 de septiembre de 1992 contra ambas resoluciones, lo encabeza la Letrada doña Josefa Domene Seller "en nombre y representación de la Confederación Sindical de Comisiones Obreras del País Valenciano". Es, pues, claro que esta Confederación no había interpuesto como tal el recurso de reposición desestimado por la resolución de 9 de julio de 1992.</w:t>
      </w:r>
    </w:p>
    <w:p w:rsidR="008107C7" w:rsidRDefault="008107C7" w:rsidP="008107C7">
      <w:pPr>
        <w:pStyle w:val="TextoNormal"/>
      </w:pPr>
      <w:r>
        <w:t>Con base en esta circunstancia, una vez tramitado el recurso, con fecha 14 de octubre de 1994, la Sala dictó providencia que literalmente dice:</w:t>
      </w:r>
    </w:p>
    <w:p w:rsidR="008107C7" w:rsidRDefault="008107C7" w:rsidP="008107C7">
      <w:pPr>
        <w:pStyle w:val="TextoNormal"/>
      </w:pPr>
      <w:r>
        <w:t>"Dada cuenta. -Visto el contenido de las actuaciones y con suspensión del término para dictar sentencia, se acuerda de conformidad con lo establecido en el artículo 43.2 de la Ley Jurisdiccional, sin prejuzgar el fallo, se conceden DIEZ DIAS a las partes para que informen sobre la posible inadmisibilidad del recurso, dado que la Confederación Sindical de CC.OO, no consta como recurrente en el procedimiento común antecedente de las presentes actuaciones".</w:t>
      </w:r>
    </w:p>
    <w:p w:rsidR="008107C7" w:rsidRDefault="008107C7" w:rsidP="008107C7">
      <w:pPr>
        <w:pStyle w:val="TextoNormal"/>
      </w:pPr>
      <w:r>
        <w:t>A esta providencia la Confederación recurrente se limitó a contestar "que la persona que interpuso el recurso de reposición que dio origen al presente recurso, fue don Angel Vicente Martí Carbonell, a la sazón Secretaría General de la Federación Sindical de la Administración Pública del País Valenciano", pero ni siquiera en ese escrito aclaraba que, como dice ahora en el recurso de amparo, por equivocación no se había hecho constar en el recurso de reposición que actuaba en nombre de dicha Federación y en defensa de los derechos e intereses de la misma.</w:t>
      </w:r>
    </w:p>
    <w:p w:rsidR="008107C7" w:rsidRDefault="008107C7" w:rsidP="008107C7">
      <w:pPr>
        <w:pStyle w:val="TextoNormal"/>
      </w:pPr>
      <w:r>
        <w:t>C) Con base en los hechos expuestos que resultan de las actuaciones y en los que se apoya la Sentencia impugnada para declarar la inadmisión del recurso contencioso-administrativo, es claro que, por aplicación de la jurisprudencia de este Tribunal que se recoge acertadamente en el fundamento jurídico 2º de la Sentencia aprobada por la mayoría, el fallo debió ser desestimatorio del recurso de amparo pues, en mi criterio, la causa de inadmisión apreciada por la Sala no es arbitraria, ni manifiestamente erronea, ni carente de razonabilidad. Por tanto, no entraña "la privación infundada del acceso a la jurisdicción", que se acoge en la Sentencia.</w:t>
      </w:r>
    </w:p>
    <w:p w:rsidR="008107C7" w:rsidRDefault="008107C7" w:rsidP="008107C7">
      <w:pPr>
        <w:pStyle w:val="TextoNormal"/>
      </w:pPr>
      <w:r>
        <w:lastRenderedPageBreak/>
        <w:t>La falta de legitimación de la entidad recurrente a que se refiere la Sentencia del T.S. de Justicia de la Comunidad Valenciana, no es la que se establece en el art. 28.1 a) de la Ley jurisdiccional -que la Sentencia no niega a la Confederación Sindical de CC.OO.-, sino que está referida al hecho de que esta confederación no cumplió el presupuesto procesal que, con carácter previo a la interposición del recurso contencioso- administrativo, exigía el art. 52.1 de la Ley jurisdiccional entonces vigente.  Y aunque es cierto que la falta de dicho requisito es subsanable con arreglo al art. 129.3 de la citada Ley -como se recoge en el fundamento jurídico 3 de nuestra Sentencia-, no puede serlo, por la misma naturaleza de las cosas, que un recurso de reposición interpuesto por una persona a título particular se transforme en uno interpuesto por esa misma persona, pero no a título particular sino como representante de una entidad a la que no se menciona en el recurso, ni convertir en interés de CC.OO. unos derechos respecto de los cuales no se dice en el recurso que afecten a dicha institución o a sus afiliados. La resolución dictada en el recurso podría haber sido diferente si la Administración que la pronunció hubiera conocido la representación que ostentaba el recurrente y los intereses generales en favor de los cuales actuaba.</w:t>
      </w:r>
    </w:p>
    <w:p w:rsidR="008107C7" w:rsidRDefault="008107C7" w:rsidP="008107C7">
      <w:pPr>
        <w:pStyle w:val="TextoNormal"/>
      </w:pPr>
      <w:r>
        <w:t>D) Considero importante señalar que, por muy flexibles y poco rigoristas que sean los Tribunales a la hora de aplicar los presupuestos procesales legalmente necesarios para acceder a la jurisdicción, han de ponderarlos teniendo en cuenta que no sólo afectan a la parte que inicia el proceso, sino a todos los implicados en el mismo. El proceso público y con todas las garantías a que se refiere el art. 24.2 C.E., está establecido, obviamente y como repetidamente viene declarando este Tribunal, en favor de todos los intervinientes en el proceso. Así lo impone el principio de igualdad de las partes que es una de las garantías que derivan de dicho precepto constitucional.</w:t>
      </w:r>
    </w:p>
    <w:p w:rsidR="008107C7" w:rsidRDefault="008107C7" w:rsidP="008107C7">
      <w:pPr>
        <w:pStyle w:val="TextoNormal"/>
      </w:pPr>
      <w:r>
        <w:t>E) Si a lo expuesto se añade que la vulneración de los derechos fundamentales por las resoluciones judiciales ha de ser imputable a las mismas "de modo inmediato y directo" como exige el art. 44.1 b) de nuestra Ley Orgánica, no parece que pueda merecer tal calificación una resolución judicial que tiene por base, en definitiva, una equivocación que el recurrente reconoce en sus alegaciones haber cometido al interponer el recurso de reposición, y que, por tanto, no es imputable en absoluto a la Sala sentenciadora.</w:t>
      </w:r>
    </w:p>
    <w:p w:rsidR="008107C7" w:rsidRDefault="008107C7" w:rsidP="008107C7">
      <w:pPr>
        <w:pStyle w:val="TextoNormal"/>
      </w:pPr>
      <w:r>
        <w:t>Estas son las razones por las que, en mi criterio y respetando la opinión contraria, ha debido ser desestimado este recurso de amparo.</w:t>
      </w:r>
    </w:p>
    <w:p w:rsidR="008107C7" w:rsidRDefault="008107C7" w:rsidP="008107C7">
      <w:pPr>
        <w:pStyle w:val="TextoNormal"/>
      </w:pPr>
      <w:r>
        <w:t>Madrid, a diecisiete de marzo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59" w:name="SENTENCIA_1997_56"/>
      <w:r>
        <w:lastRenderedPageBreak/>
        <w:t>SENTENCIA 56/1997, de 17 de marzo de 1997</w:t>
      </w:r>
    </w:p>
    <w:bookmarkEnd w:id="59"/>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92, de 17 de abril de 1997)</w:t>
      </w:r>
    </w:p>
    <w:p w:rsidR="008107C7" w:rsidRDefault="008107C7" w:rsidP="008107C7">
      <w:pPr>
        <w:pStyle w:val="TtuloBOE"/>
      </w:pPr>
    </w:p>
    <w:p w:rsidR="008107C7" w:rsidRDefault="008107C7" w:rsidP="008107C7">
      <w:pPr>
        <w:pStyle w:val="SntesisDescriptiva"/>
      </w:pPr>
      <w:r>
        <w:t>ECLI:ES:TC:1997:56</w:t>
      </w:r>
    </w:p>
    <w:p w:rsidR="008107C7" w:rsidRDefault="008107C7" w:rsidP="008107C7">
      <w:pPr>
        <w:pStyle w:val="SntesisDescriptiva"/>
      </w:pPr>
    </w:p>
    <w:p w:rsidR="008107C7" w:rsidRDefault="008107C7" w:rsidP="008107C7">
      <w:pPr>
        <w:pStyle w:val="SntesisDescriptiva"/>
      </w:pPr>
      <w:r>
        <w:t>Recurso de amparo 3.199/1996. Contra Autos dictados por el Tribunal Militar Central por los que se acordó y confirmó, respectivamente, la prórroga de la situación de prisión preventiva del recurrente.</w:t>
      </w:r>
    </w:p>
    <w:p w:rsidR="008107C7" w:rsidRDefault="008107C7" w:rsidP="008107C7">
      <w:pPr>
        <w:pStyle w:val="SntesisDescriptiva"/>
      </w:pPr>
    </w:p>
    <w:p w:rsidR="008107C7" w:rsidRDefault="008107C7" w:rsidP="008107C7">
      <w:pPr>
        <w:pStyle w:val="SntesisAnaltica"/>
      </w:pPr>
      <w:r>
        <w:t>Vulneración del derecho a la libertad personal: extemporaneidad de la resolución de prolongación de la medida cautelar inicialmente acordada. Votos particulares.</w:t>
      </w:r>
    </w:p>
    <w:p w:rsidR="008107C7" w:rsidRDefault="008107C7" w:rsidP="008107C7">
      <w:pPr>
        <w:pStyle w:val="SntesisAnaltica"/>
      </w:pPr>
    </w:p>
    <w:p w:rsidR="008107C7" w:rsidRDefault="008107C7" w:rsidP="008107C7">
      <w:pPr>
        <w:pStyle w:val="Extracto"/>
      </w:pPr>
      <w:r>
        <w:t>1.</w:t>
      </w:r>
      <w:r>
        <w:tab/>
        <w:t>En relación con la prisión provisional, la Constitución no se limita a reconocerla, dando por válido cualquier hipotético plazo máximo que, para su duración, el legislador pueda determinar (SSTC 8/1990 y 206/1991); el inciso segundo del art. 17.4 C.E. se inserta en la economía del entero art. 17 C. E., comenzando por su primer apartado, siendo en ese más amplio contexto en el que debe ser comprendido; es ahí donde encuentra su lugar el criterio de razonabilidad del plazo (SSTC 127/84 y 8/1990). Pero, con independencia de ello, y a los efectos de la presente demanda, es claro que el plazo máximo de duración de la prisión provisional que, por imperativo constitucional y como «garantía de la mediación legislativa» (STC 71/1994), el legislador debe establecer es asumido como tal por la propia Constitución como tal plazo máximo, de tal forma que la ignorancia de dicho plazo se traduce, por fuerza, en una vulneración del derecho fundamental a la libertad personal (art. 17.1 C.E.): «aunque esos plazos puedan variarse por el legislador, mientras la Ley fije unos, es evidente que han de cumplirse y que ese cumplimiento, como se ha dicho, integra la garantía constitucional de la libertad consagrada en el art. 17 de la Constitución» (STC 127/1984). De este modo, y como consecuencia de todo ello, resulta de absoluta evidencia que la forma de computar un plazo como el previsto en el art. 17.4, inciso segundo, C.E., asume el carácter de una determinación de legalidad con trascendencia constitucional, habiéndolo implícitamente entendido así este Tribunal Constitucional de forma invariable en las resoluciones que venimos invocando . [F.J. 4]</w:t>
      </w:r>
    </w:p>
    <w:p w:rsidR="008107C7" w:rsidRDefault="008107C7" w:rsidP="008107C7">
      <w:pPr>
        <w:pStyle w:val="Extracto"/>
      </w:pPr>
    </w:p>
    <w:p w:rsidR="008107C7" w:rsidRDefault="008107C7" w:rsidP="008107C7">
      <w:pPr>
        <w:pStyle w:val="Extracto"/>
      </w:pPr>
      <w:r>
        <w:t>2.</w:t>
      </w:r>
      <w:r>
        <w:tab/>
        <w:t>La circunstancia de que el legislador haya cumplido el mandato constitucional de fijación del indicado «plazo máximo» en forma de un plazo máximo inicial prorrogable hasta un plazo máximo improrrogable o absoluto no desplaza, por así decir, a la garantía constitucional que nos ocupa a esta última y definitiva determinación temporal, de tal modo que todo lo que hasta ese momento ocurra venga a resultar indiferente desde la perspectiva del art. 17 C.E y, más concretamente, de su apartado cuarto. Por el contrario, es de tener en cuenta, refiriéndonos concretamente ya a la legislación penal y procesal militar, que el plazo máximo inicial de la «prisión preventiva» es la regla, de tal modo que su prórroga reviste caracteres excepcionales (art. 218 L.O.Procesal Militar), El agotamiento, pues, de ese plazo máximo inicial sin que se haya puesto fin a la medida cautelar o, alternati</w:t>
      </w:r>
      <w:r>
        <w:lastRenderedPageBreak/>
        <w:t>vamente, se haya aprobado su prórroga implica también, por más que su intensidad no sea la misma, una vulneración del art. 17. 4 C.E., y sin que la prórroga acordada con posterioridad pueda venir a subsanarla (SSTC 40/1987 y 103/1992) . [F.J. 5]</w:t>
      </w:r>
    </w:p>
    <w:p w:rsidR="008107C7" w:rsidRDefault="008107C7" w:rsidP="008107C7">
      <w:pPr>
        <w:pStyle w:val="Extracto"/>
      </w:pPr>
    </w:p>
    <w:p w:rsidR="008107C7" w:rsidRDefault="008107C7" w:rsidP="008107C7">
      <w:pPr>
        <w:pStyle w:val="Extracto"/>
      </w:pPr>
      <w:r>
        <w:t>3.</w:t>
      </w:r>
      <w:r>
        <w:tab/>
        <w:t>En el caso del presente recurso de amparo la cuestión litigiosa no se contrae a determinar si la prórroga de la medida de prisión provisional en la que aún hoy se encuentra el demandante se acordó o no más de un año después de haberse decretado inicialmente la misma, pues el simple contraste de ambas fechas pone de manifiesto que el plazo del año efectivamente ha sido superado, sino en concreto la de dilucidar si el período en que el recurrente estuvo en la situación de prisión atenuada (15 de julio a 29 de septiembre de 1995) debe o no computarse dentro del «plazo máximo de duración de la prisión provisional». De ahí también el que, a los efectos del problema que nos ocupa, resulten irrelevantes las cuestiones relativas al cómputo o no de los tres días que el recurrente estuvo sometido a detención, así como el carácter bisiesto de 1996: es únicamente la inclusión o no del tiempo transcurrido en la situación de «prisión atenuada» el que puede determinar la temporaneidad o no de la prórroga de su situación de prisión y, por tanto, el respeto a la garantía prevista en el art. 17.4, inciso segundo, C.E. . [F.J. 6]</w:t>
      </w:r>
    </w:p>
    <w:p w:rsidR="008107C7" w:rsidRDefault="008107C7" w:rsidP="008107C7">
      <w:pPr>
        <w:pStyle w:val="Extracto"/>
      </w:pPr>
    </w:p>
    <w:p w:rsidR="008107C7" w:rsidRDefault="008107C7" w:rsidP="008107C7">
      <w:pPr>
        <w:pStyle w:val="Extracto"/>
      </w:pPr>
      <w:r>
        <w:t>4.</w:t>
      </w:r>
      <w:r>
        <w:tab/>
        <w:t>A partir de una consideración sistemática, la lectura de las Secciones tercera («De la prisión preventiva»), cuarta («De la prisión incomunicada») y quinta («De la prisión atenuada») del Capítulo Octavo («De las medidas cautelares sobre personas») del Título II del Libro Segundo de la L.O.P.M. pone de manifiesto que la situación de «prisión atenuada» aparece configurada como una variante, y no un «aliud», respecto de la «prisión preventiva». A partir de lo regulado en la referida Sección Tercera para la prisión preventiva, y con plena aplicación de lo que en ella se dispone, la Sección Quinta posibilita que «la prisión sea atenuada» cuando en el preso concurran circunstancias que a juicio del Juez lo aconsejen. En qué consista esta atenuación es algo de lo que habremos de ocuparnos más adelante. Lo que de momento importa retener es que su régimen es, sin duda, el de la Sección Tercera con las especificidades de la Sección Quinta. Tal es el caso, singularmente, en lo relativo a los supuestos en los que la prisión procede (arts. 216 y 217 L.O.P.M.). Que dentro de este régimen deben comprenderse las previsiones del art. 218 L.O.P.M. relativas a los plazos de duración no debiera ser dudoso, so pena de entender que el legislador ha renunciado a prever plazo máximo alguno de duración de la prisión atenuada. Por otra parte, el Código Penal Militar expresamente equipara la prisión atenuada a la «rigurosa», como modalidades ambas de una misma «prisión preventiva», al disponer su art. 27 que, para el cumplimiento de condena, «se abonará el tiempo de prisión preventiva rigurosa o atenuada». La situación de «prisión atenuada» es, pues, «prisión preventiva» en el sentido genérico de la legislación penal y procesal militar . [F.J. 8]</w:t>
      </w:r>
    </w:p>
    <w:p w:rsidR="008107C7" w:rsidRDefault="008107C7" w:rsidP="008107C7">
      <w:pPr>
        <w:pStyle w:val="Extracto"/>
      </w:pPr>
    </w:p>
    <w:p w:rsidR="008107C7" w:rsidRDefault="008107C7" w:rsidP="008107C7">
      <w:pPr>
        <w:pStyle w:val="Extracto"/>
      </w:pPr>
      <w:r>
        <w:t>5.</w:t>
      </w:r>
      <w:r>
        <w:tab/>
        <w:t xml:space="preserve">La situación de prisión atenuada regulada en los arts. 225 y ss. L.O.P.M. es prisión provisional en el sentido del art. 17.4, inciso segundo, C.E. Dicho en otras palabras, el tiempo que el recurrente permaneció en prisión atenuada, es decir, los días transcurridos entre el 15 de julio y el 29 de septiembre de 1995, debieron ser computados a la hora de determinar el plazo máximo de duración de la prisión </w:t>
      </w:r>
      <w:r>
        <w:lastRenderedPageBreak/>
        <w:t>provisional en el sentido de dicho precepto constitucional. A esta conclusión resulta necesario llegar inevitablemente si nos atenemos, no a las disimilitudes con la situación de prisión «ordinaria» en el sentido de la STC 14/1996 o, si se quiere, con la de prisión «rigurosa» (art. 27 C.P.M.), sino a las disimilitudes de la prisión atenuada con la situación de libertad. Ciertamente, es distinto el rigor del cumplimiento de la medida de prisión preventiva en el establecimiento militar que corresponda de aquél que tiene lugar, como prisión atenuada, en el respectivo domicilio, en el caso de los militares profesionales y paisanos (art. 226.1 L.O.P.M.); no tanto, sin embargo, en el caso de la que cumplen los militares no profesionales, también como prisión atenuada, «en las unidades a que pertenezcan» (art. 226.2 L.O.P.M.). Además de ello, y ya de forma indiferenciada, la prisión atenuada permite acudir al trabajo habitual, así como asistir a las prácticas religiosas (art. 227 L.O.P. M.). En esto, desde luego, se diferencia la prisión atenuada de la prisión ordinaria . [F.J. 10]</w:t>
      </w:r>
    </w:p>
    <w:p w:rsidR="008107C7" w:rsidRDefault="008107C7" w:rsidP="008107C7">
      <w:pPr>
        <w:pStyle w:val="Extracto"/>
      </w:pPr>
    </w:p>
    <w:p w:rsidR="008107C7" w:rsidRDefault="008107C7" w:rsidP="008107C7">
      <w:pPr>
        <w:pStyle w:val="Extracto"/>
      </w:pPr>
      <w:r>
        <w:t>6.</w:t>
      </w:r>
      <w:r>
        <w:tab/>
        <w:t>Desde la perspectiva constitucional, lo decisivo no son tanto las diferencias de la prisión preventiva atenuada con la prisión preventiva rigurosa cuanto las diferencias de la prisión preventiva atenuada con la situación de libertad. Desde dicha perspectiva forzoso es concluir que la prisión atenuada no es una situación de restricción de libertad, sino una situación de privación de libertad en el sentido del art. 17.1, inciso segundo, y consiguientemente 4, inciso segundo, C.E. Pues en este caso, sencillamente, la perspectiva se invierte. Mientras en las medidas cautelares restrictivas de la libertad, esta libertad es la regla y la medida personal la excepción, en el régimen de la prisión atenuada que prescriben los arts. 226 y 227 L.O.P.M. la sustracción de la libertad personal es la regla y su atenuación, como ya su propio nombre indica, la excepción. En suma, la persona no recupera su situación de libertad porque el Juez Togado le pueda autorizar a acudir a su trabajo habitual o a asistir a sus prácticas religiosas (art. 227 L.O.P.M.). Sostener que la persona se encuentra en situación de libertad desde el momento en que puede ser autorizado a acudir a su trabajo o a cumplir sus obligaciones religiosas es algo que se compadece con dificultad con los presupuestos de un orden político que se comprende a sí mismo como un régimen de libertades (art. 10.1 C.E.) . [F.J. 10]</w:t>
      </w:r>
    </w:p>
    <w:p w:rsidR="008107C7" w:rsidRDefault="008107C7" w:rsidP="008107C7">
      <w:pPr>
        <w:pStyle w:val="Extracto"/>
      </w:pPr>
    </w:p>
    <w:p w:rsidR="008107C7" w:rsidRDefault="008107C7" w:rsidP="008107C7">
      <w:pPr>
        <w:pStyle w:val="Extracto"/>
      </w:pPr>
      <w:r>
        <w:t>7.</w:t>
      </w:r>
      <w:r>
        <w:tab/>
        <w:t xml:space="preserve">En el supuesto actual es claro que quien viene en petición de amparo no ha sido tan siquiera juzgado. No lo es menos, sin embargo, que se encuentra procesado y pendiente de juicio, acusado de un delito de revelación de secretos e informaciones relativas a la seguridad nacional y defensa nacional (art. 53 C. P.M.). Como dijimos en la STC 88/1988, «no correspondería a este Tribunal, sino, en su caso, al órgano judicial penal la adopción de la decisión sobre esa libertad, teniendo en cuenta las circunstancias concretas del caso. El otorgamiento del amparo sólo podría limitarse a reconocer el derecho de los recurrentes a que la decisión judicial sobre su situación de libertad provisional se adoptase, en cuanto a los límites máximos, de acuerdo con lo previsto en el art. 504 de la Ley de Enjuiciamiento Criminal» (fundamento jurídico 2 ). En términos semejantes, procede declarar ahora que es al órgano judicial a quien corresponde determinar, en relación con el recurrente en amparo, la adopción o no de las medidas cautelares de naturaleza personal permitidas por el ordenamiento, una vez declarados nulos los Autos de 24 </w:t>
      </w:r>
      <w:r>
        <w:lastRenderedPageBreak/>
        <w:t>de junio y 9 de julio de 1996 que, extemporáneamente, acordaron y ratificaron, respectivamente, la prórroga de la prisión preventiva . [F.J. 12]</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Álvaro Rodríguez Bereijo, Presidente, don Vicente Gimeno Sendra, don Pedro Cruz Villalón, don Enrique Ruíz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3.199/96, promovido por don Juan Alberto Perote Pellón, representado por el Procurador de los Tribunales don Antonio Albadalejo Martínez y bajo la dirección letrada de don Jesús Santaella López, frente a los Autos de 24 de junio de 1996 y 9 de julio de 1996, dictados por el Tribunal Militar Central, por los que se acordó y confirmó, respectivamente, la prórroga de la situación de prisión preventiva del recurrente. Ha intervenido el Ministerio Fiscal. Ha sido Ponente el Magistrado don Pedro Cruz Villalón,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Por medio de escrito que tuvo entrada en el Registro de este Tribunal el 5 de agosto de 1996, don Antonio Albadalejo Martínez, Procurador de los Tribunales y de don Juan Alberto Perote Pellón, interpuso recurso de amparo frente a los Autos de 24 de junio y 9 de julio de 1996, ambos dictados por el Tribunal Militar Central, por los que se acordó y confirmó, respectivamente, la prórroga de la situación de prisión preventiva del recurrente.</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hechos de los que dimana la pretensión constitucional de amparo son, en síntesis, los siguientes: </w:t>
      </w:r>
    </w:p>
    <w:p w:rsidR="008107C7" w:rsidRDefault="008107C7" w:rsidP="008107C7">
      <w:pPr>
        <w:pStyle w:val="TextoNormal"/>
      </w:pPr>
      <w:r>
        <w:t xml:space="preserve">a) El demandante de amparo, que se encuentra encausado en el sumario seguido ante la jurisdicción militar por un delito de revelación de secretos (art. 53 del Código Penal Militar, en adelante C.P.M.), fue detenido en fecha 18 de junio de 1995 por orden judicial, siendo acordada judicialmente su situación de prisión preventiva en fecha 21 de junio de 1995, para ser acordada y sustituida en fecha 15 de julio de 1995 por la de prisión atenuada, hasta el 29 de septiembre de 1995 en que se volvió a acordar la prisión preventiva del recurrente. En fecha 17 de junio de 1996, encontrándose el actor en situación de prisión preventiva, el Fiscal Togado Militar, a requerimiento del Tribunal Militar Central, evacuó informe sobre la procedencia de prolongar la prisión preventiva del recurrente. </w:t>
      </w:r>
    </w:p>
    <w:p w:rsidR="008107C7" w:rsidRDefault="008107C7" w:rsidP="008107C7">
      <w:pPr>
        <w:pStyle w:val="TextoNormal"/>
      </w:pPr>
      <w:r>
        <w:t xml:space="preserve">b) En fecha 24 de junio de 1996, el Tribunal Militar Central dictó Auto en el que acordó prorrogar la situación de prisión preventiva del recurrente hasta el límite temporal previsto en el art. 218 de la Ley Orgánica Procesal Militar, en adelante L.O.P.M. Contra este Auto </w:t>
      </w:r>
      <w:r>
        <w:lastRenderedPageBreak/>
        <w:t>interpuso el actor recurso de súplica, que ha sido desestimado mediante Auto de fecha 9 de julio de 1996. Contra estas dos últimas resoluciones se dirige el actual recurso de amparo.</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Se fundamenta la demanda de amparo en la vulneración por las resoluciones judiciales impugnadas de los derechos fundamentales que consagran los arts. 17 y 24 C.E., con base en los siguientes fundamentos jurídicos, sucintamente expuestos: </w:t>
      </w:r>
    </w:p>
    <w:p w:rsidR="008107C7" w:rsidRDefault="008107C7" w:rsidP="008107C7">
      <w:pPr>
        <w:pStyle w:val="TextoNormal"/>
      </w:pPr>
      <w:r>
        <w:t xml:space="preserve">a) En primer lugar plantea el actor la cuestión relativa a la vulneración del derecho fundamental a la libertad personal (art. 17 C.E.), porque la prórroga de la prisión preventiva acordada en los Autos que se impugnan se ha producido ya en un momento en que el recurrente debía encontrarse en libertad, es decir, fuera del plazo legalmente previsto. Y ello por cuanto, en primer término, el plazo de un año que prevé el art. 218 de la Ley Orgánica Procesal Militar debe empezarse a contar desde el día 17 de junio de 1995 en que se acordó mediante Auto la privación de libertad del recurrente, mediante su detención; y, en segundo lugar, porque el tiempo en que el mismo estuvo en situación de prisión atenuada debe también computarse a tales efectos, todo lo cual determina que, cuando el Tribunal Militar acordó la prórroga, el 24 de junio de 1996, ya había transcurrido el plazo de duración máximo de un año de la prisión preventiva establecido en el art. 218 de la Ley Orgánica Procesal Militar; dicho de otro modo, la prórroga se acordó fuera de plazo. </w:t>
      </w:r>
    </w:p>
    <w:p w:rsidR="008107C7" w:rsidRDefault="008107C7" w:rsidP="008107C7">
      <w:pPr>
        <w:pStyle w:val="TextoNormal"/>
      </w:pPr>
      <w:r>
        <w:t xml:space="preserve">b) En segundo lugar se alega la lesión de los derechos fundamentales a la utilización de los medios de prueba, de audiencia, y del principio acusatorio penal (con invocación del art. 24 C.E.), por cuanto no se ha cumplido con el trámite de comparecencia y proposición de prueba anterior a la decisión que prevé el art. 504 bis. 2 en relación con el 539, ambos de la Ley de Enjuiciamiento Criminal, de aplicación supletoria, así como porque el informe evacuado por el Ministerio Fiscal solicitando la prórroga de la prisión preventiva carece de motivación, con lo que la misma es suplida por la Sala, y ello determina la lesión del principio acusatorio apuntado. </w:t>
      </w:r>
    </w:p>
    <w:p w:rsidR="008107C7" w:rsidRDefault="008107C7" w:rsidP="008107C7">
      <w:pPr>
        <w:pStyle w:val="TextoNormal"/>
      </w:pPr>
      <w:r>
        <w:t>c) Finalmente, alude el actor al fondo de la cuestión resuelta en los Autos que impugna invocando el art. 24 C.E., ahora en su vertiente de tutela judicial, como consecuencia de la falta de motivación que imputa a las resoluciones, pues, en su opinión, éstas no satisfacen los requisitos de la doctrina constitucional al respecto, citando la STC 128/1995.</w:t>
      </w:r>
    </w:p>
    <w:p w:rsidR="008107C7" w:rsidRDefault="008107C7" w:rsidP="008107C7">
      <w:pPr>
        <w:pStyle w:val="TextoNormal"/>
      </w:pPr>
    </w:p>
    <w:p w:rsidR="008107C7" w:rsidRDefault="008107C7" w:rsidP="008107C7">
      <w:pPr>
        <w:pStyle w:val="TextoNormal"/>
      </w:pPr>
      <w:r w:rsidRPr="008107C7">
        <w:rPr>
          <w:rStyle w:val="NumeroAFNegritaCaracter"/>
        </w:rPr>
        <w:t>4</w:t>
      </w:r>
      <w:r>
        <w:t>. Por providencia de 16 de septiembre de 1996, la Sección Primera (Sala Primera) de este Tribunal acordó tener por recibido el escrito de demanda, con los documentos adjuntos, y por personado y parte, en nombre y representación de don Juan Alberto Perote Pellón, al Procurador Sr. Albadalejo Martínez. Se acordó asimismo en la citada providencia hacer saber al expresado Procurador la posible concurrencia del siguiente motivo de inadmisión previsto en el art. 50.1 c) LOTC: "Carecer la demanda manifiestamente de contenido que justifique una decisión sobre el fondo por parte de este Tribunal Constitucional". Por lo que, conforme dispone el art. 50.3 LOTC, se concedió al recurrente y al Ministerio Fiscal un plazo común de diez días a fin de que, dentro del mismo, formulasen las alegaciones que estimasen oportunas.</w:t>
      </w:r>
    </w:p>
    <w:p w:rsidR="008107C7" w:rsidRDefault="008107C7" w:rsidP="008107C7">
      <w:pPr>
        <w:pStyle w:val="TextoNormal"/>
      </w:pPr>
    </w:p>
    <w:p w:rsidR="008107C7" w:rsidRDefault="008107C7" w:rsidP="008107C7">
      <w:pPr>
        <w:pStyle w:val="TextoNormal"/>
      </w:pPr>
      <w:r w:rsidRPr="008107C7">
        <w:rPr>
          <w:rStyle w:val="NumeroAFNegritaCaracter"/>
        </w:rPr>
        <w:t>5</w:t>
      </w:r>
      <w:r>
        <w:t xml:space="preserve">. El Ministerio Fiscal, en su escrito de alegaciones presentado en fecha 7 de octubre de 1996, considera que no concurre la causa de inadmisión que la Sección puso de manifiesto, y que procede, por el contrario, la admisión a trámite del recurso formalizado y su resolución mediante Sentencia. Entiende el Ministerio Público que el demandante asienta su alegato en lo que estima una irregularidad en la que habría incurrido la Sala al dictar el Auto recurrido </w:t>
      </w:r>
      <w:r>
        <w:lastRenderedPageBreak/>
        <w:t xml:space="preserve">de 24 de junio de 1996, de prórroga de la prisión preventiva, fuera del plazo previsto en el art. 218, párrafo 1º, de la L.O.P.M., en cuanto no computa el tiempo que el procesado permaneció en prisión atenuada y sí, solamente, el que estuvo en situación de prisión preventiva. Pues bien, continúa el Ministerio Fiscal, toda denuncia fundada sobre el incumplimiento de los plazos legales de prisión incide, en términos generales, en el derecho fundamental a la libertad personal. Por otra parte, los términos de la alegación no faltan al rigor lógico, lo que conduciría a la misma conclusión. Sin perjuicio de aceptar las razones que en los Autos impugnados arguye el Tribunal Militar Central, según los cuales la prisión atenuada y la prisión preventiva difieren notablemente en su contenido material, no cabe de ello concluir que la primera no debe computarse en el plazo de duración máxima que establece la Ley. A juicio del Fiscal, las consideraciones que el recurrente hace con fundamento en los arts. 27 del C.P.M. y 349 de la L.O.P.M. parecen conducir a una conclusión de otro signo, tanto más si se tiene en cuenta el principio pro libertate, tantas veces proclamado por el Tribunal Constitucional como por el Tribunal Supremo, con específica referencia a esta materia. </w:t>
      </w:r>
    </w:p>
    <w:p w:rsidR="008107C7" w:rsidRDefault="008107C7" w:rsidP="008107C7">
      <w:pPr>
        <w:pStyle w:val="TextoNormal"/>
      </w:pPr>
      <w:r>
        <w:t>Por último, concluye el Ministerio Fiscal, cabría argumentar, contra lo que plantea el recurrente, que la legalidad de la prórroga de la situación de prisión no depende del cómputo del plazo en lo que a la inclusión en él de la prisión atenuada se refiere, porque el dies a quo habría de situarse haciéndolo coincidir con la ejecución del Auto del Instructor, de 29 de septiembre de 1995, que revoca la prisión atenuada del recurrente y dispone la preventiva; pero ello desplaza el problema a determinar en qué casos las distintas situaciones de prisión acordadas en la misma causa y respecto del mismo sujeto son acumulables en cuanto al plazo legal y cuándo no; y obvio es que también en este extremo sería preciso un pronunciamiento del Tribunal Constitucional.</w:t>
      </w:r>
    </w:p>
    <w:p w:rsidR="008107C7" w:rsidRDefault="008107C7" w:rsidP="008107C7">
      <w:pPr>
        <w:pStyle w:val="TextoNormal"/>
      </w:pPr>
    </w:p>
    <w:p w:rsidR="008107C7" w:rsidRDefault="008107C7" w:rsidP="008107C7">
      <w:pPr>
        <w:pStyle w:val="TextoNormal"/>
      </w:pPr>
      <w:r w:rsidRPr="008107C7">
        <w:rPr>
          <w:rStyle w:val="NumeroAFNegritaCaracter"/>
        </w:rPr>
        <w:t>6</w:t>
      </w:r>
      <w:r>
        <w:t>. En su escrito de alegaciones, la representación del demandante solicitó la admisión a trámite del recurso, pues la queja no adolece -a su juicio- de falta de relevancia constitucional, reiterando los fundamentos ya expuestos en su escrito de demanda, a los que se añade, en síntesis, que, siendo la prolongación extemporánea del plazo legalmente fijado respecto de la prisión preventiva el primero de los motivos en que se fundamenta el recurso de amparo, es preciso destacar, por un lado, que en el cómputo de dicho periodo ha de incluirse el tiempo de detención del recurrente, cuando ésta, como aquí sucede, ha sido acordada judicialmente; en segundo lugar, que la doctrina del T.E.D.H. se ha pronunciado ya con anterioridad en otras ocasiones acerca de las formas específicas de privación de libertad susceptibles de ser computadas cuando se padece con carácter previo a la existencia de una Sentencia, señalando que han de serlo todas aquéllas que, con independencia de su grado o intensidad, tengan una misma naturaleza o esencia (casos Guzzardi, Engel y Ashingdane). Tras todo lo cual suplica la admisión a trámite del recurso, así como que se solicite del Tribunal Militar Central testimonio de la pieza separada de situación personal del imputado al objeto de su incorporación al presente recurso con carácter previo a su admisión.</w:t>
      </w:r>
    </w:p>
    <w:p w:rsidR="008107C7" w:rsidRDefault="008107C7" w:rsidP="008107C7">
      <w:pPr>
        <w:pStyle w:val="TextoNormal"/>
      </w:pPr>
    </w:p>
    <w:p w:rsidR="008107C7" w:rsidRDefault="008107C7" w:rsidP="008107C7">
      <w:pPr>
        <w:pStyle w:val="TextoNormal"/>
      </w:pPr>
      <w:r w:rsidRPr="008107C7">
        <w:rPr>
          <w:rStyle w:val="NumeroAFNegritaCaracter"/>
        </w:rPr>
        <w:t>7</w:t>
      </w:r>
      <w:r>
        <w:t>. Por providencia de 14 de octubre de 1996 la Sección acordó tener por recibidos los escritos de alegaciones del Ministerio Fiscal y representación del recurrente en amparo y, a tenor de lo dispuesto en el art. 88 LOTC, requerir atentamente al Tribunal Militar Central para que, en el plazo de diez días remita testimonio de la pieza de situación personal del demandante, dimanante del sumario 01/02/95. El testimonio fue recibido en fecha 30 de octubre de 1996.</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8</w:t>
      </w:r>
      <w:r>
        <w:t>. Mediante Auto de fecha 25 de noviembre de 1996, la Sección acuerda admitir a trámite la demanda de amparo formulada, únicamente en lo que respecta a la invocada lesión del derecho consagrado en el art. 17 C.E., por la eventual extemporaneidad de dicho Acuerdo de prolongación de la medida cautelar, todo ello sin perjuicio de lo que resulte de las actuaciones; asimismo, acuerda inadmitir la demanda de amparo respecto de los otros dos motivos de vulneración constitucional en que se sustenta, por concurrir respecto de los mismos la causa prevista en el art. 50.1 c) LOTC: carecer la demanda de forma manifiesta de contenido que justifique una decisión sobre el fondo de la misma por parte del Tribunal Constitucional. Al mismo tiempo se acuerda requerir atentamente al Tribunal Militar Central para que, en el plazo establecido en el art. 50.1 LOTC, remita testimonio de lo actuado en la causa penal, sumario 01/02/95, a excepción de la pieza de situación personal, emplazándose por el referido Tribunal a quienes fueron parte en el procedimiento a fin de que puedan comparecer en este proceso constitucional. Finalmente, se acuerda la apertura de la oportuna pieza separada de suspensión, de conformidad con lo dispuesto en el art. 56 LOTC.</w:t>
      </w:r>
    </w:p>
    <w:p w:rsidR="008107C7" w:rsidRDefault="008107C7" w:rsidP="008107C7">
      <w:pPr>
        <w:pStyle w:val="TextoNormal"/>
      </w:pPr>
    </w:p>
    <w:p w:rsidR="008107C7" w:rsidRDefault="008107C7" w:rsidP="008107C7">
      <w:pPr>
        <w:pStyle w:val="TextoNormal"/>
      </w:pPr>
      <w:r w:rsidRPr="008107C7">
        <w:rPr>
          <w:rStyle w:val="NumeroAFNegritaCaracter"/>
        </w:rPr>
        <w:t>9</w:t>
      </w:r>
      <w:r>
        <w:t>. Por providencia de esa misma fecha se acuerda conceder un plazo común de tres días al Ministerio Fiscal y al solicitante de amparo para que aleguen lo que estimen pertinente en relación con la petición de suspensión interesada, conforme dispone el art. 56 LOTC.</w:t>
      </w:r>
    </w:p>
    <w:p w:rsidR="008107C7" w:rsidRDefault="008107C7" w:rsidP="008107C7">
      <w:pPr>
        <w:pStyle w:val="TextoNormal"/>
      </w:pPr>
    </w:p>
    <w:p w:rsidR="008107C7" w:rsidRDefault="008107C7" w:rsidP="008107C7">
      <w:pPr>
        <w:pStyle w:val="TextoNormal"/>
      </w:pPr>
      <w:r w:rsidRPr="008107C7">
        <w:rPr>
          <w:rStyle w:val="NumeroAFNegritaCaracter"/>
        </w:rPr>
        <w:t>10</w:t>
      </w:r>
      <w:r>
        <w:t>. A través de escrito registrado ante este Tribunal en fecha 29 de noviembre de 1996, la representación del recurrente insistió en su inicial solicitud de suspensión ante la producción de perjuicios irreparables que harían perder al amparo su finalidad y que se derivarían del mantenimiento en situación de prisión preventiva del recurrente como consecuencia de la no suspensión de las resoluciones judiciales impugnadas. El Ministerio Fiscal, por su parte, presentó su escrito de alegaciones en idéntica fecha, 29 de noviembre pasado, y en él, tras aludir sintéticamente a la doctrina constitucional sentada en relación con el art. 56.1 LOTC, argumenta que ha de partirse de la admisión parcial del recurso de amparo en este supuesto concreto, admisión que se fundamenta en la extemporaneidad del acuerdo de prórroga de la prisión provisional decretado por el Tribunal Militar Central; y, desde este planteamiento, tiene muy presente el Fiscal el interés general que en todo caso se proyecta sobre el mantenimiento de las resoluciones judiciales; pero la cuestión estriba en establecer si el mantenimiento de la medida cautelar haría perder su objeto al recurso formalizado. Y, aunque a tal cuestión debe responderse, quizás, de manera general, en sentido negativo, la no suspensión entrañaría, por contra, una insistencia en la lesión constitucional que el recurrente denuncia, para el caso de que el amparo fuera estimado. Por ello, en este particular caso, continúa el Ministerio Público, aunque la denegación de la suspensión no determinaría la pérdida absoluta del objeto del recurso, sí produciría ese efecto, parcialmente, en cuanto que lo que se cuestiona es la constitucionalidad de la prórroga en la medida cautelar previamente acordada. Finalmente, especial consideración merecen el riesgo de fuga y el eventual entorpecimiento de la preparación del plenario que la suspensión de las resoluciones impugnadas pudieran determinar; lo primero podría conjurarse mediante la adopción de eficaces medidas cautelares; y, lo segundo, decae en su entidad si se tiene en cuenta que la causa se encuentra ya calificada por el Fiscal y conclusa en cuanto a su instrucción. Por todo ello, termina el Ministerio Fiscal estimando que procede la suspensión de las resoluciones impugnadas, con la adopción de las medidas cautelares a que hizo referencia en su argumentación.</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11</w:t>
      </w:r>
      <w:r>
        <w:t>. Mediante Auto de fecha 18 de diciembre de 1996, la Sala acuerda no acceder a la suspensión interesada, si bien se acuerda asimismo acelerar la resolución del presente recurso, incluso anteponiéndola en el orden de señalamientos.</w:t>
      </w:r>
    </w:p>
    <w:p w:rsidR="008107C7" w:rsidRDefault="008107C7" w:rsidP="008107C7">
      <w:pPr>
        <w:pStyle w:val="TextoNormal"/>
      </w:pPr>
    </w:p>
    <w:p w:rsidR="008107C7" w:rsidRDefault="008107C7" w:rsidP="008107C7">
      <w:pPr>
        <w:pStyle w:val="TextoNormal"/>
      </w:pPr>
      <w:r w:rsidRPr="008107C7">
        <w:rPr>
          <w:rStyle w:val="NumeroAFNegritaCaracter"/>
        </w:rPr>
        <w:t>12</w:t>
      </w:r>
      <w:r>
        <w:t>. En fecha 10 de enero de 1997 se recibe el testimonio de actuaciones solicitado, y por providencia de 16 de enero pasado se acuerda dar vista de todas las actuaciones al Ministerio Fiscal y al solicitante del amparo, por término común de veinte días a tenor de lo dispuesto en el art. 52 LOTC, y para que dentro de dicho término puedan presentar las alegaciones que a su derecho convengan.</w:t>
      </w:r>
    </w:p>
    <w:p w:rsidR="008107C7" w:rsidRDefault="008107C7" w:rsidP="008107C7">
      <w:pPr>
        <w:pStyle w:val="TextoNormal"/>
      </w:pPr>
    </w:p>
    <w:p w:rsidR="008107C7" w:rsidRDefault="008107C7" w:rsidP="008107C7">
      <w:pPr>
        <w:pStyle w:val="TextoNormal"/>
      </w:pPr>
      <w:r w:rsidRPr="008107C7">
        <w:rPr>
          <w:rStyle w:val="NumeroAFNegritaCaracter"/>
        </w:rPr>
        <w:t>13</w:t>
      </w:r>
      <w:r>
        <w:t xml:space="preserve">. En fecha 25 de enero de 1997 se reciben las alegaciones de la representación del demandante de amparo. En ellas, tras ratificar el conjunto de alegaciones ya formuladas en los distintos escritos obrantes en el proceso constitucional, añade que, en esencia, son dos las infracciones que se reprochan a las resoluciones judiciales objeto del presente amparo: de una parte, la extemporaneidad en la medida de prórroga de la situación de prisión provisional aplicada al recurrente; y, de otra, la ausencia de motivación suficiente en tales resoluciones, aun cuando ello no haya supuesto infracción del derecho a la tutela judicial, pero sí limitación de la libertad personal. Así, continúa el demandante, son objeto de recurso los Autos del Tribunal Militar Central que acordaron y confirmaron la prórroga de la situación de prisión preventiva que el recurrente venía padeciendo desde el día 18 de junio de 1995, sin continuidad, siendo la fundamentación esencial de dichas resoluciones la de afirmar la posibilidad de prórroga de la prisión preventiva en el instante en que se adopta -24 de junio de 1996-, por entender que las previas situaciones padecidas en la causa de detención y prisión atenuada no son formas de prisión provisional susceptibles de integrar el plazo máximo de un año aplicable al caso, a que se refiere el art. 218 de la L.O.P.M.; asimismo, se fundamenta la prórroga en la existencia real de un peligro de fuga, concretando que ese riesgo se identifica con la probabilidad de que la libertad sea utilizada para obstaculizar la investigación criminal, hacer desaparecer pruebas e impedir el normal desarrollo del proceso penal. Pues bien, continúa el demandante, sobre la extemporaneidad de la prórroga, ha de reproducirse el conjunto argumental ya formulado e insistir en que, partiendo del plazo máximo de un año de prisión preventiva que establece el art. 218 L.O.P.M., prorrogable por otros cuatro, el criterio del recurrente es que, sumadas todas las situaciones de privación efectiva de libertad, de diferente grado de intensidad, pero de igual naturaleza todas ellas al padecerse con carácter previo a la existencia de Sentencia y ser susceptibles de abono en su día a efectos del cumplimiento de la real y firme pena privativa de libertad a que eventualmente fuera condenado [arts. 27 C.P.M. y 349 c) L.O.P.M.] en atención, además, a la naturaleza bisiesta del pasado año, el día 16 de junio de 1996, a las 24 horas, se había cumplido el plazo máximo del año a que se refiere aquel precepto, sin que entonces se hubiese acordado la prórroga de la situación de prisión preventiva; por lo que, a la luz de la doctrina constitucional (SSTC 40/1986 y 103/1992), procedía haberle puesto en libertad y, en consecuencia, se genera la nulidad de las resoluciones objeto de este recurso de amparo. </w:t>
      </w:r>
    </w:p>
    <w:p w:rsidR="008107C7" w:rsidRDefault="008107C7" w:rsidP="008107C7">
      <w:pPr>
        <w:pStyle w:val="TextoNormal"/>
      </w:pPr>
      <w:r>
        <w:t xml:space="preserve">El criterio de los Autos impugnados es que no computan a efectos del plazo de prisión preventiva ni la situación de detención judicial sufrida en régimen carcelario, ni la modalidad de la prisión atenuada; pero con carácter general debe señalarse que, conforme a las propias Sentencias del Tribunal Constitucional, las infracciones en materia de legalidad relativas a la forma, duración y prórroga de la prisión preventiva, en cuanto forman parte del contenido esencial del derecho a la libertad contemplado en los apartados 1 y 4 del art. 17 </w:t>
      </w:r>
      <w:r>
        <w:lastRenderedPageBreak/>
        <w:t xml:space="preserve">de la Constitución, tienen relevancia constitucional, y, además, en este caso, procede la estimación, en cuanto al fondo, de la queja en tanto en cuanto el propio Tribunal Constitucional, en STC 103/1992, expresamente admitió la necesidad de computar el tiempo de detención a efectos de cumplir el plazo máximo de la prisión preventiva; es cierto que la STC posterior 37/1996 señaló, no como ratio decidendi sino como obiter dicta, que no cabe entender como interpretación constitucionalmente obligada que el plazo de privación de libertad padecido en atención a la primera, la detención, haya de integrarse necesariamente en el plazo máximo fijado legalmente para la segunda, la prisión preventiva; pero se trata, en primer lugar, de un simple obiter dicta y, además, tal consecuencia vulneraría la doctrina consolidada en la materia del Tribunal Europeo de Derechos Humanos, amén de que el término "necesariamente" permite entender que, si bien no en todos los casos, sí al menos en algunos, la detención haya de computarse a los efectos del cumplimiento del plazo de la prisión preventiva; sin duda, en aquéllos como el presente en que su origen es judicial, se padece en régimen carcelario y tiene su causa precisamente en el mismo procedimiento en el que se padecen el resto de situaciones de privación de libertad susceptibles de engrosar el cómputo total. </w:t>
      </w:r>
    </w:p>
    <w:p w:rsidR="008107C7" w:rsidRDefault="008107C7" w:rsidP="008107C7">
      <w:pPr>
        <w:pStyle w:val="TextoNormal"/>
      </w:pPr>
      <w:r>
        <w:t xml:space="preserve">Por otro lado, añade el recurrente, es abundante la doctrina emanada del T.E.D.H., en materia de límites de la situación de prisión preventiva; doctrina de imperativa aplicación en el ámbito interno español, conforme al mandato del art. 10.2 de la Constitución. A los efectos del presente recurso, importa destacar las decisiones adoptadas en los casos Ringeisen, Guzzardi y Ashingdane. De entre ellos, destacan especialmente las soluciones adoptadas en cuanto al momento inicial del cómputo del plazo (caso Ringeisen) que deberá serlo desde la privación efectiva de libertad de la persona afectada; las formas de privación de libertad susceptibles de ser computadas (caso Guzzardi) que han de ser todas aquellas que con independencia de su grado o intensidad, tengan una misma naturaleza o esencia; y que la distinción que se establece entre privación de libertad y restricción de libertad no es de grado, sino de naturaleza (caso Ashingdane). Es evidente que en el supuesto concreto del recurrente de amparo, las distintas situaciones de detención preventiva, prisión carcelaria y prisión atenuada son de diferente grado o intensidad, pero todas ellas gozan de la misma naturaleza y esencia. Tienen en común, cuando se padecen antes de una Sentencia, ser modalidades de privación de libertad que se computan todas ellas a efectos de cumplimiento de la pena privativa de libertad impuesta con carácter firme. Luego, si todas esas situaciones sirven de abono para el cumplimiento efectivo de la pena, gozan por lógica consecuencia de la misma naturaleza y esencia y no pueden carecer de ella en un instante previo: el del cómputo del plazo de la prisión preventiva. </w:t>
      </w:r>
    </w:p>
    <w:p w:rsidR="008107C7" w:rsidRDefault="008107C7" w:rsidP="008107C7">
      <w:pPr>
        <w:pStyle w:val="TextoNormal"/>
      </w:pPr>
      <w:r>
        <w:t xml:space="preserve">En segundo lugar, y conforme se indicó inicialmente, alude el actor a la insuficiente motivación de las resoluciones impugnadas desde la perspectiva del derecho a la libertad. Justifica el demandante esta segunda línea de argumentación, pese a no haberse admitido a trámite el motivo inicial de falta de motivación canalizado a través de la invocación del art. 24 C.E., en que ahora se trata de analizar la posible insuficiencia de la motivación no desde la perspectiva de la fundamentación exigible a toda resolución judicial, sino específicamente desde la vertiente de justificación necesaria para restringir un derecho fundamental de carácter material como es el consagrado en el art. 17 de la Constitución. Afirma el actor, en apoyo de tal tesis, que así se deriva de razonamientos contenidos en resoluciones del propio Tribunal Constitucional, de entre los que cita la STC 158/1996. Conforme a la legitimación que emana de tal doctrina, continúa el recurrente, es posible afirmar que las resoluciones impugnadas no se ciñen ni respetan los motivos que la propia L.O.P.M. exige para la adopción de la prórroga que nos ocupa. Según el precepto citado, además de que tal prórroga ha </w:t>
      </w:r>
      <w:r>
        <w:lastRenderedPageBreak/>
        <w:t>de acordarse con anterioridad al plazo al que se ha aludido anteriormente, exige que concurran circunstancias excepcionales que justifiquen no haberse visto el procedimiento en su transcurso y, además, la existencia de motivos racionales que permitan pensar que el imputado no comparecerá al acto del juicio. Pero, en el caso que nos ocupa, el Tribunal Militar Central guarda silencio absoluto sobre las circunstancias excepcionales que hayan impedido la celebración del juicio al tiempo de acordar la medida de prórroga recurrida y, cuando se refiere al eventual riesgo de fuga, lo hace con la precisión adicional, no de que sospeche que el imputado vaya a fugarse, sino en el riesgo de que, de acordarse su libertad, podría obstaculizarse la investigación o destruirse pruebas, cuando en dicha fecha la realidad es que la investigación ya había concluido, según decisión del Juzgado Instructor adoptada varios meses atrás. Por otro lado, alude el actor a las dilaciones que han existido en la tramitación de la causa, a que en ningún instante el demandante ha eludido la acción de la justicia, a que ninguna nueva diligencia sumarial se ha practicado, a que el único elemento de imputación contra el recurrente a la luz del sumario consiste en el reconocimiento de haberse llevado inadvertidamente entre sus efectos personales, con ocasión de su cese en el C.E.S.I.D., un sobre conteniendo unas "microfichas" que devolvió, a que goza de arraigo suficiente en España y, en fin, a que, por todo ello, las decisiones judiciales impugnadas carecen de justificación suficiente para limitar su derecho fundamental a la libertad. Tras todo ello termina suplicando se dicte Sentencia, otorgando el amparo solicitado, en los términos pedidos en su escrito de demanda inicial.</w:t>
      </w:r>
    </w:p>
    <w:p w:rsidR="008107C7" w:rsidRDefault="008107C7" w:rsidP="008107C7">
      <w:pPr>
        <w:pStyle w:val="TextoNormal"/>
      </w:pPr>
    </w:p>
    <w:p w:rsidR="008107C7" w:rsidRDefault="008107C7" w:rsidP="008107C7">
      <w:pPr>
        <w:pStyle w:val="TextoNormal"/>
      </w:pPr>
      <w:r w:rsidRPr="008107C7">
        <w:rPr>
          <w:rStyle w:val="NumeroAFNegritaCaracter"/>
        </w:rPr>
        <w:t>14</w:t>
      </w:r>
      <w:r>
        <w:t xml:space="preserve">. En fecha 6 de febrero de 1997 se ha recibido el escrito de alegaciones del Ministerio Fiscal. En ellas solicita el Ministerio Público se estime el recurso de amparo interpuesto. Tras un resumen de los hechos que han dado lugar a la petición de amparo, considera el Ministerio Fiscal que ha de hacerse ante todo una muy breve mención a la doctrina de este Tribunal Constitucional en torno al significado de los plazos a que se refiere el art. 17.4 C.E. y a la transcendencia de su incumplimiento. El Tribunal ha señalado que el derecho fundamental que el art. 17.4 C.E. proclama no es un derecho de configuración legal, así como la ineludible necesidad del cumplimiento de los plazos legales, de forma que la prórroga de los plazos que previene el art. 504 de la L.E.Crim. (aplicable al art. 218 de la L.O.P.M.) ha de hacerse necesariamente antes de que el plazo que se quiere prorrogar haya concluido (SSTC 13/1994, 40/1987 y 103/1992). Aunque es cierto que en el ATC 527/1988, para un caso muy singular, se negó relevancia constitucional a una extemporaneidad muy breve. Establecidos estos presupuestos jurisdiccionales, el caso que ahora nos ocupa ofrece sin duda especiales singularidades. Es la primera de ellas si debe incluirse en el plazo mencionado el tiempo que el demandante estuvo detenido a disposición judicial. El ATC 527/1988 la excluye, tratándose de detención policial; pero no parece que tal criterio sea aplicable al caso que nos ocupa, porque, en primer lugar, en este caso la detención fue practicada por orden judicial, con puesta inmediata a disposición del Juez; además, el art. 27 del Código Penal Militar declara abonable para el cumplimiento de la pena impuesta el tiempo de detención y, por último, las mismas SSTC 40/1987 y 103/1992 mencionan la fecha de la detención como dies a quo para el cómputo del plazo de prórroga inicial de prisión. Ante estas razones el Fiscal se inclina por la procedencia de tomar en consideración el plazo de detención judicial del recurrente. </w:t>
      </w:r>
    </w:p>
    <w:p w:rsidR="008107C7" w:rsidRDefault="008107C7" w:rsidP="008107C7">
      <w:pPr>
        <w:pStyle w:val="TextoNormal"/>
      </w:pPr>
      <w:r>
        <w:t xml:space="preserve">La segunda cuestión que debe ser analizada, según el Ministerio Público, constituyendo el objeto principal de debate de este recurso de amparo, es la de si el período de prisión atenuada debe incluirse en el plazo a que nos referimos. Y así lo estima el Fiscal también por varias razones: desde un punto de vista conceptual, parece evidente que la atenuada es </w:t>
      </w:r>
      <w:r>
        <w:lastRenderedPageBreak/>
        <w:t xml:space="preserve">una modalidad del género prisión, según el significado propio de las palabras; y que su régimen de cumplimiento permita diferenciarla de la prisión "rigurosa" -en la terminología procesal militar- no es razón bastante para entender que pierda su entidad esencial como medida cautelar de aseguramiento personal (la pena misma no pierde su condición por el hecho de que en determinadas fases y bajo determinadas condiciones se vea notoriamente disminuida en su efecto aflictivo); porque lo que caracteriza a la prisión como medida cautelar de aseguramiento personal es, por un lado, la limitación de la libertad individual y, por otro, la disposición del órgano jurisdiccional que la decreta para asegurar la efectividad del proceso; y ambas condiciones se dan sin duda en la prisión atenuada. A la misma conclusión se llega desde la consideración sistemática de la L.O.P.M. que regula las dos modalidades de prisión, aún en Secciones distintas, en el mismo Capítulo, Título y Libro. Por último, el hecho de que se abone para el cumplimiento de la pena, como dispone el art. 27 del C.P.M., y se incluya a tal fin en la liquidación de condena, como dispone el art. 349 de la L.O.P.M., son razones que deben ser tenidas en cuenta para resolver la cuestión. Todo ello hace concluir al Fiscal que, como el recurrente pretende, debe incluirse en el cómputo del plazo de prórroga el tiempo de prisión atenuada, de la misma manera que se tomará en consideración, para el cumplimiento de la pena, si ésta fuera impuesta. Por último, una singularidad más del presente caso, que subraya el recurrente, es la naturaleza de año bisiesto de 1996, que impone descontar el día de más en el cómputo de fecha </w:t>
      </w:r>
    </w:p>
    <w:p w:rsidR="008107C7" w:rsidRDefault="008107C7" w:rsidP="008107C7">
      <w:pPr>
        <w:pStyle w:val="TextoNormal"/>
      </w:pPr>
      <w:r>
        <w:t xml:space="preserve">a fecha, pues, concluye el Ministerio Público, tratándose de días de prisión parece fuera de toda duda que no son aplicables las reglas del cómputo civil de plazos, esto es, que debe incluirse el dies a quo y que el año debe entenderse integrado por 365 días. Así pues, computado el plazo legal desde la detención, incluyendo el tiempo que el recurrente estuvo en situación de prisión atenuada y tomando en consideración que el mes de febrero de 1996 contó con veintinueve días, debe concluirse que el plazo legal de un año concluyó, como sostiene el recurrente, el día 16 de junio de 1996 y, en consecuencia, el Auto de prórroga, de 24 de junio de 1996, fue dictado ocho días después del plazo legal y el requerimiento de la Sala al Fiscal para informe tuvo lugar el 17 de junio de 1996, esto es, un día después de extinguido el plazo inicial. </w:t>
      </w:r>
    </w:p>
    <w:p w:rsidR="008107C7" w:rsidRDefault="008107C7" w:rsidP="008107C7">
      <w:pPr>
        <w:pStyle w:val="TextoNormal"/>
      </w:pPr>
      <w:r>
        <w:t>De lo expuesto hasta ahora se infiere, para el Ministerio Fiscal, la vulneración constitucional que el demandante alega, pero debe examinarse aún la posible aplicación del criterio que el Tribunal mantuvo en el ATC 527/1988. En aquel caso la prórroga se decidió el primer día posterior a la conclusión del plazo inicial, y son indudablemente convincentes las razones del Tribunal Constitucional que, eludiendo, acertadamente, un planteamiento formalista, centró su atención en que la situación legal no tuvo prácticamente solución de continuidad, porque la resolución judicial habilitante de la prisión prácticamente no faltó en momento alguno, al ser dictada un día después de vencer el plazo legal. Pero en el caso que nos ocupa se incide en lo mismo de un modo más intenso; la resolución de prórroga se adopta ocho días después y el procedimiento para adoptarla se inicia una vez transcurrido el plazo; por lo que no parece que en este caso pueda afirmarse que ha habido solución de continuidad en la situación, ni que no ha faltado en momento alguno la resolución habilitante; a lo que ha de añadirse por último que ese criterio jurisprudencial excepcional no parece que deba ser aplicado de modo extensivo y no, desde luego, a juicio del Fiscal, en esta demanda de amparo.</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15</w:t>
      </w:r>
      <w:r>
        <w:t xml:space="preserve">. Por Acuerdo de la Presidencia de 7 de marzo de 1997, en uso de las facultades conferidas por el art. 80 LOTC, en relación con el art. 206 L.O.P.J., al haber quedado en minoría, en la Sala, la posición mantenida por el Magistrado Ponente don Enrique Ruíz Vadillo se designa como nuevo Ponente al Magistrado don Pedro Cruz Villalón. </w:t>
      </w:r>
    </w:p>
    <w:p w:rsidR="008107C7" w:rsidRDefault="008107C7" w:rsidP="008107C7">
      <w:pPr>
        <w:pStyle w:val="TextoNormal"/>
      </w:pPr>
      <w:r>
        <w:t>Por providencia de fecha 17 de marzo de 1997, la Sala acuerda para deliberación y votación de la presente Sentencia, el día de la fecha.</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La presente demanda de amparo fue admitida a trámite "únicamente en lo que respecta a la invocada lesión del derecho consagrado en el art. 17 C.E., por la eventual extemporaneidad de dicho Acuerdo de prolongación de la medida cautelar" (ATC 340/1996, de 25 de noviembre).  De ahí que, pese a que el recurrente, en el trámite de alegaciones (art.  52 LOTC), haya vuelto a imputar a las resoluciones del Tribunal Militar Central objeto de este amparo las diversas vulneraciones de derechos inicialmente puestas de manifiesto en su escrito de demanda, la única cuestión sobre la que hemos de pronunciarnos por medio de la presente Sentencia es la relativa a dicha alegada infracción del derecho fundamental a la libertad personal (art. 17 C.E.), que el demandante estima producida al haberse decretado la prórroga de la medida de prisión preventiva, a la que en la actualidad sigue sometido, una vez superado el plazo máximo de un año de duración de la prisión provisional establecido por el primer apartado del art. 218 L.O.P.M. sin que el mismo hubiera sido puesto en libertad o, alternativamente, se hubiera decretado la prórroga de dicha prisión en los términos del art. 218 L.O.P.M. El quejoso solicita en el petitum de su demanda, en primer lugar, la nulidad de los referenciados Autos de 24 de junio y 6 de julio de 1996 del Tribunal Militar Central y, en segundo lugar, su inmediata puesta en libertad.</w:t>
      </w:r>
    </w:p>
    <w:p w:rsidR="008107C7" w:rsidRDefault="008107C7" w:rsidP="008107C7">
      <w:pPr>
        <w:pStyle w:val="TextoNormal"/>
      </w:pPr>
    </w:p>
    <w:p w:rsidR="008107C7" w:rsidRDefault="008107C7" w:rsidP="008107C7">
      <w:pPr>
        <w:pStyle w:val="TextoNormal"/>
      </w:pPr>
      <w:r w:rsidRPr="008107C7">
        <w:rPr>
          <w:rStyle w:val="NumeroAFNegritaCaracter"/>
        </w:rPr>
        <w:t>2</w:t>
      </w:r>
      <w:r>
        <w:t>. Tal y como ha quedado suficientemente detallado en los antecedentes, el demandante de amparo fue detenido el día 18 de junio de 1995 por orden de la autoridad judicial, que decretó su ingreso en prisión preventiva el 21 de junio siguiente con arreglo a lo previsto en los arts. 215 y ss. L.O.P.M. El 15 de julio de 1995 pasó a la situación de prisión atenuada (art. 225 y ss.  L.O.P.M.), en la que se mantuvo hasta el día 29 de septiembre de 1995, fecha en la que de nuevo fue decretada su prisión preventiva. El 17 de junio de 1996, el Ministerio Fiscal solicitó la prórroga de dicha situación, a lo que accedió la Sala de Justicia del Tribunal Militar Central, no sin antes prestar audiencia al recurrente, por medio de Auto de 24 de junio de 1996, posteriormente confirmado en súplica por otro fechado el 9 de julio del mismo año.</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A estas dos últimas resoluciones, como se ha reseñado, se les imputa la lesión del derecho fundamental a la libertad personal (art. 17 C.E.), por cuanto, a juicio del recurrente, la prórroga de la prisión preventiva que las mismas llevan a efecto fue acordada con posterioridad al vencimiento del plazo máximo de un año previsto en el párrafo primero del art. 218 L.O.P.M., plazo que, según se sostiene en la demanda, comenzó a discurrir el mismo día en que se produjo su detención y que siguió su curso o, si se prefiere, no fue interrumpido, mientras se mantuvo en la situación de prisión atenuada, sin que deba tampoco olvidarse la circunstancia de que el año 1996, como bisiesto, contó con trescientos sesenta y seis días. En resumen, el plazo máximo fijado por el art. 218 L.O.P.M. se habría cumplido </w:t>
      </w:r>
      <w:r>
        <w:lastRenderedPageBreak/>
        <w:t>el día 16 de junio de 1966, sin que, con tal fecha, se hubiera producido la modificación de su situación de preso preventivo.</w:t>
      </w:r>
    </w:p>
    <w:p w:rsidR="008107C7" w:rsidRDefault="008107C7" w:rsidP="008107C7">
      <w:pPr>
        <w:pStyle w:val="TextoNormal"/>
      </w:pPr>
      <w:r>
        <w:t>El Ministerio Fiscal solicita el otorgamiento del amparo al coincidir plenamente con el recurrente en su modo de determinar el momento del cumplimiento del plazo máximo de un año establecido para el segundo de los supuestos previstos en el inciso primero del art. 218, párrafo primero, L.O.P.M.</w:t>
      </w:r>
    </w:p>
    <w:p w:rsidR="008107C7" w:rsidRDefault="008107C7" w:rsidP="008107C7">
      <w:pPr>
        <w:pStyle w:val="TextoNormal"/>
      </w:pPr>
      <w:r>
        <w:t>Las resoluciones judiciales impugnadas, en cambio, consideran inexistente la denunciada extemporaneidad de la prórroga al entender que, en el cómputo de los plazos máximos de la prisión preventiva a los que se refiere la L.O.P.M., tan sólo han de tomarse en cuenta los días en que el imputado haya estado sometido a esta concreta y específica situación, sin que deban incluirse, pues, en aquel cómputo el tiempo de detención, ni tampoco el transcurrido en régimen de prisión atenuada.</w:t>
      </w:r>
    </w:p>
    <w:p w:rsidR="008107C7" w:rsidRDefault="008107C7" w:rsidP="008107C7">
      <w:pPr>
        <w:pStyle w:val="TextoNormal"/>
      </w:pPr>
    </w:p>
    <w:p w:rsidR="008107C7" w:rsidRDefault="008107C7" w:rsidP="008107C7">
      <w:pPr>
        <w:pStyle w:val="TextoNormal"/>
      </w:pPr>
      <w:r w:rsidRPr="008107C7">
        <w:rPr>
          <w:rStyle w:val="NumeroAFNegritaCaracter"/>
        </w:rPr>
        <w:t>4</w:t>
      </w:r>
      <w:r>
        <w:t>. El art. 17 C.E., lejos de limitarse, sin mayores precisiones, al reconocimiento del derecho fundamental a la libertad personal ("Toda persona tiene derecho a la libertad"), ha incorporado una pluralidad de específicas garantías de dicha libertad, expresiones todas ellas de la necesidad, históricamente contrastada, de salvaguardarla en situaciones muy cualificadas, por más que perfectamente legítimas. Tal es el caso de las numerosas garantías de las que los apartados 2 y 3 de dicho artículo rodean a la detención preventiva. Tal es el caso también de la cautela contenida en el inciso segundo del apartado 4: "Asimismo, por ley se regulará el plazo máximo de duración de la prisión provisional". Respecto de los diversos supuestos de privación de libertad el inciso segundo del art. 17.1 C.E. se pronuncia en términos taxativos: "Nadie puede ser privado de libertad sino con la observancia de lo establecido en este artículo y en los casos y en la forma previstos en la ley".</w:t>
      </w:r>
    </w:p>
    <w:p w:rsidR="008107C7" w:rsidRDefault="008107C7" w:rsidP="008107C7">
      <w:pPr>
        <w:pStyle w:val="TextoNormal"/>
      </w:pPr>
      <w:r>
        <w:t xml:space="preserve">Por medio, particularmente, de los sencillos términos del inciso segundo del art. 17.4 C.E., acabados de reproducir, la Constitución se ha ocupado de una medida cautelar inserta en el proceso penal particularmente sensible, cual es el sometimiento a una situación de privación de libertad, como sin duda lo es esta medida (STC 41/1982, fundamento jurídico 2º), de quienes, ante la ley, siguen siendo inocentes. Así, y ante todo, la Constitución ha venido a permitir la prisión provisional, haciéndola constitucionalmente legítima.  Pero, al mismo tiempo, la ha sometido y la ha puesto en contraste con el derecho fundamental a la libertad personal, el cual debe operar como criterio general de una interpretación constitucionalmente adecuada del instituto en cuestión: "el art. 17.4 de la Constitución reconoce y consagra el derecho fundamental de toda persona a no ser privada preventivamente de su libertad más allá del plazo máximo señalado por la ley, o, dicho en términos positivos, a ser puesta en libertad una vez transcurrido dicho plazo" (STC 32/1987, fundamento jurídico 3º). Por tanto, en relación con la prisión provisional, la Constitución no se limita a reconocerla, dando por válido cualquier hipotético plazo máximo que, para su duración, el legislador pueda determinar (STC 8/1990, fundamento jurídico 3º; 206/1991, fundamento jurídico 4º); el inciso segundo del art. 17.4 C.E., como se ha indicado, se inserta en la economía del entero art. 17 C.E., comenzando por su primer apartado, siendo en ese más amplio contexto en el que debe ser comprendido; es ahí donde encuentra su lugar el criterio de razonabilidad del plazo (SSTC 127/84, fundamento jurídico 3º; 8/1990, fundamento jurídico 4º). Pero, con independencia de ello, y a los efectos de la presente demanda, es claro que el plazo máximo de duración de la prisión provisional que, por imperativo constitucional y como "garantía de la mediación legislativa" (STC 71/1994, fundamento jurídico 13), el legislador debe establecer es asumido como tal por la propia Constitución como tal plazo máximo, de tal </w:t>
      </w:r>
      <w:r>
        <w:lastRenderedPageBreak/>
        <w:t>forma que la ignorancia de dicho plazo se traduce, por fuerza, en una vulneración del derecho fundamental a la libertad personal (art. 17.1 C.E.): "aunque esos plazos puedan variarse por el legislador, mientras la Ley fije unos, es evidente que han de cumplirse y que ese cumplimiento, como se ha dicho, integra la garantía constitucional de la libertad consagrada en el art.  17 de la Constitución" (STC 127/1984, fundamento jurídico 3º).  De este modo, y como consecuencia de todo ello, resulta de absoluta evidencia que la forma de computar un plazo como el previsto en el art. 17.4, inciso segundo, C.E., asume el carácter de una determinación de legalidad con trascendencia constitucional, habiéndolo implícitamente entendido así este Tribunal Constitucional de forma invariable en las resoluciones que venimos invocando.</w:t>
      </w:r>
    </w:p>
    <w:p w:rsidR="008107C7" w:rsidRDefault="008107C7" w:rsidP="008107C7">
      <w:pPr>
        <w:pStyle w:val="TextoNormal"/>
      </w:pPr>
    </w:p>
    <w:p w:rsidR="008107C7" w:rsidRDefault="008107C7" w:rsidP="008107C7">
      <w:pPr>
        <w:pStyle w:val="TextoNormal"/>
      </w:pPr>
      <w:r w:rsidRPr="008107C7">
        <w:rPr>
          <w:rStyle w:val="NumeroAFNegritaCaracter"/>
        </w:rPr>
        <w:t>5</w:t>
      </w:r>
      <w:r>
        <w:t>. La circunstancia de que el legislador haya cumplido el mandato constitucional de fijación del indicado "plazo máximo" en forma de un plazo máximo inicial prorrogable hasta un plazo máximo improrrogable o absoluto no desplaza, por así decir, a la garantía constitucional que nos ocupa a esta última y definitiva determinación temporal, de tal modo que todo lo que hasta ese momento ocurra venga a resultar indiferente desde la perspectiva del art.  17 C.E y, más concretamente, de su apartado cuarto.  Por el contrario, es de tener en cuenta, refiriéndonos concretamente ya a la legislación penal y procesal militar, que el plazo máximo inicial de la "prisión preventiva" es la regla, de tal modo que su prórroga reviste caracteres excepcionales (art.  218 L.O.P.M.). El agotamiento, pues, de ese plazo máximo inicial sin que se haya puesto fin a la medida cautelar o, alternativamente, se haya aprobado su prórroga implica también, por más que su intensidad no sea la misma, una vulneración del art. 17.4 C.E., y sin que la prórroga acordada con posterioridad pueda venir a subsanarla (SSTC 40/1987, fundamento jurídico 3º; 103/1992, fundamento jurídico 3º).</w:t>
      </w:r>
    </w:p>
    <w:p w:rsidR="008107C7" w:rsidRDefault="008107C7" w:rsidP="008107C7">
      <w:pPr>
        <w:pStyle w:val="TextoNormal"/>
      </w:pPr>
    </w:p>
    <w:p w:rsidR="008107C7" w:rsidRDefault="008107C7" w:rsidP="008107C7">
      <w:pPr>
        <w:pStyle w:val="TextoNormal"/>
      </w:pPr>
      <w:r w:rsidRPr="008107C7">
        <w:rPr>
          <w:rStyle w:val="NumeroAFNegritaCaracter"/>
        </w:rPr>
        <w:t>6</w:t>
      </w:r>
      <w:r>
        <w:t>. En el caso del presente recurso de amparo la cuestión litigiosa no se contrae a determinar si la prórroga de la medida de prisión provisional en la que aún hoy se encuentra el demandante (adoptada por Auto de 24 de junio de 1996) se acordó o no más de un año después de haberse decretado inicialmente la misma (mediante Auto de 21 de junio de 1995), pues el simple contraste de ambas fechas pone de manifiesto que el plazo del año efectivamente ha sido superado, sino en concreto la de dilucidar si el período de tiempo en que el recurrente estuvo en la situación de prisión atenuada (15 de julio a 29 de septiembre de 1995) debe o no computarse dentro del "plazo máximo de duración de la prisión provisional". De ahí también el que, a los efectos del problema que nos ocupa, resulten irrelevantes las cuestiones relativas al cómputo o no de los tres días que el recurrente estuvo sometido a detención, así como el carácter bisiesto de 1996: como se ha visto, es únicamente la inclusión o no del tiempo transcurrido en la situación de "prisión atenuada" el que puede determinar la temporaneidad o no de la prórroga de su situación de prisión y, por tanto, el respeto a la garantía prevista en el art. 17.4, inciso segundo, C.E.</w:t>
      </w:r>
    </w:p>
    <w:p w:rsidR="008107C7" w:rsidRDefault="008107C7" w:rsidP="008107C7">
      <w:pPr>
        <w:pStyle w:val="TextoNormal"/>
      </w:pPr>
    </w:p>
    <w:p w:rsidR="008107C7" w:rsidRDefault="008107C7" w:rsidP="008107C7">
      <w:pPr>
        <w:pStyle w:val="TextoNormal"/>
      </w:pPr>
      <w:r w:rsidRPr="008107C7">
        <w:rPr>
          <w:rStyle w:val="NumeroAFNegritaCaracter"/>
        </w:rPr>
        <w:t>7</w:t>
      </w:r>
      <w:r>
        <w:t>. Determinado el problema al que debemos dar respuesta, se hace preciso proceder al previo análisis de dos extremos relativos a la situación de "prisión atenuada": en primer lugar, si es "prisión preventiva" en el sentido de la legislación militar, pues sólo así podremos decir que los plazos previstos en el art. 218 L.O.P.M. le son aplicables; en segundo lugar, y con independencia de lo anterior, si es "prisión provisional" en el sentido del art. 17.4 C.E., pues lo uno no tiene que llevar aparejado lo otro.</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8</w:t>
      </w:r>
      <w:r>
        <w:t>. A partir de una consideración sistemática, la lectura de las Secciones tercera ("De la prisión preventiva"), cuarta ("De la prisión incomunicada") y quinta ("De la prisión atenuada") del Capítulo octavo ("De las medidas cautelares sobre personas") del Título II del Libro Segundo de la L.O.P.M.  pone de manifiesto que la situación de "prisión atenuada" aparece configurada como una variante, y no un aliud, respecto de la "prisión preventiva". A partir de lo regulado en la referida Sección Tercera para la prisión preventiva, y con plena aplicación de lo que en ella se dispone, la Sección Quinta posibilita que "la prisión sea atenuada" cuando en el preso concurran circunstancias que a juicio del Juez lo aconsejen. En qué consista esta atenuación es algo de lo que habremos de ocuparnos más adelante. Lo que de momento importa retener es que su régimen es, sin duda, el de la Sección Tercera con las especificidades de la Sección Quinta.  Tal es el caso, singularmente, en lo relativo a los supuestos en los que la prisión procede (arts. 216 y 217 L.O.P.M.). Que dentro de este régimen deben comprenderse las previsiones del art. 218 L.O.P.M. relativas a los plazos de duración no debiera ser dudoso, so pena de entender que el legislador ha renunciado a prever plazo máximo alguno de duración de la prisión atenuada. Por otra parte, el Código Penal Militar expresamente equipara la prisión atenuada a la "rigurosa", como modalidades ambas de una misma "prisión preventiva", al disponer su art. 27 que, para el cumplimiento de condena, "se abonará el tiempo de prisión preventiva rigurosa o atenuada". La situación de "prisión atenuada" es, pues, "prisión preventiva" en el sentido genérico de la legislación penal y procesal militar.</w:t>
      </w:r>
    </w:p>
    <w:p w:rsidR="008107C7" w:rsidRDefault="008107C7" w:rsidP="008107C7">
      <w:pPr>
        <w:pStyle w:val="TextoNormal"/>
      </w:pPr>
    </w:p>
    <w:p w:rsidR="008107C7" w:rsidRDefault="008107C7" w:rsidP="008107C7">
      <w:pPr>
        <w:pStyle w:val="TextoNormal"/>
      </w:pPr>
      <w:r w:rsidRPr="008107C7">
        <w:rPr>
          <w:rStyle w:val="NumeroAFNegritaCaracter"/>
        </w:rPr>
        <w:t>9</w:t>
      </w:r>
      <w:r>
        <w:t>. Con independencia de lo anterior, sin embargo, resulta necesario plantearse si la garantía específica que el art. 17.4 C.E., inciso segundo, C.E.  establece para la prisión provisional, debe proyectarse sobre todas las variantes de la "prisión preventiva" militar o si, por el contrario, deben quedar excluidas de la misma aquéllas que, más allá de su nomen iuris, no merezcan intrínsecamente tal calificativo. Pues es concebible que, siendo aplicable el art. 218 L.O.P.M. a la prisión atenuada, la transgresión de dicho precepto no suponga necesariamente una vulneración del art. 17.4 C.E.  Ello podría ser así en el supuesto de que, como decimos, la atenuación que la situación de prisión preventiva sufriera con arreglo a lo previsto en los arts.  226 y 227 L.O.P.M. fuera de tal intensidad que nos encontrásemos ante una ficción jurídica.</w:t>
      </w:r>
    </w:p>
    <w:p w:rsidR="008107C7" w:rsidRDefault="008107C7" w:rsidP="008107C7">
      <w:pPr>
        <w:pStyle w:val="TextoNormal"/>
      </w:pPr>
      <w:r>
        <w:t>Ciertamente, la atenuación que la situación de prisión preventiva sufre como consecuencia de lo previsto en los arts. 225 y ss. L.O.P.M. es muy considerable. Cabe, en efecto, recordar cómo, de forma incidental, y dando respuesta a una alegación distinta planteada en un supuesto distinto, hemos llegado a referirnos a la situación de prisión atenuada como una "figura intermedia entre la libertad y la prisión ordinaria" (STC 14/1996, fundamento jurídico 2º). La prisión atenuada no sería, pues, la forma "ordinaria" de prisión, pero tampoco sería una situación de libertad.</w:t>
      </w:r>
    </w:p>
    <w:p w:rsidR="008107C7" w:rsidRDefault="008107C7" w:rsidP="008107C7">
      <w:pPr>
        <w:pStyle w:val="TextoNormal"/>
      </w:pPr>
      <w:r>
        <w:t xml:space="preserve">Esta declaración incidental conduce a la respuesta de la cuestión que en este momento se nos plantea. La prisión provisional, en cuanto tiene como primordial finalidad la de asegurar la disponibilidad física del imputado con miras al cumplimiento de la Sentencia condenatoria que eventualmente pueda ser dictada en su contra, impidiendo de este modo que dicho sujeto pasivo de la imputación pueda sustraerse a la acción de la justicia durante el tiempo que inevitablemente ha de consumirse en la tramitacion de cualquier proceso penal, se incluye, como hemos visto, en la categoría más general de las medidas cautelares de naturaleza personal, al igual que, por participar de idéntica finalidad, lo son también medidas tales como la libertad provisional, con o sin fianza, sin perjuicio de que el art. 234 L.O.P.M. excluya la primera de estas dos últimas variantes. En definitiva, pues, la prisión provisional </w:t>
      </w:r>
      <w:r>
        <w:lastRenderedPageBreak/>
        <w:t>a la que alude el art. 17.4 C.E. pertenece a una categoría más amplia, la de las medidas cautelares de naturaleza personal, que con frecuencia implican, cuando menos, restricciones de diverso tipo a la libertad personal y que, como regla general, la Constitución no impide que se mantengan vigentes a lo largo de toda la tramitación del procedimiento, más allá obviamente de las exigencias generales de necesidad y proporcionalidad.</w:t>
      </w:r>
    </w:p>
    <w:p w:rsidR="008107C7" w:rsidRDefault="008107C7" w:rsidP="008107C7">
      <w:pPr>
        <w:pStyle w:val="TextoNormal"/>
      </w:pPr>
      <w:r>
        <w:t>En este sentido, la Constitución ha singularizado la medida cautelar de la prisión provisional al rodearla de la especial garantía recogida en el segundo inciso del art. 17.4 C.E., y a la que venimos refiriéndonos desde un principio, el plazo máximo de duración con entera autonomía de la duración del procedimiento. Ello, desde luego, no ha sido debido a un capricho del constituyente.  A diferencia de otras medidas cautelares, en algunos casos ciertamente gravosos, en otros casos con repercusiones restrictivas sobre la libertad personal, la prisión provisional frente a la que reacciona el citado precepto constitucional implica una privación de libertad en el sentido del art. 17.1, inciso segundo, C.E., y no ya una restricción de la misma.  Las restricciones a la libertad personal en que puedan traducirse las diversas medidas cautelares deben, ciertamente, ser contrastadas con el criterio general que se deriva del derecho fundamental a la libertad (art. 17.1 C.E.).  Pero cuando se trata de una medida cautelar que se traduce en una privación de libertad, los poderes públicos deben observar las exigencias adicionales que se derivan del art. 17.4, inciso segundo, C.E. A partir de aquí, por tanto, la cuestión es la de si la prisión preventiva militar, cuando resulta atenuada en los términos de los arts. 225 y ss. L.O.P.M., debe continuar gozando de esta exigencia suplementaria de la que nos venimos ocupando o si, por el contrario, debe ser desplazada al régimen general de contraste con el art.  17 C.E. propio de las medidas cautelares que conllevan alguna restricción de la libertad.</w:t>
      </w:r>
    </w:p>
    <w:p w:rsidR="008107C7" w:rsidRDefault="008107C7" w:rsidP="008107C7">
      <w:pPr>
        <w:pStyle w:val="TextoNormal"/>
      </w:pPr>
    </w:p>
    <w:p w:rsidR="008107C7" w:rsidRDefault="008107C7" w:rsidP="008107C7">
      <w:pPr>
        <w:pStyle w:val="TextoNormal"/>
      </w:pPr>
      <w:r w:rsidRPr="008107C7">
        <w:rPr>
          <w:rStyle w:val="NumeroAFNegritaCaracter"/>
        </w:rPr>
        <w:t>10</w:t>
      </w:r>
      <w:r>
        <w:t>. La situación de prisión atenuada regulada en los arts. 225 y ss. L.O.P.M.  es prisión provisional en el sentido del art. 17.4, inciso segundo, C.E. Dicho en otras palabras, el tiempo que el recurrente permaneció en prisión atenuada, es decir, los días transcurridos entre el 15 de julio y el 29 de septiembre de 1995, debieron ser computados a la hora de determinar el plazo máximo de duración de la prisión provisional en el sentido de dicho precepto constitucional. A esta conclusión resulta necesario llegar inevitablemente si nos atenemos, no a las disimilitudes con la situación de prisión "ordinaria" en el sentido de la STC 14/1996 o, si se quiere, con la de prisión "rigurosa" (art.  27 C.P.M.), sino a las disimilitudes de la prisión atenuada con la situación de libertad. Ciertamente, es distinto el rigor del cumplimiento de la medida de prisión preventiva en el establecimiento militar que corresponda de aquél que tiene lugar, como prisión atenuada, en el respectivo domicilio, en el caso de los militares profesionales y paisanos (art.  226.1 L.O.P.M.); no tanto, sin embargo, en el caso de la que cumplen los militares no profesionales, también como prisión atenuada, "en las unidades a que pertenezcan" (art. 226.2 L.O.P.M.). Además de ello, y ya de forma indiferenciada, la prisión atenuada permite acudir al trabajo habitual, así como asistir a las prácticas religiosas (art. 227 L.O.P.M.). En esto, desde luego, se diferencia la prisión atenuada de la prisión ordinaria.</w:t>
      </w:r>
    </w:p>
    <w:p w:rsidR="008107C7" w:rsidRDefault="008107C7" w:rsidP="008107C7">
      <w:pPr>
        <w:pStyle w:val="TextoNormal"/>
      </w:pPr>
      <w:r>
        <w:t xml:space="preserve">Ahora bien, desde la perspectiva constitucional lo decisivo no son tanto las diferencias de la prisión preventiva atenuada con la prisión preventiva rigurosa cuanto las diferencias de la prisión preventiva atenuada con la situación de libertad. Desde dicha perspectiva forzoso es concluir que la prisión atenuada no es una situación de restricción de libertad, sino una situación de privación de libertad en el sentido del art. 17.1, inciso 2º, y consiguientemente 4, inciso segundo, C.E. Pues en este caso, sencillamente, la perspectiva se invierte. Mientras en las medidas cautelares restrictivas de la libertad, esta libertad es la regla y la </w:t>
      </w:r>
      <w:r>
        <w:lastRenderedPageBreak/>
        <w:t>medida personal la excepción, en el régimen de la prisión atenuada que prescriben los arts. 226 y 227 L.O.P.M.  la sustracción de la libertad personal es la regla y su atenuación, como ya su propio nombre indica, la excepción.</w:t>
      </w:r>
    </w:p>
    <w:p w:rsidR="008107C7" w:rsidRDefault="008107C7" w:rsidP="008107C7">
      <w:pPr>
        <w:pStyle w:val="TextoNormal"/>
      </w:pPr>
      <w:r>
        <w:t>En este sentido, y con una finalidad semejante, cual era la de dilucidar si la persona sometida a una sanción de arresto domiciliario podía instar el procedimiento de habeas corpus (art.  17.4, inciso primero, C.E.), hemos tenido ocasión de afirmar recientemente que "el Juez de Instrucción incurrió en un error manifiesto y notorio al considerar que el 'arresto domiciliario' que sufría el demandante de amparo, como consecuencia de la sanción disciplinaria que le había sido impuesta, no implicaba la privación de su libertad" (STC 61/1995, fundamento jurídico 4º); de igual manera, tiempo atrás habíamos declarado que el "arresto domiciliario es una sanción privativa de libertad", con la precisión de que ello es así "aun cuando se imponga 'sin perjuicio del servicio'" (STC 31/1985, fundamento jurídico 3º).</w:t>
      </w:r>
    </w:p>
    <w:p w:rsidR="008107C7" w:rsidRDefault="008107C7" w:rsidP="008107C7">
      <w:pPr>
        <w:pStyle w:val="TextoNormal"/>
      </w:pPr>
      <w:r>
        <w:t>En suma, la persona no recupera su situación de libertad porque el Juez Togado le pueda autorizar a acudir a su trabajo habitual o a asistir a sus prácticas religiosas (art. 227 L.O.P.M.).  Sostener que la persona se encuentra en situación de libertad desde el momento en que puede ser autorizado a acudir a su trabajo o a cumplir sus obligaciones religiosas es algo que se compadece con dificultad con los presupuestos de un orden político que se comprende a sí mismo como un régimen de libertades (art.  10.1 C.E.).</w:t>
      </w:r>
    </w:p>
    <w:p w:rsidR="008107C7" w:rsidRDefault="008107C7" w:rsidP="008107C7">
      <w:pPr>
        <w:pStyle w:val="TextoNormal"/>
      </w:pPr>
    </w:p>
    <w:p w:rsidR="008107C7" w:rsidRDefault="008107C7" w:rsidP="008107C7">
      <w:pPr>
        <w:pStyle w:val="TextoNormal"/>
      </w:pPr>
      <w:r w:rsidRPr="008107C7">
        <w:rPr>
          <w:rStyle w:val="NumeroAFNegritaCaracter"/>
        </w:rPr>
        <w:t>11</w:t>
      </w:r>
      <w:r>
        <w:t>. Alcanzadas las dos conclusiones anteriores resulta inevitable la apreciación de que el mantenimiento del recurrente en situación de prisión preventiva, cuando menos, a partir del 21 de junio de 1996, sin que alternativamente hubiese sido prorrogada su situación en los términos del art.  218, párrafo segundo, L.O.P.M., supuso una violación de su derecho fundamental a la libertad personal por vulneración de lo establecido en el inciso segundo del art. 17.4 C.E, sin que, como ya se ha advertido, la decisión de dicha prórroga con fecha de 24 de junio de 1996 haya podido subsanarla.  Procede, por tanto, estimar el amparo en lo que se refiere a la petición de declaración de nulidad de los Autos del Tribunal Militar Central de 24 de junio y 9 de julio de 1996.</w:t>
      </w:r>
    </w:p>
    <w:p w:rsidR="008107C7" w:rsidRDefault="008107C7" w:rsidP="008107C7">
      <w:pPr>
        <w:pStyle w:val="TextoNormal"/>
      </w:pPr>
    </w:p>
    <w:p w:rsidR="008107C7" w:rsidRDefault="008107C7" w:rsidP="008107C7">
      <w:pPr>
        <w:pStyle w:val="TextoNormal"/>
      </w:pPr>
      <w:r w:rsidRPr="008107C7">
        <w:rPr>
          <w:rStyle w:val="NumeroAFNegritaCaracter"/>
        </w:rPr>
        <w:t>12</w:t>
      </w:r>
      <w:r>
        <w:t>. El recurrente en amparo, sin embargo, ha solicitado también, como segundo punto de su petitum, su "inmediata puesta en libertad". En ausencia de una autónoma argumentación al respecto, debe entenderse que, en su apreciación, la nulidad de los referidos Autos determina esta segunda consecuencia. No es así como lo ha visto este Tribunal, cuando menos en los invocados casos en los que, al momento de dictar Sentencia, ya se ha producido la condena de los recurrentes (SSTC 40/1987, fundamento jurídico 4º; 88/1988, fundamento jurídico 2º; 103/1992, fundamento jurídico 5º). En el supuesto actual, es claro que quien viene en petición de amparo no ha sido tan siquiera juzgado.  No lo es menos, sin embargo, que se encuentra procesado y pendiente de juicio, acusado de un delito de revelación de secretos e informaciones relativas a la seguridad nacional y defensa nacional (art. 53 C.P.M.). Como dijimos en la STC 88/1988, acabada de citar, "no correspondería a este Tribunal, sino, en su caso al órgano judicial penal la adopción de la decisión sobre esa libertad, teniendo en cuenta las circunstancias concretas del caso. El otorgamiento del amparo sólo podría limitarse a reconocer el derecho de los recurrentes a que la decisión judicial sobre su situación de libertad provisional se adoptase, en cuanto a los límites máximos, de acuerdo con lo previsto en el art. 504 de la Ley de Enjuiciamiento Criminal" (fundamento jurídico 2º).</w:t>
      </w:r>
    </w:p>
    <w:p w:rsidR="008107C7" w:rsidRDefault="008107C7" w:rsidP="008107C7">
      <w:pPr>
        <w:pStyle w:val="TextoNormal"/>
      </w:pPr>
      <w:r>
        <w:t xml:space="preserve">En términos semejantes, procede declarar ahora que es al órgano judicial a quien corresponde determinar, en relación con el recurrente en amparo, la adopción o no de las medidas </w:t>
      </w:r>
      <w:r>
        <w:lastRenderedPageBreak/>
        <w:t>cautelares de naturaleza personal permitidas por el ordenamiento, una vez declarados nulos los Autos de 24 de junio y 9 de jullio de 1996 que, extemporáneamente, acordaron y ratificaron, respectivamente, la prórroga de la prisión preventiva.</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Otorgar parcialmente el amparo solicitado por don Juan Alberto Perote Pellón y, en consecuencia:</w:t>
      </w:r>
    </w:p>
    <w:p w:rsidR="008107C7" w:rsidRDefault="008107C7" w:rsidP="008107C7">
      <w:pPr>
        <w:pStyle w:val="TextoNormal"/>
      </w:pPr>
      <w:r>
        <w:t>1º. Reconocer el derecho fundamental del recurrente a la libertad individual, sin que pueda ser excedido el plazo legalmente previsto para la prisión provisional.</w:t>
      </w:r>
    </w:p>
    <w:p w:rsidR="008107C7" w:rsidRDefault="008107C7" w:rsidP="008107C7">
      <w:pPr>
        <w:pStyle w:val="TextoNormal"/>
      </w:pPr>
      <w:r>
        <w:t>2º. Declarar la nulidad de los Autos dictados por el Tribunal Militar Central de fechas 24 de junio y 9 de julio de 1996, por los que se acordó y confirmó, respectivamente, la prórroga de la situación de prisión preventiva del recurrente en amparo.</w:t>
      </w:r>
    </w:p>
    <w:p w:rsidR="008107C7" w:rsidRDefault="008107C7" w:rsidP="008107C7">
      <w:pPr>
        <w:pStyle w:val="TextoNormal"/>
      </w:pPr>
      <w:r>
        <w:t>3º. Desestimar el recurso en todo lo demás.</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diecisiete de marzo de mil novecientos noventa y siete.</w:t>
      </w:r>
    </w:p>
    <w:p w:rsidR="008107C7" w:rsidRDefault="008107C7" w:rsidP="008107C7">
      <w:pPr>
        <w:pStyle w:val="ParrafoNormal"/>
      </w:pPr>
    </w:p>
    <w:p w:rsidR="008107C7" w:rsidRDefault="008107C7" w:rsidP="008107C7">
      <w:pPr>
        <w:pStyle w:val="TextoNormalNegritaCentrado"/>
        <w:keepNext/>
      </w:pPr>
      <w:r>
        <w:t>Voto particular que formula el Magistrado don Vicente Gimeno Sendra a la Sentencia dictada en el R.A. 3.199/1996.</w:t>
      </w:r>
    </w:p>
    <w:p w:rsidR="008107C7" w:rsidRDefault="008107C7" w:rsidP="008107C7">
      <w:pPr>
        <w:pStyle w:val="TextoNormalNegritaCentrado"/>
        <w:keepNext/>
      </w:pPr>
    </w:p>
    <w:p w:rsidR="008107C7" w:rsidRDefault="008107C7" w:rsidP="008107C7">
      <w:pPr>
        <w:pStyle w:val="TextoNormal"/>
      </w:pPr>
      <w:r>
        <w:t>Mi discrepancia a la presente sentencia lo es a su ratio decidendi, al restablecimiento del derecho vulnerado, y a su fallo, que, en mi opinión, debió ser desestimatorio.</w:t>
      </w:r>
    </w:p>
    <w:p w:rsidR="008107C7" w:rsidRDefault="008107C7" w:rsidP="008107C7">
      <w:pPr>
        <w:pStyle w:val="TextoNormal"/>
      </w:pPr>
      <w:r>
        <w:t>1. La “ratio decidendi”.</w:t>
      </w:r>
    </w:p>
    <w:p w:rsidR="008107C7" w:rsidRDefault="008107C7" w:rsidP="008107C7">
      <w:pPr>
        <w:pStyle w:val="TextoNormal"/>
      </w:pPr>
      <w:r>
        <w:t>La fundamentación esencial de esta Sentencia hay que encontrarla en su fundamento jurídico 10 en el que viene a asimilarse la prisión atenuada con el concepto constitucional de “prisión provisional” del segundo inciso del art.  17.4, en base a la circunstancia de que aquella medida cautelar no encierra “una situación de libertad”.</w:t>
      </w:r>
    </w:p>
    <w:p w:rsidR="008107C7" w:rsidRDefault="008107C7" w:rsidP="008107C7">
      <w:pPr>
        <w:pStyle w:val="TextoNormal"/>
      </w:pPr>
      <w:r>
        <w:t>Esta tesis de la mayoría viene a separarse de la doctrina plasmada en la STC 14/1996, conforme a la cual entre la libertad y la prisión sí que existen situaciones intermedias, por lo que, junto a la privación absoluta del derecho a la libertad pueden existir restricciones de dicho derecho fundamental, distintas a la que implica la prisión provisional.</w:t>
      </w:r>
    </w:p>
    <w:p w:rsidR="008107C7" w:rsidRDefault="008107C7" w:rsidP="008107C7">
      <w:pPr>
        <w:pStyle w:val="TextoNormal"/>
      </w:pPr>
      <w:r>
        <w:t>En esta última situación hay que reputar incluida a la “prisión atenuada”, la cual, si bien es cierto que conlleva una privación de libertad, tampoco lo es menos que dicha privación no es absoluta, pues, a diferencia del preso preventivo, el sometido a arresto domiciliario goza de distintos derechos fundamentales, que se le pueden negar al sometido a prisión provisional, tales como el derecho a la vida privada y familiar, el derecho al trabajo, a la libertad de cultos etc. A este respecto, cabe señalar que la libertad deambulatoria del militar profesional, sometido a prisión atenuada, es mucho mayor que la del preso preventivo, cuya libertad de movimientos se circunscribe al centro penitenciario o depósito castrense de presos.</w:t>
      </w:r>
    </w:p>
    <w:p w:rsidR="008107C7" w:rsidRDefault="008107C7" w:rsidP="008107C7">
      <w:pPr>
        <w:pStyle w:val="TextoNormal"/>
      </w:pPr>
      <w:r>
        <w:lastRenderedPageBreak/>
        <w:t>Es más, debido a que en la Ley Procesal Militar no existe la libertad provisional bajo fianza, la prisión atenuada de su art. 225 aparece como la “contracautela” de la prisión preventiva. Es un beneficio al imputado que la Autoridad Judicial castrense le puede conceder al militar que, por su “honor”, antecedentes y arraigo, se hace acreedor de esta limitada situación de pérdida de su derecho a la libertad.</w:t>
      </w:r>
    </w:p>
    <w:p w:rsidR="008107C7" w:rsidRDefault="008107C7" w:rsidP="008107C7">
      <w:pPr>
        <w:pStyle w:val="TextoNormal"/>
      </w:pPr>
      <w:r>
        <w:t>Por tanto, cuando la Constitución, en su art. 17.4, establece la necesidad de que la prisión provisional se encuentre sometida a plazo, esta garantía constitucional hay que restringirla a esta medida cautelar penal y no a toda medida cautelar, lo cual no significa que el legislador ordinario, como sería lo deseable, no pueda someter a plazo a las demás medidas cautelares penales o, incluso, en la línea de los Códigos Procesales Penales italiano y portugués, de 1988 y 1989, a la propia instrucción.  Pero ésta es una facultad del legislador ordinario, que no se deriva directamente del art. 17.4 de la C.E., aunque pueda inferirse del derecho “a un proceso sin dilaciones indebidas” del art. 24.2 C.E.</w:t>
      </w:r>
    </w:p>
    <w:p w:rsidR="008107C7" w:rsidRDefault="008107C7" w:rsidP="008107C7">
      <w:pPr>
        <w:pStyle w:val="TextoNormal"/>
      </w:pPr>
      <w:r>
        <w:t>Al extender la sentencia, objeto de nuestro voto particular, la prisión provisional a la prisión atenuada puede tener unos efectos expansivos no deseados, como lo son la extensión del plazo a figuras análogas, tales como el arresto del quebrado, medidas de seguridad como el internamiento en un centro psiquiátrico y, por qué no, la propia libertad provisional que, al conllevar la obligación de comparecencia apud acta, retirada del pasaporte o del permiso de circulación, tampoco permiten afirmar la existencia de una situación plena de libertad. Es más, cuando se reforme la L.E.Crim. en punto a ponerla en consonancia con el nuevo Código Penal, muchas de las penas privativas de derechos del art. 39 C.P. y, sobre todo, de suspensión de la ejecución de la pena privativa del art. 83 o medidas de seguridad del art. 96, que impliquen restricción del derecho a la libertad, pasarán a convertirse en medidas de control judicial a imponer por el Juez de Instrucción, en cuyo caso también podrá reclamarse esta expansiva doctrina con el riesgo de que se malogren los fines de la instrucción penal.</w:t>
      </w:r>
    </w:p>
    <w:p w:rsidR="008107C7" w:rsidRDefault="008107C7" w:rsidP="008107C7">
      <w:pPr>
        <w:pStyle w:val="TextoNormal"/>
      </w:pPr>
      <w:r>
        <w:t>2. El restablecimiento del derecho vulnerado.</w:t>
      </w:r>
    </w:p>
    <w:p w:rsidR="008107C7" w:rsidRDefault="008107C7" w:rsidP="008107C7">
      <w:pPr>
        <w:pStyle w:val="TextoNormal"/>
      </w:pPr>
      <w:r>
        <w:t>La segunda de nuestras respetuosas discrepancias estriba en la estimación parcial del amparo, que, al ser estimatorio, debió haber conllevado la puesta en libertad del recurrente (aunque, como se ha avanzado, no es ésta nuestra opinión, sino la de la desestimación del amparo).</w:t>
      </w:r>
    </w:p>
    <w:p w:rsidR="008107C7" w:rsidRDefault="008107C7" w:rsidP="008107C7">
      <w:pPr>
        <w:pStyle w:val="TextoNormal"/>
      </w:pPr>
      <w:r>
        <w:t>En efecto, ésta es la primera Sentencia que sienta la doctrina de una mera estimación declarativa de un amparo, interpuesto por un preso preventivo y, por tanto, no condenado.  La jurisprudencia que se trae a colación (SSTC 40/1987, 88/1988 y 103/1992) no resulta aplicable al caso, pues, como no se le oculta a la propia Sentencia, tiene como común denominador la circunstancia de que se trata de penados, en su día sometidos a prisión provisional.</w:t>
      </w:r>
    </w:p>
    <w:p w:rsidR="008107C7" w:rsidRDefault="008107C7" w:rsidP="008107C7">
      <w:pPr>
        <w:pStyle w:val="TextoNormal"/>
      </w:pPr>
      <w:r>
        <w:t>Al ampliarse esta tesis (la del amparo parcial) a los presos preventivos, el efecto no puede ser más nocivo: a partir de ahora, los Jueces pueden denegar las prórrogas de la prisión provisional fuera de plazo o incluso infringir el art. 17.4 C.E. y siempre cabrá la posibilidad de invocar esta desafortunada doctrina para no obtener su inmediata puesta en libertad, lo que, no sólo convierte en platónico al recurso de amparo (que está dirigido a restablecer los derechos fundamentales), sino que también viene a desconocer el preponderante papel que en nuestra Constitución ocupa el derecho a la libertad (art.1.1 C.E.)  en tanto que es uno de los derechos fundamentales más sagrados.</w:t>
      </w:r>
    </w:p>
    <w:p w:rsidR="008107C7" w:rsidRDefault="008107C7" w:rsidP="008107C7">
      <w:pPr>
        <w:pStyle w:val="TextoNormal"/>
      </w:pPr>
      <w:r>
        <w:t xml:space="preserve">Pero es que, además, descendiendo al caso concreto, personalmente no alcanzo a comprender qué medidas cautelares personales podrá adoptar el Juez Togado Militar para asegurar la futura comparecencia a juicio del recurrente, si, tal como se ha adelantado, la Ley Procesal Penal Militar no contempla la libertad provisional bajo fianza: ¿podrá dictar una </w:t>
      </w:r>
      <w:r>
        <w:lastRenderedPageBreak/>
        <w:t>nueva prórroga, cuando hemos anulado la que ha constituido el objeto de este proceso?, ¿podrá disponer la prisión atenuada cuando la hemos asimilado a la prisión preventiva?...</w:t>
      </w:r>
    </w:p>
    <w:p w:rsidR="008107C7" w:rsidRDefault="008107C7" w:rsidP="008107C7">
      <w:pPr>
        <w:pStyle w:val="TextoNormal"/>
      </w:pPr>
      <w:r>
        <w:t>Por todas estas razones entiendo que debió de haberse dictado un fallo desestimatorio en el presente recurso de amparo.</w:t>
      </w:r>
    </w:p>
    <w:p w:rsidR="008107C7" w:rsidRDefault="008107C7" w:rsidP="008107C7">
      <w:pPr>
        <w:pStyle w:val="TextoNormal"/>
      </w:pPr>
      <w:r>
        <w:t>Madrid, a diecisiete de marzo de mil novecientos noventa y siete.</w:t>
      </w:r>
    </w:p>
    <w:p w:rsidR="008107C7" w:rsidRDefault="008107C7" w:rsidP="008107C7">
      <w:pPr>
        <w:pStyle w:val="TextoNormal"/>
      </w:pPr>
    </w:p>
    <w:p w:rsidR="008107C7" w:rsidRDefault="008107C7" w:rsidP="008107C7">
      <w:pPr>
        <w:pStyle w:val="TextoNormalNegritaCentrado"/>
        <w:keepNext/>
      </w:pPr>
      <w:r>
        <w:t>Voto particular que formula el Magistrado don Manuel Jiménez de Parga y Cabrera a la Sentencia recaída en el recurso de amparo núm. 3.199/96.</w:t>
      </w:r>
    </w:p>
    <w:p w:rsidR="008107C7" w:rsidRDefault="008107C7" w:rsidP="008107C7">
      <w:pPr>
        <w:pStyle w:val="TextoNormalNegritaCentrado"/>
        <w:keepNext/>
      </w:pPr>
    </w:p>
    <w:p w:rsidR="008107C7" w:rsidRDefault="008107C7" w:rsidP="008107C7">
      <w:pPr>
        <w:pStyle w:val="TextoNormal"/>
      </w:pPr>
      <w:r>
        <w:t>Mi discrepancia con la Sentencia se cifra tanto en el enfoque como en el modo de apreciar cuestiones concretas. No creo, y así lo expuse en las deliberaciones de la Sala, que se hayan tenido suficientemente en cuenta las peculiaridades del proceso penal militar, en el que la prisión atenuada posee un significado propio, que la diferencia de las medidas cautelares que se pueden adoptar en el procedimiento ordinario de enjuiciamiento criminal. La construcción de la Sentencia acaso resulte académicamente atractiva, pero judicialmente genera problemas de solución complicada.</w:t>
      </w:r>
    </w:p>
    <w:p w:rsidR="008107C7" w:rsidRDefault="008107C7" w:rsidP="008107C7">
      <w:pPr>
        <w:pStyle w:val="TextoNormal"/>
      </w:pPr>
      <w:r>
        <w:t>He aquí las razones por las que, a mi entender, debió denegarse el amparo pedido por el coronel don Juan Alberto Perote Pellón:</w:t>
      </w:r>
    </w:p>
    <w:p w:rsidR="008107C7" w:rsidRDefault="008107C7" w:rsidP="008107C7">
      <w:pPr>
        <w:pStyle w:val="TextoNormal"/>
      </w:pPr>
      <w:r>
        <w:t>1. No estoy de acuerdo, en primer lugar, con la poca atención que se presta en la Sentencia a las diferencias entre "prisión provisional" y "prisión preventiva". En mi opinión, la "prisión provisional" que regula la L.E. Crim.  (y considera la C.E. en su art. 17.4) no es una situación idéntica (a lo sumo sería homóloga) a la de "prisión preventiva" de la legislación castrense, ahora formalizada por la L.O. Procesal Militar, de 13 de abril de 1989.</w:t>
      </w:r>
    </w:p>
    <w:p w:rsidR="008107C7" w:rsidRDefault="008107C7" w:rsidP="008107C7">
      <w:pPr>
        <w:pStyle w:val="TextoNormal"/>
      </w:pPr>
      <w:r>
        <w:t>El calificativo "preventivo" posee un significado concreto: define lo que prepara y dispone con anticipación las cosas necesarias para un fin. La dimensión teleológica es dominante en él. Se adopta por el Juez militar la prisión preventiva a fin de asegurar los intereses que la legislación tutela.  El calificado "provisional", por el contrario, apunta a la naturaleza temporal de la situación: es lo que se tiene, o padece, durante un cierto tiempo.</w:t>
      </w:r>
    </w:p>
    <w:p w:rsidR="008107C7" w:rsidRDefault="008107C7" w:rsidP="008107C7">
      <w:pPr>
        <w:pStyle w:val="TextoNormal"/>
      </w:pPr>
      <w:r>
        <w:t>El empleo de uno y otro adjetivos para la prisión, en el proceso militar y en el proceso ordinario, es la consecuencia de la diversidad de dos procedimientos de enjuiciar, ambos plenamente constitucionales, pero aplicables a ciudadanos sometidos a la disciplina militar, en un caso, y fuera de esa disciplina, en el otro caso.</w:t>
      </w:r>
    </w:p>
    <w:p w:rsidR="008107C7" w:rsidRDefault="008107C7" w:rsidP="008107C7">
      <w:pPr>
        <w:pStyle w:val="TextoNormal"/>
      </w:pPr>
      <w:r>
        <w:t>La Ley 85/1978, de 28 de diciembre, de Reales Ordenanzas para las Fuerzas Armadas, proclama en su primer artículo: "Estas Reales Ordenanzas constituyen la regla moral de la Institución Militar y el marco que define las obligaciones y derechos de sus miembros. Tienen por objeto preferente exigir y fomentar el exacto cumplimiento del deber inspirado en el amor a la Patria y en el honor, disciplina y valor". Y en el art. 29 se insiste en la importancia del honor en la vida castrense: "El sentimiento del honor, inspirado en una recta conciencia, llevará al militar al más exacto cumplimiento del deber".</w:t>
      </w:r>
    </w:p>
    <w:p w:rsidR="008107C7" w:rsidRDefault="008107C7" w:rsidP="008107C7">
      <w:pPr>
        <w:pStyle w:val="TextoNormal"/>
      </w:pPr>
      <w:r>
        <w:t>No es una diferencia baladí, por ello, que mientras en el procedimiento penal ordinario se admita y regule la libertad provisional con fianza, el art. 234 de la L.O. Procesal Militar estipule: "En ningún caso se admitirá la libertad provisional con fianza en los procedimientos seguidos ante la Jurisdicción Militar".</w:t>
      </w:r>
    </w:p>
    <w:p w:rsidR="008107C7" w:rsidRDefault="008107C7" w:rsidP="008107C7">
      <w:pPr>
        <w:pStyle w:val="TextoNormal"/>
      </w:pPr>
      <w:r>
        <w:t>La fianza dineraria no tiene cabida en un ordenamiento, como es el militar, en el que el sentimiento del honor lleva al más exacto cumplimiento del deber. La palabra de honor del militar vale más que cualquier dinero en fianza, por muy elevada que sea la cantidad que se fije para ésta.</w:t>
      </w:r>
    </w:p>
    <w:p w:rsidR="008107C7" w:rsidRDefault="008107C7" w:rsidP="008107C7">
      <w:pPr>
        <w:pStyle w:val="TextoNormal"/>
      </w:pPr>
      <w:r>
        <w:lastRenderedPageBreak/>
        <w:t>2. Con esta conciencia de encontrarnos en un proceso penal, conforme a la Constitución, dotado de la singularidad propia de los sujetos sometidos al mismo, hemos de enfocar las cuestiones suscitadas en este recurso de amparo.</w:t>
      </w:r>
    </w:p>
    <w:p w:rsidR="008107C7" w:rsidRDefault="008107C7" w:rsidP="008107C7">
      <w:pPr>
        <w:pStyle w:val="TextoNormal"/>
      </w:pPr>
      <w:r>
        <w:t>No me convence la argumentación de la Sentencia tendente a demostrar que la prisión atenuada regulada en los arts. 225 y siguientes de la L.O. Procesal Militar es prisión provisional en el sentido del art. 17.4, inciso segundo, C.E. [No me refiero, claro es, a la prisión atenuada del art. 505, párrafo 2º L.E.Crim., que es un precepto al margen del presente enjuciamiento]. A mi juicio, la prisión atenuada de los militares no es la prisión provisional del art. 17.4 C.E., por los siguientes motivos:</w:t>
      </w:r>
    </w:p>
    <w:p w:rsidR="008107C7" w:rsidRDefault="008107C7" w:rsidP="008107C7">
      <w:pPr>
        <w:pStyle w:val="TextoNormal"/>
      </w:pPr>
      <w:r>
        <w:t>a) La prisión provisional, cuyo plazo máximo de duración está determinado por la ley (art.  17.4 C.E.), es la denominada "prisión preventiva rigurosa" en el ordenamiento castrense (art.  27 L.O. 13/1985, de Código Penal Militar). A este privación rigurosa de libertad la ley señala unos plazos máximos de duración, según la gravedad de los delitos, prorrogables en circunstancias especiales (art. 218 L.O. Procesal Militar).</w:t>
      </w:r>
    </w:p>
    <w:p w:rsidR="008107C7" w:rsidRDefault="008107C7" w:rsidP="008107C7">
      <w:pPr>
        <w:pStyle w:val="TextoNormal"/>
      </w:pPr>
      <w:r>
        <w:t>b) La prisión atenuada, en cambio, como las otras varias medidas cautelares de menor intensidad que la prisión rigurosa, que los Jueces adoptan (y en el horizonte próximo aparecen como las usuales pronto, quedando la prisión rigurosa de excepción); tales medidas cautelares, digo, que suponen restricciones a la libertad, no son sometidas a plazos máximos. Lo dispuesto en el art. 17.4 no es aplicable a ellas. [Los Autos objeto del recurso de amparo fueron dictados, por consiguiente, dentro del plazo legalmente establecido].</w:t>
      </w:r>
    </w:p>
    <w:p w:rsidR="008107C7" w:rsidRDefault="008107C7" w:rsidP="008107C7">
      <w:pPr>
        <w:pStyle w:val="TextoNormal"/>
      </w:pPr>
      <w:r>
        <w:t>La lectura de los arts. 226 y 227 L.O. Procesal Militar nos ilustra de la leve restriccion de su libertad impuesta a los militares profesionales (como lo es el coronel recurrente en amparo) en prisión atenuada: una prisión que se cumple en el propio domicilio, del que se puede salir para acudir al trabajo habitual, al ejercicio de las actividades profesionales, así como para asistir a las prácticas religiosas, o "por cualquier otra causa justificada a juicio del Juez Togado o del Tribunal Militar".</w:t>
      </w:r>
    </w:p>
    <w:p w:rsidR="008107C7" w:rsidRDefault="008107C7" w:rsidP="008107C7">
      <w:pPr>
        <w:pStyle w:val="TextoNormal"/>
      </w:pPr>
      <w:r>
        <w:t>Si todas las medidas cautelares del proceso penal ordinario (verbigracia, libertad provisional con fianza; obligación de comparecer ante el Juez, acaso todos los días; retirada de pasaporte, etc.)  las incluímos en el supuesto considerado en el art. 17.4 C.E., y las sometemos a limitaciones temporales (como la Sentencia hace con la prisión atenuada del ámbito castrense), nuestros Juzgados y Tribunales experimentarían la quizás más intensa convulsión de la historia judicial española, con trastorno grave de funcionamiento.</w:t>
      </w:r>
    </w:p>
    <w:p w:rsidR="008107C7" w:rsidRDefault="008107C7" w:rsidP="008107C7">
      <w:pPr>
        <w:pStyle w:val="TextoNormal"/>
      </w:pPr>
      <w:r>
        <w:t>c) La prisión atenuada del proceso militar no debe ser entendida sin referencia a la erradicación de la libertad provisional con fianza, admisible, en cambio, en los procedimientos penales ordinarios. Quiero decir, que al no poder conceder el Juez militar la libertad provisional con fianza (por prohibírselo la concepción del honor que inspira la conducta de los militares), la ley le facilita, como medida alternativa de la prisión rigurosa, la prisión atenuada.</w:t>
      </w:r>
    </w:p>
    <w:p w:rsidR="008107C7" w:rsidRDefault="008107C7" w:rsidP="008107C7">
      <w:pPr>
        <w:pStyle w:val="TextoNormal"/>
      </w:pPr>
      <w:r>
        <w:t>La prisión atenuada, en suma, dentro del ámbito castrense y con las características propias y exclusivas de la jurisdicción militar, no debe equipararse a la prisión provisional que contempla el art. 17.4 C.E. Se trata de una medida cautelar, homologable con la libertad provisional con fianza de la jurisdicción penal ordinaria. Y así como no se tiene en cuenta esta última a efectos de computar los plazos máximos legales de la prisión provisional, tampoco hay que incluir en ese cálculo el tiempo de prisión atenuada de los militares.</w:t>
      </w:r>
    </w:p>
    <w:p w:rsidR="008107C7" w:rsidRDefault="008107C7" w:rsidP="008107C7">
      <w:pPr>
        <w:pStyle w:val="TextoNormal"/>
      </w:pPr>
      <w:r>
        <w:t>3. Pienso, y así lo expuse en la Sala, que con un juicio de razonabilidad hubiéramos ido derechamente a la denegación del amparo.</w:t>
      </w:r>
    </w:p>
    <w:p w:rsidR="008107C7" w:rsidRDefault="008107C7" w:rsidP="008107C7">
      <w:pPr>
        <w:pStyle w:val="TextoNormal"/>
      </w:pPr>
      <w:r>
        <w:t xml:space="preserve">Falta en la Sentencia ese juicio de razonabilidad, formado con apreciaciones de pura racionalidad y con ponderaciones de valores constitucionales. La racionalidad (en cuanto </w:t>
      </w:r>
      <w:r>
        <w:lastRenderedPageBreak/>
        <w:t>componente del juicio de razonabilidad) se proyecta sobre la relación entre los medios empleados por el legislador, en determinadas circunstancias, y los fines que el precepto analizado persigue.  La prisión atenuada es una medida cautelar, que el legislador considera suficiente para los militares, a fin de garantizar que, sin el refuerzo de la fianza dineraria, innecesaria para ellos, no eludirán la acción de la Justicia.</w:t>
      </w:r>
    </w:p>
    <w:p w:rsidR="008107C7" w:rsidRDefault="008107C7" w:rsidP="008107C7">
      <w:pPr>
        <w:pStyle w:val="TextoNormal"/>
      </w:pPr>
      <w:r>
        <w:t>Pero la razonabilidad nos lleva a considerar también, además de la racionalidad de las normas, los valores contenidos en ellas, que deben ser comparados con otros valores que la Constitución consagra: la libertad, el honor. No me ha parecido suficiente, en el presente caso, consignar sólo de pasada, como hace la Sentencia, que el recurrente se encuentra procesado y pendiente de juicio, acusado de la comisión de un delito cuya gravedad es evidente.</w:t>
      </w:r>
    </w:p>
    <w:p w:rsidR="008107C7" w:rsidRDefault="008107C7" w:rsidP="008107C7">
      <w:pPr>
        <w:pStyle w:val="TextoNormal"/>
      </w:pPr>
      <w:r>
        <w:t>4. Anuncié al principio que la construcción de la Sentencia acaso resulte académicamente atractiva, pero que la aplicación judicial de la misma puede ocasionar problemas. El Tribunal Militar Central, sin embargo, está facultado para decidir de oficio la situación personal del recurrente, en libertad o en prisión, durante el curso de la causa (art.  232 L.O. Procesal Militar).  La nulidad de unos Autos, por la extemporaneidad de los mismos, no priva al Tribunal Militar Central de su facultad de apreciar las "razones excepcionales", dentro del plazo máximo, de acuerdo con lo establecido en el art.  218, párrafo segundo, de la L.O. Procesal Militar.</w:t>
      </w:r>
    </w:p>
    <w:p w:rsidR="008107C7" w:rsidRDefault="008107C7" w:rsidP="008107C7">
      <w:pPr>
        <w:pStyle w:val="TextoNormal"/>
      </w:pPr>
      <w:r>
        <w:t>Hasta aquí lo que expuse durante las deliberaciones de la Sala y que fundamenta este Voto Particular. Lamento disentir del parecer de quienes apoyaron la estimación parcial del amparo, pero mi opinión es que debió denegarse, con total desestimación de la demanda.</w:t>
      </w:r>
    </w:p>
    <w:p w:rsidR="008107C7" w:rsidRDefault="008107C7" w:rsidP="008107C7">
      <w:pPr>
        <w:pStyle w:val="TextoNormal"/>
      </w:pPr>
      <w:r>
        <w:t>Madrid, a diecisiete de marzo de mil novecientos noventa y siete.</w:t>
      </w:r>
    </w:p>
    <w:p w:rsidR="008107C7" w:rsidRDefault="008107C7" w:rsidP="008107C7">
      <w:pPr>
        <w:pStyle w:val="TextoNormal"/>
      </w:pPr>
    </w:p>
    <w:p w:rsidR="008107C7" w:rsidRDefault="008107C7" w:rsidP="008107C7">
      <w:pPr>
        <w:pStyle w:val="TextoNormalNegritaCentrado"/>
        <w:keepNext/>
      </w:pPr>
      <w:r>
        <w:t>Voto particular que formula el Magistrado don Enrique Ruiz Vadillo, a la Sentencia dictada por la Sala Primera en el recurso de amparo núm. 3.199/96</w:t>
      </w:r>
    </w:p>
    <w:p w:rsidR="008107C7" w:rsidRDefault="008107C7" w:rsidP="008107C7">
      <w:pPr>
        <w:pStyle w:val="TextoNormalNegritaCentrado"/>
        <w:keepNext/>
      </w:pPr>
    </w:p>
    <w:p w:rsidR="008107C7" w:rsidRDefault="008107C7" w:rsidP="008107C7">
      <w:pPr>
        <w:pStyle w:val="TextoNormal"/>
      </w:pPr>
      <w:r>
        <w:t>En muy respetuosa discrepancia con el sentido de la Sentencia estimo que no debió otorgarse el amparo por las razones que a continuación se exponen:</w:t>
      </w:r>
    </w:p>
    <w:p w:rsidR="008107C7" w:rsidRDefault="008107C7" w:rsidP="008107C7">
      <w:pPr>
        <w:pStyle w:val="TextoNormal"/>
      </w:pPr>
      <w:r>
        <w:t>1ª. Es cierto, y este Tribunal da constancia de ello a diario, que el valor de la libertad es un bien supremo, de primerísimo rango en nuestro ordenamiento jurídico. En este sentido, el art. 1.1 C.E. que consagra la libertad como "valor supremo" del Ordenamiento jurídico en España, implica evidentemente el reconocimiento como principio general inspirador del mismo, de la autonomía del individuo para elegir entre las diversas opciones vitales que se le presenten (STC 132/1989) y en análogo sentido la STC 13/1994. Nadie, pues, puede poner en duda, desde la perspectiva constitucional este principio.</w:t>
      </w:r>
    </w:p>
    <w:p w:rsidR="008107C7" w:rsidRDefault="008107C7" w:rsidP="008107C7">
      <w:pPr>
        <w:pStyle w:val="TextoNormal"/>
      </w:pPr>
      <w:r>
        <w:t>2ª. Ello no es obstáculo a que, teniendo en cuenta la realidad social, sea la propia Constitución quien establezca que, en determinados supuestos, esta libertad pueda ser sacrificada en aras de otros bienes todavía de mayor significación como lo es, en casos especialmente graves, garantizar que el acusado estará presente cuando se le llame, en la celebración del correspondiente juicio oral, o antes si fuera necesario, para el desarrollo de la actividad investigadora y también para impedir que con su puesta en libertad se pudiera proceder a la destrucción o manipulación de pruebas. Todo ello, dentro de un sistema de garantías como el establecido en nuestra Ley fundamental. La libertad presenta un papel nuclear en el sistema del Estado Democrático de Derecho, (por todas STC 32/1983, fundamento jurídico 3º). Por ello, las privaciones de libertad, cautelares o definitivas han de decidirse con las garantías constitucionales y legales, (así desde la STC 41/1982, fundamento jurídico 2º).</w:t>
      </w:r>
    </w:p>
    <w:p w:rsidR="008107C7" w:rsidRDefault="008107C7" w:rsidP="008107C7">
      <w:pPr>
        <w:pStyle w:val="TextoNormal"/>
      </w:pPr>
      <w:r>
        <w:t xml:space="preserve">3ª. El sistema diseñado por nuestra Ley de Enjuiciamiento Criminal en todo conforme con la Ley fundamental consiste en autorizar que se tomen determinadas medidas cautelares </w:t>
      </w:r>
      <w:r>
        <w:lastRenderedPageBreak/>
        <w:t>o de control durante la instrucción de una causa criminal que, en ocasiones, por su propia naturaleza son continuadas, es decir que se mantienen o pueden mantenerse durante toda la tramitación del sumario o de las correspondientes diligencias, como puede serlo el embargo de bienes (arts. 598 a 614 L.E.Crim., en general y en particular en el procedimiento abreviado, art.  785.8, etc.), la libertad provisional, con o sin fianza, con obligación de comparecer en los días que el Juzgado señale en la sede el mismo (arts. 528 a 544 L.E.Crim.), etc. o, bien, referidos a un acto concreto: entrada y registro en lugar cerrado (arts. 545 y ss. L.E.Crim.)  interceptación telefónica, (que también puede prolongarse en los términos autorizados por la Ley, arts. 579 L.E.Crim y ss.).</w:t>
      </w:r>
    </w:p>
    <w:p w:rsidR="008107C7" w:rsidRDefault="008107C7" w:rsidP="008107C7">
      <w:pPr>
        <w:pStyle w:val="TextoNormal"/>
      </w:pPr>
      <w:r>
        <w:t>4ª. Toda resolución judicial, y sin duda con mayor intensidad en determinados ámbitos del Derecho penal, en todas sus dimensiones: substantiva, procesal y penitenciaria, ha de sujetarse a las exigencias de la motivación que en estos casos habrá de exteriorizar el porqué de la medida, teniendo en cuenta el importante gravamen que todas ellas suponen, especialmente la privación de libertad, lo que habrá de verificarse con un riguroso control de la autoridad judicial, siempre con apoyo en la Ley, en supuestos excepcionales, por razón de la gravedad del delito y de las circunstancias individualizantes del caso, y tan solo cuando los fines que con ella se persiguen no se puedan alcanzar con otras medidas menos traumáticas para la persona que ha de sufrirlas.</w:t>
      </w:r>
    </w:p>
    <w:p w:rsidR="008107C7" w:rsidRDefault="008107C7" w:rsidP="008107C7">
      <w:pPr>
        <w:pStyle w:val="TextoNormal"/>
      </w:pPr>
      <w:r>
        <w:t>La motivación solo se cumplimenta y será aceptable cuando sus raíces encuentren apoyo en la necesidad, proporcionalidad y racionalidad que son cualidades que separan lo razonable de lo arbitrario. Por esta razón, todas las medidas que se extienden en el tiempo habrán de ser canceladas en virtud del principio rebus sic stantibus, porque han de estar sometidas al oportuno control sin solución de continuidad, de tal manera que cuando la medida resulte ya fuera de lugar, desproporcionada o carente de razón, si no cesa estarán abiertos los correspondientes recursos en el orden jurisdiccional ordinario, que es el llamado en principio a amparar a quien se ve injustamente tratado, y en el constitucional cuando procede el recurso de amparo.</w:t>
      </w:r>
    </w:p>
    <w:p w:rsidR="008107C7" w:rsidRDefault="008107C7" w:rsidP="008107C7">
      <w:pPr>
        <w:pStyle w:val="TextoNormal"/>
      </w:pPr>
      <w:r>
        <w:t>De ahí que la preocupación que pudiera existir respecto a la indebida prolongación de estas medidas haya de desvanecerse.</w:t>
      </w:r>
    </w:p>
    <w:p w:rsidR="008107C7" w:rsidRDefault="008107C7" w:rsidP="008107C7">
      <w:pPr>
        <w:pStyle w:val="TextoNormal"/>
      </w:pPr>
      <w:r>
        <w:t>5ª. A mi entender, estas reflexiones que han conducido a la exteriorización de las reservas ya formuladas respecto al signo de la Sentencia, en forma de voto particular, son generalizables y, por consiguiente, aplicables a todos los supuestos, salvo que la Constitución establezca un régimen especial. Quiero decir que estas indicaciones no se refieren sólo al supuesto que ahora se contempla respecto de la prisión militar atenuada, sino a todas las medidas cautelares, especialmente a las de naturaleza personal.</w:t>
      </w:r>
    </w:p>
    <w:p w:rsidR="008107C7" w:rsidRDefault="008107C7" w:rsidP="008107C7">
      <w:pPr>
        <w:pStyle w:val="TextoNormal"/>
      </w:pPr>
      <w:r>
        <w:t xml:space="preserve">En cualquier caso, no parece ocioso dedicar unas líneas a esta institución que tiene unas características muy especiales, que sólo de manera muy excepcional es aplicable en la jurisdicción ordinaria. En este sentido, en el parrafo 2º del art. 505 de la L.E.Crim. se afirma que "Los Jueces podrán acordar la prisión atenuada cuando por razón de enfermedad del inculpado, el internamiento entrañe grave peligro para su salud", -norma introducida inicialmente por la Ley de 10 de septiembre de 1931 que por decisión de las Cortes constituyentes ordenaba su inclusión en la L.E.Crim.. En efecto, en la jurisdicción militar no existe la institución de la libertad provisional con fianza que permite bajo los principios de proporcionalidad, estimular al cumplimiento de las obligaciones inherentes a la misma a quienes sujetos a un proceso penal se encuentran efectivamente en libertad provisional bajo fianza.  Esta llamada prisión atenuada cumple, acaso, esta misma función. En este sentido SSTC 41/1982, 34/1983, 127/1984, 28/1985, 57/1985, 85/1985, 140/1986, y 34/1987, han </w:t>
      </w:r>
      <w:r>
        <w:lastRenderedPageBreak/>
        <w:t>declarado que la cuantía de la fianza debe ser accesible a las posibilidades del acusado, una vez superados unos márgenes mínimos de seguridad.</w:t>
      </w:r>
    </w:p>
    <w:p w:rsidR="008107C7" w:rsidRDefault="008107C7" w:rsidP="008107C7">
      <w:pPr>
        <w:pStyle w:val="TextoNormal"/>
      </w:pPr>
      <w:r>
        <w:t>6ª. Por esta razón, la exigencia de motivación, que el art. 120.3 C.E. ha elevado a rango constitucional lo que antes era un simple imperativo legal (STC 174/1985), es tan definitivamente importante que impone que la decisión judicial esté presidida por la expresión material, no formal de los argumentos que la fundamentan, (SSTC 116/1986, 20/1993, 22/1994 y 177/1994). Esta circunstancia separa la discrecionalidad, cuando es utilizable, de la posible arbitrariedad, e impone el control obligado respecto de las medidas que en el curso de un procedimiento penal se toman, así como la vigencia de los principios rebus sic stantibus ya recordado, el de necesidad y de proporcionalidad tan unidos, lo cual aleja todo tipo de preocupación en el sentido de temerse por una indebida por excesiva, prolongación de cualquiera de estas medidas.</w:t>
      </w:r>
    </w:p>
    <w:p w:rsidR="008107C7" w:rsidRDefault="008107C7" w:rsidP="008107C7">
      <w:pPr>
        <w:pStyle w:val="TextoNormal"/>
      </w:pPr>
      <w:r>
        <w:t>7ª. Estimo, que el dato, sin duda relevante, de que el legislador, respecto de la prisión militar atenuada establezca una regla según la cual el tiempo transcurrido en ella se computa a efectos del cumplimiento de la pena privativa de libertad que pudiera imponerse, no supone que tal situación restrictiva de la libertad, sea en todo equiparable a la auténtica prisión provisional cuya más específica significación nace de ser idéntica a la pena de prisión en cualquiera de sus manifestaciones (arts. 35 a 38 del Código Penal) de la cual si es, en efecto, un trasunto, incluso en muchas ocasiones más severa que esta última si tomamos en consideración las posibilidades que en orden a la ejecución de estas penas ofrece la legislación penitenciaria en relación al grado en que sea clasificado el penado.</w:t>
      </w:r>
    </w:p>
    <w:p w:rsidR="008107C7" w:rsidRDefault="008107C7" w:rsidP="008107C7">
      <w:pPr>
        <w:pStyle w:val="TextoNormal"/>
      </w:pPr>
      <w:r>
        <w:t>Entiendo, por consiguiente, que el contenido del art. 17.1 C.E., no es exactamente coincidente con el núm. 4 de dicho precepto. Tienen, uno y otro, unas fronteras distintas, un perfil diferente. No cabe duda, como ya dije, que la libertad de la persona es uno de los bienes, junto con el derecho a la vida, más valioso y por tanto que ha de ser objeto de una especial vigilancia para que su efectividad no sea jamás perturbada y, en este sentido, no sólo juegan los limites temporales establecidos en el art.  504 L.E.Crim. cuando este precepto es de aplicación, sino que también actúan con carácter general las razones que motivaron la medida, cualquiera que sea su naturaleza, en el sentido de que una vez cesadas aquellas, la medida debe alzarse.</w:t>
      </w:r>
    </w:p>
    <w:p w:rsidR="008107C7" w:rsidRDefault="008107C7" w:rsidP="008107C7">
      <w:pPr>
        <w:pStyle w:val="TextoNormal"/>
      </w:pPr>
      <w:r>
        <w:t>No hay un correlato respecto del status del que está en prisión provisional, (la que se contempla en la L.E.Crim. y en la propia L.O.P.M. como rigurosa) y la prisión militar atenuada. En efecto, la especialidad de esta última situación radica en que la "prisión" se sufre en el propio domicilio, y en la relativa pero amplia "libertad" de que goza el afectado por la medida: puede acudir a su trabajo o prestación de servicios, asistir a practicas religiosas, recibir asistencia médica y todo ello desde la realiación de la vida en su domicilio, hasta tal punto que la doctrina científica que puede considerarse más autorizada, manifiesta que, en ocasiones, puede resultar más conveniente para el acusado, si al final del proceso resulta condenado, la prisión atenuada que la libertad provisional dado que el tiempo de aquélla es válido para el cumplimiento de la pena privativa de libertad a cuya duración le es de abono (art. 27 del Código Penal Militar).</w:t>
      </w:r>
    </w:p>
    <w:p w:rsidR="008107C7" w:rsidRDefault="008107C7" w:rsidP="008107C7">
      <w:pPr>
        <w:pStyle w:val="TextoNormal"/>
      </w:pPr>
      <w:r>
        <w:t xml:space="preserve">El art. 17.1 C.E. afirma que "Toda persona tiene derecho a la libertad y a la seguridad. Nadie puede ser privado de su libertad sino con la observancia de lo establecido en este artículo y en los casos y en la forma previstos en la Ley". Una recta identificación del concepto de "privación de libertad" que figura en el art. 17.1 C.E. es condición necesaria para la exigencia y aplicación consiguiente del íntegro sistema de garantías y en este sentido no es constitucionalmente tolerable que situaciones efectivas de privación de libertad no gocen de esta específica protección. En este orden de cosas la doctrina del Tribunal ha establecido </w:t>
      </w:r>
      <w:r>
        <w:lastRenderedPageBreak/>
        <w:t>que no hay zonas intermedias entre la prisión y la libertad pero lo ha dicho, a mi entender, desde la perspectiva de unos hechos muy concretos y específicos, porque con carácter general no puede ofrecer duda que la libertad provisional con o sin fianza y con o sin otras obligaciones adicionales, incluso la llamada "obligación apud acta" que, a veces, consiste en el deber de presentarse diariamente al Juzgado, retirada del pasaporte, etc., y demás obligaciones adicionales, constituyen una situación intermedia. Frente a ella, los internamientos arbitrarios, retenciones indebidas, etc., sí pueden y deben provocar la reacción jurídica enérgica e inmediata de los Jueces y Tribunales (STC 129/1990).  En esta línea la STC 89/1987 distingue entre las manifestaciones de la multitud de actividades y relaciones vitales que la libertad hace posibles, (o manifestaciones de la libertad, a secas) y los derechos fundamentales que garantizan la libertad pero que no tienen ni pueden tener como contenido concreto cada una de estas manifestaciones en la práctica por importantes que sean estas en la vida del individuo.</w:t>
      </w:r>
    </w:p>
    <w:p w:rsidR="008107C7" w:rsidRDefault="008107C7" w:rsidP="008107C7">
      <w:pPr>
        <w:pStyle w:val="TextoNormal"/>
      </w:pPr>
      <w:r>
        <w:t>8ª. Otra interpretación distinta de la que aquí patrocino, podría conducir a considerar que el mismo régimen de limitación temporal habría de aplicarse a la libertad provisional en los términos ya recogidos, (especialmente gravosos para quien lo soporta: obligación apud acta de comparecer, restricciones a la deambulación libre, entre otras).</w:t>
      </w:r>
    </w:p>
    <w:p w:rsidR="008107C7" w:rsidRDefault="008107C7" w:rsidP="008107C7">
      <w:pPr>
        <w:pStyle w:val="TextoNormal"/>
      </w:pPr>
      <w:r>
        <w:t>Entiendo, por consiguiente, que la limitación del art. 17.4 C.E. no actúa nada más que en los supuestos de auténtica privación de libertad en cuanto medida en todo idéntica, sino más grave, que la pena de igual naturaleza. Cuando el legislador ordinario que tiene, como ha dicho este Tribunal un muy amplio poder de configuración de los ilícitos penales y de determinación de las penas, decide que el tiempo transcurrido en tal o cual situación, - que constituye un problema de legalidad ordinaria-, será en todo o en parte, abonable para el cumplimiento de la correspondiente pena privativa de libertad, en el uso legítimo del desarrollo de la Política Criminal que en cada caso proceda, en nada afecta o afectaría, a la limitación que se contiene en el art.  17.4 C.E., que se proyecta en el art. 504 L.E.Crim., y en el art.  218 de la L.O.P.M., tomando en consideración como ya hemos visto, porque el régimen jurídico de las instituciones debe responder siempre al orden constitucional establecido.</w:t>
      </w:r>
    </w:p>
    <w:p w:rsidR="008107C7" w:rsidRDefault="008107C7" w:rsidP="008107C7">
      <w:pPr>
        <w:pStyle w:val="TextoNormal"/>
      </w:pPr>
      <w:r>
        <w:t>La total identificación de la prisión provisional con la correspondiente pena privativa de libertad es de tal entidad que, a juicio de quien formula este voto particular, el abono de aquélla respecto del cumplimiento de esta procedería aunque la ley penal no lo dijera expresamente, por tratarse de una exigencia de la justicia que es un valor primario en la Constitución, (art.  1.1) y lo mismo ha de decirse de aquellas otras medidas cautelares o de control que se tomen o puedan tomar durante la tramitación del sumario o de las diligencias de investigación en relación con las correspondientes penas de idéntica significación (art. 58 del Código Penal).</w:t>
      </w:r>
    </w:p>
    <w:p w:rsidR="008107C7" w:rsidRDefault="008107C7" w:rsidP="008107C7">
      <w:pPr>
        <w:pStyle w:val="TextoNormal"/>
      </w:pPr>
      <w:r>
        <w:t>9ª. Desde la perspectiva de lege ferenda pudiera suceder que el legislador estableciera que en el futuro por el Juez instructor se pudieran acordar discrecionalmente en el período de instrucción o investigación, aquellas medidas que en la actualidad figuran en el art.  105 del Código Penal vigente, promulgado por Ley Orgánica 10/1995, de 23 de noviembre, u otras, y ello sin perjuicio de que el propio legislador del porvenir pudiera ordenar que algunas de ellas sirvieran en su totalidad o en parte, de abono a la pena de prisión, si recayera sentencia condenatoria para poder así compensar de alguna manera, el gravamen soportado durante la instrucción. Pues bien, aunque esto sucediera, en tales casos, a mi entender, no jugarían las limitaciones temporales del art. 17.4 C.E. concretadas en el art. 504 L.E.Crim., y en los preceptos concorcantes de las Leyes procesales militares.</w:t>
      </w:r>
    </w:p>
    <w:p w:rsidR="008107C7" w:rsidRDefault="008107C7" w:rsidP="008107C7">
      <w:pPr>
        <w:pStyle w:val="TextoNormal"/>
      </w:pPr>
      <w:r>
        <w:lastRenderedPageBreak/>
        <w:t>11ª. Nada más contrario a mi deseo, el que pudiera vislumbrarse en este voto particular que la libertad de las personas habría de recibir una interpretación más restrictiva. En absoluto. Al contrario, cuanto más se fortalezca la libertad de las personas más se consolidará el Estado de Derecho.</w:t>
      </w:r>
    </w:p>
    <w:p w:rsidR="008107C7" w:rsidRDefault="008107C7" w:rsidP="008107C7">
      <w:pPr>
        <w:pStyle w:val="TextoNormal"/>
      </w:pPr>
      <w:r>
        <w:t>No sólo esto, toda medida restrictiva de la libertad utilizada esta palabra en el más extenso y noble de los sentidos, como liberación de ataduras y el hecho de estar sometido a un proceso penal lo es, mucho más si se declara el sumario secreto, deben estar limitadas al tiempo estrictamente necesario, tal como con acierto establece la L.E.Crim., en el último ínciso del párrafo 3º del art.  504, donde se afirma: "El Juez o Tribunal que conozca de la causa y el Ministerio Fiscal, cada uno dentro de sus funciones, cuidarán bajo su responsabilidad de que la prisión provisional no se prolongue más allá de lo necesario", y si se prolonga, a juicio de quien la sufre o de su Abogado defensor, existen medios jurídicos, con independencia de los plazos establecidos al efecto en el art. 17.4 C.E., para evitarlo a través de los correspondientes recursos procesales. Por consiguiente, éstas últimas limitaciones son aplicables solo a la auténtica prisión provisional o preventiva y no a las manifestaciones de restricción o aminoración de la libertad.</w:t>
      </w:r>
    </w:p>
    <w:p w:rsidR="008107C7" w:rsidRDefault="008107C7" w:rsidP="008107C7">
      <w:pPr>
        <w:pStyle w:val="TextoNormal"/>
      </w:pPr>
      <w:r>
        <w:t>En conclusión, mi discrepancia que he pretendido justificar en cumplimiento de las obligaciones establecidas en la Ley, y por respeto a mis compañeros y a la propia sociedad a la que se dirigen nuestras resoluciones, radica en estimar que no es conforme con los principios que nos gobiernan equiparar la prisión militar atenuada que se contempla en los arts. 226 y 227 de la L.O.P.M. si quien la sufre es un militar profesional o un paisano, (no entramos ahora en el problema en relación con los militares no profesionales) con la prisión provisional o preventiva que regula el art. 504 y ss. de la L.E.Crim., o los arts. 215 y siguientes de la L.O.P.M., porque sus específicas naturalezas son distintas y responden a situaciones muy diferentes.</w:t>
      </w:r>
    </w:p>
    <w:p w:rsidR="008107C7" w:rsidRDefault="008107C7" w:rsidP="008107C7">
      <w:pPr>
        <w:pStyle w:val="TextoNormal"/>
      </w:pPr>
      <w:r>
        <w:t>Por cuanto queda expuesto estimo que no debió concederse el amparo solicitado.</w:t>
      </w:r>
    </w:p>
    <w:p w:rsidR="008107C7" w:rsidRDefault="008107C7" w:rsidP="008107C7">
      <w:pPr>
        <w:pStyle w:val="TextoNormal"/>
      </w:pPr>
      <w:r>
        <w:t>Madrid, a diecisiete de marzo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60" w:name="SENTENCIA_1997_57"/>
      <w:r>
        <w:lastRenderedPageBreak/>
        <w:t>SENTENCIA 57/1997, de 18 de marzo de 1997</w:t>
      </w:r>
    </w:p>
    <w:bookmarkEnd w:id="60"/>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92, de 17 de abril de 1997)</w:t>
      </w:r>
    </w:p>
    <w:p w:rsidR="008107C7" w:rsidRDefault="008107C7" w:rsidP="008107C7">
      <w:pPr>
        <w:pStyle w:val="TtuloBOE"/>
      </w:pPr>
    </w:p>
    <w:p w:rsidR="008107C7" w:rsidRDefault="008107C7" w:rsidP="008107C7">
      <w:pPr>
        <w:pStyle w:val="SntesisDescriptiva"/>
      </w:pPr>
      <w:r>
        <w:t>ECLI:ES:TC:1997:57</w:t>
      </w:r>
    </w:p>
    <w:p w:rsidR="008107C7" w:rsidRDefault="008107C7" w:rsidP="008107C7">
      <w:pPr>
        <w:pStyle w:val="SntesisDescriptiva"/>
      </w:pPr>
    </w:p>
    <w:p w:rsidR="008107C7" w:rsidRDefault="008107C7" w:rsidP="008107C7">
      <w:pPr>
        <w:pStyle w:val="SntesisDescriptiva"/>
      </w:pPr>
      <w:r>
        <w:t>Recurso de amparo 3.564/1994. Contra Auto de la Sala de lo Social del Tribunal Supremo que inadmitió recurso de casación para la unificación de doctrina, interpuesto contra Sentencia dictada por la Sala de lo Social del T.S.J. de Madrid en procedimiento sobre reconocimiento de derechos y reclamación de cantidad.</w:t>
      </w:r>
    </w:p>
    <w:p w:rsidR="008107C7" w:rsidRDefault="008107C7" w:rsidP="008107C7">
      <w:pPr>
        <w:pStyle w:val="SntesisDescriptiva"/>
      </w:pPr>
    </w:p>
    <w:p w:rsidR="008107C7" w:rsidRDefault="008107C7" w:rsidP="008107C7">
      <w:pPr>
        <w:pStyle w:val="SntesisAnaltica"/>
      </w:pPr>
      <w:r>
        <w:t>Supuesta vulneración del derecho a la tutela judicial efectiva: congruencia de las resoluciones impugnadas.</w:t>
      </w:r>
    </w:p>
    <w:p w:rsidR="008107C7" w:rsidRDefault="008107C7" w:rsidP="008107C7">
      <w:pPr>
        <w:pStyle w:val="SntesisAnaltica"/>
      </w:pPr>
    </w:p>
    <w:p w:rsidR="008107C7" w:rsidRDefault="008107C7" w:rsidP="008107C7">
      <w:pPr>
        <w:pStyle w:val="Extracto"/>
      </w:pPr>
      <w:r>
        <w:t>1.</w:t>
      </w:r>
      <w:r>
        <w:tab/>
        <w:t>Este Tribunal ya ha declarado en diversas ocasiones que no contestar a uno de los motivos del recurso de suplicación, aun cuando fuera para decidir su inadmisión, puede entrañar una incongruencia omisiva que lesiona el art. 24.1 de la C.E. (SSTC 28/1987, 5/1990, 95/1990, 108/1990, 87/1994 y 150/1995). Pero estas hipótesis de incongruencia no son susceptibles de una solución unívoca, sino que han de ponderarse las circunstancias concurrentes en cada caso concreto para determinar si el silencio judicial constituye una auténtica lesión del art. 24.1 C.E. o, por el contrario, puede razonablemente interpretarse como una desestimación tácita que satisfaga las exigencias del derecho a la tutela judicial efectiva, porque así pueda deducirse de otros razonamientos de la Sentencia. [F.J. 2]</w:t>
      </w:r>
    </w:p>
    <w:p w:rsidR="008107C7" w:rsidRDefault="008107C7" w:rsidP="008107C7">
      <w:pPr>
        <w:pStyle w:val="Extracto"/>
      </w:pPr>
    </w:p>
    <w:p w:rsidR="008107C7" w:rsidRDefault="008107C7" w:rsidP="008107C7">
      <w:pPr>
        <w:pStyle w:val="Extracto"/>
      </w:pPr>
      <w:r>
        <w:t>2.</w:t>
      </w:r>
      <w:r>
        <w:tab/>
        <w:t>Desde estas premisas doctrinales importa destacar que la Sala del Tribunal Superior de Justicia anuló, en un primer momento, la inicial Sentencia dictada por el Juzgado de lo Social, precisamente porque no se había pronunciado sobre la cuestión referente al incremento del módulo consignado en el contrato de cese tecnológico. El Magistrado corrigió la omisión en su posterior resolución, razonando que la cuantía provisional del módulo debía ser modificada e incorporar el aumento salarial pactado en el Convenio Colectivo, norma de superior rango jerárquico y, por tanto, de obligado respeto por el contrato individual en cuanto establezca condiciones menos favorables o contrarias a lo estipulado en aquél. Y la Sala, finalmente, confirmó de modo expreso el criterio seguido por la Sentencia de instancia, desestimando la suplicación: en principio estaríamos ante una fundamentación por remisión, técnica de motivación constitucionalmente válida que responde congruentemente a todas las pretensiones deducidas en el recurso. [F.J. 3]</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Álvaro Rodríguez Bereijo, Presidente, don Vicente Gimeno Sendra, don Pedro Cruz Villalón, don Enrique Ruiz Vadillo y don Manuel Jiménez de Parga y Cabrera, Magistrados, ha pronunciado</w:t>
      </w:r>
    </w:p>
    <w:p w:rsidR="008107C7" w:rsidRDefault="008107C7" w:rsidP="008107C7">
      <w:pPr>
        <w:pStyle w:val="TextoNormal"/>
      </w:pPr>
    </w:p>
    <w:p w:rsidR="008107C7" w:rsidRDefault="008107C7" w:rsidP="008107C7">
      <w:pPr>
        <w:pStyle w:val="TextoNormalCentrado"/>
        <w:keepNext/>
      </w:pPr>
      <w:r>
        <w:lastRenderedPageBreak/>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3.564/94 promovido por Iveco Pegaso, S.A. - antes Empresa Nacional de Autocamiones, S.A. (E.N.A.S.A.)-, representada por el Procurador de los Tribunales don Fernando Aragón Martín y asistida del Letrado don José Manuel Martín Martín, contra el Auto de la Sala de lo Social del Tribunal Supremo de 15 de septiembre de 1994, que inadmitió el recurso de casación para la unificación de doctrina, interpuesto contra la Sentencia dictada por la Sala de lo Social del Tribunal Superior de Justicia de Madrid, el día 28 de junio de 1993, en el procedimiento sobre reconocimiento de derechos y reclamación de cantidad. Han comparecido el Ministerio Fiscal y don José Manuel Ayala Tirado, don Florentino Blanco Cobeta, don Gumersindo Domenech Muñoz, don Miguel Fernández Jiménez, don Manuel Fernández Vaquero, don Javier García Cimsorra, don Juan Manuel García Sanudo, don Julián González García, don Antonio González Nieto, don José Hernández del Can, don Severiano Javaloyes Peribañes, don Jerónimo Mazano Mazano, don Efrén Martín Galán, don Matías Nicolás de la Peña, don Agustín Oliver Marín, don Agustín Peligros Rodríguez, don José María Peña de Dios, don Fernando Pérez Barella, don Francisco Romero Porras, don José Sanz Navío y don Francisco Sastre Benito, todos ellos representados por el Procurador don Roberto Sastre Moyano y asistidos del Letrado don Álvaro Hernando de Larramendi. Ha sido Ponente el Magistrado don Manuel Jiménez de Parga y Cabrera,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registrado en este Tribunal el día 5 de noviembre de 1994, el Procurador de los Tribunales don Fernando Aragón Martín, en nombre y representación de Iveco Pegaso, S.A. -antes Empresa Nacional de Autocamiones, S.A. (E.N.A.S.A.)-, interpuso recurso de amparo contra el Auto de la Sala de lo Social del Tribunal Supremo, de 15 de septiembre de 1994, que inadmitió el recurso de casación para la unificación de doctrina interpuesto contra la Sentencia dictada por la Sala de lo Social del Tribunal Superior de Justicia de Madrid en 28 de junio de 1993.</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La demanda presentada se basa en los siguientes hechos: </w:t>
      </w:r>
    </w:p>
    <w:p w:rsidR="008107C7" w:rsidRDefault="008107C7" w:rsidP="008107C7">
      <w:pPr>
        <w:pStyle w:val="TextoNormal"/>
      </w:pPr>
      <w:r>
        <w:t xml:space="preserve">a) La Dirección General de Trabajo, en Resolución de 13 de junio de 1988, homologó el acuerdo suscrito entre la empresa ahora recurrente y su Comité Intercentros y, en consecuencia, la autorizó a extinguir los contratos de trabajo de setecientos veintisiete trabajadores, reconociéndoles el derecho a percibir de la empresa las indemnizaciones, prestaciones y compensaciones pactadas. En concreto, se les garantizaba hasta cumplir la edad de sesenta años un complemento a la prestación y el subsidio de desempleo correspondiente, que alcanzaría el 98,5 por 100 de las percepciones líquidas anuales, calculadas sobre la retribución percibida en el último mes de trabajo. </w:t>
      </w:r>
    </w:p>
    <w:p w:rsidR="008107C7" w:rsidRDefault="008107C7" w:rsidP="008107C7">
      <w:pPr>
        <w:pStyle w:val="TextoNormal"/>
      </w:pPr>
      <w:r>
        <w:lastRenderedPageBreak/>
        <w:t xml:space="preserve">b) La propia Dirección General de Trabajo, en Resolución de 24 de julio de 1989, acordó la inscripción y publicación (B.O.E. del 14 de agosto) del Convenio Colectivo de ámbito nacional aplicable en la empresa para el bienio 1989/90, cuyo art. 36 prescribía que con efectos de 1 de enero de 1989 el incremento salarial será del 5'5 por 100 sobre las retribuciones de 1988, y la revisión a 31 de diciembre de 1989 será la diferencia entre el 5'5 por 100 aplicado y el I.P.C. real -que resultó ser el 6'9 por 100- más un punto. </w:t>
      </w:r>
    </w:p>
    <w:p w:rsidR="008107C7" w:rsidRDefault="008107C7" w:rsidP="008107C7">
      <w:pPr>
        <w:pStyle w:val="TextoNormal"/>
      </w:pPr>
      <w:r>
        <w:t xml:space="preserve">c) En virtud del referido expediente de regulación de empleo, veintiún trabajadores de la empresa suscribieron el oportuno contrato de cese tecnológico en diversas fechas de 1989 y, arguyendo que no se les había aplicado el definitivo incremento del 7'9 por 100 establecido en el Convenio Colectivo, formularon demanda ante la jurisdicción laboral reclamando las diferencias por el período que permanecieron en activo durante 1989 y el consiguiente incremento del módulo regulador fijado en el respectivo contrato de cese tecnológico. </w:t>
      </w:r>
    </w:p>
    <w:p w:rsidR="008107C7" w:rsidRDefault="008107C7" w:rsidP="008107C7">
      <w:pPr>
        <w:pStyle w:val="TextoNormal"/>
      </w:pPr>
      <w:r>
        <w:t xml:space="preserve">El Juzgado de lo Social núm. 4 de Madrid, en Sentencia de 20 de marzo de 1991, estimó íntegramente la demanda. Recurrida en suplicación, la Sala de lo Social del Tribunal Superior de Justicia de Madrid, en Sentencia de 6 de julio de 1992, anuló la de instancia y remitió los autos al Juzgado a quo para que dictara nueva Sentencia en la que se resolvieran todas las cuestiones planteadas por las partes. Su fundamento de Derecho segundo expresaba lo siguiente: </w:t>
      </w:r>
    </w:p>
    <w:p w:rsidR="008107C7" w:rsidRDefault="008107C7" w:rsidP="008107C7">
      <w:pPr>
        <w:pStyle w:val="TextoNormal"/>
      </w:pPr>
      <w:r>
        <w:t xml:space="preserve">"... se planteó por la parte demandada la excepción de falta de acción en una doble vertiente: a) con respecto a los documentos de finiquito firmados por los actores, y b) con respecto «al incremento del módulo y si éste pudiera o no variarse y si debe calcularse sobre las liquidaciones percibidas antes del cese»". Y, si bien es cierto que la sentencia dirime escuetamente la primera de las excepciones, aunque nada diga al respecto en el fallo, también lo es que para nada se pronuncia en lo referente a la segunda cuestión ...". </w:t>
      </w:r>
    </w:p>
    <w:p w:rsidR="008107C7" w:rsidRDefault="008107C7" w:rsidP="008107C7">
      <w:pPr>
        <w:pStyle w:val="TextoNormal"/>
      </w:pPr>
      <w:r>
        <w:t xml:space="preserve">d) El Juzgado de lo Social, después de hacer uso de las diligencias para mejor proveer, nuevamente dictó Sentencia en 9 de marzo de 1993 desestimando las excepciones de falta de acción opuestas por la demandada y acogiendo la pretensión actora. </w:t>
      </w:r>
    </w:p>
    <w:p w:rsidR="008107C7" w:rsidRDefault="008107C7" w:rsidP="008107C7">
      <w:pPr>
        <w:pStyle w:val="TextoNormal"/>
      </w:pPr>
      <w:r>
        <w:t xml:space="preserve">"... ese finiquito -razonaba el Magistrado- tiene en efecto el carácter liberatorio pero respecto a lo que figura en el mismo, es decir, respecto a la relación laboral y a la liquidación por baja prejubilado, pero no respecto a las diferencias salariales en virtud del I.P.C. real ..." (fundamento de Derecho 2). </w:t>
      </w:r>
    </w:p>
    <w:p w:rsidR="008107C7" w:rsidRDefault="008107C7" w:rsidP="008107C7">
      <w:pPr>
        <w:pStyle w:val="TextoNormal"/>
      </w:pPr>
      <w:r>
        <w:t xml:space="preserve">"... el módulo pactado puede y debe ser modificado atendiendo a las variaciones que en el convenio colectivo de 24 de julio de 1989 se establecían sobre salarios; no podían tenerse en cuenta las cifras definitivas, al fijar las cantidades en los contratos de cese tecnológico que resultarían en el mismo, al no haber sido publicado en el momento de hacerse aquéllos. Pero es claro que, el derecho a la retribución y los efectos derivados del mismo, no pueden ser variados por contrato particular alguno y debe quedar plenamente sometido a la norma superior paccionada. De esta forma el módulo que figura en los contratos hay que entender que era provisional, para poder hacer los contratos correspondientes, pero sometido, en cuanto a las cantidades, a lo que resultase del convenio colectivo que iba a publicarse poco después..." (fundamento de Derecho 3). </w:t>
      </w:r>
    </w:p>
    <w:p w:rsidR="008107C7" w:rsidRDefault="008107C7" w:rsidP="008107C7">
      <w:pPr>
        <w:pStyle w:val="TextoNormal"/>
      </w:pPr>
      <w:r>
        <w:t xml:space="preserve">e) Contra la misma se interpuso recurso de suplicación articulado en tres motivos: uno pretendía modificar el hecho probado 2, relativo a los términos en que se suscribió el contrato de cese tecnológico o prejubilación anticipada; los dos restantes, amparados en el art. 190 c) de la L.P.L. de 1990, denunciaban la interpretación errónea, de un lado, del art. 3.5 del Estatuto de los Trabajadores en relación con los arts. 1.255, 1.256 y 1.809 del Código Civil, propugnando el carácter liberatorio del finiquito y, de otro, la de los arts. 1.091, 1.258, 1.282 y 1.809 también del Código Civil en relación con el art. 3 del Acuerdo Marco de </w:t>
      </w:r>
      <w:r>
        <w:lastRenderedPageBreak/>
        <w:t xml:space="preserve">E.N.A.S.A. publicado en el B.O.E. de 2 de octubre de 1986 y la Resolución de la Dirección General de Trabajo de 13 de junio de 1988, porque el módulo fijado por las partes es invariable y se calcula sobre las retribuciones ya percibidas antes del cese. </w:t>
      </w:r>
    </w:p>
    <w:p w:rsidR="008107C7" w:rsidRDefault="008107C7" w:rsidP="008107C7">
      <w:pPr>
        <w:pStyle w:val="TextoNormal"/>
      </w:pPr>
      <w:r>
        <w:t xml:space="preserve">La Sala de lo Social del Tribunal Superior de Justicia de Madrid en Sentencia de 28 de junio de 1993 desestimó el recurso: </w:t>
      </w:r>
    </w:p>
    <w:p w:rsidR="008107C7" w:rsidRDefault="008107C7" w:rsidP="008107C7">
      <w:pPr>
        <w:pStyle w:val="TextoNormal"/>
      </w:pPr>
      <w:r>
        <w:t xml:space="preserve">"La presente cuestión, relativa al valor liberatorio del finiquito incorporado en los contratos de prejubilación de la empresa demandada E.N.A.S.A. y en orden a la eficacia retroactiva de lo convenido respecto de contratos ya extinguidos, ha sido resuelta ya por las Sentencias de las Salas de lo Social de los Tribunales Superiores de Justicia de Castilla y León, de 14 de diciembre de 1990, y de Madrid de 5 de junio de 1991 y por el Tribunal Supremo, en recurso de casación para unificación de doctrina interpuesto contra la Sentencia de esta Sala de 25 de junio de 1991, en su Sentencia de 30 de septiembre de 1992, en la que reconoció la virtualidad de la tesis de la parte actora, por lo que ... procede ... confirmar el criterio seguido por la Sentencia de instancia ..." (fundamento de Derecho único). </w:t>
      </w:r>
    </w:p>
    <w:p w:rsidR="008107C7" w:rsidRDefault="008107C7" w:rsidP="008107C7">
      <w:pPr>
        <w:pStyle w:val="TextoNormal"/>
      </w:pPr>
      <w:r>
        <w:t xml:space="preserve">f) Frente a esta última se preparó e interpuso recurso de casación para la unificación de doctrina, invocando como contradictoria la Sentencia de la Sala de lo Social del Tribunal Superior de Justicia de Madrid de 4 de abril de 1991, que rechazó la posibilidad de incrementar el módulo del contrato de prejubilación. La Sala de lo Social del Tribunal Supremo, en Auto de 15 de septiembre de 1994, lo inadmitió por carecer de contenido casacional de unificación de doctrina las pretensiones impugnatorias coincidentes con la doctrina que ha sido ya objeto de unificación de acuerdo con un criterio jurisprudencial estable: </w:t>
      </w:r>
    </w:p>
    <w:p w:rsidR="008107C7" w:rsidRDefault="008107C7" w:rsidP="008107C7">
      <w:pPr>
        <w:pStyle w:val="TextoNormal"/>
      </w:pPr>
      <w:r>
        <w:t>"... la doctrina de la Sentencia que se recurre es plenamente coincidente con la que ha establecido la Sala en la Sentencia de fecha 30 de septiembre de 1992, dictada en unificación de doctrina, según la cual los trabajadores que firmaron un contrato de prejubilación con cláusula tipo de saldo y finiquito no están privados de un derecho que entonces no existía, cual era el relativo al de la posterior revisión salarial por desviación del incremento previsto del índice de precios al consumo, ya que entonces no se sabía si tal revisión procedería o no, por lo que tienen derecho a percibir las diferencias derivadas de la aplicación de la cláusula dicha pactada colectivamente para tal supuesto ..." (razonamiento jurídico 2º).</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El recurso de amparo se dirige contra la Sentencia de la Sala de lo Social del Tribunal Superior de Justicia de Madrid, de 28 de junio de 1993, y el Auto de la Sala de lo Social del Tribunal Supremo antes referido, a los que imputa haber conculcado el derecho a la tutela judicial efectiva consagrado en el art. 24.1 C.E. en relación con el art. 14 de la misma, por un triple orden de consideraciones: </w:t>
      </w:r>
    </w:p>
    <w:p w:rsidR="008107C7" w:rsidRDefault="008107C7" w:rsidP="008107C7">
      <w:pPr>
        <w:pStyle w:val="TextoNormal"/>
      </w:pPr>
      <w:r>
        <w:t xml:space="preserve">a) La Sentencia es una decisión judicial irrazonada. Su único fundamento de Derecho no contiene motivación sobre las cuestiones planteadas y, sin citar un solo precepto, acude por todo fundamento a otras Sentencias de Tribunales Superiores de Justicia y del Tribunal Supremo. Entra a resolver el primer objeto de la litis (la reclamación de cantidad devengada antes del cese y el valor de los finiquitos), sin atender lo más mínimo al segundo objeto, ni resolver los motivos primero y tercero del recurso. El Tribunal Supremo reitera el error al hacerse eco sólo del valor liberatorio del finiquito, no analiza ni resuelve la cuestión relativa a si esas cantidades debían o no integrarse en el módulo del contrato de prejubilación. El recurso de casación para la unificación de doctrina se articuló para discutir ese único punto, con cita de la Sentencia del Tribunal Superior de Justicia de Madrid, de 4 de abril de 1991, que resolvía la cuestión a favor de la tesis de la empresa para otro colectivo en idénticas circunstancias. </w:t>
      </w:r>
    </w:p>
    <w:p w:rsidR="008107C7" w:rsidRDefault="008107C7" w:rsidP="008107C7">
      <w:pPr>
        <w:pStyle w:val="TextoNormal"/>
      </w:pPr>
      <w:r>
        <w:t xml:space="preserve">b) Incurren en incongruencia omisiva al eludir resolver todas las pretensiones planteadas. </w:t>
      </w:r>
    </w:p>
    <w:p w:rsidR="008107C7" w:rsidRDefault="008107C7" w:rsidP="008107C7">
      <w:pPr>
        <w:pStyle w:val="TextoNormal"/>
      </w:pPr>
      <w:r>
        <w:lastRenderedPageBreak/>
        <w:t xml:space="preserve">c) Se trata de decisiones judiciales que "en nada colaboran con las partes". Los Tribunales deben resolver todas las cuestiones litigiosas, incluso aquéllas que estén inmersas en las planteadas, a fin de evitar nuevos problemas, conflictos o litigios. </w:t>
      </w:r>
    </w:p>
    <w:p w:rsidR="008107C7" w:rsidRDefault="008107C7" w:rsidP="008107C7">
      <w:pPr>
        <w:pStyle w:val="TextoNormal"/>
      </w:pPr>
      <w:r>
        <w:t>Interesó, por ello, la nulidad de las resoluciones impugnadas con retroacción de las actuaciones al Tribunal Superior de Justicia para que dicte nueva Sentencia pronunciándose sobre el tercer motivo del recurso de suplicación o, subsidiariamente, al Tribunal Supremo para que resuelva la casación analizando esta cuestión. Al amparo del art. 56 de la LOTC solicitó asimismo la suspensión de los efectos de la Sentencia recurrida.</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La Sección Segunda por providencia de 28 de noviembre de 1994 acordó, a tenor de lo dispuesto en el art. 50.5 LOTC, otorgar al solicitante de amparo un plazo de diez días a fin de aportar copias de los escritos de interposición de los recursos de suplicación y de casación para la unificación de doctrina, de las alegaciones presentadas en el trámite de inadmisión del anterior recurso y de la Sentencia dictada en suplicación, y acreditar haber invocado con prontitud el derecho fundamental presuntamente vulnerado. </w:t>
      </w:r>
    </w:p>
    <w:p w:rsidR="008107C7" w:rsidRDefault="008107C7" w:rsidP="008107C7">
      <w:pPr>
        <w:pStyle w:val="TextoNormal"/>
      </w:pPr>
      <w:r>
        <w:t xml:space="preserve">Cumplimentado el requerimiento, la Sección por providencia de 30 de enero de 1995 acordó admitir a trámite la demanda, sin perjuicio de lo que resulte de los antecedentes y, a tenor de lo dispuesto en el art. 51 de la LOTC, requerir a los órganos judiciales para que remitan testimonio de las actuaciones y practiquen los correspondientes emplazamientos. </w:t>
      </w:r>
    </w:p>
    <w:p w:rsidR="008107C7" w:rsidRDefault="008107C7" w:rsidP="008107C7">
      <w:pPr>
        <w:pStyle w:val="TextoNormal"/>
      </w:pPr>
      <w:r>
        <w:t>La Sección, por providencia de 16 de mayo de 1995, acordó tener por personado y parte al Procurador don Roberto Sastre Moyano, en nombre y representación de don José Manuel Ayala Tirado y otras personas; acusar recibo al Tribunal Supremo, al Tribunal Superior de Justicia de Madrid y al Juzgado de lo Social núm. 4 de dicha capital del testimonio de las actuaciones remitidas y, a tenor del art. 52 LOTC, dar vista de todo lo actuado, por un plazo común de veinte días, al Ministerio Fiscal y a los Procuradores personados para que puedan presentar las alegaciones que a su derecho convengan.</w:t>
      </w:r>
    </w:p>
    <w:p w:rsidR="008107C7" w:rsidRDefault="008107C7" w:rsidP="008107C7">
      <w:pPr>
        <w:pStyle w:val="TextoNormal"/>
      </w:pPr>
    </w:p>
    <w:p w:rsidR="008107C7" w:rsidRDefault="008107C7" w:rsidP="008107C7">
      <w:pPr>
        <w:pStyle w:val="TextoNormal"/>
      </w:pPr>
      <w:r w:rsidRPr="008107C7">
        <w:rPr>
          <w:rStyle w:val="NumeroAFNegritaCaracter"/>
        </w:rPr>
        <w:t>5</w:t>
      </w:r>
      <w:r>
        <w:t>. La representación de la recurrente reiteró en lo sustancial las consideraciones ya vertidas en la demanda.</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La representación de los trabajadores solicitó la desestimación del amparo. Tras reseñar los antecedentes y fundamentación jurídica del recurso, manifestó, en primer lugar, que la remisión por parte del Tribunal Superior de Justicia de Madrid a dos Sentencias dictadas por las Salas de lo Social de otros Tribunales Superiores de Justicia y, sobre todo, a una Sentencia del Tribunal Supremo recaída en recurso de casación para la unificación de doctrina, cuando todas ellas resuelven la misma cuestión y en el mismo sentido que la recurrida, en modo alguno supone una decisión judicial irrazonada, so pena de negar cualquier valor a la jurisprudencia sentada por nuestros Tribunales, poner en tela de juicio la competencia de los mismos en el ejercicio de su potestad jurisdiccional (SSTC de 20 de septiembre y 20 de diciembre de 1993), convertir el recurso de amparo en una nueva instancia y perturbar una de las proyecciones que garantiza el art. 24.1 C.E., esto es, el derecho a que las resoluciones judiciales alcancen la eficacia otorgada por el ordenamiento (STC de 9 de mayo de 1994). </w:t>
      </w:r>
    </w:p>
    <w:p w:rsidR="008107C7" w:rsidRDefault="008107C7" w:rsidP="008107C7">
      <w:pPr>
        <w:pStyle w:val="TextoNormal"/>
      </w:pPr>
      <w:r>
        <w:t xml:space="preserve">Tampoco puede calificarse de decisión judicial irrazonada que el Auto del Tribunal Supremo se remita a otra Sentencia dictada por la propia Sala. Podrá estarse o no de acuerdo </w:t>
      </w:r>
      <w:r>
        <w:lastRenderedPageBreak/>
        <w:t xml:space="preserve">con dicha argumentación, pero la inadmisión del recurso descansa en la aplicación e interpretación de una causa legal prevista en el art. 222 de la L.P.L. -la carencia de contenido casacional- (STC de 14 de septiembre de 1992). </w:t>
      </w:r>
    </w:p>
    <w:p w:rsidR="008107C7" w:rsidRDefault="008107C7" w:rsidP="008107C7">
      <w:pPr>
        <w:pStyle w:val="TextoNormal"/>
      </w:pPr>
      <w:r>
        <w:t xml:space="preserve">Respecto de la incongruencia omisiva (la cuestión del módulo no queda resuelta), entiende que cuando la Sentencia del Tribunal Superior de Justicia desestima el recurso de suplicación no hace sino confirmar íntegramente la del Juzgado de lo Social -y el Tribunal Supremo vuelve a confirmarla con posterioridad-, toda vez que resulta evidente que el reconocimiento del derecho a la actualización salarial pretendida por los actores implica necesariamente una revisión del módulo regulador y genera una determinada retribución económica. Parece claro que módulo regulador y salario se encuentran directamente relacionados y así se desprende del fundamento tercero de la Sentencia del Juzgado de lo Social. No existe incongruencia constitucionalmente relevante si el órgano judicial resuelve genéricamente las pretensiones de las partes, aunque no se haya pronunciado sobre todas las alegaciones concretas (SSTC de 28 de septiembre de 1992 y 8 de febrero de 1993). </w:t>
      </w:r>
    </w:p>
    <w:p w:rsidR="008107C7" w:rsidRDefault="008107C7" w:rsidP="008107C7">
      <w:pPr>
        <w:pStyle w:val="TextoNormal"/>
      </w:pPr>
      <w:r>
        <w:t>Por último, ciertamente los Tribunales deben colaborar con las partes resolviendo todas las cuestiones litigiosas. Sin embargo, no pueden confundirse los requisitos formales y materiales exigidos para la admisión de un recurso, con la intención de crear nuevas instancias donde ni las hay ni las puede haber. El recurso de casación para la unificación de doctrina es un instituto orientado a la coherencia doctrinal y la mejor manera de evitar nuevos litigios o conflictos es establecer un criterio jurisprudencial estable. La desestimación o inadmisión de un recurso es competencia de los órganos judiciales que deban decidir en cada caso (SSTC de 13 de mayo de 1992 y 20 de julio de 1993).</w:t>
      </w:r>
    </w:p>
    <w:p w:rsidR="008107C7" w:rsidRDefault="008107C7" w:rsidP="008107C7">
      <w:pPr>
        <w:pStyle w:val="TextoNormal"/>
      </w:pPr>
    </w:p>
    <w:p w:rsidR="008107C7" w:rsidRDefault="008107C7" w:rsidP="008107C7">
      <w:pPr>
        <w:pStyle w:val="TextoNormal"/>
      </w:pPr>
      <w:r w:rsidRPr="008107C7">
        <w:rPr>
          <w:rStyle w:val="NumeroAFNegritaCaracter"/>
        </w:rPr>
        <w:t>7</w:t>
      </w:r>
      <w:r>
        <w:t xml:space="preserve">. El Fiscal ante el Tribunal Constitucional interesó el otorgamiento del amparo porque los órganos judiciales no se pronuncian sobre la cuestión referente a la incidencia que en la fijación del módulo haya de tener la variación de los salarios de los trabajadores demandantes. </w:t>
      </w:r>
    </w:p>
    <w:p w:rsidR="008107C7" w:rsidRDefault="008107C7" w:rsidP="008107C7">
      <w:pPr>
        <w:pStyle w:val="TextoNormal"/>
      </w:pPr>
      <w:r>
        <w:t xml:space="preserve">Después de sintetizar los antecedentes fácticos y jurídicos del recurso y con cita de la STC 222/1994, se apoya en la Sentencia de la Sala de lo Social del Tribunal Superior de Justicia de Madrid, de 4 de abril de 1991, que trata un problema similar. En ella puede apreciarse que una pretensión es la de determinar, en función de las variaciones del I.P.C., la actualización de las diferencias salariales de quienes ya no están en la empresa cuando tales diferencias se aplican, pero que trabajaron en ella en los períodos de tiempo a que la revisión se refiere, y otra pretensión es saber si dichas diferencias salariales serán aplicables al módulo establecido en el contrato de prejubilación. Y resuelve estas dos cuestiones, decidiendo en cuanto a la primera que los documentos de saldo y finiquito no liberan a la empresa de actualizar los salarios de acuerdo con el I.P.C. aplicable, doctrina que sigue también la Sentencia del Tribunal Supremo de 30 de septiembre de 1992, y sobre la segunda, se mostró contraria a cualquier modificación del módulo. </w:t>
      </w:r>
    </w:p>
    <w:p w:rsidR="008107C7" w:rsidRDefault="008107C7" w:rsidP="008107C7">
      <w:pPr>
        <w:pStyle w:val="TextoNormal"/>
      </w:pPr>
      <w:r>
        <w:t>Las resoluciones impugnadas no han abordado la segunda de las pretensiones. Respecto de la primera, la Sentencia del Tribunal Superior de Justicia sigue la doctrina marcada por otros Tribunales Superiores de Justicia y por el Tribunal Supremo y éste, por su parte, entiende que no era necesario unificar doctrina porque ya existía una línea trazada anterior, sin advertir que ello era cierto para la pretensión primera pero no para la segunda (alteración del módulo).</w:t>
      </w:r>
    </w:p>
    <w:p w:rsidR="008107C7" w:rsidRDefault="008107C7" w:rsidP="008107C7">
      <w:pPr>
        <w:pStyle w:val="TextoNormal"/>
      </w:pPr>
    </w:p>
    <w:p w:rsidR="008107C7" w:rsidRDefault="008107C7" w:rsidP="008107C7">
      <w:pPr>
        <w:pStyle w:val="TextoNormal"/>
      </w:pPr>
      <w:r w:rsidRPr="008107C7">
        <w:rPr>
          <w:rStyle w:val="NumeroAFNegritaCaracter"/>
        </w:rPr>
        <w:t>8</w:t>
      </w:r>
      <w:r>
        <w:t xml:space="preserve">. A instancia de la recurrente, la Sección, por providencia de 30 de enero de 1995, dispuso formar la correspondiente pieza separada para tramitar el incidente de suspensión, </w:t>
      </w:r>
      <w:r>
        <w:lastRenderedPageBreak/>
        <w:t>que concluyó con Auto de 7 de marzo de 1995 por el que la Sala acordó denegar la suspensión de la ejecución de las resoluciones impugnadas, adoptando el Juez encargado de su ejecución las garantías que estime procedentes para asegurar a la empresa, en su caso, si prosperase el amparo y obtuviese sentencia favorable en la vía judicial ordinaria, la devolución de las cantidades correspondientes.</w:t>
      </w:r>
    </w:p>
    <w:p w:rsidR="008107C7" w:rsidRDefault="008107C7" w:rsidP="008107C7">
      <w:pPr>
        <w:pStyle w:val="TextoNormal"/>
      </w:pPr>
    </w:p>
    <w:p w:rsidR="008107C7" w:rsidRDefault="008107C7" w:rsidP="008107C7">
      <w:pPr>
        <w:pStyle w:val="TextoNormal"/>
      </w:pPr>
      <w:r w:rsidRPr="008107C7">
        <w:rPr>
          <w:rStyle w:val="NumeroAFNegritaCaracter"/>
        </w:rPr>
        <w:t>9</w:t>
      </w:r>
      <w:r>
        <w:t>. Por providencia de 17 de marzo de 1997, se señaló para deliberación y fallo el siguiente día 18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El recurso de amparo -ya se ha reflejado en los antecedentes- impugna la Sentencia de la Sala de lo Social del Tribunal Superior de Justicia de Madrid, de 28 de junio de 1993, y el Auto de la Sala de lo Social del Tribunal Supremo, de 15 de septiembre de 1994, que inadmitió el posterior recurso de casación para la unificación de doctrina interpuesto contra la misma. Bajo la invocación del art. 24.1 C.E., la empresa recurrente formula una triple queja que, en puridad y como atinadamente observa el Ministerio Fiscal, puede reconducirse a un único agravio: la falta de respuesta a la pretensión de si el módulo fijado en el contrato de cese tecnológico, que cuantifica la retribución anual percibida por el trabajador en el momento de la extinción de su relación laboral, debe permanecer invariable o, por el contrario, ha de incluir el incremento salarial pactado en el Convenio Colectivo.</w:t>
      </w:r>
    </w:p>
    <w:p w:rsidR="008107C7" w:rsidRDefault="008107C7" w:rsidP="008107C7">
      <w:pPr>
        <w:pStyle w:val="TextoNormal"/>
      </w:pPr>
      <w:r>
        <w:t>Se trata, pues, de dilucidar si las resoluciones judiciales incurrieron en incongruencia omisiva constitucionalmente relevante. Es una cuestión que conviene analizar por separado en los sucesivos grados jurisdiccionales agotados por la ahora solicitante de amparo.</w:t>
      </w:r>
    </w:p>
    <w:p w:rsidR="008107C7" w:rsidRDefault="008107C7" w:rsidP="008107C7">
      <w:pPr>
        <w:pStyle w:val="TextoNormal"/>
      </w:pPr>
    </w:p>
    <w:p w:rsidR="008107C7" w:rsidRDefault="008107C7" w:rsidP="008107C7">
      <w:pPr>
        <w:pStyle w:val="TextoNormal"/>
      </w:pPr>
      <w:r w:rsidRPr="008107C7">
        <w:rPr>
          <w:rStyle w:val="NumeroAFNegritaCaracter"/>
        </w:rPr>
        <w:t>2</w:t>
      </w:r>
      <w:r>
        <w:t>. En lo atinente a la Sentencia del Tribunal Superior de Justicia de Madrid, este Tribunal ya ha declarado en diversas ocasiones que no contestar a uno de los motivos del recurso de suplicación, aun cuando fuera para decidir su inadmisión, puede entrañar una incongruencia omisiva que lesiona el art. 24.1 de la C.E. (SSTC 28/1987, 5/1990, 95/1990, 108/1990, 87/1994 y 150/1995). Pero estas hipótesis de incongruencia no son susceptibles de una solución unívoca, sino que han de ponderarse las circunstancias concurrentes en cada caso concreto para determinar si el silencio judicial constituye una auténtica lesión del art. 24.1 C.E. o, por el contrario, puede razonablemente interpretarse como una desestimación tácita que satisfaga las exigencias del derecho a la tutela judicial efectiva, porque así pueda deducirse de otros razonamientos de la Sentencia.</w:t>
      </w:r>
    </w:p>
    <w:p w:rsidR="008107C7" w:rsidRDefault="008107C7" w:rsidP="008107C7">
      <w:pPr>
        <w:pStyle w:val="TextoNormal"/>
      </w:pPr>
      <w:r>
        <w:t>A fin de resolver este primer problema debe comprobarse el planteamiento de la cuestión supuestamente eludida en el momento procesal oportuno, cuyo conocimiento y decisión por el Juzgado o Tribunal sean trascendentes para el signo del fallo y, sobre todo, si la ausencia de contestación por parte del órgano judicial ha generado indefensión.</w:t>
      </w:r>
    </w:p>
    <w:p w:rsidR="008107C7" w:rsidRDefault="008107C7" w:rsidP="008107C7">
      <w:pPr>
        <w:pStyle w:val="TextoNormal"/>
      </w:pPr>
      <w:r>
        <w:t>Es preciso, además, distinguir entre las alegaciones aducidas por los litigantes para fundamentar sus pretensiones y las pretensiones en sí mismas consideradas, porque no es exigible una contestación explícita y pormenorizada a cada una de aquéllas, pudiendo bastar una respuesta global o genérica, aunque omita alegatos secundarios, comprensiva de los que vertebran el razonamiento de las partes (SSTC 91/1995, 143/1995, 146/1995, 191/1995, 56/1996, 58/1996 y 85/1996, de entre las más recientes).</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3</w:t>
      </w:r>
      <w:r>
        <w:t>. Desde estas premisas doctrinales importa destacar, ante todo, que la Sala del Tribunal Superior de Justicia anuló, en un primer momento, la inicial Sentencia dictada por el Juzgado de lo Social, precisamente porque no se había pronunciado sobre la cuestión referente al incremento del módulo consignado en el contrato de cese tecnológico [cfr. antecedente 2 c)]. El Magistrado corrigió la omisión en su posterior resolución, razonando que la cuantía provisional del módulo debía ser modificada e incorporar el aumento salarial pactado en el Convenio Colectivo, norma de superior rango jerárquico y por tanto de obligado respeto por el contrato individual en cuanto establezca condiciones menos favorables o contrarias a lo estipulado en aquél (fundamento de Derecho 3º). Y la Sala, finalmente, confirmó de modo expreso el criterio seguido por la Sentencia de instancia, desestimando la suplicación: en principio estaríamos ante una fundamentación por remisión, técnica de motivación constitucionalmente válida (SSTC 174/1987, 192/1987, 146/1990, 27/1992, 88/1992 y 175/1992 y AATC 688/1986, 771/1988, 350/1989 y 411/1990), que responde congruentemente a todas las pretensiones deducidas en el recurso.</w:t>
      </w:r>
    </w:p>
    <w:p w:rsidR="008107C7" w:rsidRDefault="008107C7" w:rsidP="008107C7">
      <w:pPr>
        <w:pStyle w:val="TextoNormal"/>
      </w:pPr>
    </w:p>
    <w:p w:rsidR="008107C7" w:rsidRDefault="008107C7" w:rsidP="008107C7">
      <w:pPr>
        <w:pStyle w:val="TextoNormal"/>
      </w:pPr>
      <w:r w:rsidRPr="008107C7">
        <w:rPr>
          <w:rStyle w:val="NumeroAFNegritaCaracter"/>
        </w:rPr>
        <w:t>4</w:t>
      </w:r>
      <w:r>
        <w:t>. En segundo lugar, aunque la estructura formal del escrito de interposición del recurso de suplicación diseñada por el legislador obliga a una exposición separada de su triple objeto (arts. 191 y 194 L.P.L.), no puede ignorarse la imbricación de los distintos motivos esgrimidos en el formalizado en el presente caso. La revisión fáctica trataba de poner de relieve que el contrato de cese tecnológico incluía, entre sus estipulaciones, el saldo y finiquito de la relación laboral en el momento de causar baja en la plantilla de la empresa y la cuantificación del módulo que servía para calcular los complementos e indemnizaciones a cargo de la misma. Y los dos apartados dedicados al examen del derecho aplicable propugnaban, en definitiva, que debía estarse a lo pactado en el contrato, pues el finiquito poseía valor liberatorio y la cuantía del módulo era invariable: se invocaban al respecto las disposiciones generales del Código Civil sobre obligaciones y contratos, así como el precepto que define la transacción.</w:t>
      </w:r>
    </w:p>
    <w:p w:rsidR="008107C7" w:rsidRDefault="008107C7" w:rsidP="008107C7">
      <w:pPr>
        <w:pStyle w:val="TextoNormal"/>
      </w:pPr>
      <w:r>
        <w:t>Según la tesis de la empresa recurrente, aunque se estimara la pretensión actora de diferencias salariales correspondientes al período de vigencia del nexo contractual durante 1989, debía desestimarse el petitum relativo a la modificación del módulo.  Para los órganos judiciales, empero, el finiquito no comprendía la revisión salarial prevista en el Convenio Colectivo y, por tanto, los trabajadores tenían derecho a que se aplicara tal incremento retributivo con la consiguiente repercusión en la cuantía del módulo, en la medida en que éste debía calcularse sobre la retribución devengada en el último mes trabajado. No se había omitido nada esencial en la Sentencia del Tribunal Superior de Justicia.</w:t>
      </w:r>
    </w:p>
    <w:p w:rsidR="008107C7" w:rsidRDefault="008107C7" w:rsidP="008107C7">
      <w:pPr>
        <w:pStyle w:val="TextoNormal"/>
      </w:pPr>
      <w:r>
        <w:t xml:space="preserve">La interposición del posterior recurso de casación para la unificación de doctrina robustece la inexistencia de la incongruencia: se debilita la posición de la empresa. Como es sabido, el presupuesto de ese recurso de casación es la concurrencia de una contradicción jurisprudencial con los requisitos que contempla el art. 217 de la L.P.L. En el supuesto enjuiciado se invocó como término de contraste la Sentencia dictada por la Sala en 4 de abril de 1991, la cual, ante una controversia sustancialmente idéntica, había llegado a un pronunciamiento distinto acerca de la modificación del módulo del contrato de prejubilación.  Pero en el Auto de la Sala de lo Social del Tribunal Supremo se razona que el recurso de casación debe inadmitirse ya que la Sentencia de Tribunal Superior de Justicia de Madrid se basa en la doctrina de la Sentencia de 30 de septiembre de 1992, según la cual "los trabajadores que firmaron un contrato de prejubilación con cláusula tipo de saldo y finiquito no están privados de un derecho que entonces no existía, cual era el relativo al de la posterior revisión salarial por desviación del incremento previsto del índice de precios al consumo, ya que </w:t>
      </w:r>
      <w:r>
        <w:lastRenderedPageBreak/>
        <w:t>entonces no se sabía si tal revisión procedería o no, por lo que tienen derecho a percibir las diferencias derivadas de la aplicación de la cláusula dicha, pactada colectivamente para tal supuesto".</w:t>
      </w:r>
    </w:p>
    <w:p w:rsidR="008107C7" w:rsidRDefault="008107C7" w:rsidP="008107C7">
      <w:pPr>
        <w:pStyle w:val="TextoNormal"/>
      </w:pPr>
      <w:r>
        <w:t>Pero no es sólo la inadmisión del recurso de casación, debidamente fundamentada, lo que debilita la posición de la empresa recurrente, sino el hecho mismo de acudir al Tribunal Supremo alegando una contradicción entre una doctrina jurisprudencial sobre determinada materia contenida en una Sentencia (en este caso la del Tribunal Superior de Justicia de Madrid), que, en opinión de la recurrente, no se pronuncia sobre el asunto objeto de la supuesta contradicción. Si nada se dice no es posible, en principio, la contradicción.</w:t>
      </w:r>
    </w:p>
    <w:p w:rsidR="008107C7" w:rsidRDefault="008107C7" w:rsidP="008107C7">
      <w:pPr>
        <w:pStyle w:val="TextoNormal"/>
      </w:pPr>
    </w:p>
    <w:p w:rsidR="008107C7" w:rsidRDefault="008107C7" w:rsidP="008107C7">
      <w:pPr>
        <w:pStyle w:val="TextoNormal"/>
      </w:pPr>
      <w:r w:rsidRPr="008107C7">
        <w:rPr>
          <w:rStyle w:val="NumeroAFNegritaCaracter"/>
        </w:rPr>
        <w:t>5</w:t>
      </w:r>
      <w:r>
        <w:t>. Por último, niega la empresa solicitante de amparo que las Sentencias citadas por la Sala del Tribunal Superior de Justicia hubieran resuelto el problema litigioso. Pero no es así. Debe tenerse en cuenta, además, que el art. 24.1 C.E. no ha constitucionalizado el art. 359 L.E.C., como se desprende de la STC 98/1996. La incongruencia omisiva sólo tiene relevancia constitucional cuando, por quedar imprejuzgada la pretensión oportunamente planteada, se genera una falta de tutela judicial.  Omisión aquí ausente.</w:t>
      </w:r>
    </w:p>
    <w:p w:rsidR="008107C7" w:rsidRDefault="008107C7" w:rsidP="008107C7">
      <w:pPr>
        <w:pStyle w:val="TextoNormal"/>
      </w:pPr>
      <w:r>
        <w:t>La lectura de las resoluciones invocadas por la Sala del Tribunal Superior de Justicia revela que la ratio decidendi de todas ellas -la indisponibilidad por el trabajador de los derechos retributivos reconocidos en Convenio Colectivo- descansa en un razonamiento extrapolable sin dificultad al tema del módulo regulador, cuya cuantía estaba en función de la retribución percibida en el momento de la extinción de la relación laboral.</w:t>
      </w:r>
    </w:p>
    <w:p w:rsidR="008107C7" w:rsidRDefault="008107C7" w:rsidP="008107C7">
      <w:pPr>
        <w:pStyle w:val="TextoNormal"/>
      </w:pPr>
      <w:r>
        <w:t>En efecto, la Sentencia de la Sala de lo Social del Tribunal Superior de Justicia de Castilla y León, con sede en Valladolid, de 14 de diciembre de 1990 (tras rechazar la extensión de la doctrina sobre el valor liberatorio de los finiquitos y la ineficacia retroactiva de los incrementos salariales previstos en convenios colectivos posteriores al cese, al supuesto en que se trata de aplicar precisamente el Convenio Colectivo vigente en tal momento) concluyó que se habían producido unas renuncias contrarias a la prohibición que sanciona el art. 3.5 E.T., introducidas en los contratos de cese tecnológico, a ser retribuídos de conformidad con las normas vigentes en aquel momento. La de la Sala de lo Social del Tribunal Supremo de 30 de septiembre de 1992 consideró correcta la doctrina contenida en las Sentencia de contraste, es decir, la citada del Tribunal Superior de Justicia de Castilla y León y la del Tribunal Superior de Justicia de Madrid de 5 de junio de 1991; y estimó infringido el art.  3.5 del E.T., haciendo hincapié en que la obligación empresarial era una obligación sometida a condición suspensiva, porque su nacimiento y cuantía quedaba sujeto al hecho futuro e incierto de que existiera desviación al alza del incremento del I.P.C.  previsto. Y la de la Sala de lo Social del Tribunal Superior de Justicia de Madrid, de 5 de junio de 1991, también insistió en la naturaleza condicional de la obligación (art.  1.120 C.C.)  y en que los documentos de saldo y finiquito suscritos no tenían carácter liberatorio de cualquier deuda pendiente, ni reflejaban una transacción de las reguladas por el art. 1.809 C.C.</w:t>
      </w:r>
    </w:p>
    <w:p w:rsidR="008107C7" w:rsidRDefault="008107C7" w:rsidP="008107C7">
      <w:pPr>
        <w:pStyle w:val="TextoNormal"/>
      </w:pPr>
      <w:r>
        <w:t>En suma, estamos ante una Sentencia que responde global y genéricamente a la doble pretensión deducida, al considerar la segunda una cuestión subordinada a la principal.</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Por lo que respecta al Auto de la Sala de lo Social del Tribunal Supremo, poco resta añadir.  La recurrente mediante la articulación del recurso de casación para la unificación de doctrina, perseguía un pronunciamiento acerca de la contradicción jurisprudencial existente en la propia Sala de lo Social del Tribunal Superior de Justicia de Madrid y tal decisión se produjo, aunque en sentido desfavorable a la tesis de la impugnante, pues el Tribunal </w:t>
      </w:r>
      <w:r>
        <w:lastRenderedPageBreak/>
        <w:t>Supremo inadmitió el recurso al considerar que la doctrina de la Sentencia recurrida coincidía plenamente con la ya establecida por la Sala en su Sentencia de 30 de septiembre de 1992, según hemos expuesto en el fundamento jurídico 4º.</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Desestimar el presente recurso de amparo.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dieciocho de marzo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61" w:name="SENTENCIA_1997_58"/>
      <w:r>
        <w:lastRenderedPageBreak/>
        <w:t>SENTENCIA 58/1997, de 18 de marzo de 1997</w:t>
      </w:r>
    </w:p>
    <w:bookmarkEnd w:id="61"/>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92, de 17 de abril de 1997)</w:t>
      </w:r>
    </w:p>
    <w:p w:rsidR="008107C7" w:rsidRDefault="008107C7" w:rsidP="008107C7">
      <w:pPr>
        <w:pStyle w:val="TtuloBOE"/>
      </w:pPr>
    </w:p>
    <w:p w:rsidR="008107C7" w:rsidRDefault="008107C7" w:rsidP="008107C7">
      <w:pPr>
        <w:pStyle w:val="SntesisDescriptiva"/>
      </w:pPr>
      <w:r>
        <w:t>ECLI:ES:TC:1997:58</w:t>
      </w:r>
    </w:p>
    <w:p w:rsidR="008107C7" w:rsidRDefault="008107C7" w:rsidP="008107C7">
      <w:pPr>
        <w:pStyle w:val="SntesisDescriptiva"/>
      </w:pPr>
    </w:p>
    <w:p w:rsidR="008107C7" w:rsidRDefault="008107C7" w:rsidP="008107C7">
      <w:pPr>
        <w:pStyle w:val="SntesisDescriptiva"/>
      </w:pPr>
      <w:r>
        <w:t>Recurso de amparo 14/1995. Contra Sentencia de la Audiencia Provincial de Sevilla dictada en apelación interpuesto contra la del Juzgado de Primera Instancia núm. 9 de Sevilla recaída en autos de juicio de cognición sobre reclamación de cantidad.</w:t>
      </w:r>
    </w:p>
    <w:p w:rsidR="008107C7" w:rsidRDefault="008107C7" w:rsidP="008107C7">
      <w:pPr>
        <w:pStyle w:val="SntesisDescriptiva"/>
      </w:pPr>
    </w:p>
    <w:p w:rsidR="008107C7" w:rsidRDefault="008107C7" w:rsidP="008107C7">
      <w:pPr>
        <w:pStyle w:val="SntesisAnaltica"/>
      </w:pPr>
      <w:r>
        <w:t>Supuesta vulneración del derecho a la tutela judicial efectiva: posibles "vicios in iudicando" no causantes de indefensión.</w:t>
      </w:r>
    </w:p>
    <w:p w:rsidR="008107C7" w:rsidRDefault="008107C7" w:rsidP="008107C7">
      <w:pPr>
        <w:pStyle w:val="SntesisAnaltica"/>
      </w:pPr>
    </w:p>
    <w:p w:rsidR="008107C7" w:rsidRDefault="008107C7" w:rsidP="008107C7">
      <w:pPr>
        <w:pStyle w:val="Extracto"/>
      </w:pPr>
      <w:r>
        <w:t>1.</w:t>
      </w:r>
      <w:r>
        <w:tab/>
        <w:t>Hemos afirmado con reiteración que compete a este Tribunal «el examen de los motivos y argumentos en que se funda la decisión judicial impugnada con el fin de comprobar si son razonables desde una perspectiva constitucional, pudiéndose corregir en esta vía de amparo cualquier interpretación que parta de un error patente con relevancia constitucional y que produzca efectos negativos en la esfera del ciudadano, a menos que sean imputables a la negligencia de la parte, pues, de ser así, se estaría causando una lesión del derecho a la tutela judicial efectiva» (por todas, SSTC 107/1994, 5/1995, 99/1995, 117/1996 y 160/1996). [F.J. 2]</w:t>
      </w:r>
    </w:p>
    <w:p w:rsidR="008107C7" w:rsidRDefault="008107C7" w:rsidP="008107C7">
      <w:pPr>
        <w:pStyle w:val="Extracto"/>
      </w:pPr>
    </w:p>
    <w:p w:rsidR="008107C7" w:rsidRDefault="008107C7" w:rsidP="008107C7">
      <w:pPr>
        <w:pStyle w:val="Extracto"/>
      </w:pPr>
      <w:r>
        <w:t>2.</w:t>
      </w:r>
      <w:r>
        <w:tab/>
        <w:t>Para determinar la relevancia constitucional del error patente es preciso tener en cuenta, según doctrina también reiterada, que «los errores contenidos en la fundamentación jurídica de las resoluciones judiciales sólo tienen trascendencia constitucional en tanto sean determinantes de la decisión adoptada, esto es, cuando constituyan el soporte único o básico de la resolución, de modo que, constatada su existencia, la fundamentación jurídica pierda el sentido y alcance que la justificaba y no pueda conocerse cuál hubiese sido el sentido de la resolución de no haberse incurrido en el mismo» (STC 124/1993 y, en el mismo o análogo sentido, entre los pronunciamientos más recientes, SSTC 107/1994, 203/1994, 5/1995, 13/1995, 117/1996, 160/1996 y 175/1996). [F.J. 2]</w:t>
      </w:r>
    </w:p>
    <w:p w:rsidR="008107C7" w:rsidRDefault="008107C7" w:rsidP="008107C7">
      <w:pPr>
        <w:pStyle w:val="Extracto"/>
      </w:pPr>
    </w:p>
    <w:p w:rsidR="008107C7" w:rsidRDefault="008107C7" w:rsidP="008107C7">
      <w:pPr>
        <w:pStyle w:val="Extracto"/>
      </w:pPr>
      <w:r>
        <w:t>3.</w:t>
      </w:r>
      <w:r>
        <w:tab/>
        <w:t>La aplicación de la anterior doctrina al caso que ocupa nuestra atención ha de llevar a la desestimación del presente recurso de amparo, pues el actor, quien tiene la carga de acreditar los hechos constitutivos de su pretensión de amparo, ni siquiera ha alegado la totalidad de los hechos que permitan estimar la plena concurrencia de nuestra doctrina sobre la violación del derecho a la tutela en su manifestación de haber incurrido la Sentencia recurrida en «error patente». El recurrente en amparo, en suma, se ha limitado a denunciarnos un «error de hecho y de derecho» en la resolución impugnada, olvidando que ni este Tribunal es una tercera instancia ni el recurso de amparo es un recurso de casación que nos faculte para revisar los vicios «in iudicando» en que hayan podido incurrir los Tribunales ordinarios. [F.J. 3]</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lastRenderedPageBreak/>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14/95, interpuesto por don Félix Medina Castaño, representado por el Procurador don Luciano Rosch Nadal y bajo la dirección del Letrado don Luis Fernández Vilar, contra la Sentencia de la Sección Segunda de la Audiencia Provincial de Sevilla de 28 de septiembre de 1994, dictada en el recurso de apelación núm. 1.176/94, interpuesto contra la Sentencia del Juzgado de Primera Instancia núm. 9 de Sevilla de 2 de diciembre de 1993, recaída en autos del juicio de cognición núm. 218/92, sobre reclamación de cantidad. Ha intervenido el Ministerio Fiscal y ha sido parte la entidad MIROHE, S.L., representada por el Procurador don Santos de Gandarillas Carmona y asistida por el Letrado don José Cubiles Ramiro. Ha sido ponente el Magistrado don Vicente Gimeno Sendra,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presentado en el Juzgado de Guardia de Madrid el día 2 de enero de 1995, y registrado ante este Tribunal el siguiente 3, el Procurador de los Tribunales don Luciano Rosch Nadal, en nombre y representación de don Félix Medina Castaño, formuló demanda de amparo constitucional contra la Sentencia de la Sección Segunda de la Audiencia Provincial de Sevilla de 28 de septiembre de 1994, recaída en el recurso núm. 1.176/94, en cuya virtud fueron desestimados los recursos de apelación entablados por la entidad MIHORE, S.L., y don Félix Medina Castaño frente a la del Juzgado de Primera Instancia núm. 9 de los de Sevilla de 2 de diciembre de 1993, resolutoria de la demanda, tramitada en autos de juicio de cognición núm. 218/92, que, con estimación parcial de aquélla, condenó a los demandados, Comunidad de Propietarios de Garajes, planta sótano, del número 21 de la Calle Montemayor de Sevilla, MIROHE, S.L. y DIA, S.A., al abono, con carácter solidario, de la cantidad especificada en el fallo, desestimando las demás pretensiones deducidas por el actor.</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hechos de que trae causa la demanda de amparo relevantes para la resolución del caso son, en síntesis, los siguientes: </w:t>
      </w:r>
    </w:p>
    <w:p w:rsidR="008107C7" w:rsidRDefault="008107C7" w:rsidP="008107C7">
      <w:pPr>
        <w:pStyle w:val="TextoNormal"/>
      </w:pPr>
      <w:r>
        <w:t xml:space="preserve">a) Como consecuencia de las obras de instalación de unas conducciones en el techo del sótano del edificio sito en el núm. 21 de la calle Jorge de Montemayor de Sevilla, el vehículo de don Félix Medina Castaño, aparcado en la plaza de garaje núm. 28 de la referida planta, sufrió una serie de desperfectos, causa de la demanda de reclamación de cantidad por el importe a que la reparación de aquéllos se contraía instada por el hoy recurrente ante el </w:t>
      </w:r>
      <w:r>
        <w:lastRenderedPageBreak/>
        <w:t xml:space="preserve">Juzgado de Primera Instancia núm. 9 de los de Sevilla. En el suplico de la demanda el interesado, propietario del piso designado con la letra C en la tercera planta del referido edificio, manifestaba que "en cuanto dueño en pleno dominio de la plaza de aparcamiento señalada con el núm. 28 sita en la planta sótano de garages y cuartos trasteros de la casa calle Jorge de Montemayor, 21, en ésta, tiene acción para que de la misma se eliminen las instalaciones, tuberías y aparatos reflejados en la documentación aportada y se reparen los desperfectos que ello haya causado, previa declaración de la carencia de toda clase de títulos y derechos para imponerle unas y otros, hasta restituir aquélla en su antigua estructura". Y, como consecuencia de lo anterior, impetraba que por los demandados se efectuaran a su cargo "las obras precisas, necesarias o convenientes para conseguir la retirada de lo indebidamente colocado y restituir la situación inicial de la plaza en cuestión", amén de sufragar los gastos originados por la reparación del vehículo siniestrado. </w:t>
      </w:r>
    </w:p>
    <w:p w:rsidR="008107C7" w:rsidRDefault="008107C7" w:rsidP="008107C7">
      <w:pPr>
        <w:pStyle w:val="TextoNormal"/>
      </w:pPr>
      <w:r>
        <w:t xml:space="preserve">b) La Sentencia del Juzgado de Primera Instancia núm. 9 de Sevilla consignó en su cuarto fundamento de Derecho que "no puede asegurarse de los autos, que el actor tenga el pleno dominio de la plaza de aparcamiento núm. 28 del edificio, con uso total del mismo a favor de otro comunero, sin que ello impida que se deban abonar los daños y perjuicios causados o que se causen en un futuro". De resultas del meritado pronunciamiento, la Sentencia (fundamento de Derecho quinto) desestimó la pretensión de la demanda en el concreto extremo a que se contraía el segundo apartado del suplico, esto es, en lo atinente a la retirada de las conducciones cuya instalación estaba en la base de la reclamación por daños formulada, y consiguiente declaración del derecho del actor a oponerse a la colocación de cualesquiera elementos en el espacio afectado por la plaza de aparcamiento de que se trataba, estimando, por el contrario, la petición de indemnización solicitada. </w:t>
      </w:r>
    </w:p>
    <w:p w:rsidR="008107C7" w:rsidRDefault="008107C7" w:rsidP="008107C7">
      <w:pPr>
        <w:pStyle w:val="TextoNormal"/>
      </w:pPr>
      <w:r>
        <w:t xml:space="preserve">c) La Sentencia de la Sección Segunda de la Audiencia Provincial de Sevilla, de 28 de septiembre de 1994, recaída en el recurso núm. 1.176/94, conoció de las apelaciones entabladas por MIROHE, S.L., condenada en la instancia, y por el demandante de amparo, actor en aquélla, desestimando los recursos interpuestos y confirmando la del Juzgado de Primera Instancia núm. 9 de Sevilla. En concreto, y por lo que aquí interesa, importa reproducir, en cuanto basamento de la desestimación de la apelación deducida por el hoy recurrente, el contenido de su fundamento de Derecho cuarto: </w:t>
      </w:r>
    </w:p>
    <w:p w:rsidR="008107C7" w:rsidRDefault="008107C7" w:rsidP="008107C7">
      <w:pPr>
        <w:pStyle w:val="TextoNormal"/>
      </w:pPr>
      <w:r>
        <w:t>"Respecto a los pedimentos del actor y también ahora recurrente, tampoco pueden estimarse toda vez que queda acreditado que es dueño en pleno dominio, por haberlo adquirido mediante escritura pública de compraventa otorgada con fecha 19 de octubre de 1990, de una treinta y una ava parte indivisa de la finca descrita en la escritura como local en planta sótano, sin que en ella se haga referencia a la plaza núm. 28 a la que alude el actor ni a su carácter de titular privativo, referencia que tampoco se contiene en los Estatutos y Normas de Régimen Interior de la Comunidad de Propietarios de Garages -folios 66 a 69- a los que la escritura de compraventa se remitía para regir el funcionamiento de la planta sótano, por lo que no puede declararse el pleno dominio del actor sobre la concreta plaza de garage que señala, ni tampoco y derivado de lo anterior su derecho a exigir la eliminación de las tuberías y aparatos que produjeron en su instalación los daños que se reclaman".</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El recurrente en amparo, que articula su queja en virtud del art. 44 LOTC, imputa a las resoluciones judiciales recurridas vulneración del art. 24.1 C.E., por mor del error patente en que, se argumenta, han incurrido aquéllas, al no haber apreciado correctamente la situación jurídico-real de la plaza de aparcamiento núm. 28 de la planta sótano del edificio sito en el núm. 21 de la calle Jorge de Montemayor de Sevilla. En concreto, el denunciado </w:t>
      </w:r>
      <w:r>
        <w:lastRenderedPageBreak/>
        <w:t xml:space="preserve">error, que se dice de hecho y de Derecho, estriba en el no reconocimiento en favor del interesado de la titularidad, en pleno dominio y con carácter privativo, de la mencionada plaza de aparcamiento, titularidad cualitativamente diferente de la mera cuota indivisa (una participación indivisa de una treinta y una ava parte de la planta sótano destinada a aparcamientos y trasteros) a que se contrae el reconocimiento tanto del Juzgado de Primera Instancia como de la Audiencia Provincial, y que se erige en basamento de la desestimación de su pretensión de que fueran retiradas las conducciones de cuya instalación deriva la producción de los daños que se sitúan en el origen de la litis. </w:t>
      </w:r>
    </w:p>
    <w:p w:rsidR="008107C7" w:rsidRDefault="008107C7" w:rsidP="008107C7">
      <w:pPr>
        <w:pStyle w:val="TextoNormal"/>
      </w:pPr>
      <w:r>
        <w:t xml:space="preserve">La fundamentación del invocado error patente se apoya, primariamente, en los términos en que aparecen redactados tanto el contrato privado de compraventa, causa jurídica de la específica titularidad dominical recayente sobre la planta sótano del edificio en cuestión, y en relación con el cual el interesado ostentaba un derecho de propiedad sobre el piso ubicado en su tercera planta y designado con la letra C, como en la pertinente escritura pública. Así, en aquél, concluido en 17 de octubre de 1989 entre la entidad MIROHE, S.L., en su calidad de vendedora, y don Félix Medina Castaño, como comprador, se consigna en el apartado I del expositivo que el objeto de la compraventa viene configurado, en el edificio antes mencionado, por "piso vivienda letra C en planta tercera con 120´06 metros cuadrados construidos y plaza de garaje número 28", en tanto que la escritura otorgada en 18 de octubre de 1990 expresa, en el apartado A) del clausulado de otorgamiento, por lo que a la titularidad del garaje se refiere, que el contrato se extiende a "una participación indivisa de UNA TREINTA Y UNA AVA PARTE INDIVISA" de la finca descrita bajo la letra a) de la exposición, referente, justamente, al local definido como planta de sótano, y especificándose en el apartado E) de dicho clausulado que la mencionada participación indivisa "queda configurada con la plaza de aparcamiento número 28". </w:t>
      </w:r>
    </w:p>
    <w:p w:rsidR="008107C7" w:rsidRDefault="008107C7" w:rsidP="008107C7">
      <w:pPr>
        <w:pStyle w:val="TextoNormal"/>
      </w:pPr>
      <w:r>
        <w:t>Precisamente, la redacción transcrita permite al recurrente, trayendo a colación los criterios que el Código Civil consagra respecto de la interpretación de los contratos (arts. 1.281, 1.282 y 1.285) y el valor probatorio de los documentos públicos (arts. 1.216 y 1.218), concluir en la pertinencia de la atribución, con carácter privativo, de la propiedad sobre el concreto espacio definido por la plaza de aparcamiento núm. 28, postulando, en este sentido, que el no reconocimiento de aquella titularidad, con el concreto alcance por él pretendido, implica, en puridad, una privación de su derecho de propiedad, razón determinante, por tanto, de la conculcación del derecho de tutela judicial efectiva, dado el patente y evidente error (en la caracterización que este vicio ofrece en la jurisprudencia constitucional: SSTC 219/1993, 207/1994) en que han incurrido las resoluciones impugnadas. En consecuencia, impetra la anulación de aquéllas y la declaración de que la demanda en su momento formulada debió ser íntegramente estimada.</w:t>
      </w:r>
    </w:p>
    <w:p w:rsidR="008107C7" w:rsidRDefault="008107C7" w:rsidP="008107C7">
      <w:pPr>
        <w:pStyle w:val="TextoNormal"/>
      </w:pPr>
    </w:p>
    <w:p w:rsidR="008107C7" w:rsidRDefault="008107C7" w:rsidP="008107C7">
      <w:pPr>
        <w:pStyle w:val="TextoNormal"/>
      </w:pPr>
      <w:r w:rsidRPr="008107C7">
        <w:rPr>
          <w:rStyle w:val="NumeroAFNegritaCaracter"/>
        </w:rPr>
        <w:t>4</w:t>
      </w:r>
      <w:r>
        <w:t>. Mediante providencia de 24 de julio de 1995 la Sección Segunda acordó, de conformidad con el art. 50.3 LOTC, otorgar un plazo común de diez días al Ministerio Fiscal y al solicitante de amparo a fin de que en dicho término alegaran lo que estimasen pertinente en relación con la eventual concurrencia del motivo de inadmisión tipificado en el art. 50.1 c) LOTC, esto es, la carencia de contenido constitucional de la demanda.</w:t>
      </w:r>
    </w:p>
    <w:p w:rsidR="008107C7" w:rsidRDefault="008107C7" w:rsidP="008107C7">
      <w:pPr>
        <w:pStyle w:val="TextoNormal"/>
      </w:pPr>
    </w:p>
    <w:p w:rsidR="008107C7" w:rsidRDefault="008107C7" w:rsidP="008107C7">
      <w:pPr>
        <w:pStyle w:val="TextoNormal"/>
      </w:pPr>
      <w:r w:rsidRPr="008107C7">
        <w:rPr>
          <w:rStyle w:val="NumeroAFNegritaCaracter"/>
        </w:rPr>
        <w:t>5</w:t>
      </w:r>
      <w:r>
        <w:t xml:space="preserve">. Por escrito registrado ante este Tribunal el día 4 de septiembre de 1995 el recurrente en amparo formaliza sus alegaciones en el precedente trámite, reiterando los argumentos (ahora con apoyo explícito en el valor probatorio en el proceso de los documentos públicos ex arts. 596 y 597 de la Ley de Enjuiciamiento Civil) que, en su inteligencia, abonan la viabilidad de su pretensión, y, por ende, en este momento, la admisión de la demanda de </w:t>
      </w:r>
      <w:r>
        <w:lastRenderedPageBreak/>
        <w:t>amparo. Por su parte, el Fiscal interesa, mediante escrito de 11 de septiembre de 1995, la admisión del recurso interpuesto por no carecer de contenido constitucional.</w:t>
      </w:r>
    </w:p>
    <w:p w:rsidR="008107C7" w:rsidRDefault="008107C7" w:rsidP="008107C7">
      <w:pPr>
        <w:pStyle w:val="TextoNormal"/>
      </w:pPr>
    </w:p>
    <w:p w:rsidR="008107C7" w:rsidRDefault="008107C7" w:rsidP="008107C7">
      <w:pPr>
        <w:pStyle w:val="TextoNormal"/>
      </w:pPr>
      <w:r w:rsidRPr="008107C7">
        <w:rPr>
          <w:rStyle w:val="NumeroAFNegritaCaracter"/>
        </w:rPr>
        <w:t>6</w:t>
      </w:r>
      <w:r>
        <w:t>. Mediante providencia de 22 de septiembre de 1995 la Sección Segunda acordó admitir a trámite el presente recurso de amparo y, de conformidad con lo prevenido en el art. 51 LOTC, requerir a la Sección Segunda de la Audiencia Provincial de Sevilla y al Juzgado de Primera Instancia núm. 9 de la misma ciudad para que, en el término de diez días, remitieran testimonio, respectivamente, del rollo de apelación núm. 1.176/94 y de los autos del juicio de cognición núm. 218/92, interesando asimismo el emplazamiento de quienes fueron parte en el proceso judicial antecedente, a fin de que en el plazo de diez días pudieran comparecer en el proceso constitucional.</w:t>
      </w:r>
    </w:p>
    <w:p w:rsidR="008107C7" w:rsidRDefault="008107C7" w:rsidP="008107C7">
      <w:pPr>
        <w:pStyle w:val="TextoNormal"/>
      </w:pPr>
    </w:p>
    <w:p w:rsidR="008107C7" w:rsidRDefault="008107C7" w:rsidP="008107C7">
      <w:pPr>
        <w:pStyle w:val="TextoNormal"/>
      </w:pPr>
      <w:r w:rsidRPr="008107C7">
        <w:rPr>
          <w:rStyle w:val="NumeroAFNegritaCaracter"/>
        </w:rPr>
        <w:t>7</w:t>
      </w:r>
      <w:r>
        <w:t>. Mediante providencia de la Sección Segunda de 29 de enero de 1996 se tienen por recibidos los testimonios de las actuaciones remitidas por la Audiencia Provincial de Sevilla y el Juzgado de Primera Instancia núm. 9 de dicha ciudad, y escrito del Procurador don Santos de Gandarillas Carmona, a quien se tiene por personado y parte en nombre y representación de la entidad MIROHE, S.L., acordándose, a tenor de lo dispuesto en el art. 52 LOTC, dar vista de todas las actuaciones a los comparecidos en amparo y al Ministerio Fiscal a fin de que en el término común de veinte días pudieran presentar las alegaciones que estimasen pertinentes.</w:t>
      </w:r>
    </w:p>
    <w:p w:rsidR="008107C7" w:rsidRDefault="008107C7" w:rsidP="008107C7">
      <w:pPr>
        <w:pStyle w:val="TextoNormal"/>
      </w:pPr>
    </w:p>
    <w:p w:rsidR="008107C7" w:rsidRDefault="008107C7" w:rsidP="008107C7">
      <w:pPr>
        <w:pStyle w:val="TextoNormal"/>
      </w:pPr>
      <w:r w:rsidRPr="008107C7">
        <w:rPr>
          <w:rStyle w:val="NumeroAFNegritaCaracter"/>
        </w:rPr>
        <w:t>8</w:t>
      </w:r>
      <w:r>
        <w:t>. MIROHE, S.L., comparecida en el proceso de amparo como coadyuvante, calidad que trae causa de su carácter de demandada en la instancia y recurrente en la ulterior apelación, formula sus alegaciones mediante escrito registrado ante este Tribunal en 7 de febrero de 1996. La articulación de su pretensión, en cuya virtud interesa la desestimación de la demanda, aparece vertebrada sobre la refutación de la incidencia que en el derecho consagrado en el art. 24.1 C.E. despliega la no toma en consideración por la Sentencia de la Audiencia Provincial del apartado del clausulado de otorgamiento de la correspondiente escritura pública de compraventa a cuyo tenor la participación indivisa del hoy demandante en la planta de sótano, destinada a garaje y trasteros, "queda configurada con la plaza de aparcamiento número veintiocho". A la preterición de la transcrita precisión no puede, en la inteligencia de la entidad cuyas alegaciones ahora se exponen, anudarse el reproche de transgresión del indicado precepto constitucional por mor del error patente imputado a la resolución recurrida, en la medida en que ésta procede a desestimar la pretensión del actor, localizada en el reconocimiento de su derecho a que fueran retiradas las conducciones al efecto instaladas, en el carácter proindiviso de la titularidad recayente sobre la planta de sótano, conclusión que, según se argumenta, no queda enervada por la concreta referencia a la plaza de aparcamiento número 28, pues la afirmación de la titularidad dominical del hoy recurrente, con carácter privativo, sobre el concreto espacio definido por aquélla, entrañaría una insalvable contradicción con el postulado régimen de proindiviso del sótano en cuestión.</w:t>
      </w:r>
    </w:p>
    <w:p w:rsidR="008107C7" w:rsidRDefault="008107C7" w:rsidP="008107C7">
      <w:pPr>
        <w:pStyle w:val="TextoNormal"/>
      </w:pPr>
    </w:p>
    <w:p w:rsidR="008107C7" w:rsidRDefault="008107C7" w:rsidP="008107C7">
      <w:pPr>
        <w:pStyle w:val="TextoNormal"/>
      </w:pPr>
      <w:r w:rsidRPr="008107C7">
        <w:rPr>
          <w:rStyle w:val="NumeroAFNegritaCaracter"/>
        </w:rPr>
        <w:t>9</w:t>
      </w:r>
      <w:r>
        <w:t xml:space="preserve">. El recurrente presenta sus alegaciones en 13 de febrero de 1996, reiterando la petición contenida en su escrito de demanda, e insistiendo en el error cometido por los órganos judiciales al no valorar debidamente, de conformidad con las reglas establecidas en la Ley de Enjuiciamiento Civil (arts. 596 y 597), el alcance de la escritura pública de compraventa, amén de los propios términos del correspondiente contrato privado y el reconocimiento por la entidad MIROHE, S.L. de la titularidad, en pleno dominio y con carácter privativo, del </w:t>
      </w:r>
      <w:r>
        <w:lastRenderedPageBreak/>
        <w:t>interesado sobre la plaza de aparcamiento controvertida, titularidad que se configuraba como basamento de la pretensión desestimada en vía judicial.</w:t>
      </w:r>
    </w:p>
    <w:p w:rsidR="008107C7" w:rsidRDefault="008107C7" w:rsidP="008107C7">
      <w:pPr>
        <w:pStyle w:val="TextoNormal"/>
      </w:pPr>
    </w:p>
    <w:p w:rsidR="008107C7" w:rsidRDefault="008107C7" w:rsidP="008107C7">
      <w:pPr>
        <w:pStyle w:val="TextoNormal"/>
      </w:pPr>
      <w:r w:rsidRPr="008107C7">
        <w:rPr>
          <w:rStyle w:val="NumeroAFNegritaCaracter"/>
        </w:rPr>
        <w:t>10</w:t>
      </w:r>
      <w:r>
        <w:t xml:space="preserve">. El Fiscal vierte sus alegaciones en el presente trámite por escrito de 27 de febrero de 1996, interesando el otorgamiento del amparo solicitado y, en su consecuencia, la anulación de la resolución judicial recurrida en el extremo atinente a la desestimación de la pretensión del hoy demandante de que fueran retiradas las conducciones causantes de los daños producidos en su vehículo, a fin de que, con reconocimiento de la titularidad dominical, con carácter privativo, del interesado sobre la plaza de aparcamiento número 28, sea dictado nuevo pronunciamiento acerca del referido pedimento. </w:t>
      </w:r>
    </w:p>
    <w:p w:rsidR="008107C7" w:rsidRDefault="008107C7" w:rsidP="008107C7">
      <w:pPr>
        <w:pStyle w:val="TextoNormal"/>
      </w:pPr>
      <w:r>
        <w:t>La argumentación ensayada a efectos de sustentar la aludida pretensión es canalizada a través de la doctrina del error patente, en el sentido diseñado por la jurisprudencia de este Tribunal (por todas, STC 99/1995). En este sentido, procede el representante del Ministerio Público a verificar si en el presente concurren las notas de evidencia y relevancia que, según la doctrina constitucional, se erigen en parámetros rectores del vicio de inconstitucionalidad ex art. 24.1 C.E. Así, y luego de constatar que, de acuerdo con los elementos obrantes en autos (contrato privado de compraventa, escritura pública, reconocimiento, en el trámite procesal de absolución de posiciones, por parte del vendedor, la entidad MIROHE, S.L., inscripción registral), la referida plaza de aparcamiento número 28 pertenecía en propiedad y a título privativo al recurrente, infiere, de los términos en que aparecen redactados tanto el fundamento jurídico cuarto de la Sentencia del Juzgado como el recogido bajo el mismo ordinal de la de la Audiencia Provincial, que en el dictado de los correspondientes fallos desestimatorios ha sido determinante la no consideración de propietario, a título individual y no ya en proindiviso, del recurrente sobre el espacio en que se localiza la controvertida plaza de aparcamiento. En suma, por tanto, es el expresado error la causa a que se contrae la vulneración del art. 24.1 C.E., que, en consecuencia, ha de ser corregido mediante el otorgamiento del amparo impetrado y la retroacción de actuaciones con el alcance arriba indicado.</w:t>
      </w:r>
    </w:p>
    <w:p w:rsidR="008107C7" w:rsidRDefault="008107C7" w:rsidP="008107C7">
      <w:pPr>
        <w:pStyle w:val="TextoNormal"/>
      </w:pPr>
    </w:p>
    <w:p w:rsidR="008107C7" w:rsidRDefault="008107C7" w:rsidP="008107C7">
      <w:pPr>
        <w:pStyle w:val="TextoNormal"/>
      </w:pPr>
      <w:r w:rsidRPr="008107C7">
        <w:rPr>
          <w:rStyle w:val="NumeroAFNegritaCaracter"/>
        </w:rPr>
        <w:t>11</w:t>
      </w:r>
      <w:r>
        <w:t>. Por providencia de 17 de marzo de 1997 se acordó señalar el día siguiente día 18 de marzo para deliberación y votación de la presente Sentencia.</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El presente recurso trae causa de una demanda civil entablada por el hoy demandante de amparo a raiz de la realización de unas conducciones de desagüe de un local de negocios en el techo de una plaza de garaje. El hoy recurrente en amparo demandó, entre otros, a la entidad constructora de la vivienda y propietaria del local, comparecida en este proceso, solicitando, con reconocimiento de su condición de dueño en pleno dominio de la plaza de garaje, la retirada de las conducciones instaladas y la devolución de la plaza a su estado anterior, así como el resarcimiento de los gastos ocasionados por la reparación de los desperfectos sufridos en su vehículo a causa de las obras. Dicha demanda fue objeto de estimación por la Sentencia recaída en primera instancia, confirmada por la dictada en apelación, en lo relativo a la pretensión de resarcimiento de los desperfectos sufridos por el vehículo, mas no en cuanto a la pretensión de retirada de las conducciones, por entender, tanto el Juzgado de Primera Instancia como la Audiencia Provincial, que no había quedado probada la condición del actor de propietario de la plaza.</w:t>
      </w:r>
    </w:p>
    <w:p w:rsidR="008107C7" w:rsidRDefault="008107C7" w:rsidP="008107C7">
      <w:pPr>
        <w:pStyle w:val="TextoNormal"/>
      </w:pPr>
      <w:r>
        <w:lastRenderedPageBreak/>
        <w:t>El actor, hoy demandante de amparo, impugna, pues, en el presente recurso dichas Sentencias en cuanto a las pretensiones desestimadas, alegando que han vulnerado su derecho a la tutela judicial efectiva (art. 24.1 C.E.)  al incurrir en un error patente, cual es no haber reconocido su condición de dueño en pleno dominio, que resultaría del material obrante en autos y, en particular, de la escritura de compraventa, y solicitando su anulación a este respecto y la estimación completa de su demanda inicial.</w:t>
      </w:r>
    </w:p>
    <w:p w:rsidR="008107C7" w:rsidRDefault="008107C7" w:rsidP="008107C7">
      <w:pPr>
        <w:pStyle w:val="TextoNormal"/>
      </w:pPr>
    </w:p>
    <w:p w:rsidR="008107C7" w:rsidRDefault="008107C7" w:rsidP="008107C7">
      <w:pPr>
        <w:pStyle w:val="TextoNormal"/>
      </w:pPr>
      <w:r w:rsidRPr="008107C7">
        <w:rPr>
          <w:rStyle w:val="NumeroAFNegritaCaracter"/>
        </w:rPr>
        <w:t>2</w:t>
      </w:r>
      <w:r>
        <w:t>. Es bien sabido, por ser doctrina reiterada de este Tribunal, que el derecho fundamental a la tutela judicial efectiva (art. 24.1 C.E.)  no garantiza el acierto mismo de las resoluciones judiciales en la valoración de los hechos, ni en la selección, interpretación y aplicación de las normas a la decisión del caso, cuestiones éstas que, salvo que se traduzcan en la lesión de otro derecho fundamental distinto, no trascienden el plano de la legalidad ordinaria ni de la competencia de los Jueces y Tribunales (art. 117.3 C.E.), y que no pueden ser revisadas en vía de amparo, que no constituye una nueva instancia ni una casación civil.</w:t>
      </w:r>
    </w:p>
    <w:p w:rsidR="008107C7" w:rsidRDefault="008107C7" w:rsidP="008107C7">
      <w:pPr>
        <w:pStyle w:val="TextoNormal"/>
      </w:pPr>
      <w:r>
        <w:t>Por el contrario, lo único que garantiza este derecho fundamental es la obtención de una respuesta, en principio, sobre el fondo de las pretensiones deducidas ante los Jueces y Tribunales, que esté motivada y fundada en Derecho, en el sentido de que "venga apoyada en razones que permitan conocer cuáles han sido los criterios jurídicos esenciales fundamentadores de la decisión" (STC 14/1991), y que sea razonable, en el sentido de que no resulte arbitraria o manifiestamente infundada, por ejemplo, como se alega en el caso presente, por estar basada en un error patente y relevante para la decisión del caso (por todas, SSTC 90/1990, 55/1993, 180/1993, 28/1994, 107/1994, 203/1994 y 301/1994)</w:t>
      </w:r>
    </w:p>
    <w:p w:rsidR="008107C7" w:rsidRDefault="008107C7" w:rsidP="008107C7">
      <w:pPr>
        <w:pStyle w:val="TextoNormal"/>
      </w:pPr>
      <w:r>
        <w:t>Sólo en este sentido, hemos podido afirmar, también con reiteración, que compete a este Tribunal "el examen de los motivos y argumentos en que se funda la decisión judicial impugnada con el fin de comprobar si son razonables desde una perspectiva constitucional, pudiéndose corregir en esta vía de amparo cualquier interpretación que parta de un error patente con relevancia constitucional y que produzca efectos negativos en la esfera del ciudadano, a menos que sean imputables a la negligencia de la parte, pues, de ser así, se estaría causando una lesión del derecho a la tutela judicial efectiva" (por todas, SSTC 107/1994, 5/1995, 99/1995, 117/1996 y 160/1996)</w:t>
      </w:r>
    </w:p>
    <w:p w:rsidR="008107C7" w:rsidRDefault="008107C7" w:rsidP="008107C7">
      <w:pPr>
        <w:pStyle w:val="TextoNormal"/>
      </w:pPr>
      <w:r>
        <w:t>Finalmente, y para determinar la relevancia constitucional del error patente, es preciso tener en cuenta, según doctrina también reiterada, que "los errores contenidos en la fundamentación jurídica de las resoluciones judiciales sólo tienen trascendencia constitucional en tanto sean determinantes de la decisión adoptada, esto es, cuando constituyan el soporte único o básico de la resolución, de modo que, constatada su existencia, la fundamentación jurídica pierda el sentido y alcance que la justificaba y no pueda conocerse cuál hubiese sido el sentido de la resolución de no haberse incurrido en el mismo" (STC 124/1993, fundamento jurídico 3º; y, en el mismo o análogo sentido, entre los pronunciamientos más recientes, SSTC 107/1994, 203/1994, 5/1995, 13/1995, 117/1996, 160/1996 y 175/1996)</w:t>
      </w:r>
    </w:p>
    <w:p w:rsidR="008107C7" w:rsidRDefault="008107C7" w:rsidP="008107C7">
      <w:pPr>
        <w:pStyle w:val="TextoNormal"/>
      </w:pPr>
    </w:p>
    <w:p w:rsidR="008107C7" w:rsidRDefault="008107C7" w:rsidP="008107C7">
      <w:pPr>
        <w:pStyle w:val="TextoNormal"/>
      </w:pPr>
      <w:r w:rsidRPr="008107C7">
        <w:rPr>
          <w:rStyle w:val="NumeroAFNegritaCaracter"/>
        </w:rPr>
        <w:t>3</w:t>
      </w:r>
      <w:r>
        <w:t>. La aplicación de la anterior doctrina al caso que ocupa nuestra atención ha de llevar a la desestimación del presente recurso de amparo, pues el actor, quien tiene la carga de acreditar los hechos constitutivos de su pretensión de amparo, ni siquiera ha alegado la totalidad de los hechos que permitan estimar la plena concurrencia de nuestra doctrina sobre la violación del derecho a la tutela en su manifestación de haber incurrido la sentencia recurrida en "error patente".</w:t>
      </w:r>
    </w:p>
    <w:p w:rsidR="008107C7" w:rsidRDefault="008107C7" w:rsidP="008107C7">
      <w:pPr>
        <w:pStyle w:val="TextoNormal"/>
      </w:pPr>
      <w:r>
        <w:t xml:space="preserve">En efecto, de los términos de la demanda y de la Sentencia impugnada se infiere que, aun cuando la Sentencia de la Audiencia Provincial impugnada pudiera haber incurrido en algún </w:t>
      </w:r>
      <w:r>
        <w:lastRenderedPageBreak/>
        <w:t>error, no ha vulnerado derecho fundamental alguno. Asimismo, aun admitiendo (a los efectos meramente dialécticos) que el recurrente pudiera ser propietario de la plaza de garaje, de haber declarado la Sentencia esta titularidad dominical, es claro que, de dicha declaración, no se habría inferido necesariamente que le asista su supuesto derecho a que se eliminen de ella las instalaciones, tuberías y demás aparatos que pudieran ocuparla.</w:t>
      </w:r>
    </w:p>
    <w:p w:rsidR="008107C7" w:rsidRDefault="008107C7" w:rsidP="008107C7">
      <w:pPr>
        <w:pStyle w:val="TextoNormal"/>
      </w:pPr>
      <w:r>
        <w:t>El recurrente en amparo, en suma, se ha limitado a denunciarnos un "error de hecho y de derecho" en la resolución impugnada, olvidando que, ni este Tribunal es una tercera instancia, ni el recurso de amparo es un recurso de casación que nos faculte para revisar los vicios "in iudicando" en que hayan podido incurrir los Tribunales ordinarios, lo que ha de motivar la desestimación de su recurso constitucional de amparo.</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Denegar el presente amparo.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dieciocho de marzo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62" w:name="SENTENCIA_1997_59"/>
      <w:r>
        <w:lastRenderedPageBreak/>
        <w:t>SENTENCIA 59/1997, de 18 de marzo de 1997</w:t>
      </w:r>
    </w:p>
    <w:bookmarkEnd w:id="62"/>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92, de 17 de abril de 1997)</w:t>
      </w:r>
    </w:p>
    <w:p w:rsidR="008107C7" w:rsidRDefault="008107C7" w:rsidP="008107C7">
      <w:pPr>
        <w:pStyle w:val="TtuloBOE"/>
      </w:pPr>
    </w:p>
    <w:p w:rsidR="008107C7" w:rsidRDefault="008107C7" w:rsidP="008107C7">
      <w:pPr>
        <w:pStyle w:val="SntesisDescriptiva"/>
      </w:pPr>
      <w:r>
        <w:t>ECLI:ES:TC:1997:59</w:t>
      </w:r>
    </w:p>
    <w:p w:rsidR="008107C7" w:rsidRDefault="008107C7" w:rsidP="008107C7">
      <w:pPr>
        <w:pStyle w:val="SntesisDescriptiva"/>
      </w:pPr>
    </w:p>
    <w:p w:rsidR="008107C7" w:rsidRDefault="008107C7" w:rsidP="008107C7">
      <w:pPr>
        <w:pStyle w:val="SntesisDescriptiva"/>
      </w:pPr>
      <w:r>
        <w:t>Recurso de amparo 2.421/1995. Contra Sentencia de la Audiencia Provincial de Córdoba dictada en apelación en procedimiento de juicio de faltas seguido ante el Juzgado de Instrucción núm. 2 de Pozoblanco (Córdoba).</w:t>
      </w:r>
    </w:p>
    <w:p w:rsidR="008107C7" w:rsidRDefault="008107C7" w:rsidP="008107C7">
      <w:pPr>
        <w:pStyle w:val="SntesisDescriptiva"/>
      </w:pPr>
    </w:p>
    <w:p w:rsidR="008107C7" w:rsidRDefault="008107C7" w:rsidP="008107C7">
      <w:pPr>
        <w:pStyle w:val="SntesisAnaltica"/>
      </w:pPr>
      <w:r>
        <w:t>Vulneración del derecho a la tutela judicial efectiva: incongruencia de la resolución judicial.</w:t>
      </w:r>
    </w:p>
    <w:p w:rsidR="008107C7" w:rsidRDefault="008107C7" w:rsidP="008107C7">
      <w:pPr>
        <w:pStyle w:val="SntesisAnaltica"/>
      </w:pPr>
    </w:p>
    <w:p w:rsidR="008107C7" w:rsidRDefault="008107C7" w:rsidP="008107C7">
      <w:pPr>
        <w:pStyle w:val="Extracto"/>
      </w:pPr>
      <w:r>
        <w:t>1.</w:t>
      </w:r>
      <w:r>
        <w:tab/>
        <w:t>En el caso que nos ocupa es manifiesto que la modificación peyorativa de la resolución obtenida en la instancia por la recurrente se produce como consecuencia de la pretensión impugnatoria de la otra parte y no deviene de su propio recurso (SSTC 116/1988 y 84/1995, entre otras). [F.J. 2]</w:t>
      </w:r>
    </w:p>
    <w:p w:rsidR="008107C7" w:rsidRDefault="008107C7" w:rsidP="008107C7">
      <w:pPr>
        <w:pStyle w:val="Extracto"/>
      </w:pPr>
    </w:p>
    <w:p w:rsidR="008107C7" w:rsidRDefault="008107C7" w:rsidP="008107C7">
      <w:pPr>
        <w:pStyle w:val="Extracto"/>
      </w:pPr>
      <w:r>
        <w:t>2.</w:t>
      </w:r>
      <w:r>
        <w:tab/>
        <w:t>En el uso razonable del arbitrio judicial se fija la cuantía de la indemnización en la instancia en la cantidad de 15.000.000 de pesetas, pero ello no impide que partiendo de esas mismas premisas y consideraciones se pueda llegar razonablemente a fijarla en 7.000.000, como ha hecho la Audiencia Provincial, siempre que hasta donde sea razonablemente posible el juzgador explique la razón de establecer una determinada cantidad en concepto indemnizatorio a fin de que sabiendo el proceso intelectual que ha conducido al mismo pueda ser objeto, en su caso, de impugnación con independencia del conocimiento a que tiene derecho la parte de saber las razones de una reducción económica tan importante cuando se aceptan sin condicionamiento alguno los hechos y los fundamentos jurídicos. No estamos, pues, ante un supuesto de motivación efectuado de manera sucinta y por remisión, sino de ausencia de motivación propiamente dicha, por lo que ha de estimarse el presente recurso, ya que en este caso, no se «revelan de manera suficiente, aunque sea implícita, las razones y discurso lógico que determinaron la decisión judicial» (STC 122/1994). [F.J. 4]</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lastRenderedPageBreak/>
        <w:t>SENTENCIA</w:t>
      </w:r>
    </w:p>
    <w:p w:rsidR="008107C7" w:rsidRDefault="008107C7" w:rsidP="008107C7">
      <w:pPr>
        <w:pStyle w:val="TextoNormalCentrado"/>
        <w:keepNext/>
      </w:pPr>
    </w:p>
    <w:p w:rsidR="008107C7" w:rsidRDefault="008107C7" w:rsidP="008107C7">
      <w:pPr>
        <w:pStyle w:val="TextoNormal"/>
      </w:pPr>
      <w:r>
        <w:t>En el recurso de amparo núm. 2.421/95, promovido por doña Manuela García Cámara, representada por el Procurador de los Tribunales don Isacio Calleja García, y asistida por el Letrado don Rafael Valverde de Diego contra la Sentencia de la Audiencia Provincial de Córdoba de 5 de junio de 1995, dictada en grado de apelación en el procedimiento de juicio de faltas núm 1/95, seguido ante el Juzgado de Instrucción núm.2 de Pozoblanco (Córdoba). Han intervenido, MAPFRE, Mutualidad de Seguros, representada por el Procurador de los Tribunales don Argimiro Vázquez Guillen y defendida por el Letrado don Juan Ignacio Pérez Iñiguez; y el Ministerio Fiscal. Ha sido ponente el Magistrado don Enrique Ruiz Vadillo,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Por escrito registrado en este Tribunal el 29 de junio de 1995, don Isacio Calleja García, Procurador de los Tribunales, en nombre y representación de doña Manuela García Cámara interpone recurso de amparo, contra la Sentencia, en grado de apelación dictada por la Audiencia Provincial de Córdoba, el día 5 de junio de 1995, en el procedimiento de juicio de faltas 1/95, seguido ante el Juzgado de Instrucción núm. 2 de Pozoblanco (Córdoba).</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hechos en los que se fundamenta la demanda son, sucintamente expuestos, los siguientes : </w:t>
      </w:r>
    </w:p>
    <w:p w:rsidR="008107C7" w:rsidRDefault="008107C7" w:rsidP="008107C7">
      <w:pPr>
        <w:pStyle w:val="TextoNormal"/>
      </w:pPr>
      <w:r>
        <w:t xml:space="preserve">A) Con fecha de 10 de marzo de 1995, por el Juzgado de Instrucción núm. 2 de Pozoblanco (Córdoba), se dictó Sentencia en el juicio de faltas núm. 1/95, seguido por la muerte en accidente de circulación de don Antonio Muñoz Reyes, contra don Mariano Peralbo Redondo, y la Compañía de Seguros Mapfre. </w:t>
      </w:r>
    </w:p>
    <w:p w:rsidR="008107C7" w:rsidRDefault="008107C7" w:rsidP="008107C7">
      <w:pPr>
        <w:pStyle w:val="TextoNormal"/>
      </w:pPr>
      <w:r>
        <w:t xml:space="preserve">B) El accidente se produjo como consecuencia del exceso de velocidad a la que circulaba el vehículo, en el que viajaba como ocupante la persona fallecida, al perder el conductor el control del vehículo que conducía. </w:t>
      </w:r>
    </w:p>
    <w:p w:rsidR="008107C7" w:rsidRDefault="008107C7" w:rsidP="008107C7">
      <w:pPr>
        <w:pStyle w:val="TextoNormal"/>
      </w:pPr>
      <w:r>
        <w:t xml:space="preserve">C) El fallecido don Antonio Muñoz Reyes estaba casado en el momento de su fallecimiento con doña Francisca González León, habiendo nacido de dicho matrimonio un hijo que tenía la edad de 24 años en dicho momento. Igualmente mantenía una relación de convivencia de hecho consolidada, de forma continuada, pública y notoriamente con doña Manuela García Cámara, teniendo como fruto de esta relación cuatro hijos, llamados, respectivamente, Inmaculada de trece años, Antonio de diez años, Lucas de nueve años, y Xuxan de nueve meses. </w:t>
      </w:r>
    </w:p>
    <w:p w:rsidR="008107C7" w:rsidRDefault="008107C7" w:rsidP="008107C7">
      <w:pPr>
        <w:pStyle w:val="TextoNormal"/>
      </w:pPr>
      <w:r>
        <w:t xml:space="preserve">D) En la Sentencia dictada por el Juzgado de Instrucción se condena a don Mariano Peralbo Redondo, como autor responsable de una falta del art. 586 bis del Código Penal,Texto Refundido de 1973 y se establecía una indemnización a favor de los perjudicados, entre ellos, la ahora recurrente en amparo, de 15 millones de pesetas, declarando la responsabilidad directa de la Compañía de Seguros Mapfre. </w:t>
      </w:r>
    </w:p>
    <w:p w:rsidR="008107C7" w:rsidRDefault="008107C7" w:rsidP="008107C7">
      <w:pPr>
        <w:pStyle w:val="TextoNormal"/>
      </w:pPr>
      <w:r>
        <w:t xml:space="preserve">E) Contra dicha Sentencia se interpuso por los condenados el correspondiente recurso de apelación, a la que la se adhirió parcialmente doña Manuela García Cámara, en cuanto a las responsabilidades civiles reconocidas en la resolución dictada. De este escrito de adhesión parcial no se dio traslado a la parte recurrente en apelación, y no se señaló la celebración de vista oral. </w:t>
      </w:r>
    </w:p>
    <w:p w:rsidR="008107C7" w:rsidRDefault="008107C7" w:rsidP="008107C7">
      <w:pPr>
        <w:pStyle w:val="TextoNormal"/>
      </w:pPr>
      <w:r>
        <w:lastRenderedPageBreak/>
        <w:t>F) Por la Audiencia Provincial se dicta Sentencia en la que se estima parcialmente el recurso de apelación interpuesto por don Mariano Peralbo Redondo y la Compañía Asegurado Mapfre, desestimando la adhesión a la apelación formulada por doña Manuela García Cámara, reduciendo la citada indemnización a la cuantía de 7 millones de pesetas.</w:t>
      </w:r>
    </w:p>
    <w:p w:rsidR="008107C7" w:rsidRDefault="008107C7" w:rsidP="008107C7">
      <w:pPr>
        <w:pStyle w:val="TextoNormal"/>
      </w:pPr>
    </w:p>
    <w:p w:rsidR="008107C7" w:rsidRDefault="008107C7" w:rsidP="008107C7">
      <w:pPr>
        <w:pStyle w:val="TextoNormal"/>
      </w:pPr>
      <w:r w:rsidRPr="008107C7">
        <w:rPr>
          <w:rStyle w:val="NumeroAFNegritaCaracter"/>
        </w:rPr>
        <w:t>3</w:t>
      </w:r>
      <w:r>
        <w:t>. Ante el estado que presenta este procedimiento judicial se interpone por la recurrente recurso de amparo, interesando se declare la vulneración de su derecho constitucional a la tutela judicial efectiva (art.24.1 C.E.), declarándose la nulidad de la Sentencia dictada por la Audiencia Provincial de Córdoba, como consecuencia de la incongruencia omisiva total y la absoluta falta de motivación de dicha resolución judicial. En la demanda se aduce vulneración del art. 24.1 C.E., como consecuencia de que, si bien en la Sentencia dictada por dicha Audiencia se aceptan tanto los antecedentes de hecho como la fundamentación jurídica contenida en la Sentencia de instancia, e incluso expresa que en la misma, es decir, en la alzada, no se han desvirtuado ni los unos, ni los otros, se produce, no obstante, una reducción de las indemnizaciones de las personas perjudicadas por dicho fallecimiento en la cuantía de 7 millones de pesetas, sin justificar en lo más mínimo las circunstancias o fundamentos que determinan la producción de dicha aminoración de indemnizaciones, máxime cuando, incluso, es desestimado el recurso adhesivo de apelación formulado al efecto, teniendo el mismo por objeto el incremento de tal cuantía indemnizatoria en la alzada.</w:t>
      </w:r>
    </w:p>
    <w:p w:rsidR="008107C7" w:rsidRDefault="008107C7" w:rsidP="008107C7">
      <w:pPr>
        <w:pStyle w:val="TextoNormal"/>
      </w:pPr>
    </w:p>
    <w:p w:rsidR="008107C7" w:rsidRDefault="008107C7" w:rsidP="008107C7">
      <w:pPr>
        <w:pStyle w:val="TextoNormal"/>
      </w:pPr>
      <w:r w:rsidRPr="008107C7">
        <w:rPr>
          <w:rStyle w:val="NumeroAFNegritaCaracter"/>
        </w:rPr>
        <w:t>4</w:t>
      </w:r>
      <w:r>
        <w:t>. Por providencia de 25 de marzo de 1996, la Sección acordó admitir a trámite la demanda, y a tenor de lo dispuesto en el artículo 51 LOTC, se acordó requerir al Juzgado de Instrucción núm. 2 de Pozoblanco (Córdoba), y a la Audiencia Provincial de Córdoba, para que en el término de diez días remitieran testimonio de todas las actuaciones, y procediera el primero, al emplazamiento ante este Tribunal de cuantos hubieran sido parte en el procedimiento judicial antecedente.</w:t>
      </w:r>
    </w:p>
    <w:p w:rsidR="008107C7" w:rsidRDefault="008107C7" w:rsidP="008107C7">
      <w:pPr>
        <w:pStyle w:val="TextoNormal"/>
      </w:pPr>
    </w:p>
    <w:p w:rsidR="008107C7" w:rsidRDefault="008107C7" w:rsidP="008107C7">
      <w:pPr>
        <w:pStyle w:val="TextoNormal"/>
      </w:pPr>
      <w:r w:rsidRPr="008107C7">
        <w:rPr>
          <w:rStyle w:val="NumeroAFNegritaCaracter"/>
        </w:rPr>
        <w:t>5</w:t>
      </w:r>
      <w:r>
        <w:t>. Por providencia de 20 de mayo de 1996, se tuvo por personado a la representación legal de la Compañía de Seguros Mapfre, y se acordó dar vista de los testimonios recibidos, por plazo común de veinte días, al Ministerio Fiscal y a las partes personadas, para que, dentro del expresado término, formularan las alegaciones que a su derecho convinieran.</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El Ministerio Fiscal presentó su escrito ante este Tribunal el día 4 de junio de 1996, conteniendo en síntesis las siguientes manifestaciones : </w:t>
      </w:r>
    </w:p>
    <w:p w:rsidR="008107C7" w:rsidRDefault="008107C7" w:rsidP="008107C7">
      <w:pPr>
        <w:pStyle w:val="TextoNormal"/>
      </w:pPr>
      <w:r>
        <w:t xml:space="preserve">A) Bajo la invocación del art. 24.1 C.E., alega la recurrente en amparo la vulneración de su derecho a la tutela judicial efectiva por vicio de incongruencia interna de la Sentencia impugnada, que centra en que el fallo que disminuyó la indemnización acordada en la instancia de 15 a 7 millones de pesetas, no es coherente con la fundamentación jurídica, en la que se aceptan los antecedentes de hecho y los fundamentos jurídicos de la resolución del Juez de Instrucción núm. 2 de Pozoblanco. Si aquellos fundamentos jurídicos determinaron una indemnización de 15 millones de pesetas en el Juzgado, su aceptación en la apelación no puede justificar que se disminuya la indemnización en la cuantía señalada. </w:t>
      </w:r>
    </w:p>
    <w:p w:rsidR="008107C7" w:rsidRDefault="008107C7" w:rsidP="008107C7">
      <w:pPr>
        <w:pStyle w:val="TextoNormal"/>
      </w:pPr>
      <w:r>
        <w:t xml:space="preserve">B) Para analizar el fundamento de la vulneración que alega el recurrente, preciso es tener en cuenta estos antecedentes de hecho, muy someramente expuestos. </w:t>
      </w:r>
    </w:p>
    <w:p w:rsidR="008107C7" w:rsidRDefault="008107C7" w:rsidP="008107C7">
      <w:pPr>
        <w:pStyle w:val="TextoNormal"/>
      </w:pPr>
      <w:r>
        <w:t xml:space="preserve">En el juicio de faltas núm. 1/95 del Juzgado de Instrucción núm. 2 de Pozoblanco, se condenó como responsable civil directa a la Compañía de Seguros Mapfre a satisfacer, entre </w:t>
      </w:r>
      <w:r>
        <w:lastRenderedPageBreak/>
        <w:t xml:space="preserve">otras, una indemnización en favor de la recurrente en amparo en cuantía de 15 millones de pesetas, como se ha dicho. </w:t>
      </w:r>
    </w:p>
    <w:p w:rsidR="008107C7" w:rsidRDefault="008107C7" w:rsidP="008107C7">
      <w:pPr>
        <w:pStyle w:val="TextoNormal"/>
      </w:pPr>
      <w:r>
        <w:t xml:space="preserve">La resolución fue apelada tanto por Mapfre como por doña Manuela García Cámara interesándose en los recursos respectivos, por lo que aquí interesa, la Compañía aseguradora, la absolución de toda condena civil o, alternativamente, la moderación de su cuantía, y la recurrente en amparo, la elevación de la indemnización acordada hasta un total de 20 millones de pesetas. </w:t>
      </w:r>
    </w:p>
    <w:p w:rsidR="008107C7" w:rsidRDefault="008107C7" w:rsidP="008107C7">
      <w:pPr>
        <w:pStyle w:val="TextoNormal"/>
      </w:pPr>
      <w:r>
        <w:t xml:space="preserve">La Sentencia dictada en apelación por la Audiencia Provincial de Córdoba, Sección 3ª, en la forma que previene el art. 82.2º L.O.P.J., señala en sus fundamentos jurídicos estos únicos extremos: </w:t>
      </w:r>
    </w:p>
    <w:p w:rsidR="008107C7" w:rsidRDefault="008107C7" w:rsidP="008107C7">
      <w:pPr>
        <w:pStyle w:val="TextoNormal"/>
      </w:pPr>
      <w:r>
        <w:t xml:space="preserve">"1.Se aceptan los de la Sentencia recurrida. </w:t>
      </w:r>
    </w:p>
    <w:p w:rsidR="008107C7" w:rsidRDefault="008107C7" w:rsidP="008107C7">
      <w:pPr>
        <w:pStyle w:val="TextoNormal"/>
      </w:pPr>
      <w:r>
        <w:t xml:space="preserve">2.No se han desvirtuado en esta instancia los fundamentos de hecho y razonamientos jurídicos de la Sentencia recurrida. </w:t>
      </w:r>
    </w:p>
    <w:p w:rsidR="008107C7" w:rsidRDefault="008107C7" w:rsidP="008107C7">
      <w:pPr>
        <w:pStyle w:val="TextoNormal"/>
      </w:pPr>
      <w:r>
        <w:t xml:space="preserve">3. Es procedente modificar algunas indemnizaciones reduciendo las cantidades concedidas a Francisca González León y Manuela García Cámara a siete millones de pesetas a cada una quedando subsistentes los restantes pronunciamientos y declarando de oficio las costas del recurso". </w:t>
      </w:r>
    </w:p>
    <w:p w:rsidR="008107C7" w:rsidRDefault="008107C7" w:rsidP="008107C7">
      <w:pPr>
        <w:pStyle w:val="TextoNormal"/>
      </w:pPr>
      <w:r>
        <w:t xml:space="preserve">C) Al análisis del fundamento de la denuncia que formula la recurrente en amparo, convienen, con carácter previo, algunas precisiones. </w:t>
      </w:r>
    </w:p>
    <w:p w:rsidR="008107C7" w:rsidRDefault="008107C7" w:rsidP="008107C7">
      <w:pPr>
        <w:pStyle w:val="TextoNormal"/>
      </w:pPr>
      <w:r>
        <w:t xml:space="preserve">Ante todo debe tenerse en cuenta que no cuestiona la recurrente el quantum de la responsabilidad civil a cuyo fin este Tribunal no podría pronunciarse puesto que la cuestión no rebasaría los límites de la legalidad ordinaria (ATC 314/1985). </w:t>
      </w:r>
    </w:p>
    <w:p w:rsidR="008107C7" w:rsidRDefault="008107C7" w:rsidP="008107C7">
      <w:pPr>
        <w:pStyle w:val="TextoNormal"/>
      </w:pPr>
      <w:r>
        <w:t xml:space="preserve">Tampoco pone en tela de juicio la recurrente las facultades del órgano judicial de apelación para modificar el quantum de las indemnizaciones a través del recurso, facultades que le corresponden en razón de la naturaleza de la apelación como novum judicium (entre otras, la STC 307/1993). </w:t>
      </w:r>
    </w:p>
    <w:p w:rsidR="008107C7" w:rsidRDefault="008107C7" w:rsidP="008107C7">
      <w:pPr>
        <w:pStyle w:val="TextoNormal"/>
      </w:pPr>
      <w:r>
        <w:t xml:space="preserve">Y por último, conviene subrayar igualmente que tampoco se plantea en el recurso de amparo un vicio de incongruencia determinante de reformatio in peius, cuya prohibición como es sabido, se inserta en el derecho a la tutela judicial efectiva, como ha declarado con insistencia este Tribunal (entre otras, SSTC 40/1990 y 84/1985). Obvio es, en el caso que nos ocupa, que la modificación peyorativa de la resolución obtenida en la instancia por la recurrente, se produce como consecuencia de la pretensión impugnatoria de la otra parte y no deviene de su propio recurso (vid. SSTC 116/1988 y 84/1995 que define esta modalidad de incongruencia con absoluta precisión). </w:t>
      </w:r>
    </w:p>
    <w:p w:rsidR="008107C7" w:rsidRDefault="008107C7" w:rsidP="008107C7">
      <w:pPr>
        <w:pStyle w:val="TextoNormal"/>
      </w:pPr>
      <w:r>
        <w:t xml:space="preserve">D) Lo que el recurrente plantea realmente es la incongruencia que entraña aceptar, por una parte, los hechos y fundamentos jurídicos de la Sentencia de instancia, y resolver, por otra, una moderación de la indemnización sin justificación alguna. </w:t>
      </w:r>
    </w:p>
    <w:p w:rsidR="008107C7" w:rsidRDefault="008107C7" w:rsidP="008107C7">
      <w:pPr>
        <w:pStyle w:val="TextoNormal"/>
      </w:pPr>
      <w:r>
        <w:t xml:space="preserve">Y así parece que efectivamente ocurrió. Estaríamos en situación semejante a la que describe la STC 16/1993 con cita de la STC 138/1985: "La simple lectura de la Sentencia revela la evidente contradicción entre la fundamentación, amplia, correcta y razonable en favor de la tesis de la entidad actora y el fallo desfavorable para la misma. Teniendo en cuenta que el derecho a la tutela judicial efectiva incluye entre sus variados contenidos, el que se dicte una resolución fundada en Derecho, resulta evidente que no puede reputarse como tal, una sentencia cuya fundamentación discurre por una senda diametralmente opuesta a la del fallo (vid. STC 138/1985, entre otras), y en la que se motiva lo contrario de lo que se falla". </w:t>
      </w:r>
    </w:p>
    <w:p w:rsidR="008107C7" w:rsidRDefault="008107C7" w:rsidP="008107C7">
      <w:pPr>
        <w:pStyle w:val="TextoNormal"/>
      </w:pPr>
      <w:r>
        <w:t xml:space="preserve">Pero en la Sentencia que nos ocupa, no hay argumentación contradictoria del fallo, a menos que por tal se entienda la remisión hecha a la Sentencia de instancia cuyos fundamentos jurídicos se aceptan. Ello nos lleva a la conclusión de que, realmente, la vulneración </w:t>
      </w:r>
      <w:r>
        <w:lastRenderedPageBreak/>
        <w:t xml:space="preserve">constitucional del art. 24.1 C.E. , deviene de la falta de motivación del fallo que entraña la moderación indemnizatoria a que hemos hecho referencia. </w:t>
      </w:r>
    </w:p>
    <w:p w:rsidR="008107C7" w:rsidRDefault="008107C7" w:rsidP="008107C7">
      <w:pPr>
        <w:pStyle w:val="TextoNormal"/>
      </w:pPr>
      <w:r>
        <w:t xml:space="preserve">E) El Tribunal Constitucional, como es sobradamente conocido, en línea jurisprudencial constante, ha subrayado la ineludible exigencia de la motivación de las resoluciones judiciales y la transcendencia constitucional de su omisión (vid. SSTC 61/1983 y 13/1987). </w:t>
      </w:r>
    </w:p>
    <w:p w:rsidR="008107C7" w:rsidRDefault="008107C7" w:rsidP="008107C7">
      <w:pPr>
        <w:pStyle w:val="TextoNormal"/>
      </w:pPr>
      <w:r>
        <w:t xml:space="preserve">F) En el caso presente, el análisis de la Sentencia impugnada pone de manifiesto, en primer lugar, la orfandad de motivación justificadora del fallo. El fundamento jurídico 3º se limita a afirmar que procede "modificar algunas indemnizaciones", sin indicar causa alguna que lo justifique. </w:t>
      </w:r>
    </w:p>
    <w:p w:rsidR="008107C7" w:rsidRDefault="008107C7" w:rsidP="008107C7">
      <w:pPr>
        <w:pStyle w:val="TextoNormal"/>
      </w:pPr>
      <w:r>
        <w:t xml:space="preserve">Por otra parte, si a la motivación por remisión nos atenemos, es clara la incongruencia que resulta de la comparación de los fundamentos jurídicos de instancia, que se aceptan, y el fallo que se decreta. </w:t>
      </w:r>
    </w:p>
    <w:p w:rsidR="008107C7" w:rsidRDefault="008107C7" w:rsidP="008107C7">
      <w:pPr>
        <w:pStyle w:val="TextoNormal"/>
      </w:pPr>
      <w:r>
        <w:t xml:space="preserve">No cabe decir, que la motivación sea implícita porque la procedencia de la modificación de las indemnizaciones, que se afirma, serviría para cualquier quantum que hubiera sido adoptado. </w:t>
      </w:r>
    </w:p>
    <w:p w:rsidR="008107C7" w:rsidRDefault="008107C7" w:rsidP="008107C7">
      <w:pPr>
        <w:pStyle w:val="TextoNormal"/>
      </w:pPr>
      <w:r>
        <w:t xml:space="preserve">Por último, parece claro que los términos del fundamento jurídico 3º que han sido transcritos, y el fallo de la Sentencia, entrañan una tautología que en modo alguno puede satisfacer el derecho a la tutela judicial efectiva, que la recurrente en amparo alega como vulnerado. </w:t>
      </w:r>
    </w:p>
    <w:p w:rsidR="008107C7" w:rsidRDefault="008107C7" w:rsidP="008107C7">
      <w:pPr>
        <w:pStyle w:val="TextoNormal"/>
      </w:pPr>
      <w:r>
        <w:t xml:space="preserve">G) De cuanto antecede se infiere que procede la estimación del amparo que se solicita, si bien con el alcance que señala la STC 17/1993, esto es, la previa declaración de la nulidad de la resolución impugnada, la reposición de las actuaciones al momento de dictar sentencia, por cuanto este Tribunal no dispone de elementos de juicio, ni entraría en el ámbito de su competencia específica, hacer el pronunciamiento, ya en cuanto a la fundamentación, ya en cuanto a la indemnización de la cuantía que la recurrente solicita. </w:t>
      </w:r>
    </w:p>
    <w:p w:rsidR="008107C7" w:rsidRDefault="008107C7" w:rsidP="008107C7">
      <w:pPr>
        <w:pStyle w:val="TextoNormal"/>
      </w:pPr>
      <w:r>
        <w:t xml:space="preserve">"En consecuencia -conforme la STC 17/1993 citada-, y sin necesidad de un mayor razonamiento, ha de estimarse el amparo y anularse la Sentencia impugnada, con retroacción de las actuaciones para que se dicte otra en su lugar, con retroacción de las actuaciones ya que, como ya se señala en la STC 14/1984, "este Tribunal no está en condiciones de prejuzgar la causa del error, ni ello le compete, sino que debe limitarse a la apreciación de lo que objetivamente resulta de la Sentencia que se impugna". </w:t>
      </w:r>
    </w:p>
    <w:p w:rsidR="008107C7" w:rsidRDefault="008107C7" w:rsidP="008107C7">
      <w:pPr>
        <w:pStyle w:val="TextoNormal"/>
      </w:pPr>
      <w:r>
        <w:t xml:space="preserve">Y ello porque la Sentencia fue firmada por los Magistrados que la dictaron, lo que significa que, a la vista de la evidente discordancia entre fundamentación y fallo, sólo la Sala que deliberó y votó la resolución, está en condiciones de determinar si lo incorrecto es el fallo o lo es la fundamentación". </w:t>
      </w:r>
    </w:p>
    <w:p w:rsidR="008107C7" w:rsidRDefault="008107C7" w:rsidP="008107C7">
      <w:pPr>
        <w:pStyle w:val="TextoNormal"/>
      </w:pPr>
      <w:r>
        <w:t>Por lo expuesto, el Ministerio Fiscal, solicita del Tribunal Constitucional que dicte Sentencia, de conformidad con lo que previene el art. 53a) LOTC, y concordantes, estimando el recurso de amparo solicitado.</w:t>
      </w:r>
    </w:p>
    <w:p w:rsidR="008107C7" w:rsidRDefault="008107C7" w:rsidP="008107C7">
      <w:pPr>
        <w:pStyle w:val="TextoNormal"/>
      </w:pPr>
    </w:p>
    <w:p w:rsidR="008107C7" w:rsidRDefault="008107C7" w:rsidP="008107C7">
      <w:pPr>
        <w:pStyle w:val="TextoNormal"/>
      </w:pPr>
      <w:r w:rsidRPr="008107C7">
        <w:rPr>
          <w:rStyle w:val="NumeroAFNegritaCaracter"/>
        </w:rPr>
        <w:t>7</w:t>
      </w:r>
      <w:r>
        <w:t>. Por la representación de la solicitante de amparo se ratificó en las manifestaciones contenidas en el escrito de demanda.</w:t>
      </w:r>
    </w:p>
    <w:p w:rsidR="008107C7" w:rsidRDefault="008107C7" w:rsidP="008107C7">
      <w:pPr>
        <w:pStyle w:val="TextoNormal"/>
      </w:pPr>
    </w:p>
    <w:p w:rsidR="008107C7" w:rsidRDefault="008107C7" w:rsidP="008107C7">
      <w:pPr>
        <w:pStyle w:val="TextoNormal"/>
      </w:pPr>
      <w:r w:rsidRPr="008107C7">
        <w:rPr>
          <w:rStyle w:val="NumeroAFNegritaCaracter"/>
        </w:rPr>
        <w:t>8</w:t>
      </w:r>
      <w:r>
        <w:t xml:space="preserve">. Por la representación legal de la Compañía de Seguros Mapfre, se opuso a las pretensiones de la recurrente en amparo, efectuando las siguientes consideraciones: </w:t>
      </w:r>
    </w:p>
    <w:p w:rsidR="008107C7" w:rsidRDefault="008107C7" w:rsidP="008107C7">
      <w:pPr>
        <w:pStyle w:val="TextoNormal"/>
      </w:pPr>
      <w:r>
        <w:t xml:space="preserve">a) Muestra su acuerdo con la exposición de los antecedentes de este recurso hecha por la recurrente en su demanda, si bien matiza los mismos en el sentido de que la Entidad aseguradora, en su recurso de apelación contra la Sentencia de instancia dictada por el Juzgado </w:t>
      </w:r>
      <w:r>
        <w:lastRenderedPageBreak/>
        <w:t xml:space="preserve">de Instrucción núm. 2 de Pozoblanco, desarrolló y fundamentó los datos y razones que justificaban el mismo, y que a su vez, fueron impugnados de contrario según a su derecho convenía, siendo todos ellos ponderados por la Audiencia para fundamentar su resolución, y posterior fallo definitivo. </w:t>
      </w:r>
    </w:p>
    <w:p w:rsidR="008107C7" w:rsidRDefault="008107C7" w:rsidP="008107C7">
      <w:pPr>
        <w:pStyle w:val="TextoNormal"/>
      </w:pPr>
      <w:r>
        <w:t xml:space="preserve">b) En ese sentido es de significar que la ahora recurrente doña Manuela García Cámara, después de interponer la presente demanda de amparo, percibió por medio del Juzgado reseñado la cantidad consignada por la Entidad aseguradora, el importe total de la indemnización que a su favor señalaba la Sentencia de la Audiencia Provincial de Córdoba, ahora atacada por la misma. Tal extremo figura acreditado en los autos del juicio de faltas, en diligencia de fecha 1 de Septiembre de 1995 obrantes en los mismos. </w:t>
      </w:r>
    </w:p>
    <w:p w:rsidR="008107C7" w:rsidRDefault="008107C7" w:rsidP="008107C7">
      <w:pPr>
        <w:pStyle w:val="TextoNormal"/>
      </w:pPr>
      <w:r>
        <w:t xml:space="preserve">En cuanto a la cuestión de fondo que en el recurso se sostiene, consiste en que la Sentencia recurrida incurre en una pretendida incongruencia omisiva al imputarle una total y absoluta falta de motivación y, ello lo deduce, tanto al aceptarse en aquélla los antecedentes de hecho y fundamentos jurídicos de la dictada por el Juzgado de Instancia, como en el hecho de expresar, asimismo, que en la alzada no se habían desvirtuado éstos, siendo el único Fallo congruente, la confirmación de tal Sentencia de instancia. </w:t>
      </w:r>
    </w:p>
    <w:p w:rsidR="008107C7" w:rsidRDefault="008107C7" w:rsidP="008107C7">
      <w:pPr>
        <w:pStyle w:val="TextoNormal"/>
      </w:pPr>
      <w:r>
        <w:t xml:space="preserve">Considera que tales vicios, como veremos, no se dan en tal repetida resolución, pues para que exista el de incongruencia, entendido como desajuste entre el fallo judicial y los términos en los que las partes formulan sus pretensiones concediendo más o menos, cosa distinta de lo pedido, es necesario que la desviación suponga una completa modificación de los términos en que discurrió la controversia procesal, requiriéndose además, que la citada desviación sea de tal intensidad, que produzca una modificación sustancial de los términos en que se planteó el debate procesal. </w:t>
      </w:r>
    </w:p>
    <w:p w:rsidR="008107C7" w:rsidRDefault="008107C7" w:rsidP="008107C7">
      <w:pPr>
        <w:pStyle w:val="TextoNormal"/>
      </w:pPr>
      <w:r>
        <w:t xml:space="preserve">Tal circunstancia, obviamente, no se da en el presente caso que nos ocupa, dado que no existe incongruencia con relevancia constitucional, si el órgano judicial resuelve genéricamente las pretensiones, aunque no se haya pronunciado sobre todas las alegaciones concretas, o no de una respuesta pormenorizada a las mismas, ya que sólo la omisión o falta total de respuesta, y no la genérica y global a la cuestión planteada, entraña vulneración del derecho a la tutela efectiva. En este sentido, señala entre otras muchas, la STC 122/1994. </w:t>
      </w:r>
    </w:p>
    <w:p w:rsidR="008107C7" w:rsidRDefault="008107C7" w:rsidP="008107C7">
      <w:pPr>
        <w:pStyle w:val="TextoNormal"/>
      </w:pPr>
      <w:r>
        <w:t xml:space="preserve">En el caso que se analiza la Sentencia de apelación, al estimar en parte el recurso de la Compañía aseguradora, y desestimar totalmente el de la Sra.García Cámara, que se había adherido al mismo, se ajusta íntegramente al mencionado criterio constitucional, por hallarse el importe de la indemnización concedida dentro de los límites establecidos por las partes, y consecuentemente, ha de calificarse de congruente, máxime cuando la incongruencia omisiva sólo puede prosperar en los supuestos que ese defecto cause algún tipo de indefensión a la parte que lo alegue, circunstancia que no se ha originado en la recurrente, que no sólo impugnó el recurso de esta parte, sino que se adhirió al mismo en lo que a su interés convenía. </w:t>
      </w:r>
    </w:p>
    <w:p w:rsidR="008107C7" w:rsidRDefault="008107C7" w:rsidP="008107C7">
      <w:pPr>
        <w:pStyle w:val="TextoNormal"/>
      </w:pPr>
      <w:r>
        <w:t xml:space="preserve">Igualmente es de significar, que la pretendida falta de motivación de la resolución que se combate, tampoco existe, pues no puede olvidarse que la existencia de motivación no comporta necesariamente que el Juzgador deba de efectuar una exhaustiva descripción del proceso intelectual, que le lleva a resolver en un determinado sentido, no siendo exigible una intensidad en el razonamiento empleado, y bastando que la motivación ponga de manifiesto que la decisión judicial adoptada, responde a una concreta interpretación y aplicación del Derecho, satisfaciéndose la motivación cuando de manera explícita o implícita, la resolución contenga razones o elementos de juicio que permitan conocer, cuales han sido los criterios jurídicos que fundamenten la decisión, debiéndose atender no sólo al contenido de la resolución considerada en si misma, sino también, dentro del contexto global del proceso, </w:t>
      </w:r>
      <w:r>
        <w:lastRenderedPageBreak/>
        <w:t xml:space="preserve">prestando especial atención al conjunto de las actuaciones y decisiones que, precediéndole, han constituido el debate procesal, es decir, valorando todas las circunstancias concurrentes y siempre que conste de forma clara, cual ha sido el fundamento de la decisión adoptada, obteniendo así la parte una respuesta a su pretensión, pudiéndose mantener que una Sentencia que resuelva las peticiones propuestas se halla motivada, siendo suficiente a tal fin que exteriorice, siquiera sea de modo sucinto, la razón justificativa de la decisión. </w:t>
      </w:r>
    </w:p>
    <w:p w:rsidR="008107C7" w:rsidRDefault="008107C7" w:rsidP="008107C7">
      <w:pPr>
        <w:pStyle w:val="TextoNormal"/>
      </w:pPr>
      <w:r>
        <w:t xml:space="preserve">En apoyo de lo expuesto sobre este extremo, invoca las SSTC 333/1989; 70/1990; 57/1987, 203/89, 203/1990 y 122/1994, esta última ya citada anteriormente. </w:t>
      </w:r>
    </w:p>
    <w:p w:rsidR="008107C7" w:rsidRDefault="008107C7" w:rsidP="008107C7">
      <w:pPr>
        <w:pStyle w:val="TextoNormal"/>
      </w:pPr>
      <w:r>
        <w:t xml:space="preserve">Por cuanto antecede, manifiesta que resulta congruente mantener, que la Sentencia de apelación de la Sección 3ª de la Audiencia Provincial de Córdoba satisface los expresados requisitos, ya que, aún siendo parca en su fundamentación, permite conocer por las partes, el criterio por el que considera procedente modificar, en cuanto a la cuantificación la indemnización concedida a la ahora recurrente en amparo. Este no es otro, que el de considerar que el importe indemnizatorio fijado por el juzgador de primera instancia resulta excesivo, estimando más correcto, y adecuado el que la misma establece en el ejercicio de sus facultades discrecionales al efecto, teniendo en cuenta las circunstancias de todo tipo concurrentes en los hechos. </w:t>
      </w:r>
    </w:p>
    <w:p w:rsidR="008107C7" w:rsidRDefault="008107C7" w:rsidP="008107C7">
      <w:pPr>
        <w:pStyle w:val="TextoNormal"/>
      </w:pPr>
      <w:r>
        <w:t xml:space="preserve">Aparece como inconcluso, aunque no se detalle explícitamente, que la reducción que efectúa la Sentencia de apelación se hace teniendo en cuenta, con independencia de las alegaciones de las partes, las circunstancias familiares de la hoy demandante, las relaciones de ésta con el fallecido, y todas las que al mismo rodeaban. </w:t>
      </w:r>
    </w:p>
    <w:p w:rsidR="008107C7" w:rsidRDefault="008107C7" w:rsidP="008107C7">
      <w:pPr>
        <w:pStyle w:val="TextoNormal"/>
      </w:pPr>
      <w:r>
        <w:t xml:space="preserve">Asimismo, es claro que la Sentencia de apelación, al acoger en parte las alegaciones de Mapfre, efectuadas ante la Audiencia, y rechazar las de la representación de la Sra.García Cámara en su impugnación-adhesión al mismo, por remisión, la fundamentación descansa en la estimada del recurso sustanciado, a instancias de Mapfre, a tenor del sentido reflejado en el fallo de dicha Sentencia que categóricamente resuelve las cuestiones debatidas. </w:t>
      </w:r>
    </w:p>
    <w:p w:rsidR="008107C7" w:rsidRDefault="008107C7" w:rsidP="008107C7">
      <w:pPr>
        <w:pStyle w:val="TextoNormal"/>
      </w:pPr>
      <w:r>
        <w:t xml:space="preserve">D) Por último y en lo que respecta a la petición que con carácter alternativo se formula, interesando se declare la firmeza de la Sentencia dictada por el Juzgado de Pozoblanco, igualmente se impugna rotundamente tal petición, puesto que, con ella, lo que en definitiva estaría pretendiendo la recurrente en amparo, es que ese Alto Tribunal se pronuncie sobre el importe de la indemnización, ya que al dejarse firme la de instancia se estaría modificando el quantum establecido en la alzada, lo que supondría, en cierto modo, que ese Tribunal entrase a conocer o pronunciarse sobre el alcance de los hechos que sustancian una pretensión ordinaria, lo que resultaría incongruente con lo establecido por el art. 44.1 b) LOTC, por ser misión concreta del mismo restablecer, en su caso, la tutela de los derechos fundamentales violados o menoscabados injustificadamente. </w:t>
      </w:r>
    </w:p>
    <w:p w:rsidR="008107C7" w:rsidRDefault="008107C7" w:rsidP="008107C7">
      <w:pPr>
        <w:pStyle w:val="TextoNormal"/>
      </w:pPr>
      <w:r>
        <w:t xml:space="preserve">En definitiva, se estaría postulando por la ahora recurrente una tercera instancia al respecto, pretensión totalmente contraria a la naturaleza y función del Tribunal Constitucional. </w:t>
      </w:r>
    </w:p>
    <w:p w:rsidR="008107C7" w:rsidRDefault="008107C7" w:rsidP="008107C7">
      <w:pPr>
        <w:pStyle w:val="TextoNormal"/>
      </w:pPr>
      <w:r>
        <w:t>En consecuencia, y habida cuenta de las facultades de las que gozan las Audiencias Provinciales, para apreciar la correlación que debe de existir entre el quantum indemnizatorio de un lado, y las circunstancias concurrentes en los hechos por otro, con plena soberanía para modificar, ampliar o reducir las cantidades indemnizatorias señaladas en la instancia, procede a su juicio denegar el amparo solicitado por la recurrente.</w:t>
      </w:r>
    </w:p>
    <w:p w:rsidR="008107C7" w:rsidRDefault="008107C7" w:rsidP="008107C7">
      <w:pPr>
        <w:pStyle w:val="TextoNormal"/>
      </w:pPr>
    </w:p>
    <w:p w:rsidR="008107C7" w:rsidRDefault="008107C7" w:rsidP="008107C7">
      <w:pPr>
        <w:pStyle w:val="TextoNormal"/>
      </w:pPr>
      <w:r w:rsidRPr="008107C7">
        <w:rPr>
          <w:rStyle w:val="NumeroAFNegritaCaracter"/>
        </w:rPr>
        <w:t>9</w:t>
      </w:r>
      <w:r>
        <w:t>. Por providencia de 17 de marzo de 1996, se señaló para la deliberación y votación de la presente Sentencia el día 18 del mismo mes y año.</w:t>
      </w:r>
    </w:p>
    <w:p w:rsidR="008107C7" w:rsidRDefault="008107C7" w:rsidP="008107C7">
      <w:pPr>
        <w:pStyle w:val="TextoNormal"/>
      </w:pPr>
    </w:p>
    <w:p w:rsidR="008107C7" w:rsidRDefault="008107C7" w:rsidP="008107C7">
      <w:pPr>
        <w:pStyle w:val="TextoNormalNegritaCentrado"/>
        <w:keepNext/>
      </w:pPr>
      <w:r>
        <w:lastRenderedPageBreak/>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Por la recurrente en el presente recurso de amparo se impugna la Sentencia de la Audiencia Provincial de Córdoba de 5 de junio de 1995, en la que se estima parcialmente el recurso de apelación dimanante de juicio de faltas 1/95, seguido ante el Juzgado de Instrucción núm. 2 de Pozoblanco (Córdoba), alegando la vulneración a su derecho a la tutela judicial efectiva (art. 24.1 C.E.), por la existencia de un vicio de incongruencia "interno" de la resolución impugnada, ya que, en el fallo de la misma, se disminuyó la indemnización acordada en la instancia de 15 a 7 millones de pesetas, no siendo tal Sentencia coherente con su fundamentación jurídica, en la que expresamente se aceptan los antecedentes de hecho y los fundamentos jurídicos de la resolución del citado Juez de Instrucción núm. 2 de Pozoblanco. La solicitante considera, por ello, como ha quedado dicho, que se ha vulnerado el art. 24 C.E. en razón, en primer lugar, a la consideración de la existencia de una falta total y absoluta de motivación de dicha resolución judicial y en segundo término, a la interpretación arbitraria efectuada de la ley aplicable al caso de autos, que se manifiesta en la producción de un apartamiento del criterio mantenido por el Juez a quo, en una cuestión de hecho, que no es otra que la cuantificación de los perjuicios sufridos, sin justificar el error cometido por éste en su Sentencia.</w:t>
      </w:r>
    </w:p>
    <w:p w:rsidR="008107C7" w:rsidRDefault="008107C7" w:rsidP="008107C7">
      <w:pPr>
        <w:pStyle w:val="TextoNormal"/>
      </w:pPr>
    </w:p>
    <w:p w:rsidR="008107C7" w:rsidRDefault="008107C7" w:rsidP="008107C7">
      <w:pPr>
        <w:pStyle w:val="TextoNormal"/>
      </w:pPr>
      <w:r w:rsidRPr="008107C7">
        <w:rPr>
          <w:rStyle w:val="NumeroAFNegritaCaracter"/>
        </w:rPr>
        <w:t>2</w:t>
      </w:r>
      <w:r>
        <w:t>. En el recurso que ahora se resuelve y, como cuestiones previas debe tenerse en consideración, tal como precisa el Ministerio Fiscal, que por la recurrente no se cuestiona el quantum de la responsabilidad civil a cuyo fin este Tribunal carecería de competencia [art.44.1 b) LOTC], en cuanto que la cuestión no rebasaría los límites de la legalidad ordinaria (vid. ATC 314/1985), y tampoco pone en tela de juicio las facultades del órgano judicial de apelación, para modificar el quantum de las indemnizaciones a través del recurso, facultades que le corresponden en razón de la naturaleza de la apelación como novum judicium" (entre otras, STC 307/1993). Y por último conviene subrayar, igualmente, que tampoco se plantea en el recurso de amparo un vicio de incongruencia determinante de reformatio in peius, cuya prohibición, como es sabido, se inserta en el derecho a la tutela judicial efectiva, como ha declarado con insistencia este Tribunal (SSTC 40/1990 y 84/1985 entre otras). En el caso que nos ocupa, es manifiesto que la modificación peyorativa de la resolución obtenida en la instancia por la recurrente, se produce como consecuencia de la pretensión impugnatoria de la otra parte y no deviene de su propio recurso (SSTC 116/1988 y 84/1985 entre otras).</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Con relación a la manifestación relativa a la existencia del denunciado vicio de incongruencia interno, operado en la Sentencia dictada por la Audiencia Provincial, no cabe argüir, frente a lo manifestado por la recurrente, que exista una evidente contradicción en el fallo de la meritada Sentencia, salvo que dicha manifestación se encuentre referida a la aceptación que en el mismo se efectúa de los fundamentos jurídicos contenidos en la Sentencia dictada en la instancia. En efecto si bien en éstos se razona la existencia de unos perjuicios,-la muerte del compañero con el que convivía y la pérdida de ingresos que éste aportaba, con lo que viene a asumir en solitario las cargas derivadas de la crianza de los hijos comunes -, para llegar a una cuantificación de 15 millones, como es frecuente ciertamente, dada la naturaleza del perjuicio e incluso la inexistencia de ingresos fijos y la escasa prueba existente, hace que la determinación del perjuicio, y la consiguiente indemnización, </w:t>
      </w:r>
      <w:r>
        <w:lastRenderedPageBreak/>
        <w:t>tenga que incorporar un amplio margen de arbitrio judicial.En el uso razonable de ese arbitrio, se fija la cuantía de la indemnización en la instancia en la cantidad de 15 millones de pesetas, pero ello no impide que partiendo de esas mismas premisas y consideraciones, se pueda llegar razonablemente a fijarla en 7 millones, como ha hecho la Audiencia Provincial, siempre que hasta donde sea razonablemente posible el Juzgador explique la razón de establecer una determinada cantidad en concepto indemnizatorio a fin de que sabiendo el proceso intelectual que ha conducido al mismo pueda ser objeto, en su caso,de impugnación con independencia del conocimiento a que tiene derecho la parte, de saber las razones de una reducción económica tan importante cuando se aceptan sin condicionamiento alguno, los hechos y los fundamentos jurídicos. No estamos, pues, ante un supuesto de motivación efectuado de manera sucinta y por remisión, sino de ausencia de motivación propiamente dicha, por lo que ha de estimarse el presente recurso, ya que en este caso,no se "revelan de manera suficiente, aunque sea implícita, las razones y discurso lógico que determinaron la decisión judicial" (STC 122/1994).</w:t>
      </w:r>
    </w:p>
    <w:p w:rsidR="008107C7" w:rsidRDefault="008107C7" w:rsidP="008107C7">
      <w:pPr>
        <w:pStyle w:val="TextoNormal"/>
      </w:pPr>
    </w:p>
    <w:p w:rsidR="008107C7" w:rsidRDefault="008107C7" w:rsidP="008107C7">
      <w:pPr>
        <w:pStyle w:val="TextoNormal"/>
      </w:pPr>
      <w:r w:rsidRPr="008107C7">
        <w:rPr>
          <w:rStyle w:val="NumeroAFNegritaCaracter"/>
        </w:rPr>
        <w:t>4</w:t>
      </w:r>
      <w:r>
        <w:t>. Respecto de la alegación de la vulneración del derecho a la tutela judicial efectiva por falta absoluta de motivación, conviene recordar y, ya se ha puesto de manifiesto en estas actuaciones, que el Tribunal Constitucional, ha subrayado la ineludible exigencia de la motivación de las resoluciones judiciales y la transcendencia constitucional de su omisión (SSTC 61/1983 y 13/1987), debiéndose tener en cuenta que "el derecho a la tutela judicial efectiva incluye entre sus variados contenidos, el que se dicte una resolución fundada en Derecho, y resulta evidente, que no puede reputarse como tal, una Sentencia cuya fundamentación discurre por una senda diametralmente opuesta a la del fallo, y en la que se motiva lo contrario de lo que se falla" (STC 138/85, citada, entre otras).  Es por tanto, evidente la quiebra constitucional, en lo referente al apartamiento llevado a cabo en la Sentencia de la Audiencia Provincial, del criterio indemnizatorio mantenido por la de instancia, sin que haya quedado justificada adecuadamente, como ya se dijo, la discrepancia en los hechos o en los fundamentos jurídicos que determinan la producción del mismo.  En efecto, como hemos visto, sólo podemos considerar motivada la Sentencia de la Audiencia por la remisión que hace a los razonamientos de la de instancia, razonamientos que pueden considerarse suficientes para justificar una u otra solución, sin que la propia naturaleza del perjuicio de que se trata, y las propias circunstancias del caso, hicieran exigible un mayor grado de concreción.Sin olvidar las dificultades que entraña establecer una concreta cuantía indemnizatoria cuando se trata de la pérdida de la vida o de un daño corporal o psiquíco. Ello nos conduce a la afirmación de que, si bien la propia estructura del proceso y la naturaleza de la función revisora del Tribunal ad quem, hacen que su criterio como Tribunal superior se imponga, incluso en relación con la valoración de los hechos al del inferior, el apartamiento de lo estimado por éste, en cuanto a tal valoración, deba conllevar una especial motivación que explique las razones de la desviación.</w:t>
      </w:r>
    </w:p>
    <w:p w:rsidR="008107C7" w:rsidRDefault="008107C7" w:rsidP="008107C7">
      <w:pPr>
        <w:pStyle w:val="TextoNormal"/>
      </w:pPr>
      <w:r>
        <w:t>La recurrente obtuvo una primera respuesta judicial a su pretensión, basada en la libre estimación efectuada por el Juzgado de Instrucción de la entidad de los perjuicios que la misma sufrió, y que fue objeto de motivación suficientemente.  Al apartarse la Audiencia de esa valoración,este alejamiento debe ser objeto de una específica justificación, explicitando las razones que determinan el que finalmente se opte, entre una solución y la otra, debiendo prevalecer la suya, a pesar de la mayor inmediación con los hechos, propia de la función de juzgar en la instancia, pues se trata de un novum iuditium en el que el órgano encargado de resolverlo accede a la totalidad del material alegatorio y probatorio de la primera instancia" (STC 307/1993).</w:t>
      </w:r>
    </w:p>
    <w:p w:rsidR="008107C7" w:rsidRDefault="008107C7" w:rsidP="008107C7">
      <w:pPr>
        <w:pStyle w:val="TextoNormal"/>
      </w:pPr>
      <w:r>
        <w:lastRenderedPageBreak/>
        <w:t>Por lo tanto, no se plantea en los mismos términos la exigencia de motivación de un fallo confirmatorio, en el que la remisión a la resolución de instancia puede compensar las insuficiencias de la motivación de la que resuelve la apelación (STC 152/1987), que la exigible respecto de una resolución parcial o totalmente revocatoria.  De otra manera, como aquí ocurre, y también se dijo el ciudadano no tiene ningún elemento de juicio para considerar cuáles han sido las razones fácticas y jurídicas que han determinado que el órgano judicial ad quem haya procedido a la modificación de la cuantía de la indemnización reconocida como debida a un justiciable, pues no se han cumplido una de las funciones básicas y necesarias de la exigencia de la motivación de las resoluciones judiciales (SSTC 55/1987 y 199/1991).</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CONCEDE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Otorgar el amparo solicitado por doña Manuela García Cámara, y en su virtud:</w:t>
      </w:r>
    </w:p>
    <w:p w:rsidR="008107C7" w:rsidRDefault="008107C7" w:rsidP="008107C7">
      <w:pPr>
        <w:pStyle w:val="TextoNormal"/>
      </w:pPr>
      <w:r>
        <w:t>1º. Reconocer el derecho de la solicitante de amparo a la tutela judicial efectiva (art.24.1 C.E.).</w:t>
      </w:r>
    </w:p>
    <w:p w:rsidR="008107C7" w:rsidRDefault="008107C7" w:rsidP="008107C7">
      <w:pPr>
        <w:pStyle w:val="TextoNormal"/>
      </w:pPr>
      <w:r>
        <w:t>2º.  Anular la Sentencia de la Audiencia Provincial de Córdoba, dictada en el rollo de apelación 49/95, dimanante del juicio de faltas núm. 1/95, seguido ante el Juzgado de Instrucción núm. 2 de Pozoblanco (Córdoba).</w:t>
      </w:r>
    </w:p>
    <w:p w:rsidR="008107C7" w:rsidRDefault="008107C7" w:rsidP="008107C7">
      <w:pPr>
        <w:pStyle w:val="TextoNormal"/>
      </w:pPr>
      <w:r>
        <w:t>3º. Retrotraer las actuaciones al momento procesal oportuno a fin de que se proceda a dictar nueva resolución que satisfaga las exigencias constitucionales en cuanto a la obligación de motivación.</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dieciocho de marzo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63" w:name="SENTENCIA_1997_60"/>
      <w:r>
        <w:lastRenderedPageBreak/>
        <w:t>SENTENCIA 60/1997, de 18 de marzo de 1997</w:t>
      </w:r>
    </w:p>
    <w:bookmarkEnd w:id="63"/>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92, de 17 de abril de 1997)</w:t>
      </w:r>
    </w:p>
    <w:p w:rsidR="008107C7" w:rsidRDefault="008107C7" w:rsidP="008107C7">
      <w:pPr>
        <w:pStyle w:val="TtuloBOE"/>
      </w:pPr>
    </w:p>
    <w:p w:rsidR="008107C7" w:rsidRDefault="008107C7" w:rsidP="008107C7">
      <w:pPr>
        <w:pStyle w:val="SntesisDescriptiva"/>
      </w:pPr>
      <w:r>
        <w:t>ECLI:ES:TC:1997:60</w:t>
      </w:r>
    </w:p>
    <w:p w:rsidR="008107C7" w:rsidRDefault="008107C7" w:rsidP="008107C7">
      <w:pPr>
        <w:pStyle w:val="SntesisDescriptiva"/>
      </w:pPr>
    </w:p>
    <w:p w:rsidR="008107C7" w:rsidRDefault="008107C7" w:rsidP="008107C7">
      <w:pPr>
        <w:pStyle w:val="SntesisDescriptiva"/>
      </w:pPr>
      <w:r>
        <w:t>Recurso de amparo 101/1996. Contra Auto dictado por el Juzgado de Vigilancia Penitenciaria núm. 1 de Sevilla desestimando recurso de reforma interpuesto contra Auto por el que se desestima impugnación contra Acuerdo sancionador de expediente disciplinario resuelto por la Junta de Régimen y Administración del Centro Penitenciario de Huelva que impuso sanción disciplinaria al recurrente.</w:t>
      </w:r>
    </w:p>
    <w:p w:rsidR="008107C7" w:rsidRDefault="008107C7" w:rsidP="008107C7">
      <w:pPr>
        <w:pStyle w:val="SntesisDescriptiva"/>
      </w:pPr>
    </w:p>
    <w:p w:rsidR="008107C7" w:rsidRDefault="008107C7" w:rsidP="008107C7">
      <w:pPr>
        <w:pStyle w:val="SntesisAnaltica"/>
      </w:pPr>
      <w:r>
        <w:t>Vulneración del derecho a la tutela judicial efectiva: motivación insuficiente de las resoluciones impugnadas.</w:t>
      </w:r>
    </w:p>
    <w:p w:rsidR="008107C7" w:rsidRDefault="008107C7" w:rsidP="008107C7">
      <w:pPr>
        <w:pStyle w:val="SntesisAnaltica"/>
      </w:pPr>
    </w:p>
    <w:p w:rsidR="008107C7" w:rsidRDefault="008107C7" w:rsidP="008107C7">
      <w:pPr>
        <w:pStyle w:val="Extracto"/>
      </w:pPr>
      <w:r>
        <w:t>1.</w:t>
      </w:r>
      <w:r>
        <w:tab/>
        <w:t>Una vez más, las ideas de equilibrio y proporcionalidad deben ser proyectadas al mundo jurídico penitenciario en el que la exigencia del orden y seguridad del centro y, por tanto, el deber del preso de acatar y observar las normas de régimen interior reguladoras de la vida del establecimiento (STC 57/1994) han de hacerse compatibles con la consideración debida al interno en cuanto titular de todos los derechos que corresponden a cualquier ciudadano o persona sin más excepciones que aquellas que derivan de las limitaciones de la Sentencia condenatoria, y las que son inherentes a la situación de privación de libertad en cuanto al sentido de la pena y la ley penitenciaria de acuerdo con la L.O.G.P. y de conformidad con el art. 25.2 C.E.. [F.J. 2]</w:t>
      </w:r>
    </w:p>
    <w:p w:rsidR="008107C7" w:rsidRDefault="008107C7" w:rsidP="008107C7">
      <w:pPr>
        <w:pStyle w:val="Extracto"/>
      </w:pPr>
    </w:p>
    <w:p w:rsidR="008107C7" w:rsidRDefault="008107C7" w:rsidP="008107C7">
      <w:pPr>
        <w:pStyle w:val="Extracto"/>
      </w:pPr>
      <w:r>
        <w:t>2.</w:t>
      </w:r>
      <w:r>
        <w:tab/>
        <w:t>Hay que volver a recordar la STC 195/1996, que establece que, de acuerdo con los principios que inspiran la doctrina de este Tribunal, lo definitivamente importante es que el silencio parcial (y, por tanto, más aún el total) de una resolución respecto de un tema debatido sitúa a la parte en indefensión, y esto sucede siempre que resulte imposible o especialmente dificultoso descubrir las razones en que la desestimación se basa. En el supuesto que ahora se enjuicia, frente a dos Autos prácticamente impresos en su totalidad, es imposible descubrir las razones o argumentos que el órgano judicial utiliza para rechazar las pretensiones del recurrente, que en sus correspondientes escritos planteaba una serie de problemas, que como queda dicho, no recibieron ninguna respuesta, lo que no es obviamente equiparable a la explicación breve o concisa. [F.J. 3]</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lastRenderedPageBreak/>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101/96, promovido por don José Rafael Carballo Araujo, representado por la Procuradora de los Tribunales, doña Paloma de la Torre Cilleros, y asistido por el Letrado don Manuel González Ramos, contra el Auto de fecha 30 de noviembre de 1995 dictado por el Juzgado de Vigilancia Penitenciaria núm. 1 de Sevilla, por el que se desestima el recurso de reforma interpuesto a su vez, contra el Auto por el que se acuerda la desestimación de la impugnación formulada contra el Acuerdo sancionador del expediente disciplinario núm. 154/95, resuelto por la Junta de Régimen y Administración del Centro Penitenciario de Huelva, por el que se impuso una sanción disciplinaria al recurrente, interno en dicho Centro Penitenciario. Ha intervenido el Ministerio Fiscal y el Abogado del Estado. Ha sido ponente el Magistrado don Enrique Ruiz Vadillo,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de 3 de enero de 1996, y con fecha de entrada en el Registro General de este Tribunal de 9 de enero de 1996, don Rafael Carballo Araujo, interno en el Centro Penitenciario de Soto del Real (Madrid), solicitó el derecho a la justicia gratuita para formalizar demanda de amparo contra el Auto del Juzgado de Vigilancia Penitenciaria núm. 1 de Sevilla, de fecha 30 de noviembre de 1995, recaído en el expediente núm. 154/95, que resolvía la impugnación formulada contra el Acuerdo recaído en el citado expediente sancionador.</w:t>
      </w:r>
    </w:p>
    <w:p w:rsidR="008107C7" w:rsidRDefault="008107C7" w:rsidP="008107C7">
      <w:pPr>
        <w:pStyle w:val="TextoNormal"/>
      </w:pPr>
    </w:p>
    <w:p w:rsidR="008107C7" w:rsidRDefault="008107C7" w:rsidP="008107C7">
      <w:pPr>
        <w:pStyle w:val="TextoNormal"/>
      </w:pPr>
      <w:r w:rsidRPr="008107C7">
        <w:rPr>
          <w:rStyle w:val="NumeroAFNegritaCaracter"/>
        </w:rPr>
        <w:t>2</w:t>
      </w:r>
      <w:r>
        <w:t>. Por providencia de 19 de febrero de 1996, se tuvo por designado Abogado y Procurador de los Tribunales del turno de oficio, y se requirió a la representación del recurrente para que en el plazo de veinte días formalizara la demanda de amparo, con los requisitos prevenidos en el art. 49 LOTC, sin perjuicio del derecho del Letrado a excusarse de la defensa en el plazo de diez días que previene el art. 9 del Acuerdo del Pleno del Tribunal Constitucional de 20 de diciembre de 1982.</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Por escrito de 11 de julio de 1996, una vez solventado el incidente relativo a la sostenibilidad de la pretensión del recurrente, por su representación procesal en el presente recurso de amparo, se formalizó la correspondiente demanda, basándose en síntesis en los siguientes hechos: </w:t>
      </w:r>
    </w:p>
    <w:p w:rsidR="008107C7" w:rsidRDefault="008107C7" w:rsidP="008107C7">
      <w:pPr>
        <w:pStyle w:val="TextoNormal"/>
      </w:pPr>
      <w:r>
        <w:t xml:space="preserve">A) El día 20 de septiembre de 1995, la Junta de Régimen y Administración del Centro Penitenciario del Huelva, adoptó el Acuerdo sancionador núm. 154/95, por la que se imponía al ahora recurrente la correspondiente sanción, como autor de una falta disciplinaria de carácter grave, de acuerdo con el art. 109.8º R.P., motivada por la desobediencia del citado recluso a una orden dada por un funcionario del Centro Penitenciario de Huelva, a los efectos de que por el mismo se acudiera a la dependencia correspondiente para ser cacheado. </w:t>
      </w:r>
    </w:p>
    <w:p w:rsidR="008107C7" w:rsidRDefault="008107C7" w:rsidP="008107C7">
      <w:pPr>
        <w:pStyle w:val="TextoNormal"/>
      </w:pPr>
      <w:r>
        <w:lastRenderedPageBreak/>
        <w:t xml:space="preserve">B) Notificada dicha sanción al ahora recurrente en tiempo y formal legal, por el mismo se formuló el correspondiente pliego de descargo, en el que no solamente negaba los hechos que han dado motivo a la sanción, sino que al mismo tiempo de llevar a cabo las correspondientes alegaciones, solicitaba su comparecencia ante la citada Junta de Régimen y Administración. No obstante ello, tal comparecencia no se pudo producir, como consecuencia de su traslado desde el Centro Penitenciario de Huelva al de Soto del Real (Madrid). </w:t>
      </w:r>
    </w:p>
    <w:p w:rsidR="008107C7" w:rsidRDefault="008107C7" w:rsidP="008107C7">
      <w:pPr>
        <w:pStyle w:val="TextoNormal"/>
      </w:pPr>
      <w:r>
        <w:t xml:space="preserve">C) Contra el citado Acuerdo sancionador se interpuso recurso de alzada ante el Juzgado de Vigilancia Penitenciaria núm. 1 de Sevilla, que mediante Autos de 2 y 30 de noviembre de 1995 respectivamente, desestimó la pretensión impugnatoria del recurrente, confirmando la resolución recaída en el expediente administrativo sancionador. </w:t>
      </w:r>
    </w:p>
    <w:p w:rsidR="008107C7" w:rsidRDefault="008107C7" w:rsidP="008107C7">
      <w:pPr>
        <w:pStyle w:val="TextoNormal"/>
      </w:pPr>
      <w:r>
        <w:t>D) En el presente recurso de amparo se impugna el Auto de 30 de noviembre de 1995, por el que se desestima, como ha quedado indicado, el recurso de reforma formulado contra el Auto dictado por el Juzgado de Vigilancia Penitenciaria núm. 1 de Sevilla de fecha 2 de noviembre de 1995.</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En cuanto a la fundamentación jurídica de la demanda, el recurrente denuncia la lesión de los apartados primero y segundo del art. 24 C.E. Dicha vulneración se habría producido por las siguientes razones: </w:t>
      </w:r>
    </w:p>
    <w:p w:rsidR="008107C7" w:rsidRDefault="008107C7" w:rsidP="008107C7">
      <w:pPr>
        <w:pStyle w:val="TextoNormal"/>
      </w:pPr>
      <w:r>
        <w:t xml:space="preserve">A) Por el recurrente se había solicitado su comparecencia personal ante la Junta de Régimen y Administración del Centro Penitenciario de Huelva, no habiéndose producido la misma por causa no imputable a él, lo que determina que al habérsele privado de dicha comparecencia, se habrían lesionado sus derechos a la audiencia, a la defensa y a un proceso con todas las garantías (art.24.2 C.E.). </w:t>
      </w:r>
    </w:p>
    <w:p w:rsidR="008107C7" w:rsidRDefault="008107C7" w:rsidP="008107C7">
      <w:pPr>
        <w:pStyle w:val="TextoNormal"/>
      </w:pPr>
      <w:r>
        <w:t>B) El recurrente formuló la denuncia de tal infracción procedimental, tanto en las alegaciones contenidas en el expediente administrativo, como en los recursos formulados ante el Juzgado de Vigilancia Penitenciaria, no obteniendo en las resoluciones dictadas al efecto respuesta alguna a las cuestiones suscitadas en tal sentido, dictándose, finalmente, por el órgano judicial sendas resoluciones cuyos fundamentos jurídicos se encuentran estereotipados, de lo que se deduce la existencia de un vicio de incongruencia omisiva, que implica la quiebra de su derecho a la tutela judicial efectiva (art.24.1 C.E.).</w:t>
      </w:r>
    </w:p>
    <w:p w:rsidR="008107C7" w:rsidRDefault="008107C7" w:rsidP="008107C7">
      <w:pPr>
        <w:pStyle w:val="TextoNormal"/>
      </w:pPr>
    </w:p>
    <w:p w:rsidR="008107C7" w:rsidRDefault="008107C7" w:rsidP="008107C7">
      <w:pPr>
        <w:pStyle w:val="TextoNormal"/>
      </w:pPr>
      <w:r w:rsidRPr="008107C7">
        <w:rPr>
          <w:rStyle w:val="NumeroAFNegritaCaracter"/>
        </w:rPr>
        <w:t>5</w:t>
      </w:r>
      <w:r>
        <w:t>. Por providencia de 24 de septiembre de 1996, se acordó la admisión a trámite de la presente demanda de amparo, así como el emplazamiento del Abogado del Estado conforme a lo dispuesto en el art. 51 LOTC, para que en el plazo máximo e improrrogable de diez días, compareciera en el presente procedimiento constitucional.</w:t>
      </w:r>
    </w:p>
    <w:p w:rsidR="008107C7" w:rsidRDefault="008107C7" w:rsidP="008107C7">
      <w:pPr>
        <w:pStyle w:val="TextoNormal"/>
      </w:pPr>
    </w:p>
    <w:p w:rsidR="008107C7" w:rsidRDefault="008107C7" w:rsidP="008107C7">
      <w:pPr>
        <w:pStyle w:val="TextoNormal"/>
      </w:pPr>
      <w:r w:rsidRPr="008107C7">
        <w:rPr>
          <w:rStyle w:val="NumeroAFNegritaCaracter"/>
        </w:rPr>
        <w:t>6</w:t>
      </w:r>
      <w:r>
        <w:t>. Personado el Abogado del Estado, en tiempo y forma legal, por providencia de 14 de octubre de 1996, conforme a lo dispuesto en el art. 52 LOTC se acordó dar vista de las actuaciones recibidas, y todas las demás actuaciones del presente recurso de amparo en Secretaría, por un plazo común de veinte días al Ministerio Fiscal, al Abogado del Estado, y a la representación procesal del recurrente en amparo, para que dentro de dicho plazo pudieran presentar las alegaciones que a su derecho convinieran.</w:t>
      </w:r>
    </w:p>
    <w:p w:rsidR="008107C7" w:rsidRDefault="008107C7" w:rsidP="008107C7">
      <w:pPr>
        <w:pStyle w:val="TextoNormal"/>
      </w:pPr>
    </w:p>
    <w:p w:rsidR="008107C7" w:rsidRDefault="008107C7" w:rsidP="008107C7">
      <w:pPr>
        <w:pStyle w:val="TextoNormal"/>
      </w:pPr>
      <w:r w:rsidRPr="008107C7">
        <w:rPr>
          <w:rStyle w:val="NumeroAFNegritaCaracter"/>
        </w:rPr>
        <w:t>7</w:t>
      </w:r>
      <w:r>
        <w:t xml:space="preserve">. El Abogado del Estado por escrito de 23 de octubre de 1996, efectuó las siguientes consideraciones jurídicas : </w:t>
      </w:r>
    </w:p>
    <w:p w:rsidR="008107C7" w:rsidRDefault="008107C7" w:rsidP="008107C7">
      <w:pPr>
        <w:pStyle w:val="TextoNormal"/>
      </w:pPr>
      <w:r>
        <w:t xml:space="preserve">A) El interno (con arreglo al art. 130.1.d) del Reglamento Penitenciario vigente en el momento de tramitarse el procedimiento) pudo optar "entre contestar por escrito el pliego </w:t>
      </w:r>
      <w:r>
        <w:lastRenderedPageBreak/>
        <w:t xml:space="preserve">de cargos o verbalmente ante la Junta". Pero, como el propio recluso indica en el hecho primero del recurso de amparo, haciendo uso de dicha opción formuló pliego de descargo y, luego, pretendió, también, ser oído mediante una comparecencia. Es obvio que la resolución de la Junta de Régimen y Administración del Establecimiento penitenciario no se ha dictado inaudita parte. Antes al contrario, ha recaído, previa audiencia, por escrito, del recurrente. Es más, el resultando primero del Acuerdo sancionador recoge, en síntesis, las alegaciones formuladas por el Sr. Carballo en su pliego de descargos, en las que expresaba que "el funcionario le cacheó y no encontró nada que fuera ilícito". Sin embargo, la sanción que se le impuso, con arreglo al art. 109b) del Reglamento Penitenciario entonces vigente, no lo fue por llevar ningún objeto cuya posesión fuese ilícita en el Centro penitenciario, sino por desobedecer reiteradamente y resistirse pasivamente a cumplir las órdenes de un funcionario, para que acudiera "a la dependencia destinada al efecto para ser cacheado". </w:t>
      </w:r>
    </w:p>
    <w:p w:rsidR="008107C7" w:rsidRDefault="008107C7" w:rsidP="008107C7">
      <w:pPr>
        <w:pStyle w:val="TextoNormal"/>
      </w:pPr>
      <w:r>
        <w:t xml:space="preserve">B) Los Autos del Juzgado de Vigilancia Penitenciaria de Sevilla satisfacen las exigencias del art. 24.1 de la C.E. </w:t>
      </w:r>
    </w:p>
    <w:p w:rsidR="008107C7" w:rsidRDefault="008107C7" w:rsidP="008107C7">
      <w:pPr>
        <w:pStyle w:val="TextoNormal"/>
      </w:pPr>
      <w:r>
        <w:t>Dicho precepto constitucional obliga a los órganos judiciales a dictar una resolución fundada en derecho que no puede considerarse cumplida con la mera emisión de una declaración de voluntad. El deber de motivación que la Constitución y la Ley exigen, impone que la decisión judicial esté precedida de la argumentación necesaria para comprobar que la solución dada es consecuencia de una exégesis racional del ordenamiento, y no el fruto de la arbitrariedad. Pero esa exigencia constitucional no obliga a desarrollar extensas argumentaciones, que vayan respondiendo punto por punto a cada una de las alegaciones de las partes. La "exigencia de motivación de las resoluciones judiciales" no comporta necesariamente que el Juez deba efectuar una exhaustiva descripción del proceso intelectual que le lleva a resolver en un determinado sentido, ni le impone un concreto alcance o intensidad en el razonamiento empleado, ni es exigible, desde le perspectiva constitucional, una pormenorizada respuesta a todas las alegaciones de las partes sino que basta, por el contrario, que la motivación cumpla la finalidad de exteriorizar, de un lado, el fundamento de la decisión adoptada, y, de otro, permitir su eventual control jurisdiccional mediante el efectivo ejercicio de los recursos previstos en el ordenamiento jurídico" (STC 70/1990).</w:t>
      </w:r>
    </w:p>
    <w:p w:rsidR="008107C7" w:rsidRDefault="008107C7" w:rsidP="008107C7">
      <w:pPr>
        <w:pStyle w:val="TextoNormal"/>
      </w:pPr>
    </w:p>
    <w:p w:rsidR="008107C7" w:rsidRDefault="008107C7" w:rsidP="008107C7">
      <w:pPr>
        <w:pStyle w:val="TextoNormal"/>
      </w:pPr>
      <w:r w:rsidRPr="008107C7">
        <w:rPr>
          <w:rStyle w:val="NumeroAFNegritaCaracter"/>
        </w:rPr>
        <w:t>8</w:t>
      </w:r>
      <w:r>
        <w:t xml:space="preserve">. Por el Ministerio Fiscal, mediante escrito de 18 de noviembre de 1996, se efectuaron las siguientes manifestaciones: </w:t>
      </w:r>
    </w:p>
    <w:p w:rsidR="008107C7" w:rsidRDefault="008107C7" w:rsidP="008107C7">
      <w:pPr>
        <w:pStyle w:val="TextoNormal"/>
      </w:pPr>
      <w:r>
        <w:t xml:space="preserve">A) Se alega primeramente por el recurrente que se ha vulnerado su derecho fundamental a obtener la tutela judicial efectiva en el expediente sancionador de que fue objeto núm. 154/95. </w:t>
      </w:r>
    </w:p>
    <w:p w:rsidR="008107C7" w:rsidRDefault="008107C7" w:rsidP="008107C7">
      <w:pPr>
        <w:pStyle w:val="TextoNormal"/>
      </w:pPr>
      <w:r>
        <w:t xml:space="preserve">A resultas del mismo se le impuso al actor una sanción consistente en tres fines de semana de aislamiento en celda, al considerarle responsable de un falta grave de desobediencia al funcionario al negarse a ser cacheado. </w:t>
      </w:r>
    </w:p>
    <w:p w:rsidR="008107C7" w:rsidRDefault="008107C7" w:rsidP="008107C7">
      <w:pPr>
        <w:pStyle w:val="TextoNormal"/>
      </w:pPr>
      <w:r>
        <w:t xml:space="preserve">B) Consta en el expediente que el recurrente efectuó las alegaciones oportunas en su defensa ante la Junta de Régimen y Administración del Centro, aduciendo no ser cierta la falta que se le imputaba, "pues de hecho el funcionario me cacheó y no me encontró nada que fuera ilícito", añadiendo que a lo que se negó fue a contestar a una pregunta que se le había efectuado. Constan igualmente que ante la notificación del pliego de cargos el recurrente presentó instancia a la que acompañaba escrito con diversas alegaciones en su defensa, y en donde además solicitaba su comparecencia ante la Junta. </w:t>
      </w:r>
    </w:p>
    <w:p w:rsidR="008107C7" w:rsidRDefault="008107C7" w:rsidP="008107C7">
      <w:pPr>
        <w:pStyle w:val="TextoNormal"/>
      </w:pPr>
      <w:r>
        <w:t xml:space="preserve">De lo anterior se deduce por lo tanto que el recurrente tuvo la oportunidad de efectuar las alegaciones que estimó convenientes, y aunque no tuvo lugar la comparecencia en forma personal lo cierto es que ninguna indefensión se le ocasionó pues a la hora de dictar la </w:t>
      </w:r>
      <w:r>
        <w:lastRenderedPageBreak/>
        <w:t xml:space="preserve">resolución sancionadora pudieron tomarse en cuanta los argumentos esgrimidos en su defensa. </w:t>
      </w:r>
    </w:p>
    <w:p w:rsidR="008107C7" w:rsidRDefault="008107C7" w:rsidP="008107C7">
      <w:pPr>
        <w:pStyle w:val="TextoNormal"/>
      </w:pPr>
      <w:r>
        <w:t xml:space="preserve">C) Sin embargo, no puede decirse lo mismo en relación a los Autos dictados por el Juzgado de Vigilancia Penitenciaria de Sevilla. De forma reiterada ha declarado el Tribunal que del art. 24.1 de la C.E. se deriva una exigencia de motivación de las resoluciones judiciales, por cuanto constituye una garantía esencial del justiciable, mediante la cual, se puede comprobar que la solución dada a cada caso es consecuencia "de una exégesis racional del ordenamiento y no el fruto de la arbitrariedad, permitiendo además el adecuado ejercicio de los recursos previstos, y, consiguientemente, el control de la decisión judicial (SSTC 116/1986). </w:t>
      </w:r>
    </w:p>
    <w:p w:rsidR="008107C7" w:rsidRDefault="008107C7" w:rsidP="008107C7">
      <w:pPr>
        <w:pStyle w:val="TextoNormal"/>
      </w:pPr>
      <w:r>
        <w:t xml:space="preserve">Es cierto igualmente que se ha admitido la validez de las resoluciones "seriadas" o standard en la medida en que permitan conocer las razones tenidas en cuenta por el juzgador, pero lo que no cabe es la admisión de resoluciones como las dictadas en el caso que nos ocupa, en que ninguna de las alegaciones esgrimidas por el recurrente han sido tenidas en cuenta o contestadas. </w:t>
      </w:r>
    </w:p>
    <w:p w:rsidR="008107C7" w:rsidRDefault="008107C7" w:rsidP="008107C7">
      <w:pPr>
        <w:pStyle w:val="TextoNormal"/>
      </w:pPr>
      <w:r>
        <w:t>Efectivamente tanto el Auto que resuelve el recurso de alzada interpuesto por el interno como el que resuelve la reforma contra el anterior, carecen de la más mínima motivación y justificación de la medida acordada. En ellos no se da respuesta a las alegaciones realizadas por el recurrente, limitándose a una contestación de carácter estereotipado que puede resultar aplicable a cualquier otro supuesto, por lo que en definitiva se ha producido la vulneración del art. 24.1 C.E. aducida.</w:t>
      </w:r>
    </w:p>
    <w:p w:rsidR="008107C7" w:rsidRDefault="008107C7" w:rsidP="008107C7">
      <w:pPr>
        <w:pStyle w:val="TextoNormal"/>
      </w:pPr>
    </w:p>
    <w:p w:rsidR="008107C7" w:rsidRDefault="008107C7" w:rsidP="008107C7">
      <w:pPr>
        <w:pStyle w:val="TextoNormal"/>
      </w:pPr>
      <w:r w:rsidRPr="008107C7">
        <w:rPr>
          <w:rStyle w:val="NumeroAFNegritaCaracter"/>
        </w:rPr>
        <w:t>9</w:t>
      </w:r>
      <w:r>
        <w:t>. La representación procesal del recurrente en amparo no efectuó alegación alguna en el trámite procesal concedido al efecto.</w:t>
      </w:r>
    </w:p>
    <w:p w:rsidR="008107C7" w:rsidRDefault="008107C7" w:rsidP="008107C7">
      <w:pPr>
        <w:pStyle w:val="TextoNormal"/>
      </w:pPr>
    </w:p>
    <w:p w:rsidR="008107C7" w:rsidRDefault="008107C7" w:rsidP="008107C7">
      <w:pPr>
        <w:pStyle w:val="TextoNormal"/>
      </w:pPr>
      <w:r w:rsidRPr="008107C7">
        <w:rPr>
          <w:rStyle w:val="NumeroAFNegritaCaracter"/>
        </w:rPr>
        <w:t>10</w:t>
      </w:r>
      <w:r>
        <w:t>. Por providencia de 17 de marzo de 1997, se señaló para la deliberación y votación de la presente Sentencia el día 18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Como tantas veces ha recordado la doctrina jurisprudencial de este Tribunal (STC 129/1995, con cita de las SSTC 74/1985, 2/1987, 120/1990 y 57/1994, entre otras), el internamiento de un ciudadano, en un Centro Penitenciario vincula al interno con la Administración estableciendo una relación de sujeción especial que le somete a un poder administrativo autónomo y más intenso, que el que se proyecta en general, sobre el común de las personas. Por ello, sin duda, el ejercicio de ese poder ha de estar sujeto a normas legales de estricta observancia encontrándose, además, limitado, tanto por la finalidad propia de dicha relación conforme al art. 1 de la L.O.G.P. como por el valor preferente de los derechos fundamentales del recluso que el art. 25.2 de la C.E. expresamente reconoce (SSTC 129/1990, 57/1994 y 129/1995).</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Una vez más, las ideas de equilibrio y proporcionalidad deben ser proyectadas al mundo jurídico penitenciario en el que la exigencia del orden y seguridad del centro y, por tanto, el deber del preso de acatar y observar las normas de régimen interior reguladoras de la vida del establecimiento (STC 57/1994) han de hacerse compatibles con la consideración </w:t>
      </w:r>
      <w:r>
        <w:lastRenderedPageBreak/>
        <w:t>debida al interno en cuanto titular de todos los derechos que corresponden a cualquier ciudadano o persona sin más excepciones que aquellas que derivan de las limitaciones de la sentencia condenatoria, y las que son inherentes a la situación de privación de libertad en cuanto al sentido de la pena y la ley penitenciaria de acuerdo con la L.O.G.P., y de conformidad con el art. 25.2 C.E.</w:t>
      </w:r>
    </w:p>
    <w:p w:rsidR="008107C7" w:rsidRDefault="008107C7" w:rsidP="008107C7">
      <w:pPr>
        <w:pStyle w:val="TextoNormal"/>
      </w:pPr>
      <w:r>
        <w:t>En estos derechos ha de incluirse el de ser juzgado en relación con un determinado comportamiento en la prisión, rodeado de las correspondientes garantías entre las cuales figura, además de otras igualmente relevantes, la proscripción de toda indefensión que en cierta medida se proyecta a una serie de derechos reconocidos en la Constitución y en el resto del ordenamiento jurídico, tal como el derecho a acudir a la vía judicial para conseguir la tutela efectiva, y a recibir una respuesta motivada en Derecho.</w:t>
      </w:r>
    </w:p>
    <w:p w:rsidR="008107C7" w:rsidRDefault="008107C7" w:rsidP="008107C7">
      <w:pPr>
        <w:pStyle w:val="TextoNormal"/>
      </w:pPr>
    </w:p>
    <w:p w:rsidR="008107C7" w:rsidRDefault="008107C7" w:rsidP="008107C7">
      <w:pPr>
        <w:pStyle w:val="TextoNormal"/>
      </w:pPr>
      <w:r w:rsidRPr="008107C7">
        <w:rPr>
          <w:rStyle w:val="NumeroAFNegritaCaracter"/>
        </w:rPr>
        <w:t>3</w:t>
      </w:r>
      <w:r>
        <w:t>. No será ocioso recordar en este orden de cosas, que en el concreto ámbito penitenciario una de las consecuencias más dolorosas de la privación de libertad es, precisamente, la reducción de la intimidad de quienes la sufren (SSTC 195/1996 con cita de las SSTC 89/1987 y 57/1994), y en el mismo sentido, tampoco puede olvidarse la especial significación que tiene la sanción de aislamiento en celda que supone una todavía más intensa privación de libertad sobre el denominador común de las penas o medidas de esta naturaleza.</w:t>
      </w:r>
    </w:p>
    <w:p w:rsidR="008107C7" w:rsidRDefault="008107C7" w:rsidP="008107C7">
      <w:pPr>
        <w:pStyle w:val="TextoNormal"/>
      </w:pPr>
      <w:r>
        <w:t>Así las cosas, hay que volver a recordar la STC 195/1996 que establece que, de acuerdo con los principios que inspiran la doctrina de este Tribunal, lo definitivamente importante es que el silencio parcial (y, por tanto, más aún el total) de una resolución respecto de un tema debatido sitúa a la parte en indefensión, y esto sucede siempre que resulte imposible o especialmente dificultoso descubrir las razones en que la desestimación se basa.</w:t>
      </w:r>
    </w:p>
    <w:p w:rsidR="008107C7" w:rsidRDefault="008107C7" w:rsidP="008107C7">
      <w:pPr>
        <w:pStyle w:val="TextoNormal"/>
      </w:pPr>
      <w:r>
        <w:t>En el supuesto que ahora se enjuicia, frente a dos Autos prácticamente impresos en su totalidad, es imposible descubrir las razones o argumentos que el órgano judicial utiliza para rechazar las pretensiones del recurrente, que en sus correspondientes escritos planteaba una serie de problemas, que como queda dicho, no recibieron ninguna respuesta lo que no es obviamente equiparable a la explicación breve o concisa.</w:t>
      </w:r>
    </w:p>
    <w:p w:rsidR="008107C7" w:rsidRDefault="008107C7" w:rsidP="008107C7">
      <w:pPr>
        <w:pStyle w:val="TextoNormal"/>
      </w:pPr>
    </w:p>
    <w:p w:rsidR="008107C7" w:rsidRDefault="008107C7" w:rsidP="008107C7">
      <w:pPr>
        <w:pStyle w:val="TextoNormal"/>
      </w:pPr>
      <w:r w:rsidRPr="008107C7">
        <w:rPr>
          <w:rStyle w:val="NumeroAFNegritaCaracter"/>
        </w:rPr>
        <w:t>4</w:t>
      </w:r>
      <w:r>
        <w:t>. Respecto del Acuerdo ya mencionado, el recurrente había solicitado asistir a la Junta de Régimen y Administración para poderse defender, lo que no le fue posible, según el mismo manifiesta, al ser trasladado a la Prisión de Soto del Real por motivo de estudios estimando por ello que se le produjo indefensión.  Pero es lo cierto que el interno, ahora recurrente en amparo, al recibir el pliego de cargos formuló el correspondiente escrito de descargo negando la realidad de los hechos que se le imputaban, en los términos que en el escrito se contienen. Es decir hubo contradicción entre las posiciones del funcionario que firmó el parte y el interno. El demandante en amparo que no propuso prueba alguna, fue oído y tuvo oportunidad de alegar lo que estimó conveniente a su derecho, sin que por otra parte, de acuerdo con la normativa vigente, fuera exigible el traslado nuevamente a Huelva para ser oído personalmente puesto que por escrito, como ya se ha dicho, lo fue.</w:t>
      </w:r>
    </w:p>
    <w:p w:rsidR="008107C7" w:rsidRDefault="008107C7" w:rsidP="008107C7">
      <w:pPr>
        <w:pStyle w:val="TextoNormal"/>
      </w:pPr>
    </w:p>
    <w:p w:rsidR="008107C7" w:rsidRDefault="008107C7" w:rsidP="008107C7">
      <w:pPr>
        <w:pStyle w:val="TextoNormal"/>
      </w:pPr>
      <w:r w:rsidRPr="008107C7">
        <w:rPr>
          <w:rStyle w:val="NumeroAFNegritaCaracter"/>
        </w:rPr>
        <w:t>5</w:t>
      </w:r>
      <w:r>
        <w:t>. En este caso, el demandante en amparo, después de serle impuesta la sanción de internamiento de tres fines de semana en celda de aislamiento por una falta grave consistente en desobedecer a un funcionario, por Acuerdo de la Junta de Régimen y Administración del Establecimiento penitenciario de Huelva, de 20 de septiembre de 1995, interpuso recurso de alzada ante el Juzgado de Vigilancia Penitenciaria de Sevilla exponiendo las razones por las que, a su juicio, dicho Acuerdo debía ser declarado nulo.</w:t>
      </w:r>
    </w:p>
    <w:p w:rsidR="008107C7" w:rsidRDefault="008107C7" w:rsidP="008107C7">
      <w:pPr>
        <w:pStyle w:val="TextoNormal"/>
      </w:pPr>
      <w:r>
        <w:lastRenderedPageBreak/>
        <w:t>Como el recurso de amparo se dirige también contra el Auto del Juzgado de Vigilancia Penitenciaria núm. 1 de Sevilla dictado el día 30 de noviembre de 1995 que desestimó el recurso de reforma interpuesto contra el primero, de 2 de noviembre, que, a su vez, desestimó el de alzada interpuesto contra el Acuerdo mencionado sancionador de la Junta de Régimen han de ser objeto de examen cada una de estas reclamaciones alcanzando así el recurso un carácter mixto, incluible en los arts. 43 y 44 LOTC.</w:t>
      </w:r>
    </w:p>
    <w:p w:rsidR="008107C7" w:rsidRDefault="008107C7" w:rsidP="008107C7">
      <w:pPr>
        <w:pStyle w:val="TextoNormal"/>
      </w:pPr>
    </w:p>
    <w:p w:rsidR="008107C7" w:rsidRDefault="008107C7" w:rsidP="008107C7">
      <w:pPr>
        <w:pStyle w:val="TextoNormal"/>
      </w:pPr>
      <w:r w:rsidRPr="008107C7">
        <w:rPr>
          <w:rStyle w:val="NumeroAFNegritaCaracter"/>
        </w:rPr>
        <w:t>6</w:t>
      </w:r>
      <w:r>
        <w:t>. Al serle notificada la sanción, concluido el expediente disciplinario, el demandante de amparo interpuso recurso de alzada. El Juzgado de Vigilancia Penitenciaria núm. 1 de Sevilla, por providencia de 24 de octubre de 1995, ordena formar el correspondiente expediente, su registro, y dar traslado al Ministerio Fiscal para que informe sobre lo procedente. El Fiscal devuelve el expediente con dicho informe en el que solo figura esta breve expresión "Vº desestimación. Sevilla 27.10.95.", por consiguiente sin el más mínimo razonamiento en orden a la postura favorable al rechazo del recurso por él mantenida. El Auto del Juzgado de 2 de noviembre del mismo año que resuelve el recurso, está todo él impreso sin más complementos específicos que el nombre y apellidos del interno y las fechas correspondientes a las vicisitudes procedimentales.  Concretamente, en los fundamentos jurídicos toda la argumentación que se contiene es una respuesta totalmente impresa que pudiera utilizarse para todo tipo de impugnaciones. Interpuesto el recurso de reforma en el que el interno pone de manifiesto la total carencia de fundamentación de la resolución judicial, el Auto resolutorio de 30 de noviembre ofrece idénticas características que el anterior. Todo él está impreso salvo los datos personales del recurrente y las fechas correspondientes.</w:t>
      </w:r>
    </w:p>
    <w:p w:rsidR="008107C7" w:rsidRDefault="008107C7" w:rsidP="008107C7">
      <w:pPr>
        <w:pStyle w:val="TextoNormal"/>
      </w:pPr>
      <w:r>
        <w:t>El interno no recibió, pues, una respuesta motivada pese a que en el escrito de interposición del recurso se alegaba precisamente indefensión en razón a las circunstancias que de manera pormenorizada se exponían, entendiéndose, por otra parte, a juicio del demandante de amparo, violado, el principio constitucional de presunción de inocencia.</w:t>
      </w:r>
    </w:p>
    <w:p w:rsidR="008107C7" w:rsidRDefault="008107C7" w:rsidP="008107C7">
      <w:pPr>
        <w:pStyle w:val="TextoNormal"/>
      </w:pPr>
      <w:r>
        <w:t>Por ello procede estimar el recurso en el sentido de reconocer al recurrente el derecho a recibir una respuesta razonada en Derecho debiéndose en este sentido anular los Autos dictados por el Juzgado de Vigilancia Penitenciaria núm. 1 de Sevilla.</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Conceder parcialmente el amparo solicitado por don José Rafael Carballo Araujo y, en su virtud,</w:t>
      </w:r>
    </w:p>
    <w:p w:rsidR="008107C7" w:rsidRDefault="008107C7" w:rsidP="008107C7">
      <w:pPr>
        <w:pStyle w:val="TextoNormal"/>
      </w:pPr>
      <w:r>
        <w:t>1º.  Reconocer el derecho del recurrente a la tutela judicial efectiva (art.24.1 C.E.)</w:t>
      </w:r>
    </w:p>
    <w:p w:rsidR="008107C7" w:rsidRDefault="008107C7" w:rsidP="008107C7">
      <w:pPr>
        <w:pStyle w:val="TextoNormal"/>
      </w:pPr>
      <w:r>
        <w:t>2º. Anular los Autos del Juzgado de Vigilancia Penitenciaria núm. 1 de Sevilla de fechas 2 y 30 de noviembre de 1995.</w:t>
      </w:r>
    </w:p>
    <w:p w:rsidR="008107C7" w:rsidRDefault="008107C7" w:rsidP="008107C7">
      <w:pPr>
        <w:pStyle w:val="TextoNormal"/>
      </w:pPr>
      <w:r>
        <w:t>3º. Retrotraer las actuaciones al momento procesal oportuno a fin de que por el referido Juzgado se dicte motivadamente la resolución que estime procedente en Derecho.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dieciocho de marzo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lastRenderedPageBreak/>
        <w:br w:type="page"/>
      </w:r>
    </w:p>
    <w:p w:rsidR="008107C7" w:rsidRDefault="008107C7" w:rsidP="008107C7">
      <w:pPr>
        <w:pStyle w:val="TtuloResolucin"/>
      </w:pPr>
      <w:bookmarkStart w:id="64" w:name="SENTENCIA_1997_61"/>
      <w:r>
        <w:lastRenderedPageBreak/>
        <w:t>SENTENCIA 61/1997, de 20 de marzo de 1997</w:t>
      </w:r>
    </w:p>
    <w:bookmarkEnd w:id="64"/>
    <w:p w:rsidR="008107C7" w:rsidRDefault="008107C7" w:rsidP="008107C7">
      <w:pPr>
        <w:pStyle w:val="TtuloResolucin"/>
      </w:pPr>
      <w:r>
        <w:t>Pleno</w:t>
      </w:r>
    </w:p>
    <w:p w:rsidR="008107C7" w:rsidRDefault="008107C7" w:rsidP="008107C7">
      <w:pPr>
        <w:pStyle w:val="TtuloResolucin"/>
      </w:pPr>
    </w:p>
    <w:p w:rsidR="008107C7" w:rsidRDefault="008107C7" w:rsidP="008107C7">
      <w:pPr>
        <w:pStyle w:val="TtuloBOE"/>
      </w:pPr>
      <w:r>
        <w:t>("BOE" núm. 99, de 25 de abril de 1997)</w:t>
      </w:r>
    </w:p>
    <w:p w:rsidR="008107C7" w:rsidRDefault="008107C7" w:rsidP="008107C7">
      <w:pPr>
        <w:pStyle w:val="TtuloBOE"/>
      </w:pPr>
    </w:p>
    <w:p w:rsidR="008107C7" w:rsidRDefault="008107C7" w:rsidP="008107C7">
      <w:pPr>
        <w:pStyle w:val="SntesisDescriptiva"/>
      </w:pPr>
      <w:r>
        <w:t>ECLI:ES:TC:1997:61</w:t>
      </w:r>
    </w:p>
    <w:p w:rsidR="008107C7" w:rsidRDefault="008107C7" w:rsidP="008107C7">
      <w:pPr>
        <w:pStyle w:val="SntesisDescriptiva"/>
      </w:pPr>
    </w:p>
    <w:p w:rsidR="008107C7" w:rsidRDefault="008107C7" w:rsidP="008107C7">
      <w:pPr>
        <w:pStyle w:val="SntesisDescriptiva"/>
      </w:pPr>
      <w:r>
        <w:t>Recursos de inconstitucionalidad 2477/1990, 2479/1990, 2481/1990, 2486/1990, 2487/1990, 2488/1990, 2337/1992, 2341/1992 y 2342/1992 (acumulados). Promovidos, respectivamente, por el Parlamento de Navarra, el Consejo de Gobierno de la Diputación Regional de Cantabria,  el Consejo Ejecutivo de la Generalidad de Cataluña, la Diputación General de Aragón, la Junta de Castilla y León y el Gobierno de Canarias contra la Ley 8/1990, sobre Reforma del Régimen Urbanístico y Valoraciones del Suelo y, en los recursos promovidos por el Consejo de Gobierno de la Comunidad Autónoma de las Islas Baleares, La Diputación General de Aragón y el Consejo Ejecutivo de la Generalidad de Cataluña frente al Texto Refundido de la Ley sobre el Régimen del Suelo y Ordenación Urbana, aprobado por Real Decreto Legislativo 1/1992, de 26 de junio. Voto particular.</w:t>
      </w:r>
    </w:p>
    <w:p w:rsidR="008107C7" w:rsidRDefault="008107C7" w:rsidP="008107C7">
      <w:pPr>
        <w:pStyle w:val="SntesisDescriptiva"/>
      </w:pPr>
    </w:p>
    <w:p w:rsidR="008107C7" w:rsidRDefault="008107C7" w:rsidP="008107C7">
      <w:pPr>
        <w:pStyle w:val="SntesisAnaltica"/>
      </w:pPr>
    </w:p>
    <w:p w:rsidR="008107C7" w:rsidRDefault="008107C7" w:rsidP="008107C7">
      <w:pPr>
        <w:pStyle w:val="SntesisAnaltica"/>
      </w:pPr>
    </w:p>
    <w:p w:rsidR="008107C7" w:rsidRDefault="008107C7" w:rsidP="008107C7">
      <w:pPr>
        <w:pStyle w:val="Extracto"/>
      </w:pPr>
      <w:r>
        <w:t>1.</w:t>
      </w:r>
      <w:r>
        <w:tab/>
        <w:t>El Decreto legislativo, como norma con rango de Ley emanada por el Gobierno, sólo es constitucionalmente válido si se dicta en el marco de las condiciones que fijan los arts. 82 a 85 C.E., disponiendo concretamente el art. 82.2, «in fine», que la correspondiente delegación legislativa tenga lugar «por una ley ordinaria cuando se trate de refundir varios textos legales en uno solo». Este requisito, que sin duda puede proyectarse sobre la constitucionalidad de la ley de delegación, afecta también, y en todo caso, a la validez del Decreto legislativo eventualmente aprobado por el Gobierno con fundamento en dicha ley de delegación. No es dudoso, por tanto, que el T.R.L.S., como Decreto legislativo, puede ser impugnado y, consiguientemente, controlado por este Tribunal en lo que al cumplimiento del específico requisito más arriba señalado se refiere. La Ley de delegación sólo puede ser derogada por el texto refundido en la medida en que, por lo que aquí interesa, haya incorporado los textos legales que deba refundir. [F.J. 2]</w:t>
      </w:r>
    </w:p>
    <w:p w:rsidR="008107C7" w:rsidRDefault="008107C7" w:rsidP="008107C7">
      <w:pPr>
        <w:pStyle w:val="Extracto"/>
      </w:pPr>
    </w:p>
    <w:p w:rsidR="008107C7" w:rsidRDefault="008107C7" w:rsidP="008107C7">
      <w:pPr>
        <w:pStyle w:val="Extracto"/>
      </w:pPr>
      <w:r>
        <w:t>2.</w:t>
      </w:r>
      <w:r>
        <w:tab/>
        <w:t>Por su parte, la Ley Orgánica del Tribunal Constitucional no limita nuestro enjuiciamiento de los Decretos legislativos a ninguna de sus condiciones constitucionales de validez [arts. 82 C.E. y 27.2 b) LOTC]. La impugnación en tiempo del Decreto legislativo permite denunciar contra el mismo, ante esta jurisdicción, cualesquiera quiebras de la Constitución, y entre ellas, como aquí ocurre, la de la falta o defecto del presupuesto del ejercicio en tiempo de la delegación legislativa (art. 82.3 C.E.). Por tanto, ha de ser posible, en un proceso constitucional en que se cuestiona la validez de la Ley delegada, enjuiciar también los motivos de inconstitucionalidad que sean atribuibles a la Ley de delegación. [F.J. 2]</w:t>
      </w:r>
    </w:p>
    <w:p w:rsidR="008107C7" w:rsidRDefault="008107C7" w:rsidP="008107C7">
      <w:pPr>
        <w:pStyle w:val="Extracto"/>
      </w:pPr>
    </w:p>
    <w:p w:rsidR="008107C7" w:rsidRDefault="008107C7" w:rsidP="008107C7">
      <w:pPr>
        <w:pStyle w:val="Extracto"/>
      </w:pPr>
      <w:r>
        <w:t>3.</w:t>
      </w:r>
      <w:r>
        <w:tab/>
        <w:t xml:space="preserve">La Disposición final quinta de la Ley de Presupuestos Generales del Estado para 1992 por la que se otorga un nuevo plazo para la refundición no incorpora «disposiciones de carácter general en materias propias de la Ley ordinaria» (STC 65/1990) o «normas típicas del Derecho codificado» (STC 76/1992), ni tampoco </w:t>
      </w:r>
      <w:r>
        <w:lastRenderedPageBreak/>
        <w:t>«una norma reguladora, aunque sea en clave negativa, de la naturaleza y el régimen jurídico» de un instituto (STC 178/1994). Las facultades de examen, enmienda y aprobación de las Cámaras Legislativas fueron ejercidas plenamente al aprobar la Ley 8/1990, sobre Reforma del Régimen Urbanístico y Valoraciones del Suelo, que modificó el Texto Refundido de la Ley del Suelo de 1976 entonces en vigor. Nada ha sido hurtado al debate parlamentario ni se han menoscabado las potestades legislativas de las Cortes Generales y el respeto a las minorías parlamentarias en el sentido proscrito por la Constitución como consecuencia de la utilización de un procedimiento legislativo especial ni tampoco el debate presupuestario y «el contenido primordial que caracteriza a la Ley de Presupuestos» han resultado desvirtuados por la introducción en ella de una peculiar delegación legislativa como la aquí contemplada. Desde la perspectiva de la seguridad jurídica, y con independencia de que no se haya llevado a cabo una regulación jurídico-material cuando se autoriza la refundición de la Ley de reforma con los textos legales anteriores, primero en la misma Ley 8/1990 y luego en la Ley 31/1991 de Presupuestos Generales del Estado, las Cortes Generales, lejos de producir inseguridad jurídica, han servido a este principio constitucional (art. 9.3), también en cuanto habilitan al Gobierno para reducir a unidad las sucesivas reformas legales. [F.J. 2]</w:t>
      </w:r>
    </w:p>
    <w:p w:rsidR="008107C7" w:rsidRDefault="008107C7" w:rsidP="008107C7">
      <w:pPr>
        <w:pStyle w:val="Extracto"/>
      </w:pPr>
    </w:p>
    <w:p w:rsidR="008107C7" w:rsidRDefault="008107C7" w:rsidP="008107C7">
      <w:pPr>
        <w:pStyle w:val="Extracto"/>
      </w:pPr>
      <w:r>
        <w:t>4.</w:t>
      </w:r>
      <w:r>
        <w:tab/>
        <w:t>La regla general en el ámbito de los recursos de inconstitucionalidad es, cuando la norma impugnada es derogada, la extinción del proceso. En ese sentido, ha de tenerse por desaparecido el objeto del proceso en punto a las escasas pretensiones materiales o sustantivas que algunos recursos dedujeron frente a la Ley 8/1990. La doctrina recaída en relación con la derogación de las normas objeto de un conflicto de competencias (entre otras, las SSTC 182/1988 y 248/1988; 194/1994) es también de aplicación a los recursos de inconstitucionalidad de carácter conflictual, y habrá de estarse, en definitiva, a las circunstancias que en él concurren (aquí, entre otras, el fenómeno de la delegación normativa) y, ante todo, a la pervivencia de la controversia competencial. [F.J. 3]</w:t>
      </w:r>
    </w:p>
    <w:p w:rsidR="008107C7" w:rsidRDefault="008107C7" w:rsidP="008107C7">
      <w:pPr>
        <w:pStyle w:val="Extracto"/>
      </w:pPr>
    </w:p>
    <w:p w:rsidR="008107C7" w:rsidRDefault="008107C7" w:rsidP="008107C7">
      <w:pPr>
        <w:pStyle w:val="Extracto"/>
      </w:pPr>
      <w:r>
        <w:t>5.</w:t>
      </w:r>
      <w:r>
        <w:tab/>
        <w:t>La necesidad de delimitación de los ámbitos competenciales en relación con la Ley 8/1990 no puede estimarse subsistente, habida cuenta de que será satisfecha al analizar, desde la perspectiva constitucional, la norma que la ha sustituido y que, a la vez, al enjuiciar las impugnaciones relativas al T.R.L.S., se resolverán las cuestiones en torno a la ley delegada. [F.J. 3]</w:t>
      </w:r>
    </w:p>
    <w:p w:rsidR="008107C7" w:rsidRDefault="008107C7" w:rsidP="008107C7">
      <w:pPr>
        <w:pStyle w:val="Extracto"/>
      </w:pPr>
    </w:p>
    <w:p w:rsidR="008107C7" w:rsidRDefault="008107C7" w:rsidP="008107C7">
      <w:pPr>
        <w:pStyle w:val="Extracto"/>
      </w:pPr>
      <w:r>
        <w:t>6.</w:t>
      </w:r>
      <w:r>
        <w:tab/>
        <w:t>La Ley 8/1990 y el T.R.L.S. de 1992, son dos textos normativos formalmente distintos, emanados además de órganos constitucionales diferentes. Ninguna restricción ha de pesar, pues, sobre la impugnación del segundo de dichos textos derivada de la no impugnación anterior del primero de ellos, restricción que la LOTC no contempla, dado que el objeto del proceso constitucional es, en principio, el texto legal y no la norma cuyo mandato ese texto expresa (STC 11/1981) . [F.J. 4]</w:t>
      </w:r>
    </w:p>
    <w:p w:rsidR="008107C7" w:rsidRDefault="008107C7" w:rsidP="008107C7">
      <w:pPr>
        <w:pStyle w:val="Extracto"/>
      </w:pPr>
    </w:p>
    <w:p w:rsidR="008107C7" w:rsidRDefault="008107C7" w:rsidP="008107C7">
      <w:pPr>
        <w:pStyle w:val="Extracto"/>
      </w:pPr>
      <w:r>
        <w:t>7.</w:t>
      </w:r>
      <w:r>
        <w:tab/>
        <w:t xml:space="preserve">Como se advierte en la STC 42/1985, «siendo la legitimación para la acción de inconstitucionalidad una potestad atribuida directamente por la Constitución a determinados órganos o miembros de órganos representativos y no una facultad que derive del derecho del que se es titular, es claro que no puede ser delegado ni </w:t>
      </w:r>
      <w:r>
        <w:lastRenderedPageBreak/>
        <w:t>transmitido el poder para ejercerla y que, en consecuencia, la decisión de impugnar no puede ser adoptada en términos genéricos...» . [F.J. 4]</w:t>
      </w:r>
    </w:p>
    <w:p w:rsidR="008107C7" w:rsidRDefault="008107C7" w:rsidP="008107C7">
      <w:pPr>
        <w:pStyle w:val="Extracto"/>
      </w:pPr>
    </w:p>
    <w:p w:rsidR="008107C7" w:rsidRDefault="008107C7" w:rsidP="008107C7">
      <w:pPr>
        <w:pStyle w:val="Extracto"/>
      </w:pPr>
      <w:r>
        <w:t>8.</w:t>
      </w:r>
      <w:r>
        <w:tab/>
        <w:t>La exclusividad competencial que atribuye el art. 148 C.E. a las Comunidades Autónomas no autoriza a desconocer la que, con el mismo carácter, viene reservada al Estado por virtud del art. 149.1 C.E. Procede, pues, afirmar que la competencia autonómica en materia de urbanismo ha de coexistir con aquéllas que el Estado ostenta en virtud del art. 149.1 C.E, cuyo ejercicio puede condicionar, lícitamente, la competencia de las Comunidades Autónomas sobre el mencionado Sector material . [F.J. 5]</w:t>
      </w:r>
    </w:p>
    <w:p w:rsidR="008107C7" w:rsidRDefault="008107C7" w:rsidP="008107C7">
      <w:pPr>
        <w:pStyle w:val="Extracto"/>
      </w:pPr>
    </w:p>
    <w:p w:rsidR="008107C7" w:rsidRDefault="008107C7" w:rsidP="008107C7">
      <w:pPr>
        <w:pStyle w:val="Extracto"/>
      </w:pPr>
      <w:r>
        <w:t>9.</w:t>
      </w:r>
      <w:r>
        <w:tab/>
        <w:t>El urbanismo, como sector material susceptible de atribución competencial, alude a la disciplina jurídica del hecho social o colectivo de los asentamientos de población en el espacio físico, lo que en el plano jurídico se traduce en la «ordenación urbanística», como objeto normativo de las leyes urbanísticas ( recogida en la primera Ley del Suelo de 1956, art. 1). Sin propósito definitorio, el contenido del urbanismo se traduce en concretas potestades (en cuanto atribuidas a o controladas por Entes públicos), tales como las referidas al planeamiento, la gestión o ejecución de instrumentos planificadores y la intervención administrativa en las facultades dominicales sobre el uso del suelo y edificación, a cuyo servicio se arbitran técnicas jurídicas concretas; a lo que ha de añadirse la determinación, en lo pertinente, del régimen jurídico del suelo en tanto que soporte de la actividad transformadora que implica la urbanización y edificación. Si bien la Constitución no define lo que haya de entenderse por urbanismo, sí proporciona, junto al derecho a disfrutar de una vivienda digna y adecuada (art. 47 C.E., párrafo primero), una serie de importantes principios rectores de la política, en este caso urbanística, a las que han de atenerse en el ejercicio de sus respectivas competencias los Entes públicos . [F.J. 6]</w:t>
      </w:r>
    </w:p>
    <w:p w:rsidR="008107C7" w:rsidRDefault="008107C7" w:rsidP="008107C7">
      <w:pPr>
        <w:pStyle w:val="Extracto"/>
      </w:pPr>
    </w:p>
    <w:p w:rsidR="008107C7" w:rsidRDefault="008107C7" w:rsidP="008107C7">
      <w:pPr>
        <w:pStyle w:val="Extracto"/>
      </w:pPr>
      <w:r>
        <w:t>10.</w:t>
      </w:r>
      <w:r>
        <w:tab/>
        <w:t>La competencia autonómica exclusiva sobre urbanismo ha de integrarse sistemáticamente con aquellas otras estatales que, si bien en modo alguno podrían legitimar una regulación general del entero régimen jurídico del suelo, pueden propiciar, sin embargo, que se afecte puntualmente a la materia urbanística. No debe perderse de vista que en el reparto competencial efectuado por la C.E. es a las Comunidades Autónomas a las que se ha atribuido la competencia exclusiva sobre el urbanismo, y por ende es a tales Entes públicos a los que compete emanar normas que afecten a la ordenación urbanística, en el sentido más arriba expuesto . [F.J. 6]</w:t>
      </w:r>
    </w:p>
    <w:p w:rsidR="008107C7" w:rsidRDefault="008107C7" w:rsidP="008107C7">
      <w:pPr>
        <w:pStyle w:val="Extracto"/>
      </w:pPr>
    </w:p>
    <w:p w:rsidR="008107C7" w:rsidRDefault="008107C7" w:rsidP="008107C7">
      <w:pPr>
        <w:pStyle w:val="Extracto"/>
      </w:pPr>
      <w:r>
        <w:t>11.</w:t>
      </w:r>
      <w:r>
        <w:tab/>
        <w:t xml:space="preserve">Importa delimitar por vía negativa el título competencial residenciado en el art. 149.1.1 C.E. De una parte, no se puede identificar con el contenido derivado de otros preceptos constitucionales, tales como los arts. 138.2 y 139.1, que son presupuestos o límites, pero no títulos competenciales; o el art. 139.2, en cuanto expresión de la unidad de mercado y del derecho a la libre circulación. De otra, el art. 149.1.1. C.E. no viene a ser un trasunto, en el plano competencial, del art. 14 C.E., que, por lo demás, vincula a todos los poderes públicos. Este título estatal no representa, pues, una suerte de prohibición para el legislador autonómico de un </w:t>
      </w:r>
      <w:r>
        <w:lastRenderedPageBreak/>
        <w:t>trato divergente y desproporcionado respecto de la legislación estatal. Ha de añadirse que «condiciones básicas» no es sinónimo de «legislación básica», «bases» o «normas básicas». El art. 149.1.1. C.E., en efecto, no ha atribuido al Estado la fijación de los derechos y libertades constitucionales, sino sólo el establecimiento -eso sí, entero- de aquellas condiciones básicas que tiendan a garantizar la igualdad. La competencia ex art 149.1.1. C.E. no se mueve en la lógica de las bases estatales-legislación autonómica de desarrollo. Las condiciones básicas no equivalen ni se identifican tampoco con el contenido esencial de los derechos (art. 53.1 C.E.), técnica cuyo objeto, como hemos reiterado desde la STC 11/1981, consiste en garantizar el derecho frente a los eventuales abusos o extralimitaciones de los poderes públicos, en particular y en primer término, del legislador, cualquiera que éste sea, en su tarea reguladora. El contenido esencial constituye, pues, una garantía constitucional en favor del individuo, algo a respetar por el legislador en cada caso competente, no para regular; no es, en definitiva, una técnica que permita determinar lo que al Estado o a las Comunidades Autónomas les corresponde . [F.J. 7]</w:t>
      </w:r>
    </w:p>
    <w:p w:rsidR="008107C7" w:rsidRDefault="008107C7" w:rsidP="008107C7">
      <w:pPr>
        <w:pStyle w:val="Extracto"/>
      </w:pPr>
    </w:p>
    <w:p w:rsidR="008107C7" w:rsidRDefault="008107C7" w:rsidP="008107C7">
      <w:pPr>
        <w:pStyle w:val="Extracto"/>
      </w:pPr>
      <w:r>
        <w:t>12.</w:t>
      </w:r>
      <w:r>
        <w:tab/>
        <w:t>En términos positivos es de advertir que la «materia» sobre la que recae o proyecta son los derechos constitucionales en sentido estricto, así como los deberes básicos. Ahora bien, las condiciones básicas que garanticen la igualdad se predican de los derechos y deberes constitucionales en sí mismos considerados, no de los sectores materiales en los que éstos se insertan y, en consecuencia, el art. 149.1.1. C.E. sólo presta cobertura a aquellas condiciones que guarden una estrecha relación, directa e inmediata, con los derechos que la Constitución reconoce. El art. 149.1.1. C.E. no puede operar como una especie de título horizontal, capaz de introducirse en cualquier materia o sector del ordenamiento por el mero hecho de que pudieran ser reconducibles, siquiera sea remotamente, hacia un derecho o deber constitucional. El art. 149.1.1. C.E. constituye un título competencial autónomo, positivo o habilitante, constreñido al ámbito normativo y no debe ser entendido como una prohibición de divergencia autonómica, ni tampoco como un título residual. La regulación de esas condiciones básicas sí corresponde por entero y en exclusiva al Estado, pero con tal normación, como es evidente, no se determina ni se agota su entero régimen jurídico . [F.J. 7]</w:t>
      </w:r>
    </w:p>
    <w:p w:rsidR="008107C7" w:rsidRDefault="008107C7" w:rsidP="008107C7">
      <w:pPr>
        <w:pStyle w:val="Extracto"/>
      </w:pPr>
    </w:p>
    <w:p w:rsidR="008107C7" w:rsidRDefault="008107C7" w:rsidP="008107C7">
      <w:pPr>
        <w:pStyle w:val="Extracto"/>
      </w:pPr>
      <w:r>
        <w:t>13.</w:t>
      </w:r>
      <w:r>
        <w:tab/>
        <w:t>Las «condiciones básicas» hacen referencia al contenido primario (STC 154/1988) del derecho, a las posiciones jurídicas fundamentales (facultades elementales, límites esenciales, deberes fundamentales, prestaciones básicas, ciertas premisas o presupuestos previos...). En todo caso, las condiciones básicas han de ser las imprescindibles o necesarias para garantizar esa igualdad, que no puede consistir en una igualdad formal absoluta. Dentro de esas «condiciones básicas» cabe entender incluidos asimismo aquellos criterios que guardan una relación necesaria e inmediata con aquéllas, tales como el objeto o ámbito material sobre el que recaen las facultades que integran el derecho. Al Estado le compete regular las «condiciones básicas» que garanticen la «igualdad» de todos los propietarios del suelo en el ejercicio de su derecho de propiedad urbana, es decir, la «igualdad básica» en lo que se refiere a las valor aciones y al régimen urbanístico de la propiedad del suelo . [F.J. 8]</w:t>
      </w:r>
    </w:p>
    <w:p w:rsidR="008107C7" w:rsidRDefault="008107C7" w:rsidP="008107C7">
      <w:pPr>
        <w:pStyle w:val="Extracto"/>
      </w:pPr>
    </w:p>
    <w:p w:rsidR="008107C7" w:rsidRDefault="008107C7" w:rsidP="008107C7">
      <w:pPr>
        <w:pStyle w:val="Extracto"/>
      </w:pPr>
      <w:r>
        <w:lastRenderedPageBreak/>
        <w:t>14.</w:t>
      </w:r>
      <w:r>
        <w:tab/>
        <w:t>El Tribunal reitera la doctrina sintetizada en la STC 156/1995, según la cual, «en relación precisamente con el derecho a la propiedad que reconoce el art. 33 C.E., hemos señalado que el título del art. 149.1.1. C.E. no habilita para establecer una regulación uniforme de la propiedad privada, y su función social ni esa pretendida uniformidad puede servir de pretexto para anular las competencias legislativas que las Comunidades Autónomas tienen sobre todas aquellas materias en las que entre en juego la propiedad (STC 37/1987). Al Estado le corresponde ciertamente establecer la regulación del contenido básico y primario del derecho de propiedad, en la medida en que afecte a las condiciones básicas de su ejercicio, pero el referido título competencial no habilita por sí mismo para que el Estado pueda regular cualquier circunstancia que, de forma más o menos directa, pueda incidir sobre la igualdad en el ejercicio del derecho. El propio tenor literal del precepto deja claro que la igualdad que se persigue no es la identidad de las situaciones jurídicas de todos los ciudadanos en cualquier zona del territorio nacional (lo que por otra parte sería incompatible con la opción por un Estado organizado en la forma establecida en el Título VIII de la Constitución), sino la que queda garantizada con el establecimiento de las condiciones básicas, que, por tanto, establecen un mínimo común denominador y cuya regulación, ésta sí, es competencia del Estado», como consecuencia de este título que tiene, sin duda, un carácter específico y autónomo, en cuanto que le atribuye al Estado ciertas facultades según el derecho constitucional de que se trate (SSTC 37/1987, 149/1991, 154/1988, 75 y 86/1990, 82/1986, 52/1988, 87/1985, etc.) . [F.J. 9]</w:t>
      </w:r>
    </w:p>
    <w:p w:rsidR="008107C7" w:rsidRDefault="008107C7" w:rsidP="008107C7">
      <w:pPr>
        <w:pStyle w:val="Extracto"/>
      </w:pPr>
    </w:p>
    <w:p w:rsidR="008107C7" w:rsidRDefault="008107C7" w:rsidP="008107C7">
      <w:pPr>
        <w:pStyle w:val="Extracto"/>
      </w:pPr>
      <w:r>
        <w:t>15.</w:t>
      </w:r>
      <w:r>
        <w:tab/>
        <w:t>La legislación estatal dictada al amparo del art. 149.1.1. C.E. en relación con aquellas manifestaciones del dominio sobre las que las Comunidades Autónomas sí ostentan competencias, no puede utilizarse para regular la política autonómica sectorial correspondiente, puesto que tal resultado supondría vaciar de todo contenido la competencia autonómica. A través de esas condiciones básicas, por tanto, no se puede configurar el modelo de urbanismo que la Comunidad Autónoma y la Administración local, en el ejercicio de sus respectivas competencias, pretendan diseñar, ni definir o predeterminar las técnicas o instrumentos urbanísticos al servicio de esas estrategias territoriales, aunque, como se verá, puedan condicionar indirectamente ambos extremos. Habrá que distinguir, pues, aquellas normas urbanísticas que guardan una directa e inmediata relación con el derecho de propiedad (ámbito al que se circunscribe el art. 149.1.1. C.E.) y del que se predican las condiciones básicas de aquellas otras que tienen por objeto o se refieren a la ordenación de la ciudad, esto es, las normas que, en sentido amplio, regulan la actividad de urbanización y edificación de los terrenos para la creación de ciudad . [F.J. 9]</w:t>
      </w:r>
    </w:p>
    <w:p w:rsidR="008107C7" w:rsidRDefault="008107C7" w:rsidP="008107C7">
      <w:pPr>
        <w:pStyle w:val="Extracto"/>
      </w:pPr>
    </w:p>
    <w:p w:rsidR="008107C7" w:rsidRDefault="008107C7" w:rsidP="008107C7">
      <w:pPr>
        <w:pStyle w:val="Extracto"/>
      </w:pPr>
      <w:r>
        <w:t>16.</w:t>
      </w:r>
      <w:r>
        <w:tab/>
        <w:t xml:space="preserve">La adquisición del contenido urbanístico susceptible de apropiación privada, su valoración, o los presupuestos previos -o delimitación negativa- para que pueda nacer el derecho de propiedad urbana, por ejemplo, son elementos que, en principio, pueden considerarse amparados por la competencia estatal que se localiza en el art. 149.1.1. C.E., como ya se ha anticipado en el fundamento jurídico 8., «in fine». Al mismo tiempo, el Estado tiene competencia para fijar las condiciones básicas que garanticen la igualdad en el cumplimiento de los deberes constitucionales y, en consecuencia, para regular los deberes básicos que sean inherentes a cada </w:t>
      </w:r>
      <w:r>
        <w:lastRenderedPageBreak/>
        <w:t>manifestación del dominio. De ahí que puedan encontrar cobijo bajo la competencia estatal las manifestaciones más elementales de la función social de la propiedad urbana, los deberes básicos que a su titular corresponde satisfacer. Por otra parte, es claro que el art. 149.1.1. C. E. permite al legislador estatal opciones diversas y, a la postre, modelos diferentes de propiedad urbana, en sus condiciones básicas, claro está, pero cuya influencia sobre el entero estatuto legal de esta forma de propiedad tampoco cabe desconocer. A resultas de esas condiciones básicas, por tanto, el Estado puede plasmar una determinada concepción del derecho de propiedad urbana, en sus líneas más fundamentales, como, por ejemplo y entre otras, la que disocia la propiedad del suelo del derecho a edificar, modelo éste que ha venido siendo tradicional en nuestro urbanismo. Las normas estatales emanadas bajo la cobertura del art. 149.1.1. C.E. pueden encontrar su mejor expresión a través de principios o reglas generales que, en definitiva, sirvan para garantizar la igualdad en las posiciones jurídicas fundamentales . [F.J. 10]</w:t>
      </w:r>
    </w:p>
    <w:p w:rsidR="008107C7" w:rsidRDefault="008107C7" w:rsidP="008107C7">
      <w:pPr>
        <w:pStyle w:val="Extracto"/>
      </w:pPr>
    </w:p>
    <w:p w:rsidR="008107C7" w:rsidRDefault="008107C7" w:rsidP="008107C7">
      <w:pPr>
        <w:pStyle w:val="Extracto"/>
      </w:pPr>
      <w:r>
        <w:t>17.</w:t>
      </w:r>
      <w:r>
        <w:tab/>
        <w:t>El art. 149.1.18. C.E. contiene en su conjunto un bloque de materias de mayor espectro que el que representa el art. 149.1.1. C.E., que sólo es susceptible de afectar a la intervención pública sobre los derechos en juego en el ámbito del urbanismo, señaladamente del derecho de propiedad . [F.J. 11]</w:t>
      </w:r>
    </w:p>
    <w:p w:rsidR="008107C7" w:rsidRDefault="008107C7" w:rsidP="008107C7">
      <w:pPr>
        <w:pStyle w:val="Extracto"/>
      </w:pPr>
    </w:p>
    <w:p w:rsidR="008107C7" w:rsidRDefault="008107C7" w:rsidP="008107C7">
      <w:pPr>
        <w:pStyle w:val="Extracto"/>
      </w:pPr>
      <w:r>
        <w:t>18.</w:t>
      </w:r>
      <w:r>
        <w:tab/>
        <w:t>Por lo que se refiere a las «normas de aplicación plena», esta categoría no tiene correspondencia en el texto constitucional, por lo que habrá de estarse, sin fijar cuál sea el sentido y alcance que el legislador ha querido atribuirla, a lo establecido en el orden constitucional de competencias. La «supletoriedad del Derecho estatal ha de ser inferida por el aplicador del Derecho autonómico, mediante el uso de las reglas de interpretación pertinentes». Por consiguiente, «la cláusula de supletoriedad no permite que el Derecho estatal colme, sin más, la falta de regulación autonómica en una materia. El presupuesto de aplicación de la supletoriedad que la Constitución establece no es la ausencia de regulación, sino la presencia de una laguna detectada como tal por el aplicador del Derecho» (STC 118/1996). Dado que a partir de los arts. 148 y 149 C.E., todos los Estatutos de Autonomía atribuyen a las Comunidades Autónomas la competencia exclusiva sobre la materia de urbanismo, es evidente que el Estado no puede dictar normas supletorias al carecer de un título competencial específico que así lo legitime, sin que por otra parte el hecho de ostentar otros títulos competenciales susceptibles de incidir sobre la materia pueda justificar la invocación de la cláusula de supletoriedad del art. 149.3, «in fine», C.E. La calificación como normas supletorias, pues, en coherencia con cuanto se ha dicho, es contraria al art. 149.3 C.E., «in fine», y al orden constitucional de competencias. En consecuencia, han de ser declarados inconstitucionales tanto el apartado 3. de la Disposición final única como los preceptos así calificados, esto es, todos aquellos que, de conformidad con lo que establece la indicada Disposición, no tienen carácter de norma básica ni de aplicación plena . [F.J. 12]</w:t>
      </w:r>
    </w:p>
    <w:p w:rsidR="008107C7" w:rsidRDefault="008107C7" w:rsidP="008107C7">
      <w:pPr>
        <w:pStyle w:val="Extracto"/>
      </w:pPr>
    </w:p>
    <w:p w:rsidR="008107C7" w:rsidRDefault="008107C7" w:rsidP="008107C7">
      <w:pPr>
        <w:pStyle w:val="Extracto"/>
      </w:pPr>
      <w:r>
        <w:t>19.</w:t>
      </w:r>
      <w:r>
        <w:tab/>
        <w:t xml:space="preserve">La imposibilidad de dictar normas supletorias con tal exclusivo propósito allí donde el Estado carece de competencias sobre la materia, como en el caso del urbanismo, trae también como consecuencia que la refundición de textos legales no sea la técnica legislativa más adecuada en manos del legislador estatal, puesto que, </w:t>
      </w:r>
      <w:r>
        <w:lastRenderedPageBreak/>
        <w:t>a menos que tal refundición se circunscriba a aquellos textos legales o normas sobre las que el Estado sí ostente algún título, incurriría en vicio de incompetencia. La declaración de inconstitucionalidad del apartado tercero de la Disposición final única, así como de las propias disposiciones por ella concernidas, en aplicación de nuestra doctrina sobre la cláusula de supletoriedad, debe conducir a la declaración de la inconstitucionalidad por consecuencia (art. 39.1 LOTC) del apartado primero de la Disposición derogatoria única. Si la cláusula de supletoriedad no es una fuente atributiva, en positivo, de competencias estatales, ni aun con carácter supletorio, tampoco puede serlo en negativo; es decir, tampoco puede ser un título que le permita al Estado derogar el que era su propio Derecho, en este caso sobre urbanismo, pero que ya ha dejado de serlo o, más exactamente, que ya no se encuentra a su disposición, ya sea para alterarlo (aun con eficacia supletoria) o para derogarlo. De otro modo, si el legislador estatal suprimiese, mediante su derogación, el derecho sobre una materia cuya competencia ya no es suya, sino de las Comunidades Autónomas, vendría a quebrantar una de las finalidades básicas de la cláusula de supletoriedad, cual es la de que, con la constitución de los órganos de poder de las Comunidades Autónomas y su correspondiente asunción de competencias normativas, no se origine un vacío parcial del ordenamiento, permitiendo y prescribiendo, con este propósito, la aplicación supletoria, potencialmente indefinida, del ordenamiento estatal . [F.J. 12]</w:t>
      </w:r>
    </w:p>
    <w:p w:rsidR="008107C7" w:rsidRDefault="008107C7" w:rsidP="008107C7">
      <w:pPr>
        <w:pStyle w:val="Extracto"/>
      </w:pPr>
    </w:p>
    <w:p w:rsidR="008107C7" w:rsidRDefault="008107C7" w:rsidP="008107C7">
      <w:pPr>
        <w:pStyle w:val="Extracto"/>
      </w:pPr>
      <w:r>
        <w:t>20.</w:t>
      </w:r>
      <w:r>
        <w:tab/>
        <w:t>No bastaría con que el recurso se limitara a hacer afirmaciones de principio y de carácter abstracto sobre un conjunto de títulos competenciales para luego concluir que el o los preceptos en cuestión no responden a la tesis previamente sustentada, sin nexo argumental alguno. En tal hipótesis podría tenerse incluso por no impugnado el precepto de que se trate. Ello supone que «no debe estimarse una pretensión que sólo descansa en la mera aseveración genérica de la pretendida inconstitucionalidad» (STC 43/1996). «No puede este Tribunal razonar en abstracto cuando el proceso constitucional atiende a controversias fundadas en una «vindicatio potestatis» porque entonces la carga del actor de pormenorizar el despojo competencial que denuncia es, si cabe, mayor que en otros procesos.» «El juicio sobre el alcance de las bases tiene una naturaleza eminentemente jurídica, lo que impide descalificaciones globales imprecisas, exigiendo, por el contrario, la fundamentación concreta de por qué en cada caso debe entenderse vulnerado el bloque de la constitucionalidad» (STC 132/1989) . [F.J. 13]</w:t>
      </w:r>
    </w:p>
    <w:p w:rsidR="008107C7" w:rsidRDefault="008107C7" w:rsidP="008107C7">
      <w:pPr>
        <w:pStyle w:val="Extracto"/>
      </w:pPr>
    </w:p>
    <w:p w:rsidR="008107C7" w:rsidRDefault="008107C7" w:rsidP="008107C7">
      <w:pPr>
        <w:pStyle w:val="Extracto"/>
      </w:pPr>
      <w:r>
        <w:t>21.</w:t>
      </w:r>
      <w:r>
        <w:tab/>
        <w:t>No ha de olvidarse que las condiciones básicas a que se refiere el art. 149. 1.1. C.E. expresan en última instancia una cierta concepción del derecho de propiedad que, por lo que aquí interesa, se resuelve en la determinación, con carácter meramente instrumental y como presupuesto mismo de la propiedad urbana, de las diversas clases de suelo. Bajo este perfil, el art. 9.1 T.R.L.S. dispone tan sólo la existencia de tres supuestos básicos por relación con el derecho de propiedad urbana, a fin de distinguir otros tantos regímenes jurídicos fundamentales: suelo en el que no puede darse esta forma de propiedad ( delimitación negativa); suelo en el que sí puede establecerse y, por tanto, se encuentra abierto a un proceso de adquisición; y, en fin, suelo en el que ya se ha consolidado su existencia . [F.J. 15]</w:t>
      </w:r>
    </w:p>
    <w:p w:rsidR="008107C7" w:rsidRDefault="008107C7" w:rsidP="008107C7">
      <w:pPr>
        <w:pStyle w:val="Extracto"/>
      </w:pPr>
    </w:p>
    <w:p w:rsidR="008107C7" w:rsidRDefault="008107C7" w:rsidP="008107C7">
      <w:pPr>
        <w:pStyle w:val="Extracto"/>
      </w:pPr>
      <w:r>
        <w:lastRenderedPageBreak/>
        <w:t>22.</w:t>
      </w:r>
      <w:r>
        <w:tab/>
        <w:t>Es claro que delimitar los diversos usos a que puede destinarse el suelo o espacio físico constituye uno de los aspectos básicos del urbanismo y, en términos más generales, de la ordenación del territorio, pero ello no puede significar, en el plano competencial, que cualquier norma que incida sobre el territorio, siquiera sea de forma mediata o negativa, tenga que quedar subsumida en la competencia autonómica sobre ordenación del territorio, puesto que ello supondría atribuirle un alcance tan amplio que desconocería el contenido específico de otros muchos títulos competenciales, no sólo del Estado, máxime si tenemos en cuenta que la mayor parte de las políticas sectoriales tienen una incidencia o dimensión espacial. La prohibición de edificar en suelo no urbanizable -o categoría análoga según la legislación autonómica- encaja, pues, dentro de las condiciones básicas de la propiedad urbana . [F.J. 16]</w:t>
      </w:r>
    </w:p>
    <w:p w:rsidR="008107C7" w:rsidRDefault="008107C7" w:rsidP="008107C7">
      <w:pPr>
        <w:pStyle w:val="Extracto"/>
      </w:pPr>
    </w:p>
    <w:p w:rsidR="008107C7" w:rsidRDefault="008107C7" w:rsidP="008107C7">
      <w:pPr>
        <w:pStyle w:val="Extracto"/>
      </w:pPr>
      <w:r>
        <w:t>23.</w:t>
      </w:r>
      <w:r>
        <w:tab/>
        <w:t>No sería concebible la regulación de las condiciones básicas de un derecho como el de propiedad que sólo pudiera contener «facultades absolutas», sin límite o deber de ningún género, siquiera fuera, como afirma el art. 149.1.1. C. E., para regular las «condiciones básicas» de su ejercicio y cumplimiento . [F.J. 17]</w:t>
      </w:r>
    </w:p>
    <w:p w:rsidR="008107C7" w:rsidRDefault="008107C7" w:rsidP="008107C7">
      <w:pPr>
        <w:pStyle w:val="Extracto"/>
      </w:pPr>
    </w:p>
    <w:p w:rsidR="008107C7" w:rsidRDefault="008107C7" w:rsidP="008107C7">
      <w:pPr>
        <w:pStyle w:val="Extracto"/>
      </w:pPr>
      <w:r>
        <w:t>24.</w:t>
      </w:r>
      <w:r>
        <w:tab/>
        <w:t>La relación de los deberes urbanísticos básicos que contiene el art. 20.1 y el principio de la adquisición gradual de facultades urbanísticas (art. 20.2) ponen de manifiesto su encaje material dentro de las «condiciones básicas» de ejercicio del derecho de propiedad urbana (art. 149.1.1. C.E.). Sin embargo, desde la competencia ex art. 149.1.1. C.E., no es posible definir o predeterminar las técnicas urbanísticas que al legislador autonómico corresponde libremente arbitrar en el marco de las condiciones básicas . [F.J. 17]</w:t>
      </w:r>
    </w:p>
    <w:p w:rsidR="008107C7" w:rsidRDefault="008107C7" w:rsidP="008107C7">
      <w:pPr>
        <w:pStyle w:val="Extracto"/>
      </w:pPr>
    </w:p>
    <w:p w:rsidR="008107C7" w:rsidRDefault="008107C7" w:rsidP="008107C7">
      <w:pPr>
        <w:pStyle w:val="Extracto"/>
      </w:pPr>
      <w:r>
        <w:t>25.</w:t>
      </w:r>
      <w:r>
        <w:tab/>
        <w:t xml:space="preserve">Ha de admitirse que el art. 149.1.1. C.E., tal como ha sido interpretado, puede comprender asimismo el establecimiento -en pro de las condiciones básicas que garanticen la igualdad en el ejercicio del derecho de propiedad- de un mínimo del aprovechamiento urbanístico objeto de apropiación, esto es, el contenido básico o elemental del derecho de propiedad urbana (bien sea por referencia a algunos criterios básicos o principios generales que hayan de observarse en todo el territorio nacional, bien sea acudiendo incluso a alguna fórmula abstracta que permita una cuantificación, siempre que en uno y otro caso no exceda de las condiciones básicas ni se invada por esta vía la competencia urbanística). También puede el Estado fijar un criterio mínimo en punto a la recuperación por la comunidad de las plusvalías generadas por la acción de los entes públicos (art. 47 C.E.), en caso de que opte por un modelo de devolución a través de la determinación del aprovechamiento urbanístico susceptible de apropiación. En todo caso, esta regulación estatal ha de dejar un margen dentro del cual las Comunidades Autónomas puedan ejercer sus competencias. No cabe sino concluir que la regulación del art. 27 T.R.L.S. es contraria al orden constitucional de distribución de competencias, en primer lugar, por el carácter fijo y no mínimo tanto de la determinación del aprovechamiento urbanístico susceptible de apropiación por los propietarios, como implícitamente de la recuperación por la comunidad de las plusvalías urbanísticas; en segundo lugar, porque tal determinación la establece acudiendo a un complejo entramado de concretas técnicas urbanísticas (áreas de reparto, aprovechamiento </w:t>
      </w:r>
      <w:r>
        <w:lastRenderedPageBreak/>
        <w:t>tipo), que pertenecen a la competencia exclusiva en materia de urbanismo de las Comunidades Autónomas (art. 148.1.3. C.E.) . [F.J. 17]</w:t>
      </w:r>
    </w:p>
    <w:p w:rsidR="008107C7" w:rsidRDefault="008107C7" w:rsidP="008107C7">
      <w:pPr>
        <w:pStyle w:val="Extracto"/>
      </w:pPr>
    </w:p>
    <w:p w:rsidR="008107C7" w:rsidRDefault="008107C7" w:rsidP="008107C7">
      <w:pPr>
        <w:pStyle w:val="Extracto"/>
      </w:pPr>
      <w:r>
        <w:t>26.</w:t>
      </w:r>
      <w:r>
        <w:tab/>
        <w:t>El procedimiento expropiatorio o el de venta forzosa no constituyen procedimientos sancionadores «stricto sensu», ni estas medidas tienen una finalidad sancionadora a los efectos del art. 25 C.E. La reserva constitucional en favor del Estado sobre la legislación de expropiación forzosa no excluye que «por Ley autonómica puedan establecerse, en el ámbito de sus propias competencias, los casos o supuestos en que procede aplicar la expropiación forzosa determinando las causas de expropiar y los fines de interés público a que aquélla debe servir» (SSTC 37/1987 y 17/1990). Cabe concluir, pues, que será el Estado o la Comunidad Autónoma, de acuerdo con la titularidad de la competencia material, los que podrán, en su caso, definir una «causa expropriandi», lo que, aplicado al tema que nos ocupa, permite sostener que al Estado le es lícito definir legalmente como «causa expropriandi» el incumplimiento de la función social de la propiedad, cuando se trate del incumplimiento de aquellos deberes básicos cuya regulación compete al amparo del art. 149.1.1. C.E., en tanto que a las Comunidades Autónomas les incumbe definir, en su caso, otras posibles causas de expropiar como técnica al servicio, entre otras materias, del cumplimiento de los deberes dominicales que con respeto de las condiciones básicas cumpla a las Comunidades Autónomas establecer en virtud del art. 148.1.3. C.E. y de sus respectivos Estatutos de Autonomía. Al Estado le compete la «regulación uniforme de la institución como garantía de los particulares afectados», tal como hemos declarado en reiterada jurisprudencia ( SSTC 37/1987 y 17/1990) . [F.J. 17]</w:t>
      </w:r>
    </w:p>
    <w:p w:rsidR="008107C7" w:rsidRDefault="008107C7" w:rsidP="008107C7">
      <w:pPr>
        <w:pStyle w:val="Extracto"/>
      </w:pPr>
    </w:p>
    <w:p w:rsidR="008107C7" w:rsidRDefault="008107C7" w:rsidP="008107C7">
      <w:pPr>
        <w:pStyle w:val="Extracto"/>
      </w:pPr>
      <w:r>
        <w:t>27.</w:t>
      </w:r>
      <w:r>
        <w:tab/>
        <w:t>La regulación de las condiciones básicas «ex» art. 149.1.1 C.E. no puede por sí misma llegar a imponer conductas determinadas a otros Entes públicos, habida cuenta que el destinatario de dicho título competencial es exclusivamente el ciudadano, en cuanto titular de derechos y deberes constitucionales. La dimensión temporal de la propiedad urbana y de su ejercicio mediante la materialización del aprovechamiento urbanístico, es decir, del derecho a edificar, tiene su respaldo en el mandato del constituyente de regular la utilización del suelo de acuerdo con el interés general para impedir la especulación, en conexión con el derecho de todos los españoles al disfrute de una vivienda digna y adecuada (art. 47 C.E.), directrices constitucionales éstas que quedarían desatendidas si la incorporación de los propietarios al proceso urbanizador y edificatorio quedase deferida a su libre y omnímoda decisión desde una perspectiva temporal. Si bien la fijación de plazos, su prorrogabilidad o no, el instrumento en que deban establecerse y otras concreciones de la dimensión temporal de la propiedad urbana deban ser remitidas al legislador autonómico. Bajo este perfil, parece asimismo evidente que la referencia al tiempo o a la existencia y cumplimiento de plazos no sea sino uno de los elementos integrantes de tales condiciones básicas . [F.J. 17]</w:t>
      </w:r>
    </w:p>
    <w:p w:rsidR="008107C7" w:rsidRDefault="008107C7" w:rsidP="008107C7">
      <w:pPr>
        <w:pStyle w:val="Extracto"/>
      </w:pPr>
    </w:p>
    <w:p w:rsidR="008107C7" w:rsidRDefault="008107C7" w:rsidP="008107C7">
      <w:pPr>
        <w:pStyle w:val="Extracto"/>
      </w:pPr>
      <w:r>
        <w:t>28.</w:t>
      </w:r>
      <w:r>
        <w:tab/>
        <w:t xml:space="preserve">La declaración de inconstitucionalidad del art. 31.1 T.R.L.S. no obedece, por tanto, a que no quepa concebir, entre las condiciones básicas a que se refiere el art. 149.1.1. C.E., el momento a partir del cual se obtiene el aprovechamiento urbanístico, sino, más bien, a que, en este concreto supuesto, excede de la competencia estatal, por cuanto, en suma, hace depender un efecto jurídico -la adquisición del </w:t>
      </w:r>
      <w:r>
        <w:lastRenderedPageBreak/>
        <w:t>aprovechamiento- de un presupuesto de hecho que pertenece a la disposición de la competencia legislativa de las Comunidades Autónomas (la categoría de suelo urbano; el concepto de actuaciones asistemáticas; la previa aprobación de un instrumento de planeamiento). La determinación, con carácter de norma básica, de un supuesto de hecho que indirectamente tiende a prefigurar el modelo urbanístico constituye un recurso que, como venimos reiterando, invade la competencia sobre urbanismo . [F.J. 17]</w:t>
      </w:r>
    </w:p>
    <w:p w:rsidR="008107C7" w:rsidRDefault="008107C7" w:rsidP="008107C7">
      <w:pPr>
        <w:pStyle w:val="Extracto"/>
      </w:pPr>
    </w:p>
    <w:p w:rsidR="008107C7" w:rsidRDefault="008107C7" w:rsidP="008107C7">
      <w:pPr>
        <w:pStyle w:val="Extracto"/>
      </w:pPr>
      <w:r>
        <w:t>29.</w:t>
      </w:r>
      <w:r>
        <w:tab/>
        <w:t>Las diversificaciones normativas son conformes a la igualdad, en definitiva, cuando cabe discernir en ellas una finalidad no contradictoria con la Constitución y cuando, además, las normas de las que la diferencia nace muestran una estructura coherente, en términos de razonable proporcionalidad, con el fin perseguido. Sin embargo, para que la diferenciación resulte constitucionalmente lícita no basta con que lo sea el fin que con ella se persigue. Es indispensable, además, que las consecuencias jurídicas que de la distinción de los supuestos fácticos se derivan sean adecuadas a aquel fin y proporcionadas a las diferencias mismas a las que se viene a dotar así de trascendencia para el Derecho (STC 76/1990). Desde esta perspectiva, el enjuiciamiento abstracto de la norma en cuestión no permite concluir que exista una absoluta y patente falta de proporcionalidad de la medida -única perspectiva que aquí cabe considerar (SSTC 66/1995, 55/1996 y 207/1996)- habida cuenta de las diversas circunstancias concurrentes en cada supuesto . [F.J. 17]</w:t>
      </w:r>
    </w:p>
    <w:p w:rsidR="008107C7" w:rsidRDefault="008107C7" w:rsidP="008107C7">
      <w:pPr>
        <w:pStyle w:val="Extracto"/>
      </w:pPr>
    </w:p>
    <w:p w:rsidR="008107C7" w:rsidRDefault="008107C7" w:rsidP="008107C7">
      <w:pPr>
        <w:pStyle w:val="Extracto"/>
      </w:pPr>
      <w:r>
        <w:t>30.</w:t>
      </w:r>
      <w:r>
        <w:tab/>
        <w:t>Si la competencia material del Estado tan sólo comprende la regulación de las condiciones básicas de ejercicio y de cumplimiento de los deberes (art. 149. 1.1. C.E.), lógico es concluir que al Estado únicamente le compete establecer, paralelamente, las condiciones, también básicas, de su adquisición o pérdida . [F.J. 17]</w:t>
      </w:r>
    </w:p>
    <w:p w:rsidR="008107C7" w:rsidRDefault="008107C7" w:rsidP="008107C7">
      <w:pPr>
        <w:pStyle w:val="Extracto"/>
      </w:pPr>
    </w:p>
    <w:p w:rsidR="008107C7" w:rsidRDefault="008107C7" w:rsidP="008107C7">
      <w:pPr>
        <w:pStyle w:val="Extracto"/>
      </w:pPr>
      <w:r>
        <w:t>31.</w:t>
      </w:r>
      <w:r>
        <w:tab/>
        <w:t>Es al Estado al que compete determinar la valoración urbanística, pues caen dentro del art. 149.1.18. C.E. la fijación de los criterios de determinación del justiprecio para impedir que los bienes puedan ser evaluados con criterios diferentes en unas y otras partes del territorio nacional (STC 37/1987). A mayor abundamiento, la valoración se halla estrechamente emparentada, desde un punto de vista material, con el contenido del derecho de propiedad, cuyas condiciones básicas corresponde regular al Estado en los términos del art. 149.1.1. C.E. . [F.J. 19]</w:t>
      </w:r>
    </w:p>
    <w:p w:rsidR="008107C7" w:rsidRDefault="008107C7" w:rsidP="008107C7">
      <w:pPr>
        <w:pStyle w:val="Extracto"/>
      </w:pPr>
    </w:p>
    <w:p w:rsidR="008107C7" w:rsidRDefault="008107C7" w:rsidP="008107C7">
      <w:pPr>
        <w:pStyle w:val="Extracto"/>
      </w:pPr>
      <w:r>
        <w:t>32.</w:t>
      </w:r>
      <w:r>
        <w:tab/>
        <w:t xml:space="preserve">Es cierto que, como hemos declarado, el art. 149.1.18 C.E. reserva al Estado en exclusiva la legislación sobre expropiación y no simplemente, como en otras materias, la competencia para establecer las bases o la legislación básica (STC 37/1987). Pero tampoco ello supone que ostente la competencia exclusiva para regular cualquier especie expropiatoria, esto es, para regular por completo, más allá de la legislación general de expropiación forzosa, toda expropiación especial por razón de la materia, al margen de que ostente o no competencias sobre el sector material de que se trate. En el presente caso, dada la naturaleza artificial de la propiedad urbana, parece claro que la legislación del Estado no puede predeterminar el modelo urbanístico por la vía de introducir especies o supuestos -estrictamente urbanísticos- a los que anudar determinadas consecuencias jurídicas, incluyendo las técnicas de calificación y clasificación, los instrumentos de planeamiento, etc., porque </w:t>
      </w:r>
      <w:r>
        <w:lastRenderedPageBreak/>
        <w:t>tal interpretación de la competencia estatal vaciaría de contenido, al menos potencialmente, la competencia urbanística autonómica (art. 148.1.3. C.E.). . [F.J. 21]</w:t>
      </w:r>
    </w:p>
    <w:p w:rsidR="008107C7" w:rsidRDefault="008107C7" w:rsidP="008107C7">
      <w:pPr>
        <w:pStyle w:val="Extracto"/>
      </w:pPr>
    </w:p>
    <w:p w:rsidR="008107C7" w:rsidRDefault="008107C7" w:rsidP="008107C7">
      <w:pPr>
        <w:pStyle w:val="Extracto"/>
      </w:pPr>
      <w:r>
        <w:t>33.</w:t>
      </w:r>
      <w:r>
        <w:tab/>
        <w:t>El Plan Nacional de Ordenación, así configurado, invade la referida competencia exclusiva de las Comunidades Autónomas. No obstante, ha de afirmarse que el Estado tiene constitucionalmente atribuidas una pluralidad de competencias dotadas de una clara dimensión espacial, en tanto que proyectadas de forma inmediata sobre el espacio físico, y que, en consecuencia, su ejercicio incide en la ordenación del territorio (vgr. arts. 149.1, 4, 13, 19, 20, 21, 22, 23, 24, 25 y 28 C.E.). No cabe, pues, negar la legitimidad de que el Estado planifique territorialmente el ejercicio de sus competencias sectoriales haciendo uso de los instrumentos que estime idóneos (como, «ad exem plum», el denominado Plan Director de Infraestructuras); así como que igualmente pueda, al amparo del título competencial del art. 149.1.13. C.E., establecer las adecuadas fórmulas de coordinación, con la ineludible consecuencia de que las decisiones de la Administración estatal con incidencia territorial, adoptadas en el ejercicio de tales competencias, condicionen la estrategia territorial que las Comunidades Autónomas pretendan llevar a cabo (STC 149/1991 y 36/1994) . [F.J. 22]</w:t>
      </w:r>
    </w:p>
    <w:p w:rsidR="008107C7" w:rsidRDefault="008107C7" w:rsidP="008107C7">
      <w:pPr>
        <w:pStyle w:val="Extracto"/>
      </w:pPr>
    </w:p>
    <w:p w:rsidR="008107C7" w:rsidRDefault="008107C7" w:rsidP="008107C7">
      <w:pPr>
        <w:pStyle w:val="Extracto"/>
      </w:pPr>
      <w:r>
        <w:t>34.</w:t>
      </w:r>
      <w:r>
        <w:tab/>
        <w:t>Ha de subrayarse que el Estado no puede imponer los medios o instrumentos urbanísticos en que puedan articularse las condiciones básicas de ejercicio del derecho y del cumplimiento del deber a que se refiere el art. 149.1.1. C.E. ( áreas de reparto; sistemas generales adscritos;carácter indisponible de las áreas; etc.). Medios o instrumentos que pertenecen a la libre opción del legislador autonómico en materia urbanística, por más que, en determinados supuestos, puedan considerarse como una consecuencia casi necesaria de la concepción del derecho de propiedad subyacente a aquellas condiciones básicas, como el establecimiento de zonas o áreas de reparto en las que hacer realidad la equidistribución y los deberes básicos. Pero la definición del régimen jurídico de tales técnicas e instrumentos que, desde luego admite configuraciones diversas, forma parte, pues, de la competencia autonómica en materia urbanística. El Estado, como hemos venido admitiendo, y dadas las características peculiares del régimen jurídico de la propiedad del suelo, puede tomar ciertos puntos de referencia para fijar las condiciones básicas del aprovechamiento urbanístico, en cuanto derecho-deber, tales como los grandes supuestos o tipos de suelo bajo el perfil de la inexistencia, progresiva adquisición o consolidación del derecho de propiedad urbana. Lo que no puede hacer, sin embargo, es imponer una concreta técnica o definir el régimen jurídico de los instrumentos urbanísticos a su servicio, pues de aceptarse una interpretación tan expansiva del art. 149.1.1. C. E., en relación con las competencias autonómicas en materia de urbanismo, restaría a las Comunidades Autónomas una competencia meramente residual, de desarrollo menor, que no se compadece con el orden constitucional de distribución de competencias . [F.J. 24]</w:t>
      </w:r>
    </w:p>
    <w:p w:rsidR="008107C7" w:rsidRDefault="008107C7" w:rsidP="008107C7">
      <w:pPr>
        <w:pStyle w:val="Extracto"/>
      </w:pPr>
    </w:p>
    <w:p w:rsidR="008107C7" w:rsidRDefault="008107C7" w:rsidP="008107C7">
      <w:pPr>
        <w:pStyle w:val="Extracto"/>
      </w:pPr>
      <w:r>
        <w:t>35.</w:t>
      </w:r>
      <w:r>
        <w:tab/>
        <w:t xml:space="preserve">En nuestro caso no se pretende canalizar determinados fondos estatales para la promoción de viviendas de protección pública, ni tampoco regular de forma directa o inmediata tal promoción. Muy al contrario, el objeto directo del art. 98.3 T.R.L.S. es la regulación de uno de los elementos del aprovechamiento tipo, sin </w:t>
      </w:r>
      <w:r>
        <w:lastRenderedPageBreak/>
        <w:t>que su clara conexión con la promoción indirecta y mediata de viviendas de protección pública pueda tener la virtualidad de atraer hacia el art. 149.1.13. C.E. la regulación con carácter básico de la materia, máxime cuando las Comunidades Autónomas han asumido competencias sobre la ordenación del territorio, urbanismo y vivienda, título más directamente implicado que, en el presente caso, ha de prevalecer . [F.J. 24]</w:t>
      </w:r>
    </w:p>
    <w:p w:rsidR="008107C7" w:rsidRDefault="008107C7" w:rsidP="008107C7">
      <w:pPr>
        <w:pStyle w:val="Extracto"/>
      </w:pPr>
    </w:p>
    <w:p w:rsidR="008107C7" w:rsidRDefault="008107C7" w:rsidP="008107C7">
      <w:pPr>
        <w:pStyle w:val="Extracto"/>
      </w:pPr>
      <w:r>
        <w:t>36.</w:t>
      </w:r>
      <w:r>
        <w:tab/>
        <w:t>Si la regulación de los Planes de ordenación urbana se inserta con naturalidad en la competencia material sobre urbanismo y ésta es exclusiva de las Comunidades Autónomas, ha de concluirse que se vulnera el orden competencial cuando el legislador estatal dispone no una llamada genérica a la iniciativa privada para colaborar en la formación de los instrumentos de planeamiento, sino qué concretos tipos de Plan son los que pueden ser objeto de redacción por los particulares, excluyendo de tal modo eventuales regulaciones autonómicas que respondieran a una más amplia o más restringida participación de la iniciativa privada en la formulación del planeamiento . [F.J. 25]</w:t>
      </w:r>
    </w:p>
    <w:p w:rsidR="008107C7" w:rsidRDefault="008107C7" w:rsidP="008107C7">
      <w:pPr>
        <w:pStyle w:val="Extracto"/>
      </w:pPr>
    </w:p>
    <w:p w:rsidR="008107C7" w:rsidRDefault="008107C7" w:rsidP="008107C7">
      <w:pPr>
        <w:pStyle w:val="Extracto"/>
      </w:pPr>
      <w:r>
        <w:t>37.</w:t>
      </w:r>
      <w:r>
        <w:tab/>
        <w:t>La competencia en materia de urbanismo pertenece sustancialmente a las Comunidades Autónomas (art. 148.1.3. C.E.), sin que en este supuesto pueda el Estado invocar título competencial alguno que le permita determinar qué instrumentos de planeamiento han de formular los Ayuntamientos . [F.J. 25]</w:t>
      </w:r>
    </w:p>
    <w:p w:rsidR="008107C7" w:rsidRDefault="008107C7" w:rsidP="008107C7">
      <w:pPr>
        <w:pStyle w:val="Extracto"/>
      </w:pPr>
    </w:p>
    <w:p w:rsidR="008107C7" w:rsidRDefault="008107C7" w:rsidP="008107C7">
      <w:pPr>
        <w:pStyle w:val="Extracto"/>
      </w:pPr>
      <w:r>
        <w:t>38.</w:t>
      </w:r>
      <w:r>
        <w:tab/>
        <w:t>El Estado ostenta competencias exclusivas para dictar normas de procedimiento administrativo común (art. 149.1.18. C.E.), entre las que se incluyen aquellas garantías o derechos procedimentales que hayan de respetarse para la formulación de las disposiciones administrativas que afecten a los ciudadanos. Aunque el legislador estatal podría haber dispuesto con carácter general y respecto de toda forma de planeamiento urbanístico la obligatoriedad de la garantía de la información pública al amparo del art. 149.1.18. C.E., y no en relación con un concreto instrumento (el Plan Director) -cuya misma existencia depende de cada Comunidad Autónoma-, parece claro que la regulación que lleva a cabo el art. 113.2 T.R.L.S. se enmarca en la competencia estatal ex art. 149.1.18. C.E. y es respetuosa con la materia urbanística, cuando no hace sino asegurar la existencia del trámite de información pública. [F.J. 25]</w:t>
      </w:r>
    </w:p>
    <w:p w:rsidR="008107C7" w:rsidRDefault="008107C7" w:rsidP="008107C7">
      <w:pPr>
        <w:pStyle w:val="Extracto"/>
      </w:pPr>
    </w:p>
    <w:p w:rsidR="008107C7" w:rsidRDefault="008107C7" w:rsidP="008107C7">
      <w:pPr>
        <w:pStyle w:val="Extracto"/>
      </w:pPr>
      <w:r>
        <w:t>39.</w:t>
      </w:r>
      <w:r>
        <w:tab/>
        <w:t xml:space="preserve">El art. 149.1.18. C.E., proporciona respaldo suficiente al legislador estatal para la imposición, con carácter materialmente básico, de un deber de información en los términos con que es configurado por la norma, plenamente justificado por la incidencia que las concretas previsiones urbanísticas contenidas en los Planes Generales de Ordenación urbana pueden tener sobre las competencias estatales de carácter sectorial en el mismo territorio objeto de ordenación a través de dicho instrumento urbanístico. La obligación de notificar es, en sí misma, plenamente respetuosa con el orden constitucional de competencias, en cuanto expresión de los principios que presiden las relaciones entre las Administraciones públicas y, en particular, del deber de facilitar a las demás Administraciones públicas la información que precisen sobre la actividad que desarrollen en el ejercicio de sus propias competencias, así como del deber de prestar la cooperación y asistencia activa </w:t>
      </w:r>
      <w:r>
        <w:lastRenderedPageBreak/>
        <w:t>que las otras Administraciones pudieran recabar para el eficaz ejercicio de sus competencias. [F.J. 26]</w:t>
      </w:r>
    </w:p>
    <w:p w:rsidR="008107C7" w:rsidRDefault="008107C7" w:rsidP="008107C7">
      <w:pPr>
        <w:pStyle w:val="Extracto"/>
      </w:pPr>
    </w:p>
    <w:p w:rsidR="008107C7" w:rsidRDefault="008107C7" w:rsidP="008107C7">
      <w:pPr>
        <w:pStyle w:val="Extracto"/>
      </w:pPr>
      <w:r>
        <w:t>40.</w:t>
      </w:r>
      <w:r>
        <w:tab/>
        <w:t>La ejecución urbanística del planeamiento se inserta sin dificultad en el ámbito material del urbanismo. Ello no empece, sin embargo, a que el Estado, en el ámbito de sus competencias, pueda esgrimir un título sectorial específico y distinto que le atribuya competencias de ejecución sobre otras materias que puedan resultar afectadas por el plan de ordenación, hipótesis por otra parte plausible habida cuenta del amplio alcance que los instrumentos de ordenación urbanística pueden albergar, al menos potencialmente, en relación con el uso del suelo, que excede, no sin frecuencia, de la ordenación de la ciudad en sentido estricto, para incidir sobre otras políticas sectoriales territoriales de la competencia exclusiva del Estado en virtud del art. 149.1 C.E. (grandes obras públicas; ciertas infraestructuras; defensa y seguridad; etc.) . [F.J. 27]</w:t>
      </w:r>
    </w:p>
    <w:p w:rsidR="008107C7" w:rsidRDefault="008107C7" w:rsidP="008107C7">
      <w:pPr>
        <w:pStyle w:val="Extracto"/>
      </w:pPr>
    </w:p>
    <w:p w:rsidR="008107C7" w:rsidRDefault="008107C7" w:rsidP="008107C7">
      <w:pPr>
        <w:pStyle w:val="Extracto"/>
      </w:pPr>
      <w:r>
        <w:t>41.</w:t>
      </w:r>
      <w:r>
        <w:tab/>
        <w:t>La ejecución del planeamiento pertenece a la competencia en materia de urbanismo siempre que sobre aquélla no incida un título competencial del Estado. En ese sentido resulta lícito, en aras de una mínima coherencia interna en lo que hace a la arquitectura básica de la propiedad urbana y como consecuencia de la peculiar naturaleza convencional de ésta, que el Estado tome como punto de referencia, como ha quedado dicho, las unidades de ejecución como fórmula para hacer efectivas las facultades y deberes urbanísticos y los principios básicos que la impregnan, pero no su concreta regulación, como hace el art. 143 T.R.L.S. que, en consecuencia, resulta contrario al orden constitucional de distribución de competencias . [F.J. 27]</w:t>
      </w:r>
    </w:p>
    <w:p w:rsidR="008107C7" w:rsidRDefault="008107C7" w:rsidP="008107C7">
      <w:pPr>
        <w:pStyle w:val="Extracto"/>
      </w:pPr>
    </w:p>
    <w:p w:rsidR="008107C7" w:rsidRDefault="008107C7" w:rsidP="008107C7">
      <w:pPr>
        <w:pStyle w:val="Extracto"/>
      </w:pPr>
      <w:r>
        <w:t>42.</w:t>
      </w:r>
      <w:r>
        <w:tab/>
        <w:t>El hecho de que al Estado le competa regular las condiciones básicas que garanticen la igualdad en el ejercicio del derecho de propiedad urbana (art. 149. 1.1. C.E.) no le legitima para prefigurar el modelo o sistema de ejecución urbanística. Las Comunidades Autónomas pueden establecer su propio sistema de ejecución del planeamiento urbanístico, respetando los principios y normas básicas que dimanan de los títulos competenciales del Estado . [F.J. 27]</w:t>
      </w:r>
    </w:p>
    <w:p w:rsidR="008107C7" w:rsidRDefault="008107C7" w:rsidP="008107C7">
      <w:pPr>
        <w:pStyle w:val="Extracto"/>
      </w:pPr>
    </w:p>
    <w:p w:rsidR="008107C7" w:rsidRDefault="008107C7" w:rsidP="008107C7">
      <w:pPr>
        <w:pStyle w:val="Extracto"/>
      </w:pPr>
      <w:r>
        <w:t>43.</w:t>
      </w:r>
      <w:r>
        <w:tab/>
        <w:t>Carece el Estado de toda competencia para disciplinar las técnicas de ejecución urbanística y, por consecuencia, no tiene cobertura para fijar un plazo a contar desde el establecimiento de una técnica concreta de la que puede prescindir la legislación autonómica . [F.J. 28]</w:t>
      </w:r>
    </w:p>
    <w:p w:rsidR="008107C7" w:rsidRDefault="008107C7" w:rsidP="008107C7">
      <w:pPr>
        <w:pStyle w:val="Extracto"/>
      </w:pPr>
    </w:p>
    <w:p w:rsidR="008107C7" w:rsidRDefault="008107C7" w:rsidP="008107C7">
      <w:pPr>
        <w:pStyle w:val="Extracto"/>
      </w:pPr>
      <w:r>
        <w:t>44.</w:t>
      </w:r>
      <w:r>
        <w:tab/>
        <w:t xml:space="preserve">La titularidad del dominio público no es, en sí misma, un criterio de delimitación competencial y, en consecuencia, la naturaleza demanial no aisla a la porción del territorio así caracterizado de su entorno ni la sustrae de las competencias que sobre ese aspecto corresponden a otros entes públicos que no ostentan esa titularidad, sin perjuicio de que de ésta se deriven ciertas facultades, como también advertíamos en la STC 149/1991. En el presente caso, además, no se pretende regular unas potestades sobre los bienes demaniales de titularidad estatal que haya que preservar, sino que se trata de la gestión urbanística de bienes de dominio y uso público ya obtenidos, sea por cesión gratuita o no, es decir, no es la materia relativa </w:t>
      </w:r>
      <w:r>
        <w:lastRenderedPageBreak/>
        <w:t>al dominio público la que aquí ha de considerarse prevalente, sino la más específica del urbanismo y, en consecuencia, el título competencial que descansa en el art. 148.1.3. C.E. [F.J. 28]</w:t>
      </w:r>
    </w:p>
    <w:p w:rsidR="008107C7" w:rsidRDefault="008107C7" w:rsidP="008107C7">
      <w:pPr>
        <w:pStyle w:val="Extracto"/>
      </w:pPr>
    </w:p>
    <w:p w:rsidR="008107C7" w:rsidRDefault="008107C7" w:rsidP="008107C7">
      <w:pPr>
        <w:pStyle w:val="Extracto"/>
      </w:pPr>
      <w:r>
        <w:t>45.</w:t>
      </w:r>
      <w:r>
        <w:tab/>
        <w:t>Las Comunidades Autónomas tienen la posibilidad de fijar el régimen jurídico del derecho de propiedad urbana, pieza central de la materia urbanística, con respeto, claro está, de las condiciones básicas que al Estado incumbe establecer. [F.J. 28]</w:t>
      </w:r>
    </w:p>
    <w:p w:rsidR="008107C7" w:rsidRDefault="008107C7" w:rsidP="008107C7">
      <w:pPr>
        <w:pStyle w:val="Extracto"/>
      </w:pPr>
    </w:p>
    <w:p w:rsidR="008107C7" w:rsidRDefault="008107C7" w:rsidP="008107C7">
      <w:pPr>
        <w:pStyle w:val="Extracto"/>
      </w:pPr>
      <w:r>
        <w:t>46.</w:t>
      </w:r>
      <w:r>
        <w:tab/>
        <w:t>Corresponde al Estado en exclusiva, por virtud del art. 149.1.8. C.E. determinar los actos inscribibles en el Registro de la Propiedad, los efectos y las operaciones registrales. La citada competencia permite al legislador estatal fijar con carácter general, para los supuestos en que se realicen operaciones jurídicas como las contempladas en el art. 203 T.R.L.S., ciertas consecuencias o efectos, como la garantía de certificación. [F.J. 29]</w:t>
      </w:r>
    </w:p>
    <w:p w:rsidR="008107C7" w:rsidRDefault="008107C7" w:rsidP="008107C7">
      <w:pPr>
        <w:pStyle w:val="Extracto"/>
      </w:pPr>
    </w:p>
    <w:p w:rsidR="008107C7" w:rsidRDefault="008107C7" w:rsidP="008107C7">
      <w:pPr>
        <w:pStyle w:val="Extracto"/>
      </w:pPr>
      <w:r>
        <w:t>47.</w:t>
      </w:r>
      <w:r>
        <w:tab/>
        <w:t>En relación con la expropiación forzosa, el problema no radica en que no se deje espacio para la normación autonómica, sino, más precisamente, en que el Estado carece de competencias para dictar una causa de expropiar cuando no tiene competencias sobre la materia o sector, como en el presente caso, para regular la obtención de terrenos dotacionales ni, como hemos declarado, para definir la ocupación directa. Al Estado le es lícito establecer, por coherencia con sus competencias exclusivas sobre las garantías expropiatorias, las causas de expropiar cuando no ostente la competencia material o sustantiva, como hace, en efecto, la Ley de Expropiación Forzosa 1954. Pero, en tales hipótesis, la definición estatal de una causa «expropriandi» sobre una materia sobre la que no tenga competencias (obras públicas; valor artístico, histórico o arqueológico; etc.), no será sino un simple punto de referencia para identificar o establecer, en su caso, las garantías expropiatorias específicas que una determinada clase de expropiación pueda merecer (urbanística; obras públicas; ocupación temporal; etc.), pero la causa de expropiar en sí misma nunca podrá tener carácter indisponible para las Comunidades Autónomas. [F.J. 30]</w:t>
      </w:r>
    </w:p>
    <w:p w:rsidR="008107C7" w:rsidRDefault="008107C7" w:rsidP="008107C7">
      <w:pPr>
        <w:pStyle w:val="Extracto"/>
      </w:pPr>
    </w:p>
    <w:p w:rsidR="008107C7" w:rsidRDefault="008107C7" w:rsidP="008107C7">
      <w:pPr>
        <w:pStyle w:val="Extracto"/>
      </w:pPr>
      <w:r>
        <w:t>48.</w:t>
      </w:r>
      <w:r>
        <w:tab/>
        <w:t>Más allá de su competencia para regular la expropiación con carácter general, el legislador estatal ha de considerar los títulos competenciales sectoriales en juego, con los que deberá articularse. Por ello, cuando el sector de que se trate sea de la exclusiva competencia autonómica, las peculiaridades que merezcan las expropiaciones especiales sólo podrán ser establecidas, en su caso, con un marcado carácter principial o mínimo y en cuanto sean expresión de las garantías procedimentales generales. En otros términos, a la regulación del procedimiento expropiatorio especial le es aplicable en buena medida la doctrina sobre el reparto competencial del procedimiento administrativo, esto es, que se trata de una competencia adjetiva que sigue a la competencia material o sustantiva, con respeto, claro está, de las normas generales atinentes al procedimiento expropiatorio general que al Estado le corresponde establecer y sin perjuicio también de que no se le pueda negar de raíz la posibilidad de fijar alguna norma especial en cuanto expresión o modulación de las normas procedimentales generales. [F.J. 31]</w:t>
      </w:r>
    </w:p>
    <w:p w:rsidR="008107C7" w:rsidRDefault="008107C7" w:rsidP="008107C7">
      <w:pPr>
        <w:pStyle w:val="Extracto"/>
      </w:pPr>
    </w:p>
    <w:p w:rsidR="008107C7" w:rsidRDefault="008107C7" w:rsidP="008107C7">
      <w:pPr>
        <w:pStyle w:val="Extracto"/>
      </w:pPr>
      <w:r>
        <w:lastRenderedPageBreak/>
        <w:t>49.</w:t>
      </w:r>
      <w:r>
        <w:tab/>
        <w:t>El art. 149.1.18. C.E. no puede excluir que, además de la normativa común que representa el sistema de responsabilidad para todo el territorio, las Comunidades Autónomas puedan establecer otros supuestos indemnizatorios en concepto de responsabilidad administrativa, siempre que, naturalmente, respeten aquellas normas estatales con las que en todo caso habrán de cohonestarse y sirvan al desarrollo de una política sectorial determinada. En ese sentido, la eventual regulación de nuevos supuestos indemnizatorios en el ámbito de las competencias exclusivas autonómicas constituye una garantía -indemnizatoria- que se superpone a la garantía indemnizatoria general que al Estado compete establecer. [F.J. 33]</w:t>
      </w:r>
    </w:p>
    <w:p w:rsidR="008107C7" w:rsidRDefault="008107C7" w:rsidP="008107C7">
      <w:pPr>
        <w:pStyle w:val="Extracto"/>
      </w:pPr>
    </w:p>
    <w:p w:rsidR="008107C7" w:rsidRDefault="008107C7" w:rsidP="008107C7">
      <w:pPr>
        <w:pStyle w:val="Extracto"/>
      </w:pPr>
      <w:r>
        <w:t>50.</w:t>
      </w:r>
      <w:r>
        <w:tab/>
        <w:t>El objeto del art. 246.2 T.R.L.S. es fijar las condiciones básicas del ejercicio del derecho de propiedad urbana y monumental obligando a su titular a soportar el coste económico de la conservación, siempre que no se rebase el límite razonablemente exigible por virtud de la función social (arts. 33.2 y 53. 1 C.E). A efectos del orden constitucional de distribución de competencias, este tema se reconduce, pues, a la regulación del derecho de propiedad privada (art. 149.1.1 C.E.) y no a la genérica función urbanística (art. 148.3 C.E.). Por otra parte, el art. 246.2 T.R.L.S., en cuanto establece la existencia de un límite o frontera entre aquellos deberes de conservación que son manifestación de la función social (art. 33.2 C.E.) y aquellos otros que desbordan las exigencias de aquélla y, por consiguiente, están sujetos a indemnización (art. 33.3 C.E.), entronca también con la competencia estatal en materia de expropiación forzosa en punto a la indemnización (art. 149.1.18. C.E.), al apuntar la divisoria entre las obras no indemnizables (por estar contenidas dentro del deber de conservación que les corresponda en virtud de la función social), de aquellas otras que, excediendo de lo que le es exigible al propietario, sirven directamente al interés general, como afirma el precepto, y tienen, en consecuencia, impacto materialmente expropiatorio. [F.J. 34]</w:t>
      </w:r>
    </w:p>
    <w:p w:rsidR="008107C7" w:rsidRDefault="008107C7" w:rsidP="008107C7">
      <w:pPr>
        <w:pStyle w:val="Extracto"/>
      </w:pPr>
    </w:p>
    <w:p w:rsidR="008107C7" w:rsidRDefault="008107C7" w:rsidP="008107C7">
      <w:pPr>
        <w:pStyle w:val="Extracto"/>
      </w:pPr>
      <w:r>
        <w:t>51.</w:t>
      </w:r>
      <w:r>
        <w:tab/>
        <w:t>Más allá de las normas de procedimiento administrativo «común», la regulación de los procedimientos administrativos «especiales» ha de seguir a la competencia principal. Es evidente que el art. 254.1 T.R.L.S. establece una norma de procedimiento accesoria o adjetiva a la cuestión sustantiva cual es la relativa a los deberes urbanísticos. Ello no empece, claro está, a la vigencia y aplicabilidad generales, y también en el ámbito urbanístico, de las normas básicas reguladoras del procedimiento administrativo común (hoy recogidas en el Ley 30/1992, de Régimen Jurídico de las Administraciones Públicas y del Procedimiento Administrativo Común, arts. 102 a 106). De ahí se infieren dos consecuencias interpretativas, por lo que ahora importa: de un lado, que el Estado sólo puede añadir en el ámbito urbanístico nuevas normas de procedimiento cuando ostente alguna competencia material; de otro, que en este caso la «materia» de que se trata son las condiciones básicas a que se refiere el art. 149.1.1. C.E. que, en ningún caso, como hemos insistido, autorizan a imponer conductas a la Administración. [F.J. 35]</w:t>
      </w:r>
    </w:p>
    <w:p w:rsidR="008107C7" w:rsidRDefault="008107C7" w:rsidP="008107C7">
      <w:pPr>
        <w:pStyle w:val="Extracto"/>
      </w:pPr>
    </w:p>
    <w:p w:rsidR="008107C7" w:rsidRDefault="008107C7" w:rsidP="008107C7">
      <w:pPr>
        <w:pStyle w:val="Extracto"/>
      </w:pPr>
      <w:r>
        <w:t>52.</w:t>
      </w:r>
      <w:r>
        <w:tab/>
        <w:t xml:space="preserve">Por lo que aquí interesa, la inteligencia restrictiva del art. 149.1.13. C.E., cuando afecta a la competencia urbanística de las Comunidades Autónomas, ha de verse complementada además por una interpretación finalista o teleológica, de modo que tan sólo aquellas normas básicas que respondan efectiva y estrictamente a la </w:t>
      </w:r>
      <w:r>
        <w:lastRenderedPageBreak/>
        <w:t>planificación general de la actividad económica podrían encontrar cobijo en el referido título, que impide la producción de normas que, aunque relacionadas con esa planificación general, no guarden esa inmediata y directa relación con la dirección de la economía. [F.J. 36]</w:t>
      </w:r>
    </w:p>
    <w:p w:rsidR="008107C7" w:rsidRDefault="008107C7" w:rsidP="008107C7">
      <w:pPr>
        <w:pStyle w:val="Extracto"/>
      </w:pPr>
    </w:p>
    <w:p w:rsidR="008107C7" w:rsidRDefault="008107C7" w:rsidP="008107C7">
      <w:pPr>
        <w:pStyle w:val="Extracto"/>
      </w:pPr>
      <w:r>
        <w:t>53.</w:t>
      </w:r>
      <w:r>
        <w:tab/>
        <w:t>Una concepción que entendiera que el contenido tradicional del urbanismo actúa como título atributivo, además de «petrificar» o «congelar» el contenido, por definición cambiante en cada tiempo y lugar del Derecho Urbanístico, desconocería el entero orden constitucional de competencias al otorgarle a la regla del art. 148.1.3. C.E., en relación con la legislación urbanística entonces vigente, un valor absoluto susceptible de desplazar y anular los restantes criterios y títulos competenciales que integran el sistema. [F.J. 38]</w:t>
      </w:r>
    </w:p>
    <w:p w:rsidR="008107C7" w:rsidRDefault="008107C7" w:rsidP="008107C7">
      <w:pPr>
        <w:pStyle w:val="Extracto"/>
      </w:pPr>
    </w:p>
    <w:p w:rsidR="008107C7" w:rsidRDefault="008107C7" w:rsidP="008107C7">
      <w:pPr>
        <w:pStyle w:val="Extracto"/>
      </w:pPr>
      <w:r>
        <w:t>54.</w:t>
      </w:r>
      <w:r>
        <w:tab/>
        <w:t>Al Estado compete establecer qué actos son inscribibles en el Registro de la Propiedad y sujetar su inscripción, como hace el art. 296 T.R.L.S., al previo cumplimiento de ciertos requisitos. [F.J. 39]</w:t>
      </w:r>
    </w:p>
    <w:p w:rsidR="008107C7" w:rsidRDefault="008107C7" w:rsidP="008107C7">
      <w:pPr>
        <w:pStyle w:val="Extracto"/>
      </w:pPr>
    </w:p>
    <w:p w:rsidR="008107C7" w:rsidRDefault="008107C7" w:rsidP="008107C7">
      <w:pPr>
        <w:pStyle w:val="Extracto"/>
      </w:pPr>
      <w:r>
        <w:t>55.</w:t>
      </w:r>
      <w:r>
        <w:tab/>
        <w:t>Ha de admitirse la posibilidad de que las normas dictadas por el legislador estatal ex art. 149.1.1. C.E., lejos de un riguroso uniformismo, puedan razonablemente introducir regulaciones o tratamientos diversificados en presencia de elementos o factores objetivos, como pudiera ser en el caso, el poblacional, siempre claro está, dentro del ámbito de sus competencias. No podría, por ello, tacharse de inconstitucional un modo de regulación así configurado. [F.J. 40]</w:t>
      </w:r>
    </w:p>
    <w:p w:rsidR="008107C7" w:rsidRDefault="008107C7" w:rsidP="008107C7">
      <w:pPr>
        <w:pStyle w:val="Extracto"/>
      </w:pPr>
    </w:p>
    <w:p w:rsidR="008107C7" w:rsidRDefault="008107C7" w:rsidP="008107C7">
      <w:pPr>
        <w:pStyle w:val="Extracto"/>
      </w:pPr>
      <w:r>
        <w:t>56.</w:t>
      </w:r>
      <w:r>
        <w:tab/>
        <w:t>Al Estado le está atribuida la regulación de las condiciones básicas de ejercicio del derecho, en los términos señalados. Pero, en relación con Sociedades o Entidades Públicas -esto es, no con ciudadanos-, no puede pretender también la regulación uniforme de esas condiciones básicas. Si el Estado considera  oportuna su posible sujeción a unas reglas específicas, habrá de limitarse a abrir esa posibilidad de modulación o excepcionalidad, sin fijar ni concretar cuáles hayan de ser esos plazos. [F.J. 41]</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 Sunyer, don Enrique Ruíz Vadillo, don Manuel Jiménez de Parga y Cabrera, don Tomás S. Vives Antón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lastRenderedPageBreak/>
        <w:t>SENTENCIA</w:t>
      </w:r>
    </w:p>
    <w:p w:rsidR="008107C7" w:rsidRDefault="008107C7" w:rsidP="008107C7">
      <w:pPr>
        <w:pStyle w:val="TextoNormalCentrado"/>
        <w:keepNext/>
      </w:pPr>
    </w:p>
    <w:p w:rsidR="008107C7" w:rsidRDefault="008107C7" w:rsidP="008107C7">
      <w:pPr>
        <w:pStyle w:val="TextoNormal"/>
      </w:pPr>
      <w:r>
        <w:t>En los recursos de inconstitucionalidad acumulados núms. 2.477/90, 2.479/90, 2.481/90, 2.486/90, 2.487/90 y 2.488/90, interpuestos, respectivamente, por el Parlamento de Navarra, el Consejo de Gobierno de la Diputación Regional de Cantabria, el Consejo Ejecutivo de la Generalidad de Cataluña, la Diputación General de Aragón, la Junta de Castilla y León y el Gobierno de Canarias contra la Ley 8/1990, de 25 de julio, sobre Reforma del Régimen Urbanístico y Valoraciones del Suelo, y en los recursos de inconstitucionalidad, acumulados a los anteriores, núms. 2.337/92, 2.341/92 y 2.342/92, interpuestos, respectivamente, por el Consejo de Gobierno de la Comunidad Autónoma de las Islas Baleares, la Diputación General de Aragón y el Consejo Ejecutivo de la Generalidad de Cataluña frente al Texto Refundido de la Ley sobre el Régimen del Suelo y Ordenación Urbana, aprobado por Real Decreto Legislativo 1/1992, de 26 de junio. Ha sido parte el Abogado del Estado y Ponentes los Magistrados don Enrique Ruíz Vadillo y don Pablo García Manzano, quienes expresan el parecer del Tribunal.</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Mediante escrito registrado el 26 de octubre de 1990, el Parlamento de Navarra, representado por su Letrado Mayor don Martín María Razquin Lizarraga, interpuso recurso de inconstitucionalidad contra la Ley 8/1990, de 25 de julio ("Boletín Oficial del Estado" núm. 179, de 27 de julio), sobre Reforma del Régimen Urbanístico y Valoraciones del Suelo, impugnando la Ley en su globalidad por vicio de incompetencia, así como el contenido de la Disposición final primera, apartado 1, en cuanto declara básicos los preceptos en ella enumerados, y asímismo la Disposición final primera, apartado 2, arts. 21, 57.1 b) y 2 b) y 78, por infringir el art. 148.1.3 C.E., en relación con los arts. 40.1, 44 y 57 de la Ley Orgánica de Reintegración y Amejoramiento del Régimen Foral de Navarra (L.O.R.A.F.N.A.). Aduce el recurrente los argumentos que a continuación se resumen: </w:t>
      </w:r>
    </w:p>
    <w:p w:rsidR="008107C7" w:rsidRDefault="008107C7" w:rsidP="008107C7">
      <w:pPr>
        <w:pStyle w:val="TextoNormal"/>
      </w:pPr>
      <w:r>
        <w:t xml:space="preserve">A) Un primer motivo de inconstitucionalidad radica en la incompetencia de las Cortes Generales para dictar una Ley del Suelo en los términos de la impugnada y por carecer de títulos competenciales para declarar básica la Ley en los términos de la Disposición final primera, apartado 1. En efecto, es conocido que la totalidad de las Comunidades Autónomas han asumido en el marco del art. 148.1.3 C.E. competencias exclusivas en materia de ordenación del territorio, urbanismo y vivienda. Así, por obra de la Constitución y de los Estatutos de Autonomía, la competencia sobre la materia urbanismo y vivienda corresponde a las Comunidades Autónomas en general, y en este caso a la Comunidad Foral de Navarra en particular (art. 44.1 L.O.R.A.F.N.A.). Ello justifica el que, en virtud de dicho título competencial, Navarra haya aprobado, entre otras, las Leyes forales 12/1986, de 11 de noviembre, de Ordenación del Territorio; 6/1987, de 10 de abril, de Normas Urbanísticas Regionales para la Protección y Uso del Territorio, y la Ley Foral 7/1989, de 8 de junio, de Medidas de Intervención en materia de Suelo y Vivienda. Ahora bien, de la circunstancia de que la materia de ordenación del territorio, urbanismo y vivienda haya sido asumida como competencia exclusiva por las Comunidades Autónomas no deriva que el Estado haya quedado desapoderado, en términos absolutos, de competencia en esta materia, especialmente en lo que hace referencia a la llamada "propiedad urbanística" (art. 149.1.8 C.E.) y a la regulación de las condiciones básicas que garantizan la igualdad de todos los españoles en el ejercicio de los derechos (art. 149.1.1 C.E.). Sin embargo, sí deriva la interdicción para el Estado de </w:t>
      </w:r>
      <w:r>
        <w:lastRenderedPageBreak/>
        <w:t xml:space="preserve">aprobar una Ley con vocación de código urbanístico, que modifique sustancialmente el sistema de distribución de competencias en materia de urbanismo y vivienda. De tal suerte que con la Ley 8/1990 el Estado aparece como titular de una aparente competencia básica en esta materia, articulada sobre la base de los títulos competenciales establecidos en el art. 149.1.1, 8, 13, 18 y 23 C.E. Consecuencia esta inadmisible por cuanto que, si bien los títulos citados (en especial el art. 149.1.1 y 1.8) afectan a la materia citada, nunca podrán reinterpretar el orden de distribución de competencias diseñado por el constituyente. Por consiguiente, en la medida en que la Ley 8/1990 pretendiese alterar el citado sistema por la vía de la acumulación de títulos competenciales diversos, sería inconstitucional por pretender subrogarse en el ejercicio del poder constituyente. No es ocioso recordar que el art. 149.1.8 C.E. no es un título atrayente de competencias cuyo alcance posibilite afecciones en el estatuto de la propiedad inmobiliaria del contenido de otros títulos competenciales autonómicos y que el art. 149.1.1 C.E. no es un título competencial autónomo, cuya interpretación, en todo caso, tampoco puede llevar a fáciles conclusiones de naturaleza uniformadora. De igual modo, ni el art. 149.1.13 ni el 149.1.23 pueden alterar, reduciéndolas a términos irreconocibles, las competencias en materia de ordenación del territorio, urbanismo y vivienda. </w:t>
      </w:r>
    </w:p>
    <w:p w:rsidR="008107C7" w:rsidRDefault="008107C7" w:rsidP="008107C7">
      <w:pPr>
        <w:pStyle w:val="TextoNormal"/>
      </w:pPr>
      <w:r>
        <w:t xml:space="preserve">En una materia como la urbanística, que, en línea de principio, corresponde a las Comunidades Autónomas, el legislador estatal, a través de la Ley 8/1990, ha actuado como si fuese titular de una competencia básica y, en algunos supuestos -como el de la Disposición final primera, 2- exclusiva. En tal sentido conviene recordar que 73 de los 101 artículos de que consta la Ley son considerados básicos o de aplicación plena, sin que la apelación a un argumento de naturaleza cuantitativa pueda aparecer aquí superfluo o simplificador. En tal esquema, las competencias de la Comunidad Foral de Navarra en materia de ordenación del territorio, urbanismo y vivienda se configuran como meramente residuales. Aun más, puede señalarse que las competencias en la indicada materia quedan reducidas a meros apéndices de la competencia estatal. Una operación de tal porte no puede llevarse a cabo por una ley como la configurada en la Ley 8/1990. La ausencia de títulos competenciales debe conducir directamente a la apreciación del vicio de inconstitucionalidad de la Ley impugnada considerada en su conjunto o globalidad. Sólo a través de las técnicas previstas en el art. 150.3 C.E. -como se puso de manifiesto en el debate de la Ley en su tramitación en el Senado- hubiese podido el legislador estatal, y en los términos señalados en la STC 76/1983, no en otros, dictar una ley de naturaleza y alcance armonizador, cosa que evidentemente no ha sucedido. Razón por la cual se postula, en los términos expuestos, la inconstitucionalidad de la Ley 8/1990 considerada en su conjunto o globalidad. </w:t>
      </w:r>
    </w:p>
    <w:p w:rsidR="008107C7" w:rsidRDefault="008107C7" w:rsidP="008107C7">
      <w:pPr>
        <w:pStyle w:val="TextoNormal"/>
      </w:pPr>
      <w:r>
        <w:t xml:space="preserve">De igual modo, de la inexistencia de títulos competenciales se deriva, como consecuencia ineluctable, la ilegitimidad constitucional de considerar como básica una materia cuya competencia corresponde, en línea de principio, a Navarra. Por tal razón se impugna la calificación de básica que la Disposición final primera, apartado 1, hace de los preceptos de la Ley allí mencionados. </w:t>
      </w:r>
    </w:p>
    <w:p w:rsidR="008107C7" w:rsidRDefault="008107C7" w:rsidP="008107C7">
      <w:pPr>
        <w:pStyle w:val="TextoNormal"/>
      </w:pPr>
      <w:r>
        <w:t xml:space="preserve">B) Subsidiariamente, y en caso de no estimarse la alegación de inconstitucionalidad global de la Ley o de su carácter de básica (Disposición final primera, apartado 1), se impugna el contenido de la Disposición final primera, apartado 2, de la Ley. En concreto, los arts. 21, 57.1 b) y 2 b) y 78. En efecto, el apartado 2 de la referida Disposición final considera que los artículos que enumera son de aplicación plena en virtud del art. 149.1.8 y 18 C.E. El art. 149.1.8 establece la competencia exclusiva del Estado sobre legislación civil, sin perjuicio de la conservación, modificación y desarrollo por las Comunidades Autónomas de los derechos civiles forales o especiales allí donde existan. Sobre la base de tal título se pretenden configurar las competencias estatales sobre el régimen jurídico de la propiedad urbana, cuya </w:t>
      </w:r>
      <w:r>
        <w:lastRenderedPageBreak/>
        <w:t xml:space="preserve">función social quiere delimitar esta Ley estatal con carácter exclusivo y excluyente. Pero se ha de señalar que, como se dijo en la STC 37/1987, fundamento jurídico 8º, las Comunidades Autónomas que poseen la competencia que la Comunidad Foral de Navarra ostenta en virtud del art. 44.1 L.O.R.A.F.N.A. tienen la posibilidad de legislar sobre la propiedad urbana y su función social dentro de su respectivo territorio, pues la definición de la función social de la propiedad no es algo que deriva sustancialmente de una regulación unitaria del derecho de propiedad (ibidem, fundamento jurídico 9º). En consecuencia, el título competencial ex art. 149.1.8 C.E. no puede ser esgrimido de forma abstracta, genérica o indeterminada para justificar apoderamientos incondicionados al legislador estatal en demérito del autonómico o foral (STC 85/1983, fundamento jurídico 4º). A lo que puede agregarse que la Comunidad Foral ostenta competencias en materia de Derecho civil foral en virtud del art. 48 L.O.R.A.F.N.A., competencia manifestada en su Compilación de Derecho Civil Foral o Fuero Nuevo, cuyas Leyes 346 y siguientes afectan al estatuto de la propiedad urbana. Con lo expuesto quiere señalarse que el título competencial ex art. 149.1.8 C.E., cuyo contenido dista de ser pacífico, como acreditan las diversas posiciones doctrinales sobre el mismo, no apodera al legislador estatal para regular de forma incondicionada cualquier aspecto de la propiedad urbana ni siquiera desde la perspectiva de la igualdad. En definitiva, de lo expuesto deriva que, para Navarra, la calificación que hace la Ley 8/1990 en la Disposición final primera, apartado 2, como normas de aplicación plena, fundamentándose en el art. 149.1.8 C.E., sea inconstitucional por alteración del sistema de distribución de competencias. </w:t>
      </w:r>
    </w:p>
    <w:p w:rsidR="008107C7" w:rsidRDefault="008107C7" w:rsidP="008107C7">
      <w:pPr>
        <w:pStyle w:val="TextoNormal"/>
      </w:pPr>
      <w:r>
        <w:t xml:space="preserve">De igual modo, desde otra perspectiva competencial, la invocación del art. 149.1.18 C.E. no debe conducir a la exclusión de todo ámbito de normación en materia de responsabilidad de las Administraciones Públicas o de expropiación forzosa. En este punto una interpretación armónica del art. 57, apartados a) y b) L.O.R.A.F.N.A. con las prescripciones constitucionales -en línea con lo señalado en la STC 37/1987, fundamento jurídico 6º-, debe conducir al reconocimiento de un ámbito de normación propio (desarrollo legislativo y ejecución) en el marco de la legislación básica del Estado. Del examen de los diversos títulos competenciales del Estado podría admitirse que la calificación que conviene, en su caso, es la de básica, pero no la de plena aplicación, si se entiende por tal expresión la exclusión de todo ámbito de normación de la materia relativa a urbanismo y vivienda. En este punto cabe señalar que si el enjuiciamiento material de lo básico corresponde al Tribunal Constitucional (entre otras, SSTC 48/1988 y 49/1988), el cual debe comprobar si la uniformidad básica establecida es consecuente o no con la finalidad objetiva perseguida al reservar al Estado la competencia para fijar bases en una determinada materia, de igual modo le cumple enjuiciar si la definición de normas como de aplicación plena (técnica legislativa de innovada utilización) se corresponde con la competencia estatal en la materia. De lo expuesto se deduce, por tanto, que nada empece para que los arts. 21, 57.1 b) y 2 b) de la Ley 8/1990, declarados de aplicación plena por la Disposición final primera, apartado 2, sean considerados como básicos. Nada impide que la Comunidad Foral complemente y, en su caso, amplíe los supuestos determinantes de responsabilidad en el marco del art. 57 L.O.R.A.F.N.A. De igual modo, la consideración como básicos de los arts. 57.1 b) y 2 b) es admisible en el marco del art. 57 L.O.R.A.F.N.A. Si lo que se quiere fijar por el legislador estatal es que los sistemas de obtención de terrenos dotacionales sean llevados a cabo -en los supuestos de los apartados 1 b) y 2 b)- por los procedimientos de expropiación u ocupación directa, dicho objetivo queda conseguido con la declaración como básico del precepto. En este punto, el título competencial sobre expropiación forzosa no debe excluir a radice las competencias ex art. 57 L.O.R.A.F.N.A. en los términos de la STC 37/1987, fundamento jurídico 6º. </w:t>
      </w:r>
    </w:p>
    <w:p w:rsidR="008107C7" w:rsidRDefault="008107C7" w:rsidP="008107C7">
      <w:pPr>
        <w:pStyle w:val="TextoNormal"/>
      </w:pPr>
      <w:r>
        <w:lastRenderedPageBreak/>
        <w:t xml:space="preserve">Finalmente, se impugna la calificación de plena aplicabilidad del art. 78 de la Ley 8/1990. En efecto, el art. 78 justifica la expropiación por el incumplimiento de la función social. Ahora bien, habida cuenta de que la delimitación de la función social de la propiedad urbanística puede ser llevada a cabo por leyes de las Comunidades Autónomas (entre otras, SSTC 37/1987 y 170/1989, fundamento jurídico 8º), no existe aquí justificación alguna para que la Comunidad Foral de Navarra, en ejercicio de sus competencias en materia de urbanismo y vivienda, establezca o complemente el contenido del art. 78, siempre que se respete la regulación general de la institución expropiatoria. Por dicha razón, el precepto merece la calificación de básico y no de aplicación plena. </w:t>
      </w:r>
    </w:p>
    <w:p w:rsidR="008107C7" w:rsidRDefault="008107C7" w:rsidP="008107C7">
      <w:pPr>
        <w:pStyle w:val="TextoNormal"/>
      </w:pPr>
      <w:r>
        <w:t>Concluye el recurrente con la súplica de que se tenga por formulado recurso de inconstitucionalidad contra la Ley 8/1990 y, en concreto, contra la Disposición final primera, apartado 1, en cuanto declara básicos los preceptos en ella enumerados, y contra el apartado 2 de la referida Disposición final, en cuanto declara de aplicación plena los arts. 21, 57.1 b) y 2 b) y 78, y, tras la tramitación legal procedente, se dicte en su día Sentencia por la que, estimando las pretensiones formuladas, se declare la inconstitucionalidad global de la Ley impugnada por vicio de incompetencia, así como la del apartado 1 de la mencionada Disposición final primera, y, subsidiariamente, se declare la inconstitucionalidad de la Disposición final primera, apartado 2, en cuanto considera de aplicación plena los arts. 21, 57.1 b) y 2 b) y 78 de la Ley, y, en consecuencia, su nulidad.</w:t>
      </w:r>
    </w:p>
    <w:p w:rsidR="008107C7" w:rsidRDefault="008107C7" w:rsidP="008107C7">
      <w:pPr>
        <w:pStyle w:val="TextoNormal"/>
      </w:pPr>
    </w:p>
    <w:p w:rsidR="008107C7" w:rsidRDefault="008107C7" w:rsidP="008107C7">
      <w:pPr>
        <w:pStyle w:val="TextoNormal"/>
      </w:pPr>
      <w:r w:rsidRPr="008107C7">
        <w:rPr>
          <w:rStyle w:val="NumeroAFNegritaCaracter"/>
        </w:rPr>
        <w:t>2</w:t>
      </w:r>
      <w:r>
        <w:t>. La Sección Segunda del Tribunal, mediante providencia de 12 de noviembre de 1990, acordó: 1º) admitir a trámite el recurso de inconstitucionalidad promovido por el Parlamento de Navarra, turnado con el núm. 2.477/90; 2º) dar traslado de la demanda y documentos presentados, conforme establece el art. 34.1 LOTC, al Congreso de los Diputados y al Senado, por conducto de sus Presidentes, y al Gobierno, por conducto del Ministerio de Justicia, al objeto de que, en el plazo de quince días, pudieran personarse en el procedimiento y formular las alegaciones que estimasen convenientes; 3º) publicar la incoación del recurso en el "Boletín Oficial del Estado", para general conocimiento.</w:t>
      </w:r>
    </w:p>
    <w:p w:rsidR="008107C7" w:rsidRDefault="008107C7" w:rsidP="008107C7">
      <w:pPr>
        <w:pStyle w:val="TextoNormal"/>
      </w:pPr>
    </w:p>
    <w:p w:rsidR="008107C7" w:rsidRDefault="008107C7" w:rsidP="008107C7">
      <w:pPr>
        <w:pStyle w:val="TextoNormal"/>
      </w:pPr>
      <w:r w:rsidRPr="008107C7">
        <w:rPr>
          <w:rStyle w:val="NumeroAFNegritaCaracter"/>
        </w:rPr>
        <w:t>3</w:t>
      </w:r>
      <w:r>
        <w:t>. Por escrito registrado el 21 de noviembre siguiente, el Presidente del Congreso de los Diputados comunicó que aun cuando la Cámara no se personaría en el procedimiento ni formularía alegaciones, ponía a disposición del Tribunal las actuaciones que pudiera precisar, con remisión a la Dirección de Estudios y Documentación de la Secretaría General. Mediante escrito registrado el 26 de noviembre, el Vicepresidente Primero del Senado comunicó el Acuerdo de la Cámara de que se la tuviera por personada en el procedimiento y por ofrecida su colaboración a los efectos del art. 88.1 LOTC.</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El Consejo de Gobierno de la Diputación Regional de Cantabria, representado por el Procurador don Rafael Torrente Ruíz y el Abogado don Luis María Enríquez de Salamanca Navarro, interpuso, mediante escrito registrado el 26 de octubre de 1990, recurso de inconstitucionalidad contra la Ley 8/1990, de 25 de julio, sobre Reforma del Régimen Urbanístico y Valoraciones del Suelo. Expone el impugnante los argumentos que a continuación se consignan: </w:t>
      </w:r>
    </w:p>
    <w:p w:rsidR="008107C7" w:rsidRDefault="008107C7" w:rsidP="008107C7">
      <w:pPr>
        <w:pStyle w:val="TextoNormal"/>
      </w:pPr>
      <w:r>
        <w:t xml:space="preserve">A) El Estatuto de Autonomía de Cantabria, aplicando la habilitación prevista al efecto por el art. 148.1.3 C.E., atribuyó a la Comunidad la competencia en materia de urbanismo, con carácter exclusivo, en su art. 22.3. La Ley impugnada sólo puede ser constitucional si </w:t>
      </w:r>
      <w:r>
        <w:lastRenderedPageBreak/>
        <w:t xml:space="preserve">su contenido no es urbanístico y responde al ejercicio de alguna de las competencias exclusivas del Estado. Dicha Ley pretende anclarse en las leyes de bases previstas en el art. 149 C.E. y en competencias exclusivas no concurrentes -las que llama plenas-, aunque, además, establece una normativa complementaria, supletoria de la de las Comunidades Autónomas de aún más difícil soporte constitucional, en cuanto que si eventualmente fuera cierto que existen competencias exclusivas o plenas del Estado en materia urbanística, lo que desde luego no es en absoluto cierto es que el Estado tenga competencias "supletorias" en la materia, por lo que ciertamente los arts. 12.2, 13.2, 15.2, 3 y 4, 17.2, 18.4 y 5, 19.3, 27.4, 29.1, 30.3, 31.2, 33.2, 35.4, 36.2, 37.3, 40.1 y 3, 42.2 y 4, 43 al 56, 57.1 a) y 2 a), 62.1 y 3, 63.2, 64, 65, 79, 80, 90 al 97, 101, la Disposición adicional segunda y las Disposiciones transitorias segunda, tercera, cuarta, 2 y 3, y séptima resultan totalmente afectados por la falta de competencias del Estado para su regulación. </w:t>
      </w:r>
    </w:p>
    <w:p w:rsidR="008107C7" w:rsidRDefault="008107C7" w:rsidP="008107C7">
      <w:pPr>
        <w:pStyle w:val="TextoNormal"/>
      </w:pPr>
      <w:r>
        <w:t xml:space="preserve">El contenido de la Ley se divide en tres bloques relativos al régimen urbanístico de la propiedad del suelo, a las valoraciones y expropiaciones y a un heterogéneo conjunto o "serie de instrumentos jurídicos", como dice el propio Preámbulo, para facilitar la intervención de las Administraciones en la regulación del mercado del suelo. Se ha de analizar someramente cada uno de estos bloques poniéndolo en relación con el carácter básico, pleno o supletorio atribuido a los preceptos correspondientes. En el Título Primero, que contiene el bloque relativo al régimen urbanístico de la propiedad del suelo, sólo regulan directamente el contenido del derecho de propiedad los Capítulos I, II, III y IV. Los restantes se refieren a mecanismos y procedimientos de distribución de beneficios y cargas y de ejecución o gestión del planeamiento, e incluso al contenido del propio planeamiento, como ocurre en los Capítulos V y VII. Pues bien, la distribución de beneficios, la gestión y, desde luego, el planeamiento son típicos conceptos de contenido urbanístico, de la exclusiva competencia de las Comunidades Autónomas. El Estado carece de cualquier título competencial para dictar normas sobre estas materias, por lo que el carácter inconstitucional de la Ley en este bloque de temas es patente. </w:t>
      </w:r>
    </w:p>
    <w:p w:rsidR="008107C7" w:rsidRDefault="008107C7" w:rsidP="008107C7">
      <w:pPr>
        <w:pStyle w:val="TextoNormal"/>
      </w:pPr>
      <w:r>
        <w:t>En cuanto a los preceptos reguladores del régimen urbanístico de la propiedad del suelo de los Capítulos I, II, III y IV, en los que se definen los derechos y deberes de la propiedad, es muy discutible el carácter de normas básicas que les atribuye la Disposición final primera. En efecto, para que el Estado pueda dictar normas básicas con el alcance previsto en el art. 149.1 C.E., es necesaria una expresa reserva de competencia exclusiva a su favor. La posibilidad de normas básicas estatales supone una concurrencia de competencias, inexistente en materia de urbanismo. La regla 1 del art. 149.1 C.E. podría, aparentemente y en principio, servir de apoyo para una regulación nuclear, igual para todo el Estado español, del derecho de propiedad. Sin embargo, para que exista legislación básica es necesaria la concurrencia de competencias. Pero en materia urbanística no hay ni puede haber tal concurrencia. ¿Puede entonces dictarse una norma básica sobre el contenido del derecho de propiedad? No lo parece y, sin embargo, también parece que deba admitirse una regulación del contenido esencial de este derecho común, igual para todo el Estado. La cuestión reside en la atribución del carácter de norma básica a estos preceptos de la Ley recurrida. El contenido esencial del derecho de propiedad, definidor de derechos y obligaciones esenciales, no es de naturaleza urbanística, aunque tenga una proyección urbanística, sino civil. El derecho de propiedad es un derecho perteneciente a la esfera de la legislación civil. Su lugar está en el Código Civil, aunque su contenido haya resultado modificado por la legislación urbanística. No debería hablarse de régimen urbanístico de la propiedad del suelo para referirse a la regula</w:t>
      </w:r>
      <w:r>
        <w:lastRenderedPageBreak/>
        <w:t xml:space="preserve">ción general de este derecho, sino de régimen del derecho de propiedad. El régimen urbanístico del suelo es un concepto válido. No lo es tanto el régimen urbanístico del derecho de propiedad del suelo. </w:t>
      </w:r>
    </w:p>
    <w:p w:rsidR="008107C7" w:rsidRDefault="008107C7" w:rsidP="008107C7">
      <w:pPr>
        <w:pStyle w:val="TextoNormal"/>
      </w:pPr>
      <w:r>
        <w:t xml:space="preserve">El título constitucional que legitima la regulación por el Estado del contenido esencial del derecho de propiedad está en la regla 8 del art. 149.1 C.E., cuya aplicación resuelve todos los problemas. Pero es claro que, bajo este título, la regulación hecha por la Ley impugnada habría tenido que ser diferente, limitada a determinar y regular el contenido nuclear de este derecho, sin invadir la esfera competencial de las Comunidades Autónomas. Esta regulación habría permitido respetar las competencias autonómicas, al referirse en abstracto al derecho de propiedad, sin necesidad de apoyarse en el planeamiento urbanístico de la Ley del Suelo, cuya regulación es contingente, puesto que puede ser alterada por la legislación autonómica. Para ello hubiera bastado modificar los artículos de la Ley del Suelo que regulan los derechos y deberes del propietario de suelo, estableciendo el régimen general y abstracto de la propiedad del suelo urbano y el régimen de la propiedad del suelo rural. Dentro del primero cabría haber distinguido entre el suelo urbano y el suelo llamado a transformarse en urbano con arreglo a lo que dispusiera la legislación urbanística de las Comunidades Autónomas. Se habría evitado toda referencia a un sistema de planeamiento concreto, al ser compatible el régimen general de la propiedad con cualquier sistema de planeamiento y de gestión de nueva implantación por el derecho autonómico. La nueva regulación del contenido del derecho de propiedad debería tener su asiento en el Código Civil, con la modificación de los preceptos afectados de su Título Segundo, en particular del art. 350. </w:t>
      </w:r>
    </w:p>
    <w:p w:rsidR="008107C7" w:rsidRDefault="008107C7" w:rsidP="008107C7">
      <w:pPr>
        <w:pStyle w:val="TextoNormal"/>
      </w:pPr>
      <w:r>
        <w:t xml:space="preserve">Los arts. 86, 87, 88 y 89, integrantes del Título Cuarto, sobre supuestos indemnizatorios, otorgan una nueva regulación a las consecuencias indemnizatorias de la modificación de los planes. A esta regulación se le atribuye carácter de legislación básica encontrando apoyo esta calificación en el art. 149.1.18 C.E. </w:t>
      </w:r>
    </w:p>
    <w:p w:rsidR="008107C7" w:rsidRDefault="008107C7" w:rsidP="008107C7">
      <w:pPr>
        <w:pStyle w:val="TextoNormal"/>
      </w:pPr>
      <w:r>
        <w:t xml:space="preserve">El bloque relativo a las valoraciones y expropiaciones está integrado por los Títulos Segundo y Tercero, y los preceptos sustantivos tienen el carácter de normas de aplicación plena, según la Disposición final primera, 2. También tienen este carácter los arts. 51.1 b) y 2 b), 58 y 61. Los preceptos no sustantivos son de aplicación supletoria, salvo el de los arts. 76 y 77, de carácter básico. La competencia del Estado para regular esta materia, reconocida por la STC 37/1987, está efectivamente en la regla 18 del art. 149.1. También tiene su asiento en esta regla la regulación de los supuestos indemnizatorios del Título Cuarto de la Ley impugnada, aunque según el Texto Constitucional con el carácter de legislación básica. </w:t>
      </w:r>
    </w:p>
    <w:p w:rsidR="008107C7" w:rsidRDefault="008107C7" w:rsidP="008107C7">
      <w:pPr>
        <w:pStyle w:val="TextoNormal"/>
      </w:pPr>
      <w:r>
        <w:t xml:space="preserve">El tercer bloque está formado, esencialmente, por los instrumentos que la Ley pone a disposición de la Administración para intervenir en el mercado de suelo. Tienen este carácter el Capítulo VIII del Título Primero, el Capítulo IX del mismo Título y el Título Sexto. Ahora bien, integrado este tercer bloque por preceptos que regulan instrumentos de gestión o de política urbanística, no existe justificación alguna para atribuir a algunos de dichos preceptos el carácter de legislación básica, ni para regular supuestos y procedimientos expropiatorios específicos para la obtención de terrenos dotacionales. Todo ello está reservado a la competencia urbanística exclusiva de las Comunidades Autónomas. En cuanto al derecho supletorio, mal puede defenderse la competencia estatal para su promulgación si carece de competencia alguna sobre la materia. </w:t>
      </w:r>
    </w:p>
    <w:p w:rsidR="008107C7" w:rsidRDefault="008107C7" w:rsidP="008107C7">
      <w:pPr>
        <w:pStyle w:val="TextoNormal"/>
      </w:pPr>
      <w:r>
        <w:t xml:space="preserve">B) Sin perjuicio del problema general anteriormente tratado sobre el carácter urbanístico de las materias mayoritariamente incluidas en la Ley recurrida y el tema competencial inicialmente planteado, cabe profundizar aun más en el tratamiento del derecho de propiedad efectuado por la Ley 8/1990. Al respecto, ha de citarse la doctrina contenida en la STC 37/1987, que es una clara definición de la competencia de las Comunidades Autónomas en </w:t>
      </w:r>
      <w:r>
        <w:lastRenderedPageBreak/>
        <w:t xml:space="preserve">la regulación del régimen del suelo a efectos urbanísticos y de la regulación de la función social del derecho de propiedad desde la perspectiva del urbanismo. En la medida en que la función social de la propiedad es concretada por el planeamiento urbanístico, parece que sale de la órbita competencial del Estado la regulación de cualquier tema que afecte a la institución capital del ordenamiento jurídico urbanístico cual es el planeamiento. Ha de citarse asimismo la STC 56/1986. Por tanto, la regulación de las facultades y obligaciones de la propiedad del suelo a efectos urbanísticos excede de las competencias del Estado, siendo propia de las Comunidades Autónomas, sin que sea admisible la regulación de aquéllas por el Estado so pretexto del principio de igualdad y de tratarse de condiciones básicas, como son el principio de distribución equitativa de los beneficios y cargas, el de la cesión de terrenos y de costeamiento de la urbanización, el del control a través de la licencia, o el de la edificación en plazo. El desarrollo de tales principios, aunque del mismo resultasen desigualdades o diferencias para las distintas Comunidades, es privativo de las mismas. </w:t>
      </w:r>
    </w:p>
    <w:p w:rsidR="008107C7" w:rsidRDefault="008107C7" w:rsidP="008107C7">
      <w:pPr>
        <w:pStyle w:val="TextoNormal"/>
      </w:pPr>
      <w:r>
        <w:t xml:space="preserve">C) La garantía material del principio de libertad de empresa, reconocido en el art. 38 C.E., sería la de que el contenido esencial del mismo no sea vulnerado. La adquisición escalonada y ficticia de facultades parciales del derecho de propiedad, con unos plazos, en todos los escalones, preclusivos y con una dura sanción en caso de incumplimiento, supone un claro atentado al principio de libertad de empresa, máxime por su generalidad no matizada, que no admite justificación en la función social de la propiedad, ya que, en primer lugar, tal función es definida singularmente por cada plan urbanístico y no es susceptible de utilizarse como argumento genérico, que no tiene por qué cubrir la suma de objetivos y políticas definidos en los planes singularmente considerados. En segundo lugar, porque, al margen de voluntarismos ideológicos, es evidente que la empresa tiene sus reglas lógicas y racionales, que pueden ser drásticamente conculcadas por la legislación, cual, por ejemplo, la prohibición o la sanción al criterio o práctica normal de formar stocks de materias primas o elaboradas acordes con las posibilidades de la empresa y/o del funcionamiento del mercado. El promotor de suelo o el de edificación tienen derecho y probablemente obligación empresarial de adquirir y preparar suelo de acuerdo con sus posibilidades y no se les puede sancionar o prohibir su almacenamiento racional. Igualmente, y ante la desafortunada aparición de la Ley recurrida en un momento de grave crisis económica mundial, no parece especialmente afortunado el demagógico planteamiento sancionador de la Ley. Sectores como el turismo o la segunda residencia, de gran importancia para Comunidades como la de Cantabria, no tienen por qué sujetarse a los parámetros de la primera residencia en las aglomeraciones urbanas. </w:t>
      </w:r>
    </w:p>
    <w:p w:rsidR="008107C7" w:rsidRDefault="008107C7" w:rsidP="008107C7">
      <w:pPr>
        <w:pStyle w:val="TextoNormal"/>
      </w:pPr>
      <w:r>
        <w:t>Finaliza el recurrente su alegato con la súplica de que en su día se dicte Sentencia por la que se declare inconstitucional la Ley impugnada en su totalidad.</w:t>
      </w:r>
    </w:p>
    <w:p w:rsidR="008107C7" w:rsidRDefault="008107C7" w:rsidP="008107C7">
      <w:pPr>
        <w:pStyle w:val="TextoNormal"/>
      </w:pPr>
    </w:p>
    <w:p w:rsidR="008107C7" w:rsidRDefault="008107C7" w:rsidP="008107C7">
      <w:pPr>
        <w:pStyle w:val="TextoNormal"/>
      </w:pPr>
      <w:r w:rsidRPr="008107C7">
        <w:rPr>
          <w:rStyle w:val="NumeroAFNegritaCaracter"/>
        </w:rPr>
        <w:t>5</w:t>
      </w:r>
      <w:r>
        <w:t>. Por providencia de 12 de noviembre de 1990, la Sección Primera del Tribunal acordó: 1º) admitir a trámite el recurso de inconstitucionalidad promovido por el Consejo de Gobierno de la Diputación Regional de Cantabria, turnado con el núm. 2.479/90; 2º) dar traslado de la demanda y documentos presentados, conforme establece el art. 34.1 LOTC, al Congreso de los Diputados y al Senado, por conducto de sus Presidentes, y al Gobierno, por conducto del Ministerio de Justicia, al objeto de que, en el plazo de quince días, pudieran personarse en el procedimiento y formular las alegaciones que estimasen convenientes; 3º) publicar la incoación del recurso en el "Boletín Oficial del Estado", para general conocimiento.</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6</w:t>
      </w:r>
      <w:r>
        <w:t>. Mediante escrito registrado el 21 de noviembre siguiente, el Presidente del Congreso comunicó el Acuerdo de la Cámara de no personarse en el procedimiento ni formular alegaciones, poniendo a disposición del Tribunal las actuaciones que pudiera precisar, con remisión a la Dirección de Estudios y Documentación de la Secretaría General. En escrito del 26 de noviembre, el Vicepresidente Primero del Senado comunica el Acuerdo de la Cámara de que se la tenga por personada en el procedimiento y por ofrecida su colaboración a los efectos del art. 88.1 LOTC.</w:t>
      </w:r>
    </w:p>
    <w:p w:rsidR="008107C7" w:rsidRDefault="008107C7" w:rsidP="008107C7">
      <w:pPr>
        <w:pStyle w:val="TextoNormal"/>
      </w:pPr>
    </w:p>
    <w:p w:rsidR="008107C7" w:rsidRDefault="008107C7" w:rsidP="008107C7">
      <w:pPr>
        <w:pStyle w:val="TextoNormal"/>
      </w:pPr>
      <w:r w:rsidRPr="008107C7">
        <w:rPr>
          <w:rStyle w:val="NumeroAFNegritaCaracter"/>
        </w:rPr>
        <w:t>7</w:t>
      </w:r>
      <w:r>
        <w:t xml:space="preserve">. El Consejo Ejecutivo de la Generalidad de Cataluña, representado por el Abogado de la misma don Xavier Castrillo Gutiérrez, interpuso, mediante escrito registrado el 26 de octubre de 1990, recurso de inconstitucionalidad contra la Disposición final primera, puntos 1 y 2, de la Ley 8/1990, de 25 de julio, sobre Reforma del Régimen Urbanístico y Valoraciones del Suelo. La demanda contiene las alegaciones que a continuación se extractan: </w:t>
      </w:r>
    </w:p>
    <w:p w:rsidR="008107C7" w:rsidRDefault="008107C7" w:rsidP="008107C7">
      <w:pPr>
        <w:pStyle w:val="TextoNormal"/>
      </w:pPr>
      <w:r>
        <w:t xml:space="preserve">A) En base a las previsiones del art. 148.3 C.E., la Generalidad de Cataluña tiene atribuida la competencia en materia de urbanismo con carácter exclusivo, por así disponerlo el art. 9.9 del Estatuto de Autonomía (E.A.). De acuerdo con el art. 25.2 del propio texto estatutario, en el ejercicio de esta competencia corresponde a la Generalidad la potestad legislativa, la potestad reglamentaria y la función ejecutiva, incluida la inspección. Lo mismo ocurre en las restantes Comunidades Autónomas, cuyos Estatutos de Autonomía se pronuncian en términos semejantes al catalán. Y debe observarse que el enunciado del art. 9.9 del E.A. de Cataluña implica una competencia "plena" de la Comunidad Autónoma sobre la materia urbanística, es decir, no acotada ni limitada por el respeto a unas bases o a una legislación básica estatal dictada sobre dicho ámbito material. Ello está en perfecta concordancia con la esencia de cualquier referencia a la materia "urbanismo" en el art. 149.1 C.E., donde se establece el listado de materias y facultades que quedan reservadas a la actuación exclusiva del Estado. En cuanto al objeto o contenido de la competencia sobre urbanismo, es muy extenso, según se puede deducir de la amplia y abundante normativa positiva existente en esta materia. Pueden ser una síntesis globalizadora las palabras de la STC 77/1987, que afirman que "la competencia de ordenación del territorio y urbanismo, sin que interese ahora analizar la relación entre ambos conceptos, tiene por objeto la actividad consistente en la delimitación de los diversos usos a que pueda destinarse el suelo o espacio físico territorial". Conviene destacar en este punto, en orden a mejor delimitar y valorar el alcance del objeto de la plenitud y exclusividad competencial de las Comunidades Autónomas sobre el conjunto de actuaciones que integran la materia urbanística, el hecho de que al aprobarse la Constitución y los respectivos Estatutos la citada materia ya estaba ampliamente configurada positivamente. En efecto, ya entonces el urbanismo no era una materia aún no definida por el ordenamiento jurídico estatal ni interpretada por actuaciones administrativas o judiciales, sino todo lo contrario. Esto significa que, al atribuirse a las Comunidades Autónomas la competencia sobre el urbanismo de forma exclusiva, lo que supone facultades plenas de legislación y ejecución, corresponden, en principio, a las Comunidades Autónomas todas las facultades que la legislación entonces vigente comportaba a favor de los poderes públicos, entre las que también se incluía la determinación de la propiedad urbanística con todas las actuaciones sucesivas inherentes a la acotación del dominio estricto del suelo, en función de los intereses generales que se concretan en la llamada función social. </w:t>
      </w:r>
    </w:p>
    <w:p w:rsidR="008107C7" w:rsidRDefault="008107C7" w:rsidP="008107C7">
      <w:pPr>
        <w:pStyle w:val="TextoNormal"/>
      </w:pPr>
      <w:r>
        <w:t xml:space="preserve">Es decir, la competencia urbanística asumida por las Comunidades Autónomas, y entre ellas Cataluña, por propia definición opera sobre la propiedad del suelo y, respetando su núcleo esencial, puede modularla en base a los intereses de carácter general y público, tal como ha sucedido en los textos legales y reglamentarios autonómicos que hasta el presente </w:t>
      </w:r>
      <w:r>
        <w:lastRenderedPageBreak/>
        <w:t xml:space="preserve">han regulado la materia. Estos intereses son, entre otros, la propia ordenación urbana, el evitar la especulación sobre la vivienda, la promoción de viviendas sociales, la obtención de equipamientos públicos y privados, la dotación de suelo público, la protección del medio ambiente, la defensa del patrimonio histórico-artístico y la participación de la comunidad en las plusvalías generadas por la acción urbanística de las entidades públicas. La interpretación de la competencia urbanística que se acaba de exponer está confirmada por la importante STC 37/1987, a cuya doctrina procede remitirse en términos generales, y sobre todo a los postulados de su fundamento jurídico 2º, de total aplicación al supuesto presente. En definitiva, el Estado central primero y las Comunidades Autónomas a continuación han venido delimitando el derecho de propiedad urbanística de acuerdo con su función social, tal como prevé el art. 33.2 C.E. Y abundando en lo referente a la delimitación de la función social de la propiedad, la STC 37/1987 admite que puede ser distinta en relación con las condiciones sociales, económicas e, incluso, de orden cultural en cada parte del territorio, atribuyéndose su definición a las Comunidades Autónomas competentes sectorialmente (véase su fundamento jurídico 9º). </w:t>
      </w:r>
    </w:p>
    <w:p w:rsidR="008107C7" w:rsidRDefault="008107C7" w:rsidP="008107C7">
      <w:pPr>
        <w:pStyle w:val="TextoNormal"/>
      </w:pPr>
      <w:r>
        <w:t xml:space="preserve">Existe en la actualidad una extensa legislación que han dictado las Comunidades Autónomas en ejercicio de su competencia sobre urbanismo que modifica y adapta la Ley del Suelo de 1976 a la realidad de su territorio. Con la nueva Ley estatal 8/1990 lo que en realidad se hace, en buena parte, es reponer una legislación urbanística anterior a la configuración autonómica del Estado y que había quedado derogada al entrar en vigor la correspondiente normativa autonómica. Resulta evidente, por lo tanto, que el simple planteamiento de una nueva Ley estatal que regule de manera completa y general la materia urbanística significa una vuelta atrás en el camino de construcción del Estado autonómico por el que varias Comunidades Autónomas han avanzado notablemente. Y, además, presenta una importante problemática desde la perspectiva de la seguridad jurídica garantizada en el art. 9.3 C.E. No hay en la Constitución una cláusula universal atributiva de competencias a favor del Estado sobre cualquier materia, sino más bien lo contrario, como ha señalado la STC 15/1989. Es claro también que en materia urbanística tampoco existe un vacío normativo que permita la creación supletoria del derecho estatal para completar el ordenamiento. Por consiguiente, cualquier nueva norma estatal dictada con carácter general en esta materia necesariamente entrará en conflicto con la normativa autonómica, atentando no sólo contra el sistema distributivo de competencias, sino también contra la seguridad jurídica, al crear un espacio de inseguridad e indefensión jurídica en la relación entre el ordenamiento estatal y el ordenamiento autonómico. </w:t>
      </w:r>
    </w:p>
    <w:p w:rsidR="008107C7" w:rsidRDefault="008107C7" w:rsidP="008107C7">
      <w:pPr>
        <w:pStyle w:val="TextoNormal"/>
      </w:pPr>
      <w:r>
        <w:t xml:space="preserve">B) Es evidente que en el suelo sobre el que se ejerce la competencia en materia de urbanismo pueden coincidir otras competencias tanto autonómicas como estatales. En cuanto a estas últimas, la Ley 8/1990, según se afirma en su Preámbulo, fundamenta la competencia estatal para incidir en la materia urbanística en los títulos competenciales que a favor del Estado contiene el art. 149.1 C.E., en las reglas 1, 8, 13, 18 y 23. Ello se concreta en la atribución del carácter de legislación básica a una serie de preceptos enumerados en la Disposición final primera, punto 1, y en la consideración como de aplicación "plena" de otra serie de preceptos contenidos en el punto 2 de la misma Disposición. La pluralidad de títulos invocados a favor de la competencia estatal, y en especial el art. 149.1.1, puede dar la falsa impresión de que el Estado es capaz, por sí solo, para establecer un estatuto de la propiedad del suelo que deba ser idéntico en todo el territorio del Estado, como salvaguarda de ciertas condiciones de uniformidad. Puede llegar a dudarse también sobre si el hecho de que la propiedad goce del rango de derecho constitucional impide la intervención legislativa de las </w:t>
      </w:r>
      <w:r>
        <w:lastRenderedPageBreak/>
        <w:t xml:space="preserve">Comunidades Autónomas. Pero fácilmente se ve que no puede ser así, pues dicha argumentación destruye todo el sistema de distribución competencial, ya que siempre la categoría de derecho constitucional se superpondría al título competencial específico autonómico. </w:t>
      </w:r>
    </w:p>
    <w:p w:rsidR="008107C7" w:rsidRDefault="008107C7" w:rsidP="008107C7">
      <w:pPr>
        <w:pStyle w:val="TextoNormal"/>
      </w:pPr>
      <w:r>
        <w:t xml:space="preserve">Que el legislador estatal pueda regular sobre las condiciones básicas que garanticen la igualdad en el ejercicio de los derechos y deberes constitucionales no implica que pueda incidir en todas las materias de competencia autonómica en conexión con esos derechos. No es la materia la que exige la igualdad de regulación, sino tan sólo los derechos y deberes constitucionales en sus aspectos básicos o esenciales. Ciertamente, el art. 149.1.1 es una regla competencial a favor del Estado, y por lo mismo un límite competencial para las Comunidades Autónomas. Esta cláusula permite, en efecto, que las instituciones estatales incidan normativamente en la esfera de actuación autonómica, si bien su carácter claramente finalista no habilita al Estado para ir más allá de la fijación de aquellos principios o criterios esenciales del ejercicio de los derechos, o del cumplimiento de los deberes constitucionales que resulten indispensables para garantizar la igualdad sustancial de todos los españoles. En el presente caso, existe una competencia exclusiva de las Comunidades Autónomas sobre el urbanismo que guarda, evidentemente, relación con el derecho constitucionalmente garantizado -art. 33- a la propiedad en su vertiente urbanística. Pero el binomio urbanismo-propiedad no siempre ha de reconducirse a las condiciones básicas del ejercicio de un derecho. El Tribunal Constitucional, en la Sentencia 37/1987, ha optado por reconocer una mayor libertad decisoria a las Comunidades Autónomas. Por lo tanto, el contenido esencial de la institución de la propiedad privada, que hace que este derecho sea socialmente reconocible como tal, puede quedar reducido al principio de apropiación, disfrute y transmisión por los particulares de unos determinados bienes. Más allá de él, en relación con la propiedad urbanística el Estado sólo sería competente para determinar, en su caso, los principios vertebrales de su ejercicio como derecho y del cumplimiento de los deberes que comporta. Ello es suficiente para garantizar un contenido esencial uniforme, compatible con regulaciones plurales. En conclusión, la regla del art. 149.1.1 C.E. no justifica en modo alguno una regulación estatal detallada y minuciosa de la propiedad urbanística. El título competencial estatal no puede ser utilizado para ampliar las competencias del Estado en las diversas materias relacionadas en el art. 149.1 C.E. ni, lógicamente, para atribuir al Estado nuevas facultades de intervención en los ámbitos de competencia autonómica. En consecuencia, el art. 149.1.1 no permite el establecimiento de bases, o legislación básica referida a sectores materiales confiados, con carácter exclusivo, a la responsabilidad de las Comunidades Autónomas. La virtualidad del precepto se agota, en definitiva, en la determinación de aquellas condiciones del ejercicio de los derechos o del cumplimiento de los deberes que, por tratarse de condiciones básicas o esenciales y de necesaria vigencia en la totalidad del territorio estatal, no pueden ser establecidas por las instancias autonómicas. Consiguientemente, en el ámbito de la propiedad urbanística, el que el legislador estatal pueda regular el contenido esencial de un derecho constitucional y las condiciones básicas de su ejercicio no le habilita para regular la materia en su totalidad, ni más allá de dichos elementos. </w:t>
      </w:r>
    </w:p>
    <w:p w:rsidR="008107C7" w:rsidRDefault="008107C7" w:rsidP="008107C7">
      <w:pPr>
        <w:pStyle w:val="TextoNormal"/>
      </w:pPr>
      <w:r>
        <w:t>C) En relación con la competencia sobre legislación civil del art. 149.1.8 C.E., la Ley 8/1990 apela también a este título competencial para justificar que algunos preceptos de la misma - aunque no se concreta cuáles- tengan el carácter de legislación básica y otros sean de aplicación plena. Apelar a un título como el de legislación civil para modificar en profundidad la legislación urbanística vigente supone entender la propiedad del suelo como una institución civil y negar que el estatuto de la propiedad del suelo es derecho público. La comunidad jurídica, sin embargo, es unánime al considerar que la propiedad no es incondi</w:t>
      </w:r>
      <w:r>
        <w:lastRenderedPageBreak/>
        <w:t xml:space="preserve">cionadamente materia propia de la legislación civil y entiende que la función social es inherente a la propiedad y que sus múltiples facetas no han sido ni son propias de tal legislación. Por consiguiente, la institución de la propiedad se residencia en el Código Civil, pero su función social se fija por las leyes sectoriales que la determinan. La vertiente subjetiva de la propiedad pertenece al Código Civil, mientras que la vertiente transindividual del derecho se define por las leyes especiales. Así se encuentra definido en la STC 37/1987. De este modo, el legislador estatal está habilitado por el art. 149.1.8 C.E. para alterar el régimen de la propiedad en lo que a la institución, como derecho subjetivo, se refiere, y en las relaciones que a propósito de la dinámica del derecho se generen entre particulares (adquisición, disposición, etc.), lo que no constituye otra cosa que el régimen civil de la propiedad, la pertenencia, el dominio, la titularidad. En cuanto al régimen público del derecho, su función social, la definición de su contenido en las diversas propiedades, puede ser cosa del legislador estatal o del autonómico, según la distribución competencial aplicable a cada tipo de bien. En este caso, el urbanismo, es sólo competencia del legislador autonómico. La regla del art. 149.1.8 C.E. no constituye un título habilitante para que el legislador estatal, en base a su competencia exclusiva sobre legislación civil, imponga a las Comunidades Autónomas una reforma del régimen urbanístico como la efectuada por la Ley 8/1990. </w:t>
      </w:r>
    </w:p>
    <w:p w:rsidR="008107C7" w:rsidRDefault="008107C7" w:rsidP="008107C7">
      <w:pPr>
        <w:pStyle w:val="TextoNormal"/>
      </w:pPr>
      <w:r>
        <w:t xml:space="preserve">D) La Disposición final primera, punto 1, de la Ley 8/1990 justifica asimismo la calificación de algunos de sus preceptos como básicos en la materia de urbanismo en la competencia establecida a favor del Estado en la regla 13 del art. 149.1 C.E. (bases y coordinación de la planificación general de la actividad económica), aunque sin precisar cuáles en concreto. Ahora bien, la Ley impugnada no constituye una medida coyuntural, sino una reforma a fondo de la totalidad del régimen urbanístico. Una cosa sería hacer valer la proyección sectorial del art. 149.1.13 mediante medidas de incidencia económica sobre un sector de relevancia económica general, y otra muy distinta es utilizar dicha proyección sectorial para regular de manera completa una materia de competencia exclusiva autonómica. La Ley recurrida no pretende planificar el sector urbanístico, sino regularlo de forma uniforme, en virtud, entre otros títulos, de disponer de las bases y coordinación de la planificación general de la actividad económica. Esta forma de actuación no es constitucionalmente aceptable. Si lo que el legislador pretende es llegar a abaratar el precio de las viviendas -según se dice en el Preámbulo de la Ley-, podía incidir a través de medidas de fomento, subvenciones, o actuar con medidas fiscales, como ya se ha venido haciendo. El texto de los preceptos declarados básicos por la Ley 8/1990 muestra por su objeto, objetivos, extensión, intensidad y forma de aplicación que se ha transgredido con creces la hipotética incidencia sectorial que el art. 149.1.13 C.E. permite. El urbanismo no es materia de desarrollo legislativo de bases. Únicamente mediante la adopción de medidas económicas proyectadas en el urbanismo hubiera podido incidirse legítimamente sobre él. </w:t>
      </w:r>
    </w:p>
    <w:p w:rsidR="008107C7" w:rsidRDefault="008107C7" w:rsidP="008107C7">
      <w:pPr>
        <w:pStyle w:val="TextoNormal"/>
      </w:pPr>
      <w:r>
        <w:t xml:space="preserve">E) La mención de la regla 18 del art. 149.1 C.E. en la Disposición final primera de la Ley 8/1990 parece que trata de cubrir, principalmente, los preceptos referidos al procedimiento administrativo y a la expropiación forzosa contenidos en el texto. Es sobradamente conocida la potencial fuerza expansiva de la regla del art. 149.1.18 C.E., que en la Ley 8/1990 se aplica para cubrir tanto preceptos de aplicación plena como otros de aplicación básica, sin saberse con exactitud cuáles son en concreto unos y otros. </w:t>
      </w:r>
    </w:p>
    <w:p w:rsidR="008107C7" w:rsidRDefault="008107C7" w:rsidP="008107C7">
      <w:pPr>
        <w:pStyle w:val="TextoNormal"/>
      </w:pPr>
      <w:r>
        <w:t xml:space="preserve">Con relación a la operatividad de tal regla en el ámbito urbanístico, procede referirse en primer lugar a su posible aplicabilidad en el tema de procedimiento administrativo. En principio, el régimen procedimental cae en el ámbito de la regla 18. Ahora bien, debe añadirse que, en base a la salvedad contenida en la misma, los procedimientos especiales están al </w:t>
      </w:r>
      <w:r>
        <w:lastRenderedPageBreak/>
        <w:t xml:space="preserve">alcance de las Comunidades Autónomas. En la STC 227/1988 se declara que las Comunidades Autónomas pueden adaptar las reglas comunes dictadas por el legislador estatal a las especialidades de la organización y del derecho sustantivo propios, establecidas de acuerdo con su interés peculiar. Y en la STC 15/1989 se resalta la naturaleza del procedimiento de elaboración de disposiciones de carácter general como procedimiento especial, sobre el que las Comunidades Autónomas pueden disponer cuando elaboren normas propias. Si el procedimiento especial de elaboración de reglamentos puede ser regulado por norma autonómica, también podrá serlo el régimen procedimental urbanístico, ya que se trata también de un procedimiento administrativo especial (art. 26 del Decreto de 10 de octubre de 1958). En consecuencia, el legislador estatal no puede imponer como básicas o plenas normas sobre procedimiento urbanístico más allá de los principios genéricos comunes. El resto corresponde ser establecido por cada Comunidad Autónoma competente. De lo contrario el Estado podría condicionar el ejercicio de la acción administrativa autonómica mediante la regulación detallada de cada procedimiento especial, lo que resulta inaceptable. </w:t>
      </w:r>
    </w:p>
    <w:p w:rsidR="008107C7" w:rsidRDefault="008107C7" w:rsidP="008107C7">
      <w:pPr>
        <w:pStyle w:val="TextoNormal"/>
      </w:pPr>
      <w:r>
        <w:t xml:space="preserve">Por lo que se refiere a las competencias en materia de expropiación, la Constitución y los Estatutos de Autonomía han configurado un modelo de reparto competencial que se define, por un lado, atribuyendo al Estado la competencia exclusiva para dictar la legislación sobre expropiación forzosa (art. 149.1.18) y, por otro, mediante la posibilidad de que las Comunidades Autónomas adquieran determinadas facultades normativas y ejecutivas. Así, en el Estatuto catalán se reserva a la Generalidad la competencia de desarrollo legislativo y de ejecución en esta materia (art. 10.1.2). Buscando una interpretación conciliadora de ambos textos, la STC 37/1987 ha establecido la compatibilidad de los enunciados constitucional y estatutario, admitiendo que puede existir un cierto desarrollo autonómico al adaptar lo establecido con carácter general por la legislación estatal sobre expropiación a cada uno de los ámbitos concretos de competencia material autonómica. Por lo tanto, y en primer lugar, es posible conciliar la atribución de la competencia al Estado sobre la legislación de expropiación forzosa con las reservas competenciales hechas en los Estatutos de Autonomía a favor de las Comunidades Autónomas. Éstas, en consecuencia, gozan de un espacio para el desarrollo legislativo en materia expropiatoria, espacio que lógicamente es más reducido que el que les corresponde cuando se trata de materias compartidas, pero que permite una cierta actuación de las instancias autonómicas siempre que tengan competencias de legislación sectorial. En segundo lugar, la competencia estatal sobre expropiación forzosa ha de atenerse a lo que afecta a la regulación sustantiva propia sobre expropiación forzosa. Por el contrario, la regulación contenida en la Ley 8/1990, más que referirse a la institución de la expropiación forzosa, lo que pretende regular es su aplicación al sector del urbanismo, definiendo incluso las causae expropiandi, lo que es de competencia autonómica (STC 37/1987). En consecuencia, infringe las competencias urbanísticas autonómicas. </w:t>
      </w:r>
    </w:p>
    <w:p w:rsidR="008107C7" w:rsidRDefault="008107C7" w:rsidP="008107C7">
      <w:pPr>
        <w:pStyle w:val="TextoNormal"/>
      </w:pPr>
      <w:r>
        <w:t>F) En el Preámbulo de la Ley 8/1990 se invoca la regla 23 del art. 149.1 C.E. para justificar el contenido de los arts. 5, 6 y 7, que constituyen el Capítulo dedicado al "Régimen del suelo no urbanizable". Dicha regla habilita al legislador estatal para dictar la legislación básica sobre protección del medio ambiente. Establecida en la STC 170/1989 la interpretación de lo que debe entenderse por legislación básica con referencia a la materia del medio ambiente, en la que las Comunidades Autónomas pueden también legislar, la Ley 8/1990 va mucho más allá de instituir una ordenación mediante mínimos. No se limita a establecer la tipología del suelo no urbanizable, señalando las circunstancias mínimas que pudieran obligar a otorgar esa calificación, sino que entra a regular el régimen urbanístico, incluso en el tema de las licencias, lo que evidentemente no puede encontrar amparo en la regla cons</w:t>
      </w:r>
      <w:r>
        <w:lastRenderedPageBreak/>
        <w:t xml:space="preserve">titucional citada. De lo contrario, mediante este título se vaciaría de contenido a otros materialmente distintos pero entrecruzados con el medio ambiente, como es el relativo a la competencia sobre urbanismo atribuida en exclusiva a las Comunidades Autónomas. </w:t>
      </w:r>
    </w:p>
    <w:p w:rsidR="008107C7" w:rsidRDefault="008107C7" w:rsidP="008107C7">
      <w:pPr>
        <w:pStyle w:val="TextoNormal"/>
      </w:pPr>
      <w:r>
        <w:t xml:space="preserve">G) Entrando en el análisis pormenorizado del contenido de la Ley 8/1990, con los arts. 5, 6 y 7 se pretende limitar las facultades edificatorias de los propietarios para evitar una utilización contraria o incompatible con la finalidad garantista que tradicionalmente las normas urbanísticas han otorgado al suelo no urbanizable. El problema surge al considerar que, tal como reconoció la STC 77/1984, la determinación del régimen de utilización de cada tipo de suelo es una de las facultades que integran esencialmente la competencia en materia de urbanismo, por lo que el Estado no es competente para hacerlo. No se discute aquí la corrección material de lo establecido -que, por otra parte, nada aporta de nuevo-, sino la competencia para establecerlo con carácter básico. La competencia del art. 149.1.23 C.E. permite al legislador estatal dictar normas de obligada aplicación que aseguren un mínimo en la protección de los elementos naturales -cosa que ya hizo mediante la Ley 4/1989, de 23 de marzo-, pero no puede ser utilizada para establecer el régimen de usos del suelo, por ser éste un aspecto propio de la legislación urbanística. Además, la normativa que debería desarrollar estos artículos no sería, evidentemente, medioambiental, sino urbanística. Por lo tanto, ante una posible concurrencia competencial entre las materias del medio ambiente y el urbanismo, la finalidad de la norma lleva a conceder carácter prevalente al urbanismo, materia en la que las Comunidades Autónomas no pueden estar sometidas a bases estatales. En consecuencia, el carácter básico de estos artículos es contrario al orden competencial. </w:t>
      </w:r>
    </w:p>
    <w:p w:rsidR="008107C7" w:rsidRDefault="008107C7" w:rsidP="008107C7">
      <w:pPr>
        <w:pStyle w:val="TextoNormal"/>
      </w:pPr>
      <w:r>
        <w:t xml:space="preserve">H) En los veintiún artículos que componen el Capítulo III del Título Primero de la Ley, seguramente el más innovador de la misma, se regula el régimen del suelo urbano y urbanizable, elemento que resulta nuclear del contenido de la ordenación urbanística. Al mismo tiempo, se configura una delimitación de las facultades urbanísticas que integran el contenido urbanístico de la propiedad inmobiliaria y que, por mandato legal, se adquieren de manera sucesiva. Esta nueva configuración del derecho a la propiedad urbanística, en la medida en que estableciera las condiciones básicas del ejercicio de los derechos y del cumplimiento de los deberes de los propietarios urbanísticos necesarias para garantizar la igualdad de todos los españoles, y sólo en esa medida, entraría legítimamente dentro de la competencia estatal del art. 149.1.1 C.E. Y, por lo mismo, en la medida en que regulara la materia más allá de la fijación de esas condiciones esenciales para la igualdad, no podría imponerse como de necesario seguimiento por las Comunidades Autónomas, ya que, de hacerlo, invadiría la competencia exclusiva de éstas para regular el urbanismo en su respectivo territorio y delimitar el contenido del derecho de propiedad urbanística de acuerdo con la función social que, por mandato constitucional, debe cumplir. A partir de estas premisas, no cabe aceptar el carácter básico, o de necesaria aplicación, de lo dispuesto en los artículos del Capítulo III que a continuación se señalan. </w:t>
      </w:r>
    </w:p>
    <w:p w:rsidR="008107C7" w:rsidRDefault="008107C7" w:rsidP="008107C7">
      <w:pPr>
        <w:pStyle w:val="TextoNormal"/>
      </w:pPr>
      <w:r>
        <w:t xml:space="preserve">En cuanto al inciso final del art. 8, "conforme a lo establecido en esta Ley", resulta inconstitucional, ya que excluye que el deber de incorporarse al proceso urbanizador o edificatorio pueda ser regulado por las Comunidades Autónomas más allá de establecer condiciones y plazos. Con ello se establece una única y monolítica regulación sustancial del referido deber urbanístico -que se trata de un deber no constitucional-, lo que cierra el paso a cualquier otra alternativa legislativa autonómica, en ejercicio de las competencias urbanísticas, que no siga puntualmente a la totalidad de la Ley 8/1990. </w:t>
      </w:r>
    </w:p>
    <w:p w:rsidR="008107C7" w:rsidRDefault="008107C7" w:rsidP="008107C7">
      <w:pPr>
        <w:pStyle w:val="TextoNormal"/>
      </w:pPr>
      <w:r>
        <w:t xml:space="preserve">Por lo que se refiere al art. 13.1, que establece la posibilidad de que las Entidades públicas y los particulares puedan redactar y elevar a la Administración competente los instrumentos </w:t>
      </w:r>
      <w:r>
        <w:lastRenderedPageBreak/>
        <w:t xml:space="preserve">de planeamiento en desarrollo del plan general, tal posibilidad -que en sí misma puede resultar lógica y coherente dentro de la normativa urbanística- no se acierta a ver que responda materialmente al más mínimo carácter de norma básica amparada en uno de los títulos competenciales a favor del Estado del art. 149.1 C.E. Se está ante una norma de contenido clara y exclusivamente urbanístico y que, por tanto, no puede ser básica. </w:t>
      </w:r>
    </w:p>
    <w:p w:rsidR="008107C7" w:rsidRDefault="008107C7" w:rsidP="008107C7">
      <w:pPr>
        <w:pStyle w:val="TextoNormal"/>
      </w:pPr>
      <w:r>
        <w:t xml:space="preserve">En cuanto al art. 16, es una clara muestra de que lo que realmente se está regulando es el régimen urbanístico del suelo urbano y urbanizable. El legislador no se limita a plantear las condiciones básicas del ejercicio del derecho de propiedad o a determinar las posibilidades expropiatorias por incumplimiento de las obligaciones anexas a ese derecho, sino que entra a determinar las cargas y cesiones que una propiedad inmobiliaria debe soportar, como obligación inherente al desarrollo urbanístico, a fin de que la comunidad participe en las plusvalías generadas por el planeamiento urbanístico. Nada hay que oponer al principio general de que la obtención de los beneficios que otorga el planeamiento a los propietarios del suelo se supedite al cumplimiento de unas obligaciones o cargas. Pero su delimitación es una cuestión a definir por el propio ordenamiento urbanístico. En cambio, en este artículo de la Ley y en los que le siguen se definen con carácter de norma básica cuáles han de ser en concreto las cargas y cesiones urbanísticas. Lo más grave es que, ante la falta de título competencial, se pretende presentar el tema bajo la apariencia de una limitación del derecho de propiedad. Limitación que, por su parte, no encuentra otra justificación que la participación del propietario en los beneficios que le otorga el mismo planeamiento urbanístico. Mas si los beneficios le llegan al propietario del suelo sólo a partir del planeamiento urbanístico, tan sólo del mismo lugar le han de poder llegar, en contraprestación, las cargas. </w:t>
      </w:r>
    </w:p>
    <w:p w:rsidR="008107C7" w:rsidRDefault="008107C7" w:rsidP="008107C7">
      <w:pPr>
        <w:pStyle w:val="TextoNormal"/>
      </w:pPr>
      <w:r>
        <w:t xml:space="preserve">Lo establecido por el mandato constitucional del art. 47.2 C.E., relativo a la participación de la comunidad en las plusvalías de la acción urbanística de las Entidades públicas, vincula a todos los poderes públicos, tanto del Estado como de las Comunidades Autónomas, en el leal ejercicio de sus respectivas competencias. La determinación de cuál haya de ser la participación y de cómo deba producirse es materia urbanística y, por tanto, de la competencia autonómica. Sobre ella no existen ni pueden existir bases estatales. Consecuentemente, no cabe que la legislación estatal determine con el carácter de norma básica el tipo de participación de la comunidad en las plusvalías derivadas del planeamiento, bajo la tesis de la igualdad en las condiciones básicas del ejercicio de derechos y obligaciones. La forma y el nivel de participación de la comunidad es algo a determinar por cada Comunidad Autónoma en ejercicio de su autonomía. Además, es lógico que sea así, porque es algo que debe estar más ligado a las circunstancias concretas y especiales de cada lugar que a una decisión abstracta y globalizadora. </w:t>
      </w:r>
    </w:p>
    <w:p w:rsidR="008107C7" w:rsidRDefault="008107C7" w:rsidP="008107C7">
      <w:pPr>
        <w:pStyle w:val="TextoNormal"/>
      </w:pPr>
      <w:r>
        <w:t xml:space="preserve">Pero la cuestión no acaba aquí, pues no sólo se definen nuevas y básicas cargas urbanísticas, sino que, además, en el art. 17.1 se determina cómo han de obtenerse, incluso concretando los criterios técnicos de reparto de beneficios y cargas. Realmente resulta todo un contrasentido que lo que hasta ahora estaba regulado a nivel reglamentario en la normativa urbanística se convierta en legislación básica estatal, y más cuando el Estado no tiene competencia alguna en esta materia. </w:t>
      </w:r>
    </w:p>
    <w:p w:rsidR="008107C7" w:rsidRDefault="008107C7" w:rsidP="008107C7">
      <w:pPr>
        <w:pStyle w:val="TextoNormal"/>
      </w:pPr>
      <w:r>
        <w:t xml:space="preserve">En cuanto a lo dispuesto en el art. 18.1 y 3, se trata claramente de una sanción urbanística impuesta en el caso de incumplimiento del deber urbanístico de solicitar la licencia de edificación dentro de plazo. También se establece alguna norma procedimental al respecto y se obliga a la Administración actuante o a expropiar los terrenos o a sujetarlos al régimen de venta forzosa. Ninguno de estos extremos compete regular al Estado, pues todos ellos son materia típicamente urbanística. Es más, caben serias dudas de que el sistema de expropiación-sanción establecido en este artículo respete las garantías del art. 25 C.E. Lo mismo </w:t>
      </w:r>
      <w:r>
        <w:lastRenderedPageBreak/>
        <w:t xml:space="preserve">puede aplicarse al art. 19.2, donde se encuentra una remisión a lo establecido en el art. 18.3 -esto es, la sanción consistente en la reducción del justiprecio-, aplicada en este caso a los terrenos urbanos no incluidos en una unidad de ejecución. </w:t>
      </w:r>
    </w:p>
    <w:p w:rsidR="008107C7" w:rsidRDefault="008107C7" w:rsidP="008107C7">
      <w:pPr>
        <w:pStyle w:val="TextoNormal"/>
      </w:pPr>
      <w:r>
        <w:t xml:space="preserve">Por lo que se refiere a los arts. 22 y 24, establecen, respectivamente, que la falta de adquisición del derecho a edificar por causa imputable al titular del terreno, o su extinción por incumplimiento de los plazos, determinan su expropiación o venta forzosa, con la sanción consistente en la reducción del 50 por 100 del aprovechamiento urbanístico. A tales efectos se dispone que "la Administración expropiará...". No se está, por lo tanto, ante unos preceptos que abren posibilidades de actuaciones expropiatorias a favor de las Administraciones Públicas competentes, sino que obligan a éstas a unas actuaciones determinadas, con independencia de cualquier otro criterio de necesidad, oportunidad o valoración económica. Ello supone una clara vulneración de las competencias de las Comunidades Autónomas y va contra el principio de la autonomía municipal para la gestión de sus propios intereses, recogido en los arts. 137 y 140 C.E. </w:t>
      </w:r>
    </w:p>
    <w:p w:rsidR="008107C7" w:rsidRDefault="008107C7" w:rsidP="008107C7">
      <w:pPr>
        <w:pStyle w:val="TextoNormal"/>
      </w:pPr>
      <w:r>
        <w:t xml:space="preserve">En los arts. 26, 27.1, 2 y 3 y 28.1 se recogen una serie de medidas típicas de disciplina urbanística en relación con la edificación realizada sin licencia, o sin ajustarse a sus condiciones, o bien realizada al amparo de licencia posteriormente declarada ilegal, y también con el caso de la obra ajustada a licencia y al planeamiento pero que excede el aprovechamiento urbanístico correspondiente a su titular. Fácilmente se observa que son medidas conducentes al restablecimiento de la legalidad urbanística en cada situación y que, por lo tanto, corresponden ser adoptadas por quien tiene la facultad de dictar la legislación urbanística, esto es, las Comunidades Autónomas. No cabe, pues, imponerlas como contenido de una pretendida normativa básica. </w:t>
      </w:r>
    </w:p>
    <w:p w:rsidR="008107C7" w:rsidRDefault="008107C7" w:rsidP="008107C7">
      <w:pPr>
        <w:pStyle w:val="TextoNormal"/>
      </w:pPr>
      <w:r>
        <w:t xml:space="preserve">I) En los arts. 30.1 y 2 y 31.1 (Capítulo IV: "Areas de reparto de cargas y beneficios y unidades de ejecución"), a los que se asigna el carácter de legislación básica, se recogen unos mandatos generales referentes a que en los planes generales se ha de distribuir el suelo delimitando áreas de reparto de cargas y beneficios, y dentro de ellas unidades de ejecución, según disponga la legislación urbanística aplicable. No obstante la inocuidad de tales afirmaciones, no es al Estado a quien compete efectuarlas y menos con carácter básico, pues, tratándose del contenido de los planes generales de urbanismo, es una materia singularmente urbanística, en la que, como se ha visto, no caben bases estatales. Cabe añadir que aun repugna más la atribución del carácter de legislación básica a preceptos de este Capítulo IV, y lo mismo puede decirse de los del Capítulo V ("Cálculo de los aprovechamientos tipo"), porque no guarda la más mínima coherencia con lo establecido en la Disposición adicional primera de la propia Ley 8/1990 sobre su grado de aplicación. En efecto, en el punto 3 de dicho precepto se establece que "en los Municipios en que no se aplique la Ley con carácter general regirán las disposiciones específicas contenidas en la misma sobre adquisición gradual de facultades urbanísticas y valoraciones, a excepción de las relativas a delimitación de áreas de reparto y cálculo de aprovechamiento tipo en suelo urbano; ...". No se acierta a comprender qué tipo de normas básicas son estas de los Capítulos IV y V del Título Primero de la Ley, que pretenden ampararse en el título competencial del art. 149.1.1 C.E. y que la propia Ley excepciona de su aplicación a los residentes en los Municipios de población inferior a 50.000 habitantes y que no sean capital de Provincia. En definitiva, resulta a todas luces evidente el contenido prevalentemente urbanístico de estas normas. </w:t>
      </w:r>
    </w:p>
    <w:p w:rsidR="008107C7" w:rsidRDefault="008107C7" w:rsidP="008107C7">
      <w:pPr>
        <w:pStyle w:val="TextoNormal"/>
      </w:pPr>
      <w:r>
        <w:t xml:space="preserve">J) Respecto de los arts. 32, 33.1, 3, 4 y 5, 34, 35.1, 2 y 3, y 36.1 del Capítulo V, procede, en primer lugar, remitirse a lo que se acaba de exponer referido al Capítulo IV. En cuanto al contenido de estos artículos, se está regulando el régimen de uso, tipología y gestión del suelo urbano y urbanizable, materia urbanística donde las haya. No cabe, pues, aceptar que </w:t>
      </w:r>
      <w:r>
        <w:lastRenderedPageBreak/>
        <w:t xml:space="preserve">el legislador estatal dicte preceptos básicos en este tema, ni siquiera aunque en múltiples ocasiones se contengan remisiones a lo que establezca la legislación urbanística aplicable. A pesar de las salvedades, la invasión competencial es clara, de manera que lo establecido en los arts. 32 al 36 sólo puede ser de aplicación supletoria, para el caso de inexistencia de una regulación autonómica propia. </w:t>
      </w:r>
    </w:p>
    <w:p w:rsidR="008107C7" w:rsidRDefault="008107C7" w:rsidP="008107C7">
      <w:pPr>
        <w:pStyle w:val="TextoNormal"/>
      </w:pPr>
      <w:r>
        <w:t xml:space="preserve">K) En lo tocante a los arts. 37.1 y 2, 38 y 39 del Capítulo VI ("Aprovechamientos susceptibles de apropiación"), hay que decir que cuanto más se avanza en el articulado de la Ley más se aparta del nivel de los principios generales para entrar en el de las concreciones particulares correspondientes a la materia urbanística. Ello porque el Capítulo VI de la Ley está destinado a precisar lo ya establecido en el art. 16, al que se remite el art. 37.1. En consecuencia, lo dicho para aquel precepto es aplicable también ahora. Lo establecido en los arts. 37, 38 y 39, bajo la apariencia de unas limitaciones al derecho a la propiedad urbanística, no es más que lo que desde siempre se han denominado como "cargas urbanísticas" y que, hasta el presente, ocupaba una regulación reglamentaria en el régimen del suelo. Ahora, desde estos preceptos se pretende imponer como básica en todo el Estado una regulación uniforme, pormenorizada e injustificada de las cargas urbanísticas, cuando el Estado no dispone de competencia para ello. </w:t>
      </w:r>
    </w:p>
    <w:p w:rsidR="008107C7" w:rsidRDefault="008107C7" w:rsidP="008107C7">
      <w:pPr>
        <w:pStyle w:val="TextoNormal"/>
      </w:pPr>
      <w:r>
        <w:t xml:space="preserve">L) En los arts. 40.2 y 4 y 42.1 y 3 del Capítulo VII ("Actuación mediante unidades de ejecución") se regulan cuestiones típicas de la gestión urbanística, concretamente las referentes a la gestión de los aprovechamientos urbanísticos y, por lo tanto, no deberían tener otro valor que el de derecho supletorio. En cuanto a la garantía, prevista en el art. 40.2, cuando se hubiese fijado un sistema de gestión privada, en favor de los propietarios no responsables de incumplimiento de los deberes de cesión, equidistribución y urbanización, el mismo precepto afirma que deberá establecerse por la legislación urbanística. Por lo tanto, tal garantía no puede considerarse como condición básica del ejercicio del derecho a la propiedad, sino referida a las relaciones entre los propietarios integrados en una unidad de ejecución, en la que el incumplimiento de unos no debe perjudicar a los otros. Ahora bien, es en la legislación urbanística donde se han de regular estos extremos y no cabe aceptar normas básicas sobre los mismos, por muy inocuas y genéricas que sean. Lo mismo cabe predicar del art. 40.4, en el que se aplica al supuesto de que la unidad de ejecución deba producirse por el sistema de cooperación u otro equivalente el principio de que "la ejecución del planeamiento debe garantizar la distribución equitativa de los beneficios y cargas entre los afectados" y que quedó establecido en el art. 9 de la Ley. Aun aceptando el principio general, su concreción a este supuesto debe ser realizada por la legislación urbanística, lo que corresponde a las Comunidades Autónomas. No cabe, por tanto, considerar este artículo como norma básica. Por lo que se refiere al art. 42, es una norma que regula la gestión de los aprovechamientos permitidos por el planeamiento en una unidad de ejecución en el caso de que excedan los susceptibles de apropiación por los propietarios. Resulta realmente curioso que a los puntos 1 y 3 de este artículo se les atribuya carácter básico, mientras que al siguiente art. 43, donde se regula el caso opuesto de que tales aprovechamientos fueran inferiores a los susceptibles de apropiación, se le considere norma supletoria. Parece que falla el debido equilibrio en el tratamiento de la cuestión. De todas maneras, se trata de una materia de gestión urbanística que compete regular a las Comunidades Autónomas y sobre la que no caben bases estatales. </w:t>
      </w:r>
    </w:p>
    <w:p w:rsidR="008107C7" w:rsidRDefault="008107C7" w:rsidP="008107C7">
      <w:pPr>
        <w:pStyle w:val="TextoNormal"/>
      </w:pPr>
      <w:r>
        <w:t xml:space="preserve">LL) Los arts. 59 y 61 del Capítulo IX ("Obtención de terrenos dotacionales") establecen una serie de medidas relativas al inicio obligatorio de la expropiación de sistemas generales, así como las formas de obtener los terrenos afectados a dotaciones públicas. Esta materia había sido regulada en el Reglamento de Gestión Urbanística. Más en concreto, en el art. </w:t>
      </w:r>
      <w:r>
        <w:lastRenderedPageBreak/>
        <w:t xml:space="preserve">59, precepto que pretende ser básico, se singulariza toda la regulación del procedimiento de ocupación directa, especificando un conjunto de reglas de necesaria aplicación relativas a publicidad, plazos, contenido, formalización, etc. Se trata, así pues, al igual que lo establecido en el art. 61, también con carácter básico, de normas con un contenido puramente de gestión urbanística que corresponde determinar a las instancias competentes en la materia, es decir, a las Comunidades Autónomas. </w:t>
      </w:r>
    </w:p>
    <w:p w:rsidR="008107C7" w:rsidRDefault="008107C7" w:rsidP="008107C7">
      <w:pPr>
        <w:pStyle w:val="TextoNormal"/>
      </w:pPr>
      <w:r>
        <w:t xml:space="preserve">M) El art. 63.1, que es el único de los tres del Capítulo X ("Registro de solares y terrenos sin urbanizar") al que se atribuye carácter básico, invade las competencias de las Comunidades Autónomas, y también de las Corporaciones locales, al imponerles un sistema determinado de actuación en perjuicio de su libertad de opción para la gestión del urbanismo de acuerdo con sus intereses respectivos. Por tanto, no puede ser básico. </w:t>
      </w:r>
    </w:p>
    <w:p w:rsidR="008107C7" w:rsidRDefault="008107C7" w:rsidP="008107C7">
      <w:pPr>
        <w:pStyle w:val="TextoNormal"/>
      </w:pPr>
      <w:r>
        <w:t xml:space="preserve">N) El art. 77 comienza estableciendo la posibilidad de que, en los casos de incumplimiento de sus deberes urbanísticos por parte de los particulares, las Comunidades Autónomas se subroguen en la posición de los Ayuntamientos respectivos en el ejercicio de la potestad expropiatoria. A continuación regula los plazos y las condiciones del ejercicio de tal facultad. Referente a este artículo de aplicación básica, se ha de señalar, en primer lugar, que supone una incidencia del legislador estatal en el ámbito de la gestión urbanística, lo que resulta contrario a la distribución competencial constitucionalmente fijada. Pero también cabe su consideración desde la perspectiva de la facultad estatal para dictar las bases del régimen jurídico de las Administraciones Públicas (art. 149.1.18 C.E.). En este caso, el mecanismo de la subrogación aparece como uno de los controles de la actividad de los Entes locales previstos tanto en la legislación de régimen local (arts. 60 de la Ley de Bases de Régimen Local y 136 de la Ley Municipal y de Régimen Local de Cataluña) como en la legislación urbanística (arts. 5 y 218 de la Ley del Suelo). El Tribunal Constitucional, en sus SSTC 4/1981, 27/1987 y 214/1989, entre otras, ha declarado que la facultad subrogatoria no supone una reducción ilegítima de la autonomía local establecida en los arts. 137 y 140 C.E. Ahora bien, lo establecido por el art. 77 de la Ley 8/1990 no puede entenderse sino como una concreción y aplicación al terreno urbanístico de lo ya dispuesto por el art. 60 de la Ley de Bases del Régimen Local. En este punto ha de admitirse que la concreción y aplicación urbanística de las bases estatales sólo pueden hacerla las Comunidades Autónomas, de acuerdo con su competencia sectorial exclusiva. Por lo tanto, el mencionado precepto resulta inconstitucional, ya que no cabe que desde la legislación urbanística se establezcan bases sobre las bases del régimen de la Administración Local. </w:t>
      </w:r>
    </w:p>
    <w:p w:rsidR="008107C7" w:rsidRDefault="008107C7" w:rsidP="008107C7">
      <w:pPr>
        <w:pStyle w:val="TextoNormal"/>
      </w:pPr>
      <w:r>
        <w:t xml:space="preserve">Ñ) Los arts. 86, 87, 88 y 89 del Título IV ("Supuestos indemnizatorios") regulan la procedencia o no de indemnización en distintos supuestos de modificación o revisión del planeamiento urbanístico. Sin embargo, corresponde a la legislación urbanística el establecer las situaciones que resulten indemnizables por los cambios del planeamiento y, por consiguiente, no resulta constitucionalmente legítimo imponer los arts. 86 al 89 como norma básica, es decir, de obligado cumplimiento por los ordenamientos urbanísticos autonómicos. Además, la generalidad con que están redactados estos artículos no responde a lo que debe ser la regulación legal del derecho de los particulares a ser indemnizados por cualquier lesión que padezcan en cualquiera de sus bienes o derechos, reconocido en el art. 106.2 C.E. La determinación genérica de unos supuestos urbanísticos indemnizables o no indemnizables, recogidos en estos preceptos, nada tiene que ver con la competencia estatal para establecer el sistema de responsabilidad de todas las Administraciones Públicas, previsto en el art. 149.1.18 C.E., sino que se inscribe claramente en la regulación de sus peculiaridades en relación con la materia "urbanismo", de competencia autonómica. </w:t>
      </w:r>
    </w:p>
    <w:p w:rsidR="008107C7" w:rsidRDefault="008107C7" w:rsidP="008107C7">
      <w:pPr>
        <w:pStyle w:val="TextoNormal"/>
      </w:pPr>
      <w:r>
        <w:lastRenderedPageBreak/>
        <w:t xml:space="preserve">O) En el art. 99.1 se establece la posibilidad de unas previsiones, a incluir en los Planes Generales, en orden a constituir o ampliar el patrimonio municipal del suelo. Y se añade que, en su defecto, los Ayuntamientos podrán delimitar superficies sobre el suelo clasificado como urbanizable programado o no urbanizable con idéntica finalidad. Semejante contenido no está amparado por ningún título competencial a favor del Estado que justifique su incidencia en la materia urbanística, por lo que su calificación como normativa básica debe considerarse contraria al orden competencial establecido en el bloque de la constitucionalidad. </w:t>
      </w:r>
    </w:p>
    <w:p w:rsidR="008107C7" w:rsidRDefault="008107C7" w:rsidP="008107C7">
      <w:pPr>
        <w:pStyle w:val="TextoNormal"/>
      </w:pPr>
      <w:r>
        <w:t xml:space="preserve">P) Las Disposiciones adicionales primera, tercera, 1 y 2, quinta, sexta y novena y las Disposiciones transitorias primera, cuarta, 1, quinta y sexta se refieren a circunstancias de contenido marcadamente urbanístico, de manera que no cabe su imposición como regulación básica. Es a las Comunidades Autónomas a quienes compete decidir la aplicabilidad de las normas urbanísticas generales según sea la dimensión de la población de los Municipios incluidos en su ámbito territorial (Disposición adicional primera). Son también ellas quienes han de decidir sobre las particularidades que, en cuanto a plazos, cabe aplicar a las Entidades públicas de su territorio dedicadas a la promoción y urbanización de suelo o a la construcción de viviendas (Disposición adicional tercera, 1 y 2). En cuanto a las reglas que, en su caso, regulen el derecho al realojamiento de los ocupantes de viviendas que deben desalojarse para ejecutar actuaciones urbanísticas (Disposición adicional quinta), corresponderá dictarlas a quien ostente la competencia sobre urbanismo y vivienda, y como tal competencia está atribuida en exclusiva a las Comunidades Autónomas, no cabe que el Estado dicte normas que la regulen con carácter básico. </w:t>
      </w:r>
    </w:p>
    <w:p w:rsidR="008107C7" w:rsidRDefault="008107C7" w:rsidP="008107C7">
      <w:pPr>
        <w:pStyle w:val="TextoNormal"/>
      </w:pPr>
      <w:r>
        <w:t xml:space="preserve">En el caso de que el Plan no determine el aprovechamiento urbanístico de un terreno urbano, supuesto a que se refiere el art. 105.2 de la Ley del Suelo de 1976, el ordenamiento establecía un aprovechamiento de aplicación subsidiaria. El Estado no dispone de título competencial alguno para imponer como básica una nueva determinación de dicho aprovechamiento (Disposición adicional sexta). Además, mal concuerda con el carácter de básico un aprovechamiento que se aplicará supletoriamente del que debiera venir señalado en el planeamiento. Por lo que se refiere a la clasificación de los terrenos urbanos, en los Municipios que carezcan de plan adaptado a la Ley 19/1975, de 19 de mayo, del Suelo (Disposición adicional novena), es una cuestión puramente urbanística que corresponde solucionar a las Comunidades Autónomas competentes en la materia por lo que se refiere a los Municipios de su respectivo territorio. Además, debe recordarse que en muchos Municipios de España la legislación urbanística vigente no es ya la Ley del Suelo de 1975 -o, al menos, no lo es totalmente-, sino la legislación dictada por su Comunidad Autónoma. Y, finalmente, por lo que se refiere a las medidas de legislación transitoria adoptadas en las Disposiciones transitorias primera, cuarta, 1, quinta y sexta, no pueden ser consideradas como legislación básica por su relación directa con los preceptos de la misma Ley a los que se refieren y que, como se ha visto, no encuentran sustento suficiente en los títulos competenciales del art. 149.1 C.E. que permita imponerlos por encima de la legislación urbanística autonómica. </w:t>
      </w:r>
    </w:p>
    <w:p w:rsidR="008107C7" w:rsidRDefault="008107C7" w:rsidP="008107C7">
      <w:pPr>
        <w:pStyle w:val="TextoNormal"/>
      </w:pPr>
      <w:r>
        <w:t xml:space="preserve">Q) La Disposición final primera de la Ley 8/1990, después de haber efectuado la declaración de los preceptos básicos, enumera en el punto 2 unos artículos del texto legal que son de aplicación plena en virtud del art. 149.1.8 y 18 C.E. Ahora bien, el art. 58.3 debe considerarse inconstitucional desde la perspectiva competencial por su conexión con el art. 38 de la Ley, no básico y, por tanto, invasor de las competencias autonómicas sobre urbanismo. Igual ocurre con el art. 62.2, que se remite a lo dispuesto en los arts. 59 y 60 en cuanto a requisitos, procedimiento y efectos. Ya se dijo que las normas procedimentales contenidas en el art. 59 no podían merecer la calificación de básicas, por lo que por su conexión con </w:t>
      </w:r>
      <w:r>
        <w:lastRenderedPageBreak/>
        <w:t xml:space="preserve">este artículo tampoco resulta respetuoso con el orden competencial lo dispuesto en el art. 62.2. Por último, en relación con los arts. 78 y 100, en los que se fijan los supuestos expropiatorios, se ha de recordar el explícito pronunciamiento contenido en la STC 37/1987, entre otras, en el sentido de que la determinación de la causa expropiandi corresponde al titular de la competencia que se pretenda actuar y que las Comunidades Autónomas pueden determinarla en relación a aquellas materias que han sido atribuidas a su competencia. Este es el caso del urbanismo. Por consiguiente, los referidos artículos no pueden ser calificados como de aplicación plena. Esto no implica que las Comunidades Autónomas no deban respetar las causae expropiandi contenidas en la legislación sectorial en la que el Estado sea competente, ni que no deban respetar las normas contenidas en la legislación general dictada por aquél para regular la institución, en cuanto que garanticen por igual los derechos patrimoniales de todos los ciudadanos. </w:t>
      </w:r>
    </w:p>
    <w:p w:rsidR="008107C7" w:rsidRDefault="008107C7" w:rsidP="008107C7">
      <w:pPr>
        <w:pStyle w:val="TextoNormal"/>
      </w:pPr>
      <w:r>
        <w:t>La representación de la Generalidad de Cataluña concluye su extenso escrito de demanda con la súplica de que se tenga por formalizado recurso de inconstitucionalidad contra la Disposición final primera de la Ley 8/1990 en su punto 1, en relación con los arts. 5, 6, 7, 8, en su inciso final "conforme a lo establecido en esta Ley", 13.1, 16, 17.1, 18.1 y 3, 19.2, 22, 24, 26, 27.1, 2 y 3, 28.1, 30.1 y 2, 31.1, 32, 33.1, 3, 4 y 5, 34, 35.1, 2 y 3, 36.1, 37.1 y 2, 38, 39, 40.2 y 4, 42.1 y 3, 59, 61, 63.1, 77, 86, 87, 88, 89 y 99.1, las Disposiciones adicionales primera, tercera, 1 y 2, quinta, sexta y novena y las Disposiciones transitorias primera, cuarta, 1, quinta y sexta de la misma Ley, y en su punto 2, en relación con los arts. 58.3, 62.2, 78 y 100, y que se dicte Sentencia por la que se declare la inconstitucionalidad y consiguiente nulidad de los mencionados preceptos o, subsidiariamente, que los mismos no son de aplicación en Cataluña.</w:t>
      </w:r>
    </w:p>
    <w:p w:rsidR="008107C7" w:rsidRDefault="008107C7" w:rsidP="008107C7">
      <w:pPr>
        <w:pStyle w:val="TextoNormal"/>
      </w:pPr>
    </w:p>
    <w:p w:rsidR="008107C7" w:rsidRDefault="008107C7" w:rsidP="008107C7">
      <w:pPr>
        <w:pStyle w:val="TextoNormal"/>
      </w:pPr>
      <w:r w:rsidRPr="008107C7">
        <w:rPr>
          <w:rStyle w:val="NumeroAFNegritaCaracter"/>
        </w:rPr>
        <w:t>8</w:t>
      </w:r>
      <w:r>
        <w:t>. La Sección Cuarta del Tribunal, por providencia de 12 de noviembre de 1990, acordó: 1º) admitir a trámite el recurso de inconstitucionalidad promovido por el Consejo Ejecutivo de la Generalidad de Cataluña, turnado con el núm. 2.481/90; 2º) dar traslado de la demanda y documentos presentados, conforme establece el art. 34.1 LOTC, al Congreso de los Diputados y al Senado, por conducto de sus Presidentes, y al Gobierno, por conducto del Ministerio de Justicia, al objeto de que en el plazo de quince días pudieran personarse en el procedimiento y formular las alegaciones que estimasen convenientes; 3º) publicar la incoación del recurso en el "Boletín Oficial del Estado", para general conocimiento.</w:t>
      </w:r>
    </w:p>
    <w:p w:rsidR="008107C7" w:rsidRDefault="008107C7" w:rsidP="008107C7">
      <w:pPr>
        <w:pStyle w:val="TextoNormal"/>
      </w:pPr>
    </w:p>
    <w:p w:rsidR="008107C7" w:rsidRDefault="008107C7" w:rsidP="008107C7">
      <w:pPr>
        <w:pStyle w:val="TextoNormal"/>
      </w:pPr>
      <w:r w:rsidRPr="008107C7">
        <w:rPr>
          <w:rStyle w:val="NumeroAFNegritaCaracter"/>
        </w:rPr>
        <w:t>9</w:t>
      </w:r>
      <w:r>
        <w:t>. Por escrito registrado el 21 de noviembre siguiente, el Presidente del Congreso de los Diputados comunicó el Acuerdo de la Cámara de que aun cuando no se personaría en el procedimiento ni formularía alegaciones ponía a disposición del Tribunal las actuaciones que pudiera precisar, con remisión a la Dirección de Estudios y Documentación de la Secretaría General. El 26 de noviembre tuvo entrada un escrito del Vicepresidente Primero del Senado en el que se comunicaba el Acuerdo de la Cámara de que se la tuviera por personada en el procedimiento y por ofrecida su colaboración a los efectos del art. 88.1 LOTC.</w:t>
      </w:r>
    </w:p>
    <w:p w:rsidR="008107C7" w:rsidRDefault="008107C7" w:rsidP="008107C7">
      <w:pPr>
        <w:pStyle w:val="TextoNormal"/>
      </w:pPr>
    </w:p>
    <w:p w:rsidR="008107C7" w:rsidRDefault="008107C7" w:rsidP="008107C7">
      <w:pPr>
        <w:pStyle w:val="TextoNormal"/>
      </w:pPr>
      <w:r w:rsidRPr="008107C7">
        <w:rPr>
          <w:rStyle w:val="NumeroAFNegritaCaracter"/>
        </w:rPr>
        <w:t>10</w:t>
      </w:r>
      <w:r>
        <w:t xml:space="preserve">. La Diputación General de Aragón, representada por su Letrado don Juan Antonio García Toledo, interpuso, mediante escrito registrado el 27 de octubre de 1990, recurso de inconstitucionalidad contra la Ley 8/1990, de 25 de julio, sobre Reforma del Régimen Urbanístico y Valoraciones del Suelo, aduciendo cuanto a continuación, y en síntesis, se consigna: </w:t>
      </w:r>
    </w:p>
    <w:p w:rsidR="008107C7" w:rsidRDefault="008107C7" w:rsidP="008107C7">
      <w:pPr>
        <w:pStyle w:val="TextoNormal"/>
      </w:pPr>
      <w:r>
        <w:lastRenderedPageBreak/>
        <w:t xml:space="preserve">A) La Ley recurrida viene a reformar el vigente régimen urbanístico de la propiedad inmobiliaria, contenido hasta el presente fundamentalmente en el Texto Refundido de la Ley sobre Régimen del Suelo y Ordenación Urbana, aprobado por Real Decreto 1.346/1976, de 9 de abril (no en vano la Ley 8/1990 deroga los preceptos "de la vigente Ley del Suelo y Reglamentos de su desarrollo y demás disposiciones de carácter general que se opongan a lo establecido en esta Ley"). El art. 148.1.3 C.E. dispone que las Comunidades Autónomas podrán asumir competencias en la materia de "ordenación del territorio, urbanismo y vivienda". La Comunidad Autónoma de Aragón, como, por lo demás, ha ocurrido con las restantes Comunidades Autónomas, ha asumido la competencia exclusiva en la materia de ordenación del territorio, urbanismo y vivienda, por dictado del art. 35.1.3 de su Estatuto de Autonomía. Esta competencia autonómica exclusiva tiene una vocación de plenitud, es decir, que es integral, por comprender la potestad legislativa, la reglamentaria y la función ejecutiva. Además, se ha destacar el valor de la Ley del Suelo de 1976 y sus precedentes legislativos a la hora de dibujar los contornos materiales de la competencia sobre urbanismo, lo que permite identificarlo con el régimen urbanístico de la propiedad del suelo. En contraposición con la expresiva titularidad competencial autonómica en la materia de urbanismo, es significativo que del art. 149 C.E. no se desprenda que el Estado explícitamente se haya reservado competencias en dicha materia. No obstante ello, ha de reconocerse la existencia de ciertos entrecruzamientos competenciales. </w:t>
      </w:r>
    </w:p>
    <w:p w:rsidR="008107C7" w:rsidRDefault="008107C7" w:rsidP="008107C7">
      <w:pPr>
        <w:pStyle w:val="TextoNormal"/>
      </w:pPr>
      <w:r>
        <w:t xml:space="preserve">El propio Preámbulo de la Ley 8/1990 acota cuál es el objeto de su pretensión: modificar el régimen hasta ahora vigente sobre los derechos y deberes de los propietarios del suelo afectado por el proceso de urbanización y edificación, limitándose a fijar las condiciones básicas que aseguren la igualdad de todos los españoles y delimitando, con carácter básico, la función social de la propiedad. Asimismo indica la Ley, como contenido propio, la determinación del contenido económico del derecho y la cobertura legal de una serie de instrumentos jurídicos que permitan una intervención eficaz en la regulación del mercado inmobiliario. A pesar de que dicho texto es prudente y cauteloso para dar la impresión de que se ubica dentro de los límites competenciales estatales, bajo la aparente intención de regular tan sólo las condiciones básicas a que alude el art. 149.1.1 C.E. y una serie de determinaciones a efectos expropiatorios, es lo cierto que la regulación legal va mucho más allá, ahogando en definitiva las posibilidades reales de las Comunidades Autónomas para diseñar una política urbanística propia. En cualquier caso, la Ley invoca, como apoyo constitucional, las competencias que le reserva el art. 149.1 C.E. en sus reglas 1, 8, 13, 18 y 23, todas ellas en cuanto a los preceptos declarados legislación básica, y las reglas 8 y 18 en especial por lo que atañe a los calificados de aplicación plena. A continuación se examina el alcance de los diversos títulos competenciales. </w:t>
      </w:r>
    </w:p>
    <w:p w:rsidR="008107C7" w:rsidRDefault="008107C7" w:rsidP="008107C7">
      <w:pPr>
        <w:pStyle w:val="TextoNormal"/>
      </w:pPr>
      <w:r>
        <w:t xml:space="preserve">B) El art. 149.1.1 C.E. atribuye competencia al Estado para regular las concretas condiciones que garanticen el derecho de igualdad en el ejercicio de los derechos, pero no los derechos mismos, cuya normación podrá corresponder a otra instancia en virtud de otro título competencial, como así ha señalado el Tribunal Constitucional en Sentencia de 4 de julio de 1986. Ciertamente, el de propiedad es un derecho constitucional y, por lo tanto, entra en el ámbito del art. 149.1.1; la cuestión estriba en determinar el alcance de las denominadas "condiciones básicas". En todo caso, hoy la cuestión aparece más clarificada desde la importante STC 37/1987, a la que cabe remitirse. </w:t>
      </w:r>
    </w:p>
    <w:p w:rsidR="008107C7" w:rsidRDefault="008107C7" w:rsidP="008107C7">
      <w:pPr>
        <w:pStyle w:val="TextoNormal"/>
      </w:pPr>
      <w:r>
        <w:t xml:space="preserve">La Ley, en segundo término, invoca el art. 149.1.8 C.E., invocación que parece afectar a la regulación de la propiedad del suelo. Pero es evidente que la propiedad no es incondicionadamente materia propia de la legislación civil y, por otro lado, cada día destaca más la vertiente institucional del derecho, integrada por su función social. Es más, la delimitación </w:t>
      </w:r>
      <w:r>
        <w:lastRenderedPageBreak/>
        <w:t xml:space="preserve">de la propiedad se aleja paulatinamente del tipo abstracto descrito en el Código Civil, incorporándose progresivamente contenidos y finalidades esenciales relacionadas con el uso o aprovechamiento de los distintos tipos de bienes. En definitiva, la competencia exclusiva del Estado para la legislación civil no excluye que para el ejercicio de las competencias estatutarias sobre sectores materiales de regulación las Comunidades Autónomas tienen capacidad legislativa de disciplinar la propiedad. De nuevo resulta aquí imperiosa la referencia de la STC 37/1987 (fundamento jurídico 8º). </w:t>
      </w:r>
    </w:p>
    <w:p w:rsidR="008107C7" w:rsidRDefault="008107C7" w:rsidP="008107C7">
      <w:pPr>
        <w:pStyle w:val="TextoNormal"/>
      </w:pPr>
      <w:r>
        <w:t xml:space="preserve">En tercer lugar, aparece invocado el art. 149.1.13 C.E. Por mucha amplitud que pretenda otorgarse a tal precepto, no parece en absoluto razonable dotarle de tal efecto expansivo como para que una regulación eminentemente sectorial como es el régimen urbanístico del suelo encaje en dicho título. Ciertamente, no se está en presencia de una planificación general de la actividad económica, debiendo señalarse especialmente la ausencia de este carácter general. En caso contrario, es obvio que, como ya ha señalado el propio Tribunal Constitucional, se estarían reduciendo literalmente a la nada las competencias legislativas de la Comunidad Autónoma en una materia que el Estatuto de Autonomía le atribuye con carácter exclusivo. En este sentido es muy significativo que el art. 35.1.3 del Estatuto no contenga una restricción o modulación, todo ello a diferencia de otros apartados del mismo artículo. </w:t>
      </w:r>
    </w:p>
    <w:p w:rsidR="008107C7" w:rsidRDefault="008107C7" w:rsidP="008107C7">
      <w:pPr>
        <w:pStyle w:val="TextoNormal"/>
      </w:pPr>
      <w:r>
        <w:t xml:space="preserve">La Ley recurrida cita asimismo como título competencial el art. 149.1.18. Nada hay que objetar con respecto a la regulación del instituto de la responsabilidad administrativa; y otro tanto debe señalarse en relación con ciertos elementos básicos del régimen jurídico de las Administraciones Públicas, siempre que no se rebase el concepto constitucional de dicha competencia. Sin embargo, conviene introducir ciertas matizaciones con respecto a la expropiación forzosa, cuya regulación el art. 149.1.18 contempla en cuanto régimen general de dicho instituto, pero no se refiere, y por ende no pueden considerarse incluidas en el precepto, a las regulaciones sectoriales de la institución expropiatoria, en cuanto instrumento y medio al servicio de aquellas regulaciones materiales, por lo que ha de concluirse que la reserva constitucional en favor del Estado de la legislación en materia de expropiación no excluye que las normas autonómicas puedan establecer, en el ámbito de sus propias competencias, los casos, supuestos y formas en que proceda aplicar la expropiación. Aquí procede remitirse a lo señalado en la STC 37/1987. </w:t>
      </w:r>
    </w:p>
    <w:p w:rsidR="008107C7" w:rsidRDefault="008107C7" w:rsidP="008107C7">
      <w:pPr>
        <w:pStyle w:val="TextoNormal"/>
      </w:pPr>
      <w:r>
        <w:t xml:space="preserve">Tampoco las valoraciones, como figura susceptible de regulación autónoma, son de la competencia estatal, en atención al carácter instrumental de la expropiación. En suma, la expropiación queda estructurada en sus elementos esenciales en el art. 33.3 C.E. (causa expropiandi, interdicción de la confiscación, indemnización que corresponde, reserva legal). Pero las valoraciones urbanas o urbanísticas no tienen por razón de ser la determinación cuantitativa del justiprecio indemnizatorio, sino que vienen a ser un elemento más de la estructura esencial del derecho de la propiedad urbana, al servicio precisamente de la aplicación de su función social (cuya definición corresponde al legislador sectorialmente competente, esto es, el autonómico en el caso del urbanismo). Y es simplemente por razones de congruencia jurídica que el quantum indemnizatorio haya de coincidir con el valor así incorporado al derecho de propiedad de que se trate. La conclusión de todo lo anterior es que la Ley expropiatoria podrá regular procedimientos indemnizatorios tendentes a la cuantificación del valor de los bienes expropiados, pero no podrá atribuir a tales bienes un determinado valor con exclusión de otros posibles, cuya opción escapa a la naturaleza instrumental de la expropiación. </w:t>
      </w:r>
    </w:p>
    <w:p w:rsidR="008107C7" w:rsidRDefault="008107C7" w:rsidP="008107C7">
      <w:pPr>
        <w:pStyle w:val="TextoNormal"/>
      </w:pPr>
      <w:r>
        <w:lastRenderedPageBreak/>
        <w:t xml:space="preserve">El último de los títulos competenciales invocados por la Ley 8/1990 es el derivado del art. 149.1.23 C.E., precisando el Preámbulo del texto legal que ello es "en cuanto a los preceptos de la Ley que se refieren al régimen del suelo no urbanizable". El art. 149.1.23 C.E. es comprensivo de la competencia exclusiva estatal para la legislación básica sobre protección del medio ambiente, concepto este último que presenta perfiles poco definidos, caracterizándose por su esencia compleja y multidisciplinar, pudiendo sostenerse que, por su evidente sentido horizontal, puede desagregarse en múltiples estrategias sectoriales al abordar su tratamiento legislativo. Así, el Estado, al confeccionar la política global o básica sobre el medio ambiente, podrá hacerlo sin el obstáculo que supone el reparto constitucional de competencias por sectores o materias, de modo que aquella política, por su carácter pluridisciplinar, pueda planear o incidir sobre cualquier asunto capaz de afectar al entorno ambiental de los ciudadanos. Pero todo ello en el bien entendido de que esta competencia estatal recae únicamente sobre el medio ambiente y no sobre los diferentes sectores o materias susceptibles de verse implicados en el mismo, motivo por el cual dicha competencia no puede servir de excusa o pretexto para dejar vacías de contenido, o afectadas en más de lo estrictamente necesario para diseñar el encuadre de una política global sobre el medio ambiente, las distintas competencias sectoriales de las Comunidades Autónomas, y, entre ellas, la relativa a la ordenación territorial y al urbanismo. Puede, por ello, deducirse que, al menos en ciertos aspectos, y en un determinado sentido, se produce una contraposición de títulos competenciales, el estatal y el autonómico, lo que exige una recta localización competencial que debe efectuarse apreciando el sentido o finalidad propia con la que los varios títulos competenciales se han recogido en la Constitución. Debe entenderse al respecto que el carácter específico de los títulos competenciales estatutariamente sancionados (urbanismo y ordenación del territorio) determina una prevalencia aplicativa de los mismos. </w:t>
      </w:r>
    </w:p>
    <w:p w:rsidR="008107C7" w:rsidRDefault="008107C7" w:rsidP="008107C7">
      <w:pPr>
        <w:pStyle w:val="TextoNormal"/>
      </w:pPr>
      <w:r>
        <w:t xml:space="preserve">C) La oposición a la Ley 8/1990 se dirige, por un lado, contra determinados preceptos de los calificados como básicos, por otro lado contra algunos de los declarados de aplicación plena y, finalmente, contra la supletoriedad del derecho estatal utilizada como título competencial. Pues bien, comenzando por los preceptos declarados básicos, se ha de empezar por expresar que los títulos competenciales invocados por la Disposición final primera, apartado 1, de la Ley resultan suficientes para amparar la regulación de las condiciones básicas de la propiedad, pero este supuesto de hecho sólo se da, por una parte, en los cuatro primeros artículos de la Ley, que configuran los principios generales definidores de la función social de la propiedad del suelo; asimismo concurre, dentro del régimen urbanístico, en relación con la fijación del principio de distribución equitativa de los beneficios y cargas del planeamiento entre los afectados (plasmado en el art. 9) y la obligación de dar a los terrenos y construcciones el destino efectivo o uso establecido en cada caso por el planeamiento urbanístico (art. 10). También puede considerarse con suficiente cobertura competencial estatal la tipología básica de clasificaciones del suelo, pero sin avanzar más en el régimen concreto aplicable a cada uno de dichos tipos, que debe quedar a la regulación legal que cada Comunidad Autónoma desee implantar, como contenido propio y natural de su respectiva política urbanística. Y el régimen de cesiones, dotaciones y estándares urbanísticos puede reputarse también competencia estatal, pero sólo cuando se trate de una regulación uniforme (el que puede denominarse común denominador normativo) en cuanto a su cuantificación mínima, pudiendo las Comunidades Autónomas ampliarlas o extenderlas, así como arbitrar los medios técnicos o procedimentales para obtenerlos; así como el principio de someter a la necesidad de aprobación del planeamiento preciso en cada clase de suelo la adquisición del derecho a urbanizar (art. 12, apartados 1, 3 y 4). Así delimitado el núcleo esencial de la regulación estatal competencialmente legítima, se relacionan seguidamente </w:t>
      </w:r>
      <w:r>
        <w:lastRenderedPageBreak/>
        <w:t xml:space="preserve">aquellos preceptos que el legislador estatal ha pretendido también básicos, y cuya regulación y consideración como tales constituyen el objeto del recurso, por suponer una invasión del ámbito competencial de la Comunidad Autónoma de Aragón. </w:t>
      </w:r>
    </w:p>
    <w:p w:rsidR="008107C7" w:rsidRDefault="008107C7" w:rsidP="008107C7">
      <w:pPr>
        <w:pStyle w:val="TextoNormal"/>
      </w:pPr>
      <w:r>
        <w:t xml:space="preserve">Son, de entrada, los arts. 5, 6 y 7, que contienen directrices acerca del régimen del suelo no urbanizable. El título competencial esgrimido por el legislador estatal es el que radica en el art. 149.1.23 C.E. (legislación básica sobre protección del medio ambiente). Al respecto, ha de subrayarse la total vinculación del régimen del suelo no urbanizable con la competencia exclusiva autonómica sobre ordenación del territorio, que es más amplia en su objeto que la medioambiental, pues incluye en ella la distribución de los usos y actividades a que deba destinarse el suelo y sus distintos tipos clasificados, estableciendo las limitaciones que en cada caso hayan de imponerse, así como el señalamiento de las medidas y condiciones que sean precisas para la protección y defensa del paisaje, para evitar su degradación. El propio Tribunal Constitucional definió esa competencia sobre ordenación del territorio en su Sentencia 77/1984 (fundamento jurídico 2º) como la que tiene por objeto "la actividad consistente en la delimitación de los diversos usos a que puede destinarse el suelo o espacio físico territorial". </w:t>
      </w:r>
    </w:p>
    <w:p w:rsidR="008107C7" w:rsidRDefault="008107C7" w:rsidP="008107C7">
      <w:pPr>
        <w:pStyle w:val="TextoNormal"/>
      </w:pPr>
      <w:r>
        <w:t xml:space="preserve">El inciso "conforme a lo establecido en esta Ley" del art. 8 no tiene un contenido que pueda calificarse como básico, ya que el deber impuesto por dicho artículo no debe referirse a la determinación de la propia Ley, ya que se discrepa precisamente de la calificación como básica de buena parte de su contenido, al que remite este precepto. El inciso "en los términos fijados por esta Ley" del párrafo 3º del art. 11 tampoco es, por idéntica razón, de carácter básico. Tampoco tienen ese carácter los arts. 14, 15.1, 16, 17.1, 18.1 y 3, 19.2, 22, 23.2, 24, 26, 27.1, 2 y 3, y 28, por cuanto regulan todos ellos materias propias del régimen jurídico urbanístico en sentido estricto, que pertenecen a la competencia propia de la Comunidad Autónoma por su contenido específico, habiéndose producido una extralimitación en el ejercicio por el legislador estatal de sus títulos competenciales habilitantes. Otro tanto de lo anterior cabe decir con respecto de los apartados 1 y 2 del art. 30, y del apartado 1 del art. 31, que exigen la delimitación de áreas de reparto de cargas y beneficios y de unidades de ejecución, invadiendo la competencia autonómica que, siempre que respete el principio básico de distribución equitativa de beneficios y cargas (consagrado por el art. 9), podrá optar, como técnicas de una política urbanística propia, por otros instrumentos distintos al servicio del cumplimiento del principio básico citado. </w:t>
      </w:r>
    </w:p>
    <w:p w:rsidR="008107C7" w:rsidRDefault="008107C7" w:rsidP="008107C7">
      <w:pPr>
        <w:pStyle w:val="TextoNormal"/>
      </w:pPr>
      <w:r>
        <w:t xml:space="preserve">El Estado carece asimismo de competencia para la regulación del cálculo de los aprovechamientos tipo, regulado en el Capítulo V del Título Primero de la Ley, sin que se pueda compartir la atribución de naturaleza básica a los arts. 32, 33, apartados 1, 3, 4 y 5, 34, 35, apartados 1, 2 y 3, y 36, apartado 1, ya que en esta materia, quizás más que en ninguna otra, destaca su carácter instrumental y el detalle de una regulación concreta que, por entero, debía corresponder al legislador autonómico. Y con análogo alcance cabe pronunciarse respecto de los arts. 37, apartados 1 y 2, 38 y 39, relativos a los aprovechamientos susceptibles de apropiación. En definitiva, la Ley estatal regula detalles del régimen urbanístico, cuando la competencia exclusiva sobre el urbanismo es autonómica y sólo en ámbitos muy reducidos pueden residenciarse, excepcionalmente, campos de normación de la competencia estatal. También entran en regulación de detalle los arts. 40, apartados 2 y 4, 41 y 42, apartados 1 y 3, referidos a la actuación mediante unidades de ejecución. De ellos debe predicarse lo ya expuesto en el caso anterior. El art. 59, que regula la ocupación directa para la obtención directa, incide también en los mismos vicios que se vienen denunciando, si bien aquí se puede sostener incluso que su contenido tiene, en buena parte, naturaleza meramente reglamentaria. </w:t>
      </w:r>
    </w:p>
    <w:p w:rsidR="008107C7" w:rsidRDefault="008107C7" w:rsidP="008107C7">
      <w:pPr>
        <w:pStyle w:val="TextoNormal"/>
      </w:pPr>
      <w:r>
        <w:lastRenderedPageBreak/>
        <w:t xml:space="preserve">Se impugna también el carácter básico de los arts. 86 a 89, que establecen supuestos indemnizatorios para los casos de modificación o revisión de los planes, ya que la materia no debe encuadrarse como perteneciente al ámbito del "sistema de responsabilidad de las Administraciones Públicas", por no concurrir los supuestos estructurales exigidos para ello; se trata más bien de un aspecto relativo a la dinámica del planeamiento urbanístico, que encaja plenamente en el régimen urbanístico. Obsérvese, además, que la competencia estatal es para la regulación del sistema de responsabilidad, pero ello no puede equivaler a absorber la regulación, en una sede sectorial específica, de las indemnizaciones procedentes por la modificación de los instrumentos de la planificación urbanística; en una materia que pertenece al campo de la disponibilidad autonómica, y aun en el caso de que se considerara como una especie de la responsabilidad objetiva de la Administración, bastaría con que la Comunidad Autónoma respetara el sistema general diseñado por el legislador estatal para estructurar el instituto de la responsabilidad administrativa. </w:t>
      </w:r>
    </w:p>
    <w:p w:rsidR="008107C7" w:rsidRDefault="008107C7" w:rsidP="008107C7">
      <w:pPr>
        <w:pStyle w:val="TextoNormal"/>
      </w:pPr>
      <w:r>
        <w:t xml:space="preserve">Se recurren asimismo las Disposiciones adicionales primera, tercera y novena, por cuanto acogen reglas que forman parte del régimen urbanístico, que deben decidirse por cada Comunidad Autónoma. Especialmente significativa es la primera, que precisamente establece el ámbito subjetivo de aplicación de la Ley, los Municipios a los que debe aplicarse, lo que constituye un punto fundamental para la política urbanística autonómica, aparte de que sorprende que regulaciones consideradas básicas por la Ley y, en parte, atinentes al derecho de propiedad privada sean o no aplicables en función del dato coyuntural de su población. También se rechaza la calificación como básica de la Disposición adicional sexta, que retoca la redacción del art. 105 del Texto Refundido de la Ley del Suelo de 1976, cuando resulta que el legislador estatal, en la actualidad, ha sido desapoderado de la competencia urbanística; en consecuencia, ya no existe capacidad jurídica para la modificación de un texto preconstitucional sobre cuyo contenido se carece de competencia. Finalmente, se recurre la Disposición transitoria cuarta, apartado 1, en coherencia con la oposición a la calificación como básica y a la regulación de la figura del aprovechamiento tipo. </w:t>
      </w:r>
    </w:p>
    <w:p w:rsidR="008107C7" w:rsidRDefault="008107C7" w:rsidP="008107C7">
      <w:pPr>
        <w:pStyle w:val="TextoNormal"/>
      </w:pPr>
      <w:r>
        <w:t xml:space="preserve">D) El apartado 2 de la Disposición final primera contiene una relación de preceptos considerados como de aplicación plena, en virtud de los arts. 149.1.8 y 18 C.E. Pues bien, mediante este recurso se impugna la inclusión de los siguientes: primero, del art. 29.2, porque, a pesar de las apariencias, no es una regla que deba vincularse a la competencia para la ordenación de los Registros e instrumentos públicos; también el legislador estatal (sic) puede definir los supuestos accesibles al Registro de la Propiedad, siempre que se acomode a las reglas que disciplinan dicha institución, como ocurre en el presunto caso en que se utiliza una forma de las existentes dentro de la tipología registral vigente en materia de asientos. Segundo, los arts. 57.1 b) y 2 b), 58, 60 y 62, apartado 2, por cuanto se limitan a determinar supuestos de utilización de las técnicas expropiatoria y de ocupación directa, lo que no supone legislar sobre el contenido de tales figuras, sino tan sólo utilizarlas instrumentalmente, para lo que la competencia encaja dentro del ámbito autonómico. Además, y en cuanto a los que constituyen determinación de causa expropiandi, procede remitirse a lo ya expuesto anteriormente. </w:t>
      </w:r>
    </w:p>
    <w:p w:rsidR="008107C7" w:rsidRDefault="008107C7" w:rsidP="008107C7">
      <w:pPr>
        <w:pStyle w:val="TextoNormal"/>
      </w:pPr>
      <w:r>
        <w:t xml:space="preserve">Igualmente se ha de expresar disconformidad con la decisión de aplicación plena de los arts. 66 a 73, sobre valoraciones, resultando forzosa la remisión a la justificación que para ello se ha expuesto ya. A ello se ha de añadir que la valoración de los terrenos, como parte integrante del ordenamiento urbanístico, ha de entenderse atribuida, como competencia exclusiva, a las Comunidades Autónomas, pues ni siquiera la competencia estatal para la legislación sobre expropiación forzosa resulta título suficiente para atraer dicha materia. Se trata de competencias de diferente naturaleza, por lo que necesariamente han de tener un </w:t>
      </w:r>
      <w:r>
        <w:lastRenderedPageBreak/>
        <w:t xml:space="preserve">distinto objeto jurídico. Aparte de ello las competencias estatales sobre el suelo son esencialmente sectoriales, concretándose en la mera ejecución de determinadas actividades o usos sobre el mismo; pero el régimen de valoraciones compete al estatuto jurídico de la propiedad de los suelos, como consecuencia de la función social que se le asigna, y como competencia urbanística ostenta un marcado carácter horizontal ya que, como tal, tiene como objeto, precisamente, estatuir su régimen. En contraposición a todo lo anterior, los arts. 81 a 85, relativos a la determinación del justiprecio, sí que encajan en el ámbito de la competencia estatal en materia de expropiación forzosa. Finalmente, el art. 100 constituye un supuesto de determinación de causa expropiandi, cuya fijación, al producirse en el ámbito del régimen urbanístico, debía corresponder a la competencia de la Comunidad Autónoma. </w:t>
      </w:r>
    </w:p>
    <w:p w:rsidR="008107C7" w:rsidRDefault="008107C7" w:rsidP="008107C7">
      <w:pPr>
        <w:pStyle w:val="TextoNormal"/>
      </w:pPr>
      <w:r>
        <w:t xml:space="preserve">E) Una última reflexión sobre el apartado 3 de la Disposición final primera, a cuyo tenor los restantes preceptos serán de aplicación supletoria en defecto de regulación específica por las Comunidades Autónomas en ejercicio de sus competencias. Sin perjuicio del obligado reconocimiento de la regla constitucional de la supletoriedad del derecho estatal, es contraria al correcto funcionamiento de la relación entre los ordenamientos estatal y autonómico la aplicación indiscriminada de la regla de supletoriedad, cuya utilización abusiva no puede sostenerse, ya que el art. 149.3 C.E. no constituye un título competencial en cuya virtud pueda el Estado legislar sobre todas y cada una de las materias. No existe esa supuesta potestad legislativa general, sino que prevalece el principio de estricta separación competencial entre Estado y Comunidades Autónomas, siendo la cuestión especialmente clara en supuestos como el presente, en que todas las Comunidades Autónomas ostentan la competencia sobre ordenación del territorio y sobre urbanismo. Si bien es cierto que durante la primera fase temporal de creación del Derecho autonómico puede haber materias que, por imposibilidad en el tiempo o por preferencias en el programa legislativo, se encuentren todavía sin regulación autonómica, aun siendo de su competencia, no se trata entonces de un problema de relación entre ordenamientos, en el que uno de ellos complemente al otro supliendo sus defectos cuantitativos, ni es una cuestión a solucionar por medio de la regla del art. 149.3 C.E., ya que se trata de una situación transitoria por definición, mientras que la regla supletoria citada responde a criterios y vocación de permanencia, de aplicación asimismo en el futuro, aun cuando las Comunidades Autónomas hayan elaborado sus ordenamientos propios. </w:t>
      </w:r>
    </w:p>
    <w:p w:rsidR="008107C7" w:rsidRDefault="008107C7" w:rsidP="008107C7">
      <w:pPr>
        <w:pStyle w:val="TextoNormal"/>
      </w:pPr>
      <w:r>
        <w:t>El Abogado de la Diputación General de Aragón concluye su escrito de demanda con la súplica de que se tenga por formalizado recurso de inconstitucionalidad contra la Ley 8/1990, y concretamente contra su Disposición final primera, en cuanto declara básicos, en unos casos, y de aplicación plena, en otros, los arts. 5, 6, 7, el inciso "conforme a lo establecido en esta Ley" del art. 8, el inciso "en los términos fijados por esta Ley" del párrafo 3º del art. 11, 14, 15.1, 16, 17.1, 18.1 y 3, 19.2, 22, 23.2, 24, 26, 27.1, 2 y 3, 28, 29.2, 30.1 y 2, 31.1, 32, 33.1, 3, 4 y 5, 34, 35.1, 2 y 3, 36.1, 37.1 y 2, 38, 39, 40.2 y 4, 41, 42.1 y 3, 57.1 b) y 2 b), 58, 59, 60, 62.2, 66 a 73, 86 a 89, 100, Disposiciones adicionales primera, tercera, sexta y novena, Disposición transitoria cuarta, apartado 1, así como el apartado 3 de la Disposición final primera en cuanto declara de aplicación supletoria los restantes preceptos (es decir, los no citados en los apartados 1 y 2), los cuales por conexión y en el indicado concepto deben considerarse asimismo impugnados, y, en sus méritos, previos los trámites legales procedentes, que se dicte Sentencia por la que se declare la inconstitucionalidad y consecuente nulidad de los expresados preceptos de la Ley impugnada.</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11</w:t>
      </w:r>
      <w:r>
        <w:t>. Por providencia de 12 de noviembre de 1990, la Sección Segunda del Tribunal acordó: 1º) admitir a trámite el recurso de inconstitucionalidad promovido por la Diputación General de Aragón, turnado con el núm. 2.486/90; 2º) dar traslado de la demanda y documentos presentados, conforme establece el art. 34.1 LOTC, al Congreso de los Diputados y al Senado, por conducto de sus Presidentes, y al Gobierno, por conducto del Ministerio de Justicia, al objeto de que, en el plazo de quince días, pudieran personarse en el procedimiento y formular las alegaciones que estimasen convenientes; 3º) comunicar al Abogado de la Diputación General de Aragón que firma la demanda, que deberá justificar la condición de la representación procesal con que actúa, toda vez que no aparece acreditado en autos este extremo; 4º) publicar la incoación del recurso en el "Boletín Oficial del Estado", para general conocimiento.</w:t>
      </w:r>
    </w:p>
    <w:p w:rsidR="008107C7" w:rsidRDefault="008107C7" w:rsidP="008107C7">
      <w:pPr>
        <w:pStyle w:val="TextoNormal"/>
      </w:pPr>
    </w:p>
    <w:p w:rsidR="008107C7" w:rsidRDefault="008107C7" w:rsidP="008107C7">
      <w:pPr>
        <w:pStyle w:val="TextoNormal"/>
      </w:pPr>
      <w:r w:rsidRPr="008107C7">
        <w:rPr>
          <w:rStyle w:val="NumeroAFNegritaCaracter"/>
        </w:rPr>
        <w:t>12</w:t>
      </w:r>
      <w:r>
        <w:t>. Por escrito registrado el 21 de noviembre de 1990, el Presidente del Congreso de los Diputados comunicó al Tribunal el Acuerdo de la Cámara de no personarse en el procedimiento ni formular alegaciones, poniendo a disposición del Tribunal las actuaciones de la Cámara que pudiera precisar, con remisión a la Dirección de Estudios y Documentación de la Secretaría General. El Vicepresidente Primero del Senado, mediante escrito registrado el siguiente 26 de noviembre, comunicó el Acuerdo de la Cámara de que se la tuviera por personada en el procedimiento y por ofrecida su colaboración a los efectos del art. 88.1 LOTC. La Sección, por providencia del 5 de diciembre, acordó incorporar a las actuaciones el escrito que, con la documentación adjunta, se había recibido del Abogado de la Diputación General de Aragón, don Juan Antonio García Toledo, mediante el que se acreditaba su condición de representante procesal de dicha parte, como así se le había interesado en la providencia del 12 de noviembre anterior.</w:t>
      </w:r>
    </w:p>
    <w:p w:rsidR="008107C7" w:rsidRDefault="008107C7" w:rsidP="008107C7">
      <w:pPr>
        <w:pStyle w:val="TextoNormal"/>
      </w:pPr>
    </w:p>
    <w:p w:rsidR="008107C7" w:rsidRDefault="008107C7" w:rsidP="008107C7">
      <w:pPr>
        <w:pStyle w:val="TextoNormal"/>
      </w:pPr>
      <w:r w:rsidRPr="008107C7">
        <w:rPr>
          <w:rStyle w:val="NumeroAFNegritaCaracter"/>
        </w:rPr>
        <w:t>13</w:t>
      </w:r>
      <w:r>
        <w:t xml:space="preserve">. La Junta de Castilla y León, representada por el Abogado don Santiago Rodríguez- Monsalve Garrigós, interpuso, mediante escrito registrado el 27 de octubre de 1990, recurso de inconstitucionalidad contra la Ley 8/1990, de 25 de julio, sobre Reforma del Régimen Urbanístico y Valoraciones del Suelo. Ello con arreglo a los motivos y argumentaciones que a continuación se consignan: </w:t>
      </w:r>
    </w:p>
    <w:p w:rsidR="008107C7" w:rsidRDefault="008107C7" w:rsidP="008107C7">
      <w:pPr>
        <w:pStyle w:val="TextoNormal"/>
      </w:pPr>
      <w:r>
        <w:t xml:space="preserve">A) El Estatuto de Castilla y León, sobre la base de la previsión contenida en el art. 148.1.3 C.E., y siguiendo una pauta generalizada en todos los Estatutos de Autonomía, ha atribuido a la Comunidad Autónoma "competencia exclusiva" en la materia de ordenación del territorio, urbanismo y vivienda en su art. 26.1.2. Y ha precisado, en el apartado 2 del mismo art. 26, que en tal materia, como en las demás del listado de su apartado 1, "y salvo norma legal en contrario, corresponde asumir a la Comunidad la potestad legislativa, reglamentaria, la gestión y la función ejecutiva, incluida la inspección", aunque, como se precisa en el encabezamiento del apartado 1, "sin perjuicio de lo establecido en el art. 149 C.E.", es decir, en todo cuanto quepa dentro de los límites marcados en este precepto constitucional. La fórmula es usual y bien conocida, pues, de un modo u otro, ha sido la usada en los distintos Estatutos autonómicos. Quiere decirse que, concretamente, en materia de urbanismo corresponden en exclusiva a la Comunidad Autónoma todas las funciones legislativas y ejecutivas o administrativas, aunque con subordinación al ejercicio de las competencias reservadas al Estado en el art. 149 y con el límite, por tanto, de éstas, pero sólo de éstas. Legislar, en suma, sobre régimen urbanístico es competencia propia de la Comunidad Autónoma, sin otro límite que el que puede resultar de la reserva al Estado, en el art. 149 C.E., de ciertas competencias legislativas que le permiten incidir, desde su posición superior, en la misma </w:t>
      </w:r>
      <w:r>
        <w:lastRenderedPageBreak/>
        <w:t xml:space="preserve">realidad abarcada por el urbanismo o en parte de ella. Verdad es que, por otra parte, como se desprende del último inciso del art. 149 C.E., el Estado puede también legislar en las materias en que ello es competencia de la Comunidad Autónoma, dando a esa legislación un mero carácter supletorio y, por ello, no hay nada que oponer, en principio, desde el punto de vista de defensa de las competencias autonómicas, a que el Estado haga una Ley que de suyo es competencia de las Comunidades Autónomas, si claramente se declara su carácter meramente supletorio de la legislación autonómica. El Estado, en este sentido y sólo en éste, puede, pues, en principio, aprobar hoy una Ley urbanística con pretensiones de alcance al territorio de la Comunidad Autónoma de Castilla y León, en tanto el art. 149.1 C.E. no le otorga otros títulos de potestad legislativa que pudieran superponerse al propio de la Comunidad sobre el urbanismo. </w:t>
      </w:r>
    </w:p>
    <w:p w:rsidR="008107C7" w:rsidRDefault="008107C7" w:rsidP="008107C7">
      <w:pPr>
        <w:pStyle w:val="TextoNormal"/>
      </w:pPr>
      <w:r>
        <w:t xml:space="preserve">Es muy claro y evidente que el urbanismo no está contemplado en el art. 149.1 entre las materias a que se refieren las competencias exclusivas del Estado. Puede afirmarse, pues, con rotundidad, que la materia del urbanismo, en sentido estricto, está efectivamente reservada en cuanto tal a la competencia de la Comunidad Autónoma y en concreto a su potestad legislativa. Nada puede legislar el Estado sobre urbanismo en cuanto tal, como no sea recurriendo a la vía extraordinaria de las Leyes armonizadoras que habilita en su favor, con especiales requisitos, el art. 150.3 del Texto constitucional. Puede afirmarse por ello que, en rigor, el Estado no puede dictar una Ley ordinaria sobre Reforma del Régimen Urbanístico y Valoraciones del Suelo como la que anuncia el Título de la Ley 8/1990, a no ser que lo haga para establecer un derecho supletorio de las Leyes autonómicas en la materia. Ocurre, sin embargo, que dicha Ley ha invertido totalmente la relación que debería existir en ella entre lo supletorio y lo básico o de aplicación plena. De tal modo que se presenta principalmente no como una Ley supletoria estatal, sino como una Ley estatal fundamentalmente básica, cuando no de aplicación plena, y sólo en algunas cosas como supletoria. Y así resulta que, ciertamente, su inconstitucionalidad por invasión de las competencias urbanísticas de la Comunidad Autónoma se encuentra esencialmente en su Disposición final primera, apartados 1 y 2, en cuanto que califican como legislación básica o como legislación de aplicación plena, respectivamente, numerosos preceptos que tendrían que ser considerados como meramente supletorios de la legislación autonómica. Desde luego, nada obstaría a que en una Ley estatal de tipo supletorio sobre urbanismo se introdujeran algunos preceptos con carácter de legislación básica o de legislación de aplicación plena, amparados en legítimos títulos competenciales estatales y con incidencia en el mismo campo de la realidad comprendido en el urbanismo. Pero ello sólo si el Estado lo hace a título distinto del de la ordenación o el régimen urbanístico y dentro de los límites de las competencias que le confiere directamente el art. 149 C.E. </w:t>
      </w:r>
    </w:p>
    <w:p w:rsidR="008107C7" w:rsidRDefault="008107C7" w:rsidP="008107C7">
      <w:pPr>
        <w:pStyle w:val="TextoNormal"/>
      </w:pPr>
      <w:r>
        <w:t>B) Los títulos competenciales esgrimidos por la Disposición final primera de la Ley 8/1990 para justificar la calificación de grandes partes de la Ley como legislación básica o de aplicación plena pretenden agotar las posibilidades que ofrece el art. 149.1 C.E. para incidir legislativamente de ese modo en el ámbito de la realidad propio de la ordenación urbanística. Ahora bien, comenzando por la referencia al título del art. 149.1.1, puesto que las "técnicas" jurídicas del urbanismo pertenecen a la competencia legislativa autonómica y puesto que el Estado carece de competencia para regular el urbanismo, la competencia estatal sobre la base del art. 149.1.1 habrá de limitarse a fijar las condiciones básicas que las Comunidades Autónomas han de respetar a la hora de incidir con su legislación urbanística en el derecho de propiedad y/o en la libertad de empresa o, en su caso, en otros derechos o deberes constitucionales. Pero ello no legitima al Estado para irrumpir en el ámbito especí</w:t>
      </w:r>
      <w:r>
        <w:lastRenderedPageBreak/>
        <w:t xml:space="preserve">fico, secundario, reservado a la competencia autonómica. Pues bien, la Ley 8/1990 ha venido a establecer una nueva regulación básica del derecho a la propiedad sobre el suelo que modifica sustancialmente la hasta ahora vigente. La Ley, en efecto, lleva a cabo una redefinición de los límites y, por lo mismo, del contenido del derecho a la propiedad sobre el suelo, declarando que no forman parte de éste las facultades urbanísticas, y que éstas pueden adquirirse, en las condiciones legales, de la Administración Pública cuando se ostenta la propiedad sobre terrenos afectados al nuevo servicio público -o función pública- del urbanismo, y que la Administración, también en las condiciones legales, podrá privar de su contenido útil propio a la propiedad sobre el suelo, mediante la decisión de afectarlo al servicio público urbanístico. Con esto y alguna determinación más, también contenida en la Ley, el poder legislativo estatal no se ha excedido de lo que es su competencia para determinar las condiciones básicas que garanticen la igualdad de todos los españoles en el ejercicio del derecho a la propiedad e, implícitamente, de la libertad de empresa. Aunque mediante esta nueva regulación básica del derecho a la propiedad sobre el suelo obligue a modificar algunas Leyes urbanísticas autonómicas. </w:t>
      </w:r>
    </w:p>
    <w:p w:rsidR="008107C7" w:rsidRDefault="008107C7" w:rsidP="008107C7">
      <w:pPr>
        <w:pStyle w:val="TextoNormal"/>
      </w:pPr>
      <w:r>
        <w:t xml:space="preserve">La cuestión es, sin embargo, que el legislador estatal debería haberse detenido ahí, en orden a establecer una legislación básica sobre los derechos o deberes constitucionales implicados, dejando a las Comunidades Autónomas el modo de regular cómo se articula técnicamente, jurídicamente, la adquisición de las facultades urbanísticas y la incorporación de los particulares al nuevo servicio público urbanístico (municipal, en principio), etc. Porque esto es ya regulación de la ordenación urbanística, que es competencia de los legislativos autonómicos. Y tanto más, además, cuanto que con la nueva Ley las actuaciones urbanísticas de todo tipo pasan a estimarse actuaciones administrativas que, en el caso de que las lleve a cabo un particular, lo hará no tanto como propietario -la propiedad es sólo una condición o requisito necesario pero nada más- como en cuanto gestor indirecto de un servicio público, bajo la entera dependencia de la correspondiente Administración. Es, en suma, claro que la casi totalidad de la regulación contenida en la Ley 8/1990 no puede justificarse como regulación, ni básica ni no básica, del derecho a la propiedad (ni de la libertad de empresa), pues en realidad tal derecho queda de entrada excluido en cuanto tal del proceso urbanístico y reducido a la condición de mero requisito de identificación de los colaboradores o gestores indirectos del servicio público urbanístico, que es lo que realmente es objeto de la Ley, con manifiesto exceso de la competencia estatal para dictar legislación básica. No hay, por lo demás, en la Constitución otros derechos o deberes constitucionales cuya regulación básica al amparo del art. 149.1.1 pudiera legitimar en todo o en parte lo que no puede ampararse en una regulación básica del derecho a la propiedad o de la libertad de empresa. La Ley dice pretender resolver un grave problema de encarecimiento de la vivienda, pero no es en modo alguno una Ley que trate de garantizar unas condiciones básicas de igualdad de todos los españoles en el disfrute o en el ejercicio del derecho constitucional a la vivienda -a "una vivienda digna y adecuada", en la expresión del art. 47 C.E.-. Ni siquiera se ha esforzado el legislador por tratar de demostrar que así fuera en la Exposición de Motivos. Todo lo que se dice en la Ley podrá ser más o menos importante para una mayor efectividad del derecho a la vivienda, pero no hay ni una sola técnica específica, dotada de aplicabilidad básica o plena, que trate de garantizar una verdadera igualdad básica en el derecho a la vivienda. Por lo demás, ni siquiera se invoca en la Ley un eventual intento de apoyo en la regulación básica de los deberes prestacionales a los que se refiere el art. 31.3 C.E. Y es que, desde luego, tampoco parece que tenga entidad de deber constitucional -para así entrar en el ámbito del art. 149.1.1- el que se configura en el art. 8 de la Ley 8/1990, a cargo de los propietarios de suelo afectado a procesos urbanísticos, para que se incorporen </w:t>
      </w:r>
      <w:r>
        <w:lastRenderedPageBreak/>
        <w:t xml:space="preserve">a éstos en las condiciones y plazos previstos en el planeamiento o legislación urbanística aplicables, etc. La existencia o no de tales deberes es algo que debe ser establecido por el legislador urbanístico autonómico, como parte de la regulación del servicio urbanístico -conforme a las nuevas bases estatales-, sin que exista en la Constitución base alguna para justificar un poder legislativo directo del Estado sobre tal cuestión, una vez que las actuaciones urbanísticas han quedado separadas realmente del derecho a la propiedad como tal. Ciertamente, si un terreno queda afectado al urbanismo parece evidente que, lo digan o no los legisladores autonómicos, tendrá que incorporarse al correspondiente proceso urbanístico, ya en manos de la Administración. Su propietario, por tanto, o se incorporará a ese proceso o tendrá que aceptar que otro ocupe su lugar mediante expropiación, venta forzosa, etc., pero todo esto es el legislador autonómico quien debe regularlo y el Estado no tiene títulos para condicionar su autonomía con preceptos básicos. </w:t>
      </w:r>
    </w:p>
    <w:p w:rsidR="008107C7" w:rsidRDefault="008107C7" w:rsidP="008107C7">
      <w:pPr>
        <w:pStyle w:val="TextoNormal"/>
      </w:pPr>
      <w:r>
        <w:t xml:space="preserve">C) El segundo de los títulos invocados por la Ley 8/1990 para justificar parte de su legislación básica y, sobre todo, de su legislación de aplicación plena es el del art. 149.1.8 C.E., es decir, la competencia exclusiva del Estado sobre la legislación civil. Con tal invocación el Estado parece querer cubrir las normas de la Ley concretamente relativas a la regulación del derecho de propiedad. A esta pretensión debe objetarse de inmediato que el régimen de la propiedad privada excede de la legislación civil (STC 37/1987, fundamento jurídico 8º). Carece, pues, de legitimidad constitucional invocar aquí la legislación civil como un título de competencia estatal oponible a la competencia autonómica en materia urbanística. Lo "civil" aquí de competencia estatal -en cuanto a la propiedad concretamente-quedaría absorbido por la competencia ya analizada sobre la regulación básica de los derechos constitucionales. </w:t>
      </w:r>
    </w:p>
    <w:p w:rsidR="008107C7" w:rsidRDefault="008107C7" w:rsidP="008107C7">
      <w:pPr>
        <w:pStyle w:val="TextoNormal"/>
      </w:pPr>
      <w:r>
        <w:t xml:space="preserve">Por lo que atañe a la competencia sobre planificación general de la actividad económica (art. 149.1.13 C.E.), además de lo dicho en la STC 37/1987, fundamento jurídico 7º, se ha de señalar que una Ley de régimen urbanístico no puede ser considerada como reguladora de las bases y de la coordinación de la planificación de la actividad económica. Y lo que permite al Estado el art. 149.1.13 no es determinar las bases del planeamiento urbanístico, físico, o su coordinación, sino las bases y coordinación de la planificación general de la actividad económica, que es cosa distinta, aunque, bajo cierta perspectiva, también la actividad urbanística forme parte de la actividad económica y, en cuanto tal, sea también insertable en la planificación general económica. </w:t>
      </w:r>
    </w:p>
    <w:p w:rsidR="008107C7" w:rsidRDefault="008107C7" w:rsidP="008107C7">
      <w:pPr>
        <w:pStyle w:val="TextoNormal"/>
      </w:pPr>
      <w:r>
        <w:t xml:space="preserve">Otro de los grandes títulos esgrimidos por el autor de la Ley 8/1990, tanto en el apartado 1 como en el 2 de su Disposición final primera, es el del art. 149.1.18 C.E. (régimen jurídico de las Administraciones Públicas y, en particular, legislación sobre expropiación forzosa, la básica sobre concesiones administrativas y el sistema de responsabilidad de todas las Administraciones). Especial importancia tiene aquí la competencia reservada al Estado sobre la legislación relativa a la expropiación forzosa, que es, en efecto, una competencia legislativa plena estatal; sólo el Estado puede regular la expropiación a nivel legislativo, e incluso a cualquier otro nivel normativo. Ahora bien, dada la doctrina del Tribunal en la STC 37/1987, fundamento jurídico 6º, es asimismo indudable que la Comunidad Autónoma actora está dotada, como las demás, de potestad expropiatoria y de la potestad de determinar por vía legislativa -o, en su caso, reglamentaria- las causae expropiandi que considere justificadas en las materias en las que disponga de potestad legislativa, como son las de ordenación del territorio, urbanismo y vivienda. Por lo demás, aunque el régimen de las valoraciones debe establecerse por la Ley estatal, ello debe hacerse de modo que no se irrumpa en el ámbito legislativo propio de las Comunidades Autónomas, es decir, con el suficiente grado de abstracción y sin descender a emplear referencias que condicionarían o impedirían </w:t>
      </w:r>
      <w:r>
        <w:lastRenderedPageBreak/>
        <w:t xml:space="preserve">la libertad de conformación del sector material de que se trate, que es propia del legislador autonómico. Lo mismo habría que decir respecto a la regulación por el Estado del sistema de responsabilidad de las Administraciones Públicas. Estas competencias no pueden vaciar de hecho de potestad legislativa a las Comunidades Autónomas o emplearse para establecer legislación básica en materias en que la Constitución no la reserva al Estado. </w:t>
      </w:r>
    </w:p>
    <w:p w:rsidR="008107C7" w:rsidRDefault="008107C7" w:rsidP="008107C7">
      <w:pPr>
        <w:pStyle w:val="TextoNormal"/>
      </w:pPr>
      <w:r>
        <w:t xml:space="preserve">Ya se ha dicho que con la nueva Ley 8/1990 la gestión urbanística asignada a los particulares -a condición de que tengan la propiedad del suelo- es una gestión indirecta de un nuevo servicio público. La situación de propietario se asemeja, pues, a la del concesionario de la Administración, aunque la técnica empleada por esta Ley para encomendar la gestión a quienes tienen esa condición sea distinta. Pues bien, conviene advertir que la competencia estatal sobre la legislación básica de concesiones administrativas y contratos no legitimaría una regulación estatal detallada del régimen de concesión de la gestión urbanística a los propietarios como la que se hace en la Ley 8/1990, ni siquiera interpretando en un sentido muy lato la noción de concesión administrativa. La competencia estatal sólo legitima para regular las bases de la institución administrativa correspondiente y no para entrar en las especialidades con que pueda querer aplicarse en sectores materiales determinados que sean de la competencia autonómica. Finalmente, por lo que se refiere al régimen jurídico de las Administraciones Públicas, parece claro que la Constitución se refiere al régimen jurídico general de los diversos tipos de Administraciones Públicas, pero no a las disposiciones dirigidas específicamente a regular la actuación de las Administraciones en las diversas materias. La intervención de los Municipios y/o de otras Administraciones Públicas en la ordenación urbana, si bien ha de sujetarse a las bases del régimen jurídico general de las correspondientes Administraciones Públicas, no tiene por qué quedar sometida a una legislación básica específica de carácter estatal, que excedería de lo que es la regulación básica del Derecho Administrativo, del régimen general aplicable a dichas Administraciones, para pasar a ser propiamente una legislación sectorial básica, no reservada, desde luego, en el art. 149.1.18 C.E., al Estado. </w:t>
      </w:r>
    </w:p>
    <w:p w:rsidR="008107C7" w:rsidRDefault="008107C7" w:rsidP="008107C7">
      <w:pPr>
        <w:pStyle w:val="TextoNormal"/>
      </w:pPr>
      <w:r>
        <w:t xml:space="preserve">Aunque la materia del art. 149.1.23 C.E. (medio ambiente) se invoca también como fundamento de la competencia estatal para dictar la legislación básica que se contendría en la Ley 8/1990, según su Disposición final primera, apartado 1, la verdad es que muy escasas normas de dicha Ley pueden ampararse en tal título competencial. De hecho ninguno de los preceptos cuya calificación como legislación básica es objeto de la impugnación instrumentada en el presente recurso puede encontrar cobertura, como se verá, en lo que razonablemente podría ser considerado como bases de la protección medioambiental. </w:t>
      </w:r>
    </w:p>
    <w:p w:rsidR="008107C7" w:rsidRDefault="008107C7" w:rsidP="008107C7">
      <w:pPr>
        <w:pStyle w:val="TextoNormal"/>
      </w:pPr>
      <w:r>
        <w:t xml:space="preserve">D) Tras lo expuesto, procede ya demostrar artículo por artículo la inconstitucionalidad de la Disposición final primera de la Ley en tanto que declara legislación básica o, en otros casos, legislación de aplicación plena los preceptos legales que cita. </w:t>
      </w:r>
    </w:p>
    <w:p w:rsidR="008107C7" w:rsidRDefault="008107C7" w:rsidP="008107C7">
      <w:pPr>
        <w:pStyle w:val="TextoNormal"/>
      </w:pPr>
      <w:r>
        <w:t xml:space="preserve">Art. 8. Este artículo no puede encontrar fundamento en la competencia estatal para regular las condiciones básicas del derecho de propiedad, porque según el art. 1 de la misma Ley el proceso urbanizador o edificatorio no es ya algo que competa al propietario por su derecho de propiedad, sino que constituye una función o servicio público propio de la Administración. Debe ser el legislador autonómico quien, en principio, regule ese nuevo servicio público y determine el modo y las condiciones en que los particulares hayan de incorporarse al denominado proceso de la urbanización y edificación urbana. Esto no es ya algo relacionado con el derecho de propiedad, aunque éste haya de tenerse lógicamente en cuenta, sea para contar con sus titulares sea para expropiarles de una u otra forma. La igualdad básica en cuanto al ejercicio y contenido del derecho a la propiedad sobre el suelo no se ve afectada porque los legisladores autonómicos dispongan en este orden unas u otras cosas, y no hay </w:t>
      </w:r>
      <w:r>
        <w:lastRenderedPageBreak/>
        <w:t xml:space="preserve">razón, desde la igualdad básica en el derecho a la propiedad, para imponer a todas las Comunidades Autónomas un determinado tipo de deber de los propietarios en el orden administrativo- urbanístico, que realmente no se vincula al derecho de propiedad, dada la previa opción del legislador estatal ya indicada, y que no es sino una técnica jurídico-administrativa de obtener la colaboración privada en la actuación urbanística, que no tiene por qué imponerse en todo el territorio español de la misma forma. Este artículo hace nacer el deber de una técnica urbanística precisa, cual es el planeamiento, que tampoco el Estado tiene potestad legislativa ordinaria para imponer a las Comunidades Autónomas, ni en sí misma ni como fuente concreta del deber de incorporación a la actuación urbanística. Así, el art. 149.1.1 no ofrece cobertura alguna a este artículo. Ni atendiendo al derecho de propiedad, ni atendiendo a ningún otro derecho o deber constitucionalmente garantizado. ¿Qué relación, sino muy remota, puede tener este precepto con una garantía estatal de igualdad en el derecho a la vivienda? El art. 31.2 C.E. podría justificar que el poder legislativo estatal aprobara una Ley en orden a determinar las condiciones básicas para que las Leyes autonómicas establecieran prestaciones públicas obligatorias, deberes prestacionales públicos. Lo que no puede hacer el legislador estatal -sobre la base del art. 149.1.1 C.E.- es establecer él esos deberes en materias cuya regulación legislativa es competencia autonómica. Por lo demás, ni las materias 8 o 13, ni menos aun la 18 o la 23, del art. 149.1 C.E. dotan tampoco al Estado de una potestad legislativa básica para dictar este artículo. </w:t>
      </w:r>
    </w:p>
    <w:p w:rsidR="008107C7" w:rsidRDefault="008107C7" w:rsidP="008107C7">
      <w:pPr>
        <w:pStyle w:val="TextoNormal"/>
      </w:pPr>
      <w:r>
        <w:t xml:space="preserve">Art. 9. Hay que repetir aquí lo dicho anteriormente. No es ésta una regulación del derecho de propiedad, toda vez que las facultades urbanísticas y sus requisitos condicionantes o sus contenidos ya no integran el contenido de ese derecho, sino que forman parte del servicio público urbanístico y se otorgan o conceden a los particulares del modo que juzgue oportuno el legislador competente en materia urbanística, que es el autonómico, directamente, y sólo supletoriamente el Estado. Sólo se podría reconocer un carácter legítimamente básico al establecimiento del principio de equitativa distribución de beneficios y cargas en cualquier proceso urbanístico, cualquiera que sea la modalidad técnico-jurídica de éste, que toca al legislador autonómico establecer. En este sentido, en el art. 3 de la Ley debería haberse incluido el adjetivo "equitativo" junto al sustantivo "reparto". Con eso bastaría. Hay que repetir asimismo lo dicho en el artículo anterior sobre la ausencia de otros títulos competenciales estatales respecto de la legislación básica que cubran a este precepto. </w:t>
      </w:r>
    </w:p>
    <w:p w:rsidR="008107C7" w:rsidRDefault="008107C7" w:rsidP="008107C7">
      <w:pPr>
        <w:pStyle w:val="TextoNormal"/>
      </w:pPr>
      <w:r>
        <w:t xml:space="preserve">Art. 11. A pesar de la apariencia de este precepto, tampoco es una norma reguladora del derecho de propiedad, salvo en cuanto al punto 4. Aunque los derechos que contempla se incorporen a la esfera jurídica de quien ha de tener la propiedad del suelo, se trata de unos derechos administrativos otorgados por disposiciones o actos administrativos que luego la Ley detalla y que no tienen por objeto directo cosas, sino actividades: urbanizar, aprovechar urbanísticamente, edificar. Actividades que se proyectan sobre la cosa objeto de la nuda propiedad que ha de estar en la base, pero que no se reconocen al propietario por su condición de tal sino en cuanto colaborador o gestor del servicio público que dichas actividades constituyen ahora para el legislador estatal. Esa llamada integración del contenido urbanístico de la propiedad inmobiliaria por la adquisición sucesiva de estos derechos no es propiamente tal, dado el grado de entera dependencia con respecto de la Administración urbanística con que se otorgan tales derechos al propietario. La propiedad no se integra en esta Ley con nuevas facultades o derechos, sino que simplemente el titular de un derecho de propiedad nuda sobre el suelo afectado al proceso urbanístico adquiere unos derechos de gestión urbanística, entrando en particular relación con la Administración por esta causa: unos derechos propter rem, ciertamente, pero unos derechos de estatuto independiente del derecho de propiedad, que adquiere el propietario pero que no forman parte en realidad de </w:t>
      </w:r>
      <w:r>
        <w:lastRenderedPageBreak/>
        <w:t xml:space="preserve">la propiedad. Y todo ello como una manifestación exclusiva de una determinada manera de regular la función o el servicio urbanístico, que es competencia autonómica. Con la debida adaptación de las primeras líneas del precepto sólo podría salvarse y reconocerse de carácter básico a su núm. 4, en cuanto que ahí sí que parece indudable que se regula un determinado modo de adquirir un nuevo derecho de propiedad, vinculado al derecho de propiedad sobre el suelo, que es el derecho a la propiedad sobre lo edificado conforme a licencia o conforme a la ordenación urbanística, mejor, vigente en cada sitio. </w:t>
      </w:r>
    </w:p>
    <w:p w:rsidR="008107C7" w:rsidRDefault="008107C7" w:rsidP="008107C7">
      <w:pPr>
        <w:pStyle w:val="TextoNormal"/>
      </w:pPr>
      <w:r>
        <w:t xml:space="preserve">Art. 12.1, 3 y 4. En cuanto regulador del modo de conferir a los particulares una primera participación en el servicio público urbanístico que se desprende de la Ley desde sus primeros preceptos, hay que volver a repetir que, siendo mero urbanismo, la competencia para su regulación legislativa es de la Comunidad Autónoma y no del Estado. Este no puede regular sino supletoriamente si debe haber o no planeamiento o cuál deba ser el instrumento jurídico para conceder a un particular el llamado derecho a urbanizar. Ni siquiera hay título jurídico constitucional suficiente que permita al Estado configurar de determinado modo las llamadas facultades o derechos urbanísticos. Las Comunidades Autónomas deben poder configurarlos como quieran, una vez que ya no son algo inherente a la propiedad. Por lo demás, el Estado no puede habilitar directamente al planeamiento como lo hace en el apartado 4 de este artículo, con carácter de legislación básica. Esta determinación corresponde al legislador urbanístico. </w:t>
      </w:r>
    </w:p>
    <w:p w:rsidR="008107C7" w:rsidRDefault="008107C7" w:rsidP="008107C7">
      <w:pPr>
        <w:pStyle w:val="TextoNormal"/>
      </w:pPr>
      <w:r>
        <w:t xml:space="preserve">Art. 13.1. En tanto que este artículo predetermina modalidades concretas del planeamiento urbanístico -Plan General, planeamiento de desarrollo de éste-, se está excediendo de la competencia del Estado para establecer legislación básica. Si el Estado quiere establecer un principio procedimental participativo, probablemente pueda hacerlo sobre la base del art. 149.1.18 C.E., o incluso del 149.1.1 en relación con el 23.1 y 129.1 de la misma Ley fundamental, pero ello deberá hacerse del modo abstracto que evite invadir el ámbito competencial propio de la potestad legislativa autonómica en materia urbanística. </w:t>
      </w:r>
    </w:p>
    <w:p w:rsidR="008107C7" w:rsidRDefault="008107C7" w:rsidP="008107C7">
      <w:pPr>
        <w:pStyle w:val="TextoNormal"/>
      </w:pPr>
      <w:r>
        <w:t xml:space="preserve">Art. 14. Este precepto es uno de los que pone de relieve la naturaleza de los llamados en la Ley derechos urbanísticos. Es evidente que tanto la figura de unidad de ejecución como las demás que conforman el contenido de este precepto son estrictamente urbanísticas y deben, por lo tanto, considerarse objeto propio de la competencia legislativa de la Comunidad Autónoma. Ninguno de los títulos competenciales estatales da cobertura a la pretensión de dar a este artículo carácter de ley básica. Se trata de la regulación de un modo de extinción de un derecho administrativo -el de urbanizar- que tiene por objeto una actividad del servicio público urbanístico. El apartado 2 puede considerarse válido incluso como ley de aplicación plena, pero es perfectamente innecesario por tenerlo ya establecido con carácter general y bien preciso la Ley de Procedimiento Administrativo e incluso el art. 105 c) C.E. </w:t>
      </w:r>
    </w:p>
    <w:p w:rsidR="008107C7" w:rsidRDefault="008107C7" w:rsidP="008107C7">
      <w:pPr>
        <w:pStyle w:val="TextoNormal"/>
      </w:pPr>
      <w:r>
        <w:t xml:space="preserve">Art. 15.1. Se trata de otra determinación propiamente urbanística, relativa a otro de los derechos urbanísticos configurados por la Ley impugnada, excediéndose de la competencia estatal en cuanto pretende dotarla del carácter de legislación básica y por ende preferente a la autonómica. No se regula aquí nada sobre el derecho de propiedad, desprovisto por la Ley de toda posibilidad de aprovechamientos urbanísticos y reducida a simple situación jurídica de relación con el suelo, sin contenido de utilidad alguno propio, a partir del momento en que ese suelo queda afectado al servicio público urbanístico mediante su calificación de suelo integrado en los procesos urbanos. El derecho al aprovechamiento urbanístico pertenece a la Administración, al poder público, y se concede a los particulares que colaboran con el servicio público urbanístico en las condiciones y forma que fija la Ley. Pero esa Ley debe ser, en principio, autonómica y sólo supletoriamente estatal. </w:t>
      </w:r>
    </w:p>
    <w:p w:rsidR="008107C7" w:rsidRDefault="008107C7" w:rsidP="008107C7">
      <w:pPr>
        <w:pStyle w:val="TextoNormal"/>
      </w:pPr>
      <w:r>
        <w:lastRenderedPageBreak/>
        <w:t xml:space="preserve">Art. 16. En coherencia con cuanto se lleva expuesto, hay que sostener aquí que la determinación de la existencia de distintos tipos de suelo a efectos del proceso urbanístico es algo que compete establecer exclusivamente a las Comunidades Autónomas, o, al menos, con preferencia a lo que el Estado pueda disponer por vía de supletoriedad. Máxime tras haber excluido la Ley básica estatal del contenido del derecho de propiedad y de la libertad de empresa que le está de ordinario vinculada todo cuanto se refiere a la urbanización y edificación urbana. Y, por supuesto, la determinación de los aprovechamientos apropiables, es decir, reconocibles al titular de un terreno -que a eso se reduce, en efecto, la trascendencia jurídica de la propiedad, a una pura titularidad formal sobre el terreno- en cuanto gestor indirecto del servicio público urbanístico, parece que ha de entrar de lleno dentro de lo que corresponde ponderar y fijar al legislador autonómico, cuando no al Municipio responsable del desarrollo de su propio medio urbano. Siendo como es, a partir de la nueva Ley, dicho aprovechamiento algo concedido por la Administración para la mejor consecución de los intereses públicos encomendados al servicio público urbanístico, no se está ante dimensión alguna de un derecho constitucional -como el de propiedad- cuyas condiciones básicas debieran ser igualadas por el legislador estatal. La referencia a la expropiación que se hace en el apartado 2 no cambia las cosas. Cuando se trata de derechos administrativos otorgados por la Administración, la Administración concedente o la ley con competencia para regularlos puede obviamente señalar su valor, especialmente para los casos en que se quiera proyectar sobre éste una sanción por incumplimiento de condiciones, que es a lo que en realidad se alude en dicho precepto como en otros que se verán. </w:t>
      </w:r>
    </w:p>
    <w:p w:rsidR="008107C7" w:rsidRDefault="008107C7" w:rsidP="008107C7">
      <w:pPr>
        <w:pStyle w:val="TextoNormal"/>
      </w:pPr>
      <w:r>
        <w:t xml:space="preserve">Art. 17.1. Si el derecho al aprovechamiento urbanístico formara parte del contenido propio del derecho de propiedad sobre el suelo -como ocurría antes de esta Ley-, estaría justificada una legislación básica estatal que, en términos más abstractos que los empleados por este artículo y los demás que se están analizando, garantizara unos mínimos de igualdad en todo el territorio español al contenido urbanísticamente útil del derecho de propiedad sobre el suelo, sin necesidad de entrar a predeterminar las técnicas que hayan de aplicarse para lograrlo. Pero como tal derecho al aprovechamiento urbanístico es ahora un derecho concedido por la Administración que se adiciona a la nueva propiedad sobre el suelo, sin integrarse propiamente en él, ni siquiera posee el Estado competencia para establecer aquellas condiciones básicas de igualdad en su alcance. Son las Comunidades Autónomas las únicas con potestad legislativa en todo lo relativo al nuevo servicio público urbanístico. En cualquier caso, es evidente que ninguna necesidad hay de imponer desde el Estado modalidades técnicas urbanísticas como las "unidades de ejecución", "suelo urbano", el "planeamiento", "áreas de reparto", en las que se basa el precepto analizado. Por todo ello, tampoco este artículo puede ser calificado de legislación básica. </w:t>
      </w:r>
    </w:p>
    <w:p w:rsidR="008107C7" w:rsidRDefault="008107C7" w:rsidP="008107C7">
      <w:pPr>
        <w:pStyle w:val="TextoNormal"/>
      </w:pPr>
      <w:r>
        <w:t>Art. 18.1 y 3. La reducción del derecho al aprovechamiento urbanístico que se establece aquí, por razón de incumplimiento de unos plazos que han de establecerse preceptivamente por la Administración o directamente por el legislador en orden al ejercicio de dicho derecho, constituye -como esta misma imposición de unos plazos- una medida de política urbanística exclusivamente, que, por ello, corresponde al legislador autonómico determinar la conveniencia de su previsión y regulación. Además, en cuanto este artículo determina una causa expropiandi -para la expropiación propiamente dicha o para esa figura especial de expropiación que es la venta forzosa- de ese mismo derecho administrativo al aprovechamiento urbanístico, es claro que está invadiendo la competencia legislativa autonómica para determinar los supuestos expropiatorios en materia urbanística. En fin, la fijación del valor del derecho a expropiar o revocar por la Administración en el caso, en cuanto medida san</w:t>
      </w:r>
      <w:r>
        <w:lastRenderedPageBreak/>
        <w:t xml:space="preserve">cionadora del incumplimiento de unos deberes o condicionamientos administrativos del derecho concedido anteriormente, es algo que indiscutiblemente debe ser competencia del legislador autonómico o de la Administración urbanística sobre la base de las determinaciones habilitantes de aquél. No se trata aquí de valoraciones o de criterios de valoración de los bienes o derechos expropiados en sí mismos, en el sentido en que el Tribunal Constitucional ha dicho que deben ser competencia legislativa estatal, sino de una manifestación de la potestad sancionadora administrativa, cuya regulación debe considerarse competencia propia de quien tenga la competencia legislativa sobre la materia correspondiente. Sólo en la medida en que dicha potestad es objeto de ciertos derechos constitucionales importantes (arts. 24 y 25 C.E.) debe entenderse legitimado el Estado para disponer las condiciones básicas de satisfacción de esos derechos. Pero no parece que la previsión del art. 18 sea reconducible a este ámbito competencial. El quantum de las sanciones no tiene por qué considerarse integrante de las condiciones básicas de los derechos constitucionales frente a la potestad sancionadora de las Administraciones Públicas. Y lo mismo habría que decir si se pretende dar cobertura a este precepto desde la competencia legislativa básica del Estado sobre el régimen jurídico de las Administraciones Públicas (art. 149.1.18), del que podría entenderse que forma parte la regulación general de su potestad sancionadora. Sin que, por lo demás, deba perderse de vista que lo que se regula en el art. 18 es una potestad sancionadora ejercitable desde una posición de supremacía especial de la Administración, es decir, en el seno de relaciones de sujeción especial, y ya se sabe que la trascendencia y régimen de las sanciones en este ámbito no coincide plenamente con los de las sanciones de supremacía general. </w:t>
      </w:r>
    </w:p>
    <w:p w:rsidR="008107C7" w:rsidRDefault="008107C7" w:rsidP="008107C7">
      <w:pPr>
        <w:pStyle w:val="TextoNormal"/>
      </w:pPr>
      <w:r>
        <w:t xml:space="preserve">Art. 19.1 y 2. Deben darse por reproducidas aquí las razones ya expuestas a propósito de los artículos anteriores. Ha de reiterarse que si el derecho al aprovechamiento, como los demás derechos urbanísticos, no son algo inherente a la propiedad sino concesión administrativa, debe ser el legislador urbanístico -el autonómico, por tanto- quien elija y determine el modo de atribuirse todos esos derechos, sin que el Estado posea facultades normativas para imponer a las Comunidades Autónomas unos criterios al respecto, como pretende hacer en éste y en otros de los preceptos que se analizan. Se trata de cuestiones relativas a la ordenación urbanística que no afectan a derechos ni a deberes constitucionales, cuya igualdad básica hubiera de garantizar la Ley estatal, que nada tienen que ver con la legislación civil ni con la planificación económica, ni con el medio ambiente ni con el régimen jurídico general de las Administraciones Públicas. </w:t>
      </w:r>
    </w:p>
    <w:p w:rsidR="008107C7" w:rsidRDefault="008107C7" w:rsidP="008107C7">
      <w:pPr>
        <w:pStyle w:val="TextoNormal"/>
      </w:pPr>
      <w:r>
        <w:t xml:space="preserve">Art. 20. La determinación del modo de adquirirse por un particular el derecho a edificar - separado ya por esta misma Ley en su parte realmente básica del derecho de propiedad- es algo propio de la política legislativa urbanística. El Estado carece de títulos para imponer que dicho derecho haya de adquirirse por lo que, sin duda por inercia histórica, denomina "licencias", sin que pueda reconocerse ya en tal acto una verdadera y propia licencia, sino más bien un auténtico acto de concesión administrativa, constitutivo de derechos ex novo. La regulación, asimismo, de las condiciones de adquisición del derecho del que se trata debe entenderse competencia autonómica, sin que tenga por qué imponerse lo establecido en el último inciso del precepto. </w:t>
      </w:r>
    </w:p>
    <w:p w:rsidR="008107C7" w:rsidRDefault="008107C7" w:rsidP="008107C7">
      <w:pPr>
        <w:pStyle w:val="TextoNormal"/>
      </w:pPr>
      <w:r>
        <w:t xml:space="preserve">Art. 22. Ya se ha explicado anteriormente (art. 18) que el Estado carece de competencia para disponer una legislación directa y preferente a la autonómica -una legislación básica- respecto a la determinación de las causas de expropiar y la concreción cuantitativa de sanciones. </w:t>
      </w:r>
    </w:p>
    <w:p w:rsidR="008107C7" w:rsidRDefault="008107C7" w:rsidP="008107C7">
      <w:pPr>
        <w:pStyle w:val="TextoNormal"/>
      </w:pPr>
      <w:r>
        <w:t xml:space="preserve">Art. 23. Si la concesión del derecho a edificar -o del servicio público de edificación de determinados edificios- es algo que compete regular al legislador autonómico, es obvio que </w:t>
      </w:r>
      <w:r>
        <w:lastRenderedPageBreak/>
        <w:t xml:space="preserve">es a él al que le corresponde regular cuanto se contiene en este artículo. Tan sólo la exigencia de la previa audiencia del interesado es algo tan indisponible para él como lo es para el legislador estatal si tuviera competencia en esta materia. Es la Ley de Procedimiento Administrativo la que ya lo exige, aunque aquí o en cuantas Leyes se quiera se reitere además tan fundamental e imprescindible requisito. </w:t>
      </w:r>
    </w:p>
    <w:p w:rsidR="008107C7" w:rsidRDefault="008107C7" w:rsidP="008107C7">
      <w:pPr>
        <w:pStyle w:val="TextoNormal"/>
      </w:pPr>
      <w:r>
        <w:t xml:space="preserve">Art. 24. Se trata de una regulación de los efectos de la extinción del derecho administrativo a edificar, que, por cuanto se lleva expuesto, ha de estimarse, sin duda, competencia exclusiva del legislador autonómico. Este precepto no puede tener otro valor que el meramente supletorio de la legislación autonómica. Deben reproducirse las razones expuestas (arts. 18 y 22, principalmente) sobre la competencia autonómica para regular o determinar las causas de expropiar y el alcance de las sanciones en concreto. Por lo demás, como cualquier acción sobre el suelo, cuya propiedad ha sido convertida por la Ley en nudo dominio, es algo propio de la Administración, que sólo podrán llevar a cabo los particulares por concesión de ella, el régimen de las "autorizaciones" y órdenes administrativas para cualesquiera actuaciones sobre el suelo, y lo que se apoya en él -al menos hasta que se patrimonialice, se asuma en el derecho a la propiedad, lo edificado, pero quizás también después-, es algo que corresponde fijar exclusivamente al legislador autonómico. No está en juego aquí nada sobre lo que el Estado pueda establecer legislación básica, una vez excluido por ésta del contenido del derecho a la propiedad cuanto se refiere al proceso urbanístico y edificatorio en forma urbana. </w:t>
      </w:r>
    </w:p>
    <w:p w:rsidR="008107C7" w:rsidRDefault="008107C7" w:rsidP="008107C7">
      <w:pPr>
        <w:pStyle w:val="TextoNormal"/>
      </w:pPr>
      <w:r>
        <w:t xml:space="preserve">Art. 26.2 y 3. La incompetencia del Estado para dictar este precepto como legislación básica es tan manifiesta como la de los artículos precedentes. Valen aquí las razones ya expuestas especialmente a propósito de los arts. 18, 19, 20 y ss. </w:t>
      </w:r>
    </w:p>
    <w:p w:rsidR="008107C7" w:rsidRDefault="008107C7" w:rsidP="008107C7">
      <w:pPr>
        <w:pStyle w:val="TextoNormal"/>
      </w:pPr>
      <w:r>
        <w:t xml:space="preserve">Art. 27.2 y 3. La Ley, en el art. 27.2 y en otros preceptos, mezcla el valor de las facultades urbanísticas adquiridas de la Administración para realizar la gestión urbanística y el de los elementos materiales que se van adicionando al suelo como consecuencia de su ejercicio, con el valor del terreno, del suelo mismo, único bien sobre el que se proyecta la nuda propiedad de su titular, según la misma Ley. En realidad, son derechos diferentes y obviamente deben tener cada uno de ellos su propia valoración. El art. 27.2, aparte de sus posibles deficiencias técnicas, podría, sin inconveniente, considerarse legislación básica estatal con sólo suprimir "cuando se solicitó la licencia", pues esta referencia entra ya en el campo propio de la competencia legislativa autonómica. La inconstitucionalidad de la calificación del art. 27.3 como legislación básica deriva de las mismas razones ya repetidamente expuestas: está en dependencia de todo el sistema o régimen urbanístico que esta Ley organiza y que sólo el legislador autonómico puede organizar, especialmente si, como la propia Ley dispone, todo eso es ya algo realmente ajeno al derecho a la propiedad; sólo el legislador autonómico puede establecer en esta materia urbanística las causae expropiandi, por otra parte (el legislador estatal sólo supletoriamente, en el mejor de los casos). </w:t>
      </w:r>
    </w:p>
    <w:p w:rsidR="008107C7" w:rsidRDefault="008107C7" w:rsidP="008107C7">
      <w:pPr>
        <w:pStyle w:val="TextoNormal"/>
      </w:pPr>
      <w:r>
        <w:t xml:space="preserve">Art. 28. En cuanto al apartado 1, se trata de un aspecto de la regulación del derecho al aprovechamiento urbanístico, por lo que, según lo ya razonado anteriormente, debe considerarse competencia propia del legislador autonómico, que debe tener entera libertad de recurrir o no a esa figura o/y de regularla como lo considere más oportuno. Por lo que se refiere al apartado 2, habría que decir lo mismo. Realmente no hay innovación del ordenamiento registral que pudiera ampararse en el art. 149.1.8 C.E., sino mera conexión con las consecuencias de dicho ordenamiento del Registro de la Propiedad -que sí es competencia estatal- en la regulación específica objeto de este artículo. Y es ésta la que no puede estimarse competencia estatal, como no sea a título meramente supletorio. </w:t>
      </w:r>
    </w:p>
    <w:p w:rsidR="008107C7" w:rsidRDefault="008107C7" w:rsidP="008107C7">
      <w:pPr>
        <w:pStyle w:val="TextoNormal"/>
      </w:pPr>
      <w:r>
        <w:lastRenderedPageBreak/>
        <w:t xml:space="preserve">Art. 30.1 y 2. Las figuras de los "planes generales", las "áreas de reparto", el "suelo urbanizable" son propias de la legislación urbanística, que es competencia propia de las Comunidades Autónomas y sobre las que el Estado carece de títulos competenciales para establecer normas básicas, máxime cuando todo el proceso urbanístico y edificatorio ha quedado excluido del derecho constitucional a la propiedad y convertido en una suerte de servicio público reservado al poder público, el del urbanismo, competencia exclusiva autonómica. El modo de atribuir la Administración a los particulares una participación más o menos amplia en la gestión de ese servicio es competencia del legislador autonómico. Cómo haya de contarse con los propietarios del suelo afectado a ese servicio público, qué sistema haya de organizarse, en su caso, para equilibrar beneficios y cargas del proceso urbanístico, etc., son cuestiones que debe resolver la legislación autonómica. El Estado ya no tiene títulos para dictar ahí una legislación básica. Máxime tras la decisión trascendental de la propia Ley de vaciar al derecho de propiedad de toda facultad urbanística. </w:t>
      </w:r>
    </w:p>
    <w:p w:rsidR="008107C7" w:rsidRDefault="008107C7" w:rsidP="008107C7">
      <w:pPr>
        <w:pStyle w:val="TextoNormal"/>
      </w:pPr>
      <w:r>
        <w:t xml:space="preserve">Art. 31.1. El Estado carece de títulos competenciales para dar a este precepto carácter de legislación básica. Es una norma de pura regulación urbanística. No hay que obligar a las Comunidades Autónomas a disponer un sistema urbanístico como el que sirve de base a este precepto. </w:t>
      </w:r>
    </w:p>
    <w:p w:rsidR="008107C7" w:rsidRDefault="008107C7" w:rsidP="008107C7">
      <w:pPr>
        <w:pStyle w:val="TextoNormal"/>
      </w:pPr>
      <w:r>
        <w:t xml:space="preserve">Arts. 32; 33.1, 3, 4 y 5; 34; 35.1, 2 y 3 y 36.1. Todo este bloque de preceptos, relativos al cálculo de los llamados aprovechamientos tipo, carece de toda justificación como legislación básica. Se trata de la regulación de una técnica urbanística al servicio de la determinación del derecho al aprovechamiento urbanístico y que, por tanto, como éste mismo, es algo que corresponde regular en exclusiva al legislador autonómico, sin perjuicio de la posibilidad de su mantenimiento como derecho estatal supletorio. No se está regulando ya aquí la propiedad, sino un eventual derecho de gestión indirecta de un nuevo servicio público, independiente del derecho de propiedad según la propia Ley. </w:t>
      </w:r>
    </w:p>
    <w:p w:rsidR="008107C7" w:rsidRDefault="008107C7" w:rsidP="008107C7">
      <w:pPr>
        <w:pStyle w:val="TextoNormal"/>
      </w:pPr>
      <w:r>
        <w:t xml:space="preserve">Arts. 37.1 y 2, 38 y 39. En cuanto elementos de la regulación del derecho al aprovechamiento urbanístico merecen idénticas consideraciones que éste: son campo de la competencia reguladora de las Comunidades Autónomas. No hay títulos competenciales en la Constitución para dar a estos preceptos carácter de legislación básica. Se está ante la configuración legal de un eventual derecho administrativo a la gestión de una actividad implícitamente declarada servicio público reservado a la Administración: la actividad edificatoria, en concreto, el medio urbano. </w:t>
      </w:r>
    </w:p>
    <w:p w:rsidR="008107C7" w:rsidRDefault="008107C7" w:rsidP="008107C7">
      <w:pPr>
        <w:pStyle w:val="TextoNormal"/>
      </w:pPr>
      <w:r>
        <w:t xml:space="preserve">Arts. 40.2 y 4, 41 y 42.1 y 3. Una vez más se está ante regulaciones específicamente urbanísticas, que parten de una determinada opción en la ordenación técnico-jurídica de la actuación urbanizadora y edificatoria y de la participación en ella de los particulares. Una opción que la Constitución no legitima, por ningún concepto, al legislador estatal para su adopción, salvo por vía supletoria. </w:t>
      </w:r>
    </w:p>
    <w:p w:rsidR="008107C7" w:rsidRDefault="008107C7" w:rsidP="008107C7">
      <w:pPr>
        <w:pStyle w:val="TextoNormal"/>
      </w:pPr>
      <w:r>
        <w:t xml:space="preserve">Art. 29.2. Se altera aquí el orden de la numeración de los artículos analizados. Se trata de un precepto de "aplicación plena" según la Disposición final primera de la Ley, apartado 2. No se niega, desde luego, la competencia exclusiva del Estado para determinar las relaciones con el Registro de la Propiedad. Ocurre, sin embargo, que al ejercer su poder legislativo sobre ello debería hacerlo de un modo más abstracto, que no condicionara las determinaciones normativas que en el orden urbanístico son propias del legislador autonómico. Este artículo, por tanto, en cuanto se refiere concretamente a los deberes urbanísticos mencionados en el art. 15 de la Ley, incurre en exceso de poder: no entra ya en el ámbito de la competencia legislativa del Estado, como no sea en un plano meramente supletorio. </w:t>
      </w:r>
    </w:p>
    <w:p w:rsidR="008107C7" w:rsidRDefault="008107C7" w:rsidP="008107C7">
      <w:pPr>
        <w:pStyle w:val="TextoNormal"/>
      </w:pPr>
      <w:r>
        <w:lastRenderedPageBreak/>
        <w:t xml:space="preserve">Art. 57.1 b). Conforme a la doctrina del Tribunal Constitucional, corresponde al legislador autonómico determinar las causas de las expropiaciones que instrumentalmente procedan en las materias cuya regulación caiga bajo su competencia, como es, aquí, la materia del urbanismo. Por lo demás, ya se ha dicho que la institución de las áreas de reparto no puede imponerse a las Comunidades Autónomas por ser una técnica jurídico-urbanística, que no entra en los ámbitos de competencia legislativa estatal, salvo si ésta se limita a establecer derecho supletorio. </w:t>
      </w:r>
    </w:p>
    <w:p w:rsidR="008107C7" w:rsidRDefault="008107C7" w:rsidP="008107C7">
      <w:pPr>
        <w:pStyle w:val="TextoNormal"/>
      </w:pPr>
      <w:r>
        <w:t xml:space="preserve">Art. 58. La competencia sobre la legislación de expropiación forzosa que corresponde al Estado no incluye ni la determinación de los supuestos expropiatorios en materias de competencia legislativa autonómica, ni la determinación del momento en que haya de emplearse este instrumento en el ámbito, por ejemplo, de las actuaciones urbanísticas. Determinar esto pertenece a la política legislativa urbanística y no compromete aspecto alguno de la institución expropiatoria en cuanto tal, que es a lo que debe limitarse la regulación estatal. Por lo demás, la existencia o no de planes generales y de programas de actuación es algo que corresponde regular al legislador autonómico urbanístico, no al Estado. En segundo lugar, la garantía que quiere establecerse en los apartados 2 y 3 de este precepto, muy loable y justificada, probablemente debiera establecerse por la Ley con un alcance mucho más general, en favor de todos los propietarios cuya propiedad sobre el suelo se vea vaciada de contenido al quedar afectado el suelo que sea su objeto al proceso urbanístico. Esa expropiación oculta debería ser exigible por los propietarios por medios eficazmente garantizados por la Ley estatal con carácter general, como algo realmente integrante de las condiciones básicas del derecho de propiedad y del régimen general expropiatorio. Si determinada medida implica o trae consigo un efecto realmente expropiatorio, los expropiados deben tener asegurado el modo de exigir que esa ablación vaya acompañada de las garantías constitucionales del art. 33.3 C.E., y concretamente de la facultad de exigir el pago del justiprecio, si no antes de que se produzca el efecto ablatorio, sí, al menos, de modo inmediato o en un corto plazo. Lo contrario es realmente un fraude de los derechos constitucionales. Ahora bien, en cuanto este precepto remite a los criterios de valoración de esta Ley y en particular al art. 38 de la misma, o se refiere al 75 por 100 del aprovechamiento correspondiente al área de reparto en que el terreno se encuentre incluido, la Ley está entrando en aspectos que ya exceden del ámbito competencial estatal por razón de la expropiación o de la garantía de unas condiciones básicas de igualdad para la propiedad. La valoración de las facultades urbanísticas deben poder hacerla las Leyes autonómicas urbanísticas como parte de su política legislativa en esta materia. Se trata no de valoraciones por razón de expropiación, sino de valoraciones más generales de unos derechos que el legislador conforma, aunque luego hayan de tomarse como tales para las expropiaciones también. </w:t>
      </w:r>
    </w:p>
    <w:p w:rsidR="008107C7" w:rsidRDefault="008107C7" w:rsidP="008107C7">
      <w:pPr>
        <w:pStyle w:val="TextoNormal"/>
      </w:pPr>
      <w:r>
        <w:t xml:space="preserve">Art. 59. Este largo artículo regula una institución nueva a la que da la denominación de "ocupación directa" y que permite a la Administración urbanística ocupar de facto los terrenos de que se trate inscribiéndolos incluso en el Registro a su nombre (apartado 4), con la única garantía para los propietarios del reconocimiento o adjudicación de unos derechos de aprovechamiento urbanístico que se podrán hacer efectivos en otros terrenos y que se inscribirán también, por separado, en el Registro (apartado 5). No parece que esta nueva figura pueda encontrar cobertura en la competencia legislativa estatal sobre la expropiación, ya que no encaja en esta institución. Tampoco es relevante su regulación para la igualdad básica del derecho de propiedad, ya que esa igualdad básica la ha establecido de un plumazo la nueva Ley al excluir del contenido de la propiedad sobre el suelo toda facultad relacionada con la urbanización y la edificación urbana. Ciertamente, hay en este artículo algunas regulaciones registrales que son competencia estatal. Pero el precepto en este punto, para no </w:t>
      </w:r>
      <w:r>
        <w:lastRenderedPageBreak/>
        <w:t xml:space="preserve">condicionar las políticas legislativas urbanísticas autonómicas inconstitucionalmente, debería hacer sus determinaciones de un modo condicionado, señalando, por ejemplo, que, en el caso de que las legislaciones autonómicas separasen una titularidad ocupacional sobre el suelo y los derechos al aprovechamiento urbanístico que inicialmente se hubieran constituido sobre el mismo suelo con la finalidad de asignarlos a otras parcelas distintas, tendrán acceso diversificado al Registro de la Propiedad una y otra situaciones jurídicas en la forma que pudiera indicarse. Pero no puede el Estado, en suma, dar carácter de norma legal de aplicación básica en todo el territorio nacional a toda esta regulación de la llamada ocupación directa. Es verdad que el sistema de la Ley no obliga en realidad a utilizar esta ocupación directa, que siempre se trata como alternativa facultativa a la expropiación, pero no es menos cierto que, al calificarse como legislación básica, es norma que no puede ser desplazada por la legislación autonómica, con lo que queda a disposición de las administraciones urbanísticas, guste o no a los legisladores autonómicos. Y esto es lo que no es de recibo bajo el actual sistema de distribución de competencias legislativas. </w:t>
      </w:r>
    </w:p>
    <w:p w:rsidR="008107C7" w:rsidRDefault="008107C7" w:rsidP="008107C7">
      <w:pPr>
        <w:pStyle w:val="TextoNormal"/>
      </w:pPr>
      <w:r>
        <w:t xml:space="preserve">Art. 61. De nuevo se está ante normas puramente urbanísticas que corresponde dictar a los legisladores autonómicos. Por razonables que puedan parecer, el Estado carece de competencia constitucional para dar a este precepto carácter de legislación básica. </w:t>
      </w:r>
    </w:p>
    <w:p w:rsidR="008107C7" w:rsidRDefault="008107C7" w:rsidP="008107C7">
      <w:pPr>
        <w:pStyle w:val="TextoNormal"/>
      </w:pPr>
      <w:r>
        <w:t xml:space="preserve">Art. 62.2. ¿En qué título competencial puede basarse la calificación de tal precepto como de aplicación plena? ¿En el relativo a la expropiación? ¿En el de la legislación civil? Se trata, por lo demás, de un principio de Derecho que resulta bastante elemental el que aquí se afirma. Si se entiende que es inconstitucional es sólo en la medida en que contiene una referencia incondicionada a la técnica de las unidades de ejecución, que es algo que no corresponde regular al Estado. Pero bastaría con entender que lo que quiere establecerse aquí es algo subordinado a la existencia de esas unidades de ejecución en las actuaciones urbanísticas. Condicionado de esta manera el precepto, habría que admitir, o no habría inconveniente en admitir, su naturaleza de legislación de aplicación plena, si se quiere. </w:t>
      </w:r>
    </w:p>
    <w:p w:rsidR="008107C7" w:rsidRDefault="008107C7" w:rsidP="008107C7">
      <w:pPr>
        <w:pStyle w:val="TextoNormal"/>
      </w:pPr>
      <w:r>
        <w:t xml:space="preserve">Art. 63.1. La Ley estatal carece de legitimación para imponer esta técnica de la venta forzosa al ordenamiento urbanístico de las Comunidades Autónomas para los supuestos que el precepto indica. La venta forzosa puede considerarse una variedad expropiatoria, pero ya se ha dicho que los supuestos de expropiación, aun entendida lato sensu, corresponde fijarlos al legislador autonómico en materia urbanística. Lo que sí podría y debería, en cambio, hacer la Ley estatal es establecer un régimen básico, al menos, cuando no integral, de la venta forzosa, poniéndolo a disposición -como hace con la expropiación en sentido estricto- de las legislaciones autonómicas que quieran libremente utilizar tal técnica; siempre en términos abstractos que no comprometan la libertad de conformación del legislador autonómico en sus propias áreas materiales. Precisamente al revés de lo que se hace en este precepto de la Ley 8/1990. </w:t>
      </w:r>
    </w:p>
    <w:p w:rsidR="008107C7" w:rsidRDefault="008107C7" w:rsidP="008107C7">
      <w:pPr>
        <w:pStyle w:val="TextoNormal"/>
      </w:pPr>
      <w:r>
        <w:t xml:space="preserve">Art. 66. Cabe aceptar la competencia estatal para determinar de modo igual el valor del suelo no urbanizable, en cuanto no afectado al servicio público urbanístico creado implícitamente por esta nueva Ley. Pero no ocurre lo mismo con la valoración de lo que se añada al suelo como consecuencia del proceso urbanístico. Sobre todo porque el legislador estatal no debe poder condicionar por esta vía la libertad de conformación del legislador autonómico, que ni siquiera tiene por qué verse sujeto a aceptar las distinciones de que parte esta Ley: suelo urbanizable programado o no, con uno u otro tipo de planeamiento, etc. Y que mucho menos debe servir para obligar a las Comunidades Autónomas a distinguir o diferenciar determinados derechos urbanísticos, de acuerdo con el sistema de esta Ley. El valor además de los derechos que se constituyan en los particulares en el proceso urbanístico debe </w:t>
      </w:r>
      <w:r>
        <w:lastRenderedPageBreak/>
        <w:t xml:space="preserve">poder depender del régimen que el legislador autonómico de a ese servicio público urbanístico que la Ley obliga a admitir. No está en juego aquí ya el valor del suelo, de la propiedad sobre el suelo, sino el valor de los derechos urbanísticos que pueden adquirirse sobre aquélla. El valor del llamado suelo urbanizable según el grado de las facultades urbanísticas adquiridas es en realidad el valor de la propiedad sobre el suelo privado de facultades urbanísticas, más el valor de las facultades urbanísticas que la Administración haya conferido. Aquél no variará. Lo que cambiarán serán éstas y su eventual valor; un valor que debe poder ser tan cambiante territorialmente como su misma existencia, según las previsiones del legislador autonómico urbanístico. </w:t>
      </w:r>
    </w:p>
    <w:p w:rsidR="008107C7" w:rsidRDefault="008107C7" w:rsidP="008107C7">
      <w:pPr>
        <w:pStyle w:val="TextoNormal"/>
      </w:pPr>
      <w:r>
        <w:t xml:space="preserve">Arts. 67, 69, 70, 71, 72 y 73. Por las razones que acaban de exponerse, el legislador estatal se ha excedido aquí al pretender dar a todos estos preceptos carácter de legislación de aplicación plena, por implicar condicionamientos del ordenamiento urbanístico que no pueden considerarse legitimados por la competencia del Estado para determinar legalmente los criterios de valoración que deben aplicarse en las expropiaciones forzosas. Como ya se ha dicho, el ejercicio por el legislador estatal de esta competencia debe hacerse de modo que no implique una invasión innecesaria de las competencias autonómicas; debe ejercerse, pues, sentando pautas abstractas que garanticen suficientemente los derechos patrimoniales constitucionalmente protegidos en el art. 33.3, pero remitiendo después, explícita o implícitamente, a las concreciones de esas pautas rectoras, que según las materias a que se apliquen deben hacer los legisladores competentes por razón de estas materias. En particular, debe decirse que el art. 67 podría ser aceptable, salvo precisamente en la salvedad contenida en el último inciso, cuya determinación sería ya competencia autonómica. El legislador estatal no debe entrar, salvo por vía supletoria, a valorar las facultades urbanísticas, como lo hace en el art. 69 o en los arts. 71 y 72, porque carece de potestad conformadora de dichas facultades. Ni es quien debe determinar la repercusión del incumplimiento de los deberes urbanísticos como lo intenta hacer en el art. 70. En fin, si los criterios de valoración, salvo excepción, contenidos en esta Ley no pueden pretender una aplicación directa y preferente a las expropiaciones urbanísticas, menos fundamento aun puede tener la pretensión del art. 73 de extender su aplicación a cualquier expropiación que afecte a los terrenos en proceso de urbanización o edificación urbana. Sí que podría, en cambio, la Ley -ésta u otra del Estado- disponer que los bienes y derechos sujetos a expropiación habrán de someterse siempre a los mismos criterios de valoración cualquiera que fuere la causa expropiandi. Para eso sí que tiene competencia legislativa el Estado ex art. 149.1.18. Pero no es eso lo que se dispone en el art. 73, que, por el contrario, pretende una aplicación generalizada de los concretos criterios que, con exceso de competencia, se señalan en esta nueva Ley. </w:t>
      </w:r>
    </w:p>
    <w:p w:rsidR="008107C7" w:rsidRDefault="008107C7" w:rsidP="008107C7">
      <w:pPr>
        <w:pStyle w:val="TextoNormal"/>
      </w:pPr>
      <w:r>
        <w:t xml:space="preserve">Art. 74. Este precepto sería perfectamente aceptable, pero para estar dotado de verdadera aplicación plena como pretende tendría que referirse a las expropiaciones urbanísticas y no a las "contempladas en el presente título", como reza el precepto. Dicho título no puede pretender una aplicación directa en cuanto a la determinación de supuestos expropiatorios. Esto en cuanto al apartado 1 del art. 74. En cuanto al apartado 2, la existencia o no de la figura del área de reparto es algo que debe depender de la voluntad del legislador autonómico urbanístico. Por otra parte, si toda decisión de afectación de un terreno al proceso urbanístico -la clásica calificación del suelo como urbanizable, por ejemplo- comporta una auténtica expropiación de su contenido útil, ya que se despoja al derecho de propiedad sobre él de su posible utilización no urbanística inherente al mismo, la única que la nueva Ley reconoce al derecho de propiedad sobre el suelo, ¿cómo podrá indemnizarse al así expropiado dándose simplemente otro trozo de suelo en idénticas condiciones? Porque, obviamente, quien padece la expropiación no se sujeta a ella por haber incumplido ningún género </w:t>
      </w:r>
      <w:r>
        <w:lastRenderedPageBreak/>
        <w:t xml:space="preserve">de deberes, y menos los urbanísticos, sino simplemente por ser propietario de unos terrenos que la Administración decide un buen día afectar al proceso urbanístico, simplemente. Se dirá que la Ley no está pensando aquí en eso. Pero entonces debe exigirse la debida precisión y rigor al precepto para que pueda reconocérsele una legítima aplicabilidad plena como pretende. Respecto del apartado 3, hay que decir que cuando un particular deba quedar sujeto a los deberes relativos a la actividad publificada de urbanizar y edificar urbanamente, es algo que compete establecer al legislador autonómico urbanístico. El Estado sólo podrá disponerlo, en el mejor de los casos, de forma supletoria. </w:t>
      </w:r>
    </w:p>
    <w:p w:rsidR="008107C7" w:rsidRDefault="008107C7" w:rsidP="008107C7">
      <w:pPr>
        <w:pStyle w:val="TextoNormal"/>
      </w:pPr>
      <w:r>
        <w:t xml:space="preserve">Art. 73.3. Una vez más se está ante prescripciones meramente urbanísticas, cuya competencia hay que reconocer que corresponde al legislador autonómico, por las razones ya muchas veces expuestas. Se trata del régimen de las facultades o derechos urbanísticos, propios del servicio público urbanístico. </w:t>
      </w:r>
    </w:p>
    <w:p w:rsidR="008107C7" w:rsidRDefault="008107C7" w:rsidP="008107C7">
      <w:pPr>
        <w:pStyle w:val="TextoNormal"/>
      </w:pPr>
      <w:r>
        <w:t xml:space="preserve">Art. 78. No es necesario analizar uno por uno los diversos supuestos expropiatorios que se definen en este artículo. Ya se ha puesto de manifiesto, con base en el criterio del mismo Tribunal Constitucional, que la determinación de las causas de expropiar y, por ende, de los supuestos expropiatorios no es siempre competencia del Estado, sino que, por el contrario, corresponde al legislador que tenga la competencia legislativa en la materia de que se trate, precisamente para ordenar el sector de que se trate a determinados intereses públicos que toca a ese legislador valorar. En lo que se refiere al apartado e) del núm. 2 de este artículo -expropiación para obtención de terrenos con destino a viviendas de protección oficial-, además de la competencia legislativa autonómica en materia de urbanismo juega la relativa a la vivienda. Lo mismo que la previsión contenida en el núm. 3 del artículo. En suma, todo el contenido de este artículo es competencia exclusiva de la Comunidad Autónoma, sin perjuicio de la potestad de establecer legislación supletoria estatal, si es que ésta puede establecerse en cualquier campo. </w:t>
      </w:r>
    </w:p>
    <w:p w:rsidR="008107C7" w:rsidRDefault="008107C7" w:rsidP="008107C7">
      <w:pPr>
        <w:pStyle w:val="TextoNormal"/>
      </w:pPr>
      <w:r>
        <w:t xml:space="preserve">Arts. 81.2, 82, 84 y 85. Estos preceptos serían admisibles como legislación de aplicación plena si se mantuvieran a un mayor nivel de abstracción o hicieran sus prescripciones en términos condicionados a la existencia en las legislaciones urbanísticas autonómicas de las figuras de derechos urbanísticos y de técnicas jurídicas urbanísticas a las que se refiere. Pero, al establecerse los mecanismos o las reglas de fijación de los justiprecios con referencia a todo un conjunto de conceptos o instituciones urbanísticas que no corresponde establecer ni regular al Estado más que, en el mejor de los casos, supletoriamente, se utiliza la competencia estatal -la de señalar las reglas para fijar el justiprecio expropiatorio- de un modo inadmisiblemente invasor de las competencias legislativas autonómicas en materia urbanística, por lo que debe declararse su inconstitucionalidad. </w:t>
      </w:r>
    </w:p>
    <w:p w:rsidR="008107C7" w:rsidRDefault="008107C7" w:rsidP="008107C7">
      <w:pPr>
        <w:pStyle w:val="TextoNormal"/>
      </w:pPr>
      <w:r>
        <w:t xml:space="preserve">Arts. 98.1 y 2 y 99.1. La competencia estatal resultante del art. 149.1.18, en cuanto se refiere al régimen jurídico de la Administración Local, podría justificar el fondo de las disposiciones contenidas en estos preceptos, aunque es por lo menos dudoso que dicha competencia ampare también la regulación de un instituto netamente orientado sectorialmente al urbanismo y la vivienda. Pero es que, aun admitiendo esa cobertura, hay que convenir que los preceptos de que se trata recurren, una vez más, a tantos conceptos técnico-jurídicos urbanísticos, que deben poder ser establecidos o ignorados por el legislador autonómico, que, en su formulación concreta, exceden de lo que sería la competencia legislativa básica estatal para regular los aspectos esenciales del patrimonio municipal del suelo. El legislador estatal no tiene competencia para imponer al autonómico, y menos por esta vía, la existencia de un planeamiento urbanístico, ni la diferencia entre un suelo urbano y otro urbanizable programado o no programado, ni la existencia precisa de unos llamados Planes Generales o de unos programas de actuación. </w:t>
      </w:r>
    </w:p>
    <w:p w:rsidR="008107C7" w:rsidRDefault="008107C7" w:rsidP="008107C7">
      <w:pPr>
        <w:pStyle w:val="TextoNormal"/>
      </w:pPr>
      <w:r>
        <w:lastRenderedPageBreak/>
        <w:t xml:space="preserve">Disposición adicional primera, 3. Aparte de la falta de competencia estatal para determinar lo contenido en el segundo párrafo de la Disposición, por ser materia propia del legislador urbanístico, y aparte de la incoherencia sistemática que representa la mención expresa en el contexto del párrafo 1º de los derechos de tanteo y retracto, a cuya regulación (un tanto sorprendente, por cierto, y aquí sí que quizás de modo inconstitucional) no se le otorga en la Disposición final de la Ley sino un carácter meramente supletorio, hay que subrayar que si está muy bien cuanto se refiere a las excepciones -aspectos que no se aplicarán necesariamente a estos Municipios-, con la salvedad ya dicha, carece de justificación el que en todo lo demás se pretenda aplicar también a estos Municipios "las disposiciones específicas... sobre adquisición gradual de facultades urbanísticas". Ya se dijo que estas disposiciones no pueden pretender aplicarse como básicas a las Comunidades Autónomas, que deben poder regular la atribución de facultades urbanísticas como mejor quieran. Por la misma razón debe sostenerse tal criterio respecto a los Municipios a que se refiere esta Disposición. Lo único que debe aplicarse a éstos, como a los demás, para no poner en quiebra el principio de igualdad básica en el contenido del derecho de propiedad sobre el suelo, es la norma básica de esta Ley de que las facultades urbanísticas quedan separadas del contenido del derecho de propiedad, siendo sólo susceptibles de adquisición en la forma que establezcan las Leyes autonómicas, o, supletoriamente, la estatal. </w:t>
      </w:r>
    </w:p>
    <w:p w:rsidR="008107C7" w:rsidRDefault="008107C7" w:rsidP="008107C7">
      <w:pPr>
        <w:pStyle w:val="TextoNormal"/>
      </w:pPr>
      <w:r>
        <w:t xml:space="preserve">Disposiciones adicionales sexta y novena. La simple lectura de estas dos Disposiciones muestra que su contenido es estrictamente urbanístico y, por lo tanto, competencia propia de las Comunidades Autónomas. </w:t>
      </w:r>
    </w:p>
    <w:p w:rsidR="008107C7" w:rsidRDefault="008107C7" w:rsidP="008107C7">
      <w:pPr>
        <w:pStyle w:val="TextoNormal"/>
      </w:pPr>
      <w:r>
        <w:t xml:space="preserve">Disposiciones transitorias primera y cuarta, 1. Por las razones expuestas a propósito de los artículos de la Ley que tratan estos mismos temas, hay que sostener aquí la incompetencia del Estado para dictar estas normas como legislación básica. Sólo pueden ser legislación supletoria. </w:t>
      </w:r>
    </w:p>
    <w:p w:rsidR="008107C7" w:rsidRDefault="008107C7" w:rsidP="008107C7">
      <w:pPr>
        <w:pStyle w:val="TextoNormal"/>
      </w:pPr>
      <w:r>
        <w:t xml:space="preserve">Disposición transitoria quinta. Sin perjuicio del buen sentido del precepto, por coherencia con cuanto aquí se ha expuesto, es preciso negar también la competencia legislativa directa del Estado, por cuanto que el instituto del aprovechamiento tipo debe entenderse sometido, desde su misma previsión, a la competencia legislativa autonómica. </w:t>
      </w:r>
    </w:p>
    <w:p w:rsidR="008107C7" w:rsidRDefault="008107C7" w:rsidP="008107C7">
      <w:pPr>
        <w:pStyle w:val="TextoNormal"/>
      </w:pPr>
      <w:r>
        <w:t xml:space="preserve">Disposición transitoria sexta. Esta Disposición, como las otras ya analizadas, no puede tener otro carácter que el supletorio. Para reconocerle carácter básico -en cuanto sólo a la propiedad sobre las edificaciones ya existentes- habría que despojar al precepto de referencias de competencia autonómica, dándole un contenido más abstracto. </w:t>
      </w:r>
    </w:p>
    <w:p w:rsidR="008107C7" w:rsidRDefault="008107C7" w:rsidP="008107C7">
      <w:pPr>
        <w:pStyle w:val="TextoNormal"/>
      </w:pPr>
      <w:r>
        <w:t>La representación de la Junta de Castilla y León finaliza su escrito impugnatorio con la súplica de que se dicte Sentencia en su día por la que, estimando el recurso, declare la inconstitucionalidad de los preceptos recurridos y decrete su nulidad.</w:t>
      </w:r>
    </w:p>
    <w:p w:rsidR="008107C7" w:rsidRDefault="008107C7" w:rsidP="008107C7">
      <w:pPr>
        <w:pStyle w:val="TextoNormal"/>
      </w:pPr>
    </w:p>
    <w:p w:rsidR="008107C7" w:rsidRDefault="008107C7" w:rsidP="008107C7">
      <w:pPr>
        <w:pStyle w:val="TextoNormal"/>
      </w:pPr>
      <w:r w:rsidRPr="008107C7">
        <w:rPr>
          <w:rStyle w:val="NumeroAFNegritaCaracter"/>
        </w:rPr>
        <w:t>14</w:t>
      </w:r>
      <w:r>
        <w:t>. Por providencia de 12 de noviembre de 1990, la Sección Cuarta del Tribunal acordó: 1º) admitir a trámite el recurso de inconstitucionalidad promovido por la Junta de Castilla y León, turnado con el núm. 2.487/90; 2º) dar traslado de la demanda y documentos presentados, conforme establece el art. 34.1 LOTC, al Congreso de los Diputados y al Senado, por conducto de sus Presidentes, y al Gobierno, por conducto del Ministerio de Justicia, al objeto de que, en el plazo de quince días, pudieran personarse en el procedimiento y formular las alegaciones que estimasen convenientes; 3º) publicar la incoación del recurso en el "Boletín Oficial del Estado", para general conocimiento.</w:t>
      </w:r>
    </w:p>
    <w:p w:rsidR="008107C7" w:rsidRDefault="008107C7" w:rsidP="008107C7">
      <w:pPr>
        <w:pStyle w:val="TextoNormal"/>
      </w:pPr>
    </w:p>
    <w:p w:rsidR="008107C7" w:rsidRDefault="008107C7" w:rsidP="008107C7">
      <w:pPr>
        <w:pStyle w:val="TextoNormal"/>
      </w:pPr>
      <w:r w:rsidRPr="008107C7">
        <w:rPr>
          <w:rStyle w:val="NumeroAFNegritaCaracter"/>
        </w:rPr>
        <w:t>15</w:t>
      </w:r>
      <w:r>
        <w:t xml:space="preserve">. Por escrito del 21 de noviembre siguiente, el Presidente del Congreso de los Diputados comunicó el Acuerdo de la Cámara de no personarse en el procedimiento ni formular </w:t>
      </w:r>
      <w:r>
        <w:lastRenderedPageBreak/>
        <w:t>alegaciones, poniendo a disposición del Tribunal las actuaciones que pudiera precisar, con remisión a la Dirección de Estudios y Documentación de la Secretaría General. El Vicepresidente Primero del Senado, mediante escrito registrado el 26 de noviembre, comunicó el ruego de la Cámara de que se la tuviera por personada en el procedimiento y por ofrecida su colaboración a los efectos del art. 88.1 LOTC.</w:t>
      </w:r>
    </w:p>
    <w:p w:rsidR="008107C7" w:rsidRDefault="008107C7" w:rsidP="008107C7">
      <w:pPr>
        <w:pStyle w:val="TextoNormal"/>
      </w:pPr>
    </w:p>
    <w:p w:rsidR="008107C7" w:rsidRDefault="008107C7" w:rsidP="008107C7">
      <w:pPr>
        <w:pStyle w:val="TextoNormal"/>
      </w:pPr>
      <w:r w:rsidRPr="008107C7">
        <w:rPr>
          <w:rStyle w:val="NumeroAFNegritaCaracter"/>
        </w:rPr>
        <w:t>16</w:t>
      </w:r>
      <w:r>
        <w:t xml:space="preserve">. El Gobierno de Canarias, representado por el Letrado de sus Servicios Jurídicos don Javier Varona Gómez-Acedo, mediante escrito registrado el 27 de octubre de 1990, interpuso recurso de inconstitucionalidad frente a los artículos relacionados en la Disposición final primera, 1, con excepción de los numerados del 1 al 11, y todos los relacionados en el núm. 2 de dicha Disposición final, excepto los arts. 21, 29.2 y 60, todos ellos de la Ley 8/1990, de 25 de julio, sobre Reforma del Régimen Urbanístico y Valoraciones del Suelo. La representación meritada adujo los argumentos que a continuación se resumen: </w:t>
      </w:r>
    </w:p>
    <w:p w:rsidR="008107C7" w:rsidRDefault="008107C7" w:rsidP="008107C7">
      <w:pPr>
        <w:pStyle w:val="TextoNormal"/>
      </w:pPr>
      <w:r>
        <w:t xml:space="preserve">A) La causa esencial de la inconstitucionalidad de la Ley, considerada globalmente, estriba en que impone un determinado modelo-sistema, en contra de la previsión constitucional que atribuye tal elección a los poderes autonómicos. La Ley, careciendo el Estado de título material alguno, pretende legislar incluso con vocación exclusivamente supletoria, con lo que también por esta vía distorsiona el ordenamiento jurídico-urbanístico propio de cada Comunidad Autónoma, y desde luego el de la canaria, ya que el legislador canario ha elegido precisamente como derecho supletorio el vigente a la entrada en vigor de sus potestades normativas propias. Según expresa su Preámbulo, la regulación legal encuentra apoyo constitucional en las competencias que al Estado reserva el art. 149.1.1, 8, 13, 18 y 23 C.E. Pero el art. 148.1.3 C.E. permite a las Comunidades Autónomas asumir competencias sobre ordenación del territorio, urbanismo y vivienda y en el art. 149.1 no aparece de forma expresa mención alguna de la ordenación del territorio o el urbanismo. Así, la Constitución no ha reservado de forma necesaria al Estado una competencia genérica en este campo y, por lo tanto, ha dejado la puerta abierta para que todas las Comunidades Autónomas puedan alcanzar la titularidad de las competencias en esta materia. En la generalidad de los Estatutos se contempla entre las materias consideradas como de competencia exclusiva de la Comunidad Autónoma la ordenación del territorio y el urbanismo, y en este supuesto la competencia parece configurada siempre como de carácter exclusivo de la Comunidad Autónoma. O sea, todas las Comunidades Autónomas han asumido competencia exclusiva en materia de urbanismo y ordenación territorial. Tal ocurre con el art. 29 del E.A. de Canarias. Y esta competencia no está directa o inmediata y explícitamente circunscrita por ninguna titularidad estatal proclamada con idénticos términos, por lo que al Estado sólo le correspondería la potestad que le otorga el art. 150.3 C.E. para establecer principios armonizadores, que habrían de dar coherencia a las distintas políticas sectoriales y urbanísticas que puedan adoptarse en las distintas Comunidades Autónomas. La invocación de otros títulos competenciales por la Ley no puede sustituir a la competencia autonómica que se desprende del art. 148.1.3 C.E. y, específicamente para la Comunidad Autónoma de Canarias, el art. 29.11 del E.A. y que no corresponden al Estado según el catálogo de competencias establecido en los arts. 148 y 149 C.E. </w:t>
      </w:r>
    </w:p>
    <w:p w:rsidR="008107C7" w:rsidRDefault="008107C7" w:rsidP="008107C7">
      <w:pPr>
        <w:pStyle w:val="TextoNormal"/>
      </w:pPr>
      <w:r>
        <w:t xml:space="preserve">Cuando se promulga la Constitución de 1978 hay un perfecto concepto definido de lo que significa "urbanismo". El constituyente, al emplear la expresión "ordenación del territorio y urbanismo", está sin duda refiriéndolo al sistema de normas y modelos normativos que regulan los usos y el régimen del suelo. Ya conoce la Constitución; en qué legislación se regulan estos particulares y la afección de los derechos de la propiedad urbana; la expropiación como técnica de ejecución del urbanismo; la función social de la propiedad que en </w:t>
      </w:r>
      <w:r>
        <w:lastRenderedPageBreak/>
        <w:t xml:space="preserve">ella se contiene; etc. Por todo ello, cuando la Constitución, en el art. 148.1.3, confiere competencias en materia de ordenación del territorio, urbanismo y vivienda a las Comunidades Autónomas, y así las asume la Comunidad Autónoma de Canarias en virtud de su Estatuto de Autonomía, lo hace con el contenido y la extensión que la legislación preconstitucional habían delimitado de la materia. En desarrollo de la competencia exclusiva atribuida a la Comunidad Autónoma de Canarias por el art. 29.11 de su Estatuto, la Comunidad ha procedido a promulgar diversas Leyes, mediante las cuales ha introducido su propio modelo, innovando de acuerdo con sus particulares necesidades, adaptándose a su medio, de forma pacífica, sin que tal legislación haya sido impugnada por la Administración del Estado. Una descripción de la legislación canaria en materia de urbanismo y ordenación del territorio pone de manifiesto el avanzado desarrollo legislativo realizado por esta Comunidad Autónoma en materia de su exclusiva competencia, legislación que en absoluto ha resultado impugnada, y que ha supuesto la creación de un modelo propio de normativa urbanística que el Estado, con la Ley que ahora se recurre, no puede suplantar, imponiendo tardíamente un modelo distinto, dictado sin contemplar la legislación ya vigente en el ámbito autonómico. En suma, la Comunidad Autónoma de Canarias, en ejercicio de la competencia exclusiva de ordenación del territorio, urbanismo y vivienda ha creado, a partir de la legislación preestatutaria, contenida fundamentalmente en la Ley del Suelo, su propio subsistema de planificación urbanística y de ordenación del territorio. Pues bien, con la actual normativa dicho modelo ya no es válido, por cuanto la Ley recurrida dispone otro tipo de sistema de planeamiento, atribuyéndole carácter de legislación básica, lo que supone que el subsistema de ordenación normado por la Comunidad Autónoma ha de adaptarse a esta legislación, de acuerdo con el principio de lealtad constitucional. Así, la competencia exclusiva en materia de ordenación del territorio queda restringida a un desarrollo normativo de una legislación que ha predeterminado el sistema de planificación que ha de seguir la Comunidad Autónoma, con lo que se cercena la posibilidad de optar entre las diversas fórmulas de planeamiento, para reconducir toda la legislación, planificación y ejecución a un modelo único. Frente a esto, a lo más que puede llegar el legislador estatal es a fijar un marco general que han de respetar las legislaciones dictadas por las Comunidades Autónomas en ejercicio de sus competencias exclusivas, marco común que recoja los auténticos principios de la ordenación del territorio, y que no desvirtúe el contenido de la competencia exclusiva de la Comunidad Autónoma en la materia, impidiendo la opción política a la misma. </w:t>
      </w:r>
    </w:p>
    <w:p w:rsidR="008107C7" w:rsidRDefault="008107C7" w:rsidP="008107C7">
      <w:pPr>
        <w:pStyle w:val="TextoNormal"/>
      </w:pPr>
      <w:r>
        <w:t xml:space="preserve">B) La Disposición final primera de la Ley impugnada, en su parágrafo 3, dispone que "los restantes preceptos (aquellos a los que no se les ha dado carácter de legislación básica o de aplicación plena) serán de aplicación supletoria en defecto de regulación específica por las Comunidades Autónomas en ejercicio de sus competencias". Este precepto no resulta constitucional, por cuanto no es éste el sentido del art. 149.3 C.E., que establece la denominada cláusula de supletoriedad del derecho estatal respecto del derecho de las Comunidades Autónomas. Por derecho estatal ha de entenderse el conjunto del ordenamiento jurídico emanado del Estado, distinguiéndolo así de la expresión "normas" que utiliza el mismo legislador constitucional cuando se trata de resolver supuestos de conflictos. Del mismo modo, por derecho de las Comunidades Autónomas ha de entenderse el conjunto del derecho emanado, en el ámbito de sus potestades, de las Comunidades Autónomas. Así, mientras que la Constitución declara la supletoriedad entre ordenamientos, la Disposición impugnada la predica entre normas. Ello es trascendente por cuanto, de aceptarse la supletoriedad que declara la Disposición recurrida (esto es, norma a norma), se alterará el esquema de integración de lagunas establecido en el Código Civil (arts. 3 y 4) sin que haya habido una previa modificación expresa del mismo. El hecho de que no se haya realizado tal modificación del </w:t>
      </w:r>
      <w:r>
        <w:lastRenderedPageBreak/>
        <w:t xml:space="preserve">sistema de integración de lagunas implicaría que, en la materia afectada por la norma, se careciera de seguridad jurídica, quebrando, además, el principio de unidad del ordenamiento jurídico, en cuanto que a un determinado conjunto de normas (las reguladoras del urbanismo) no se le aplica el Derecho común respecto de las reglas que éste contiene de integración de lagunas. Es claro que el poder legislativo que posee competencia exclusiva para la regulación de una materia puede regularla o sustraer determinada parte de dicha actividad a la regulación, por entender innecesaria la intervención administrativa sobre la misma. Así pues, la omisión de regulación es, del mismo modo que la normación expresa, un acto consciente del poder legislativo. En caso de que se determinase que se trató de una omisión involuntaria, habría de acudirse, en aplicación estricta del Código Civil y del sistema de integración de lagunas contenido en el mismo, a las restantes disposiciones del ordenamiento autonómico, por cuanto, en primer lugar, así se dispone en dicho Código. En segundo lugar, una razón de peso la constituye la necesaria coherencia y unidad del ordenamiento jurídico de la Comunidad Autónoma, que será, evidentemente, el que mejor responda a la realidad del supuesto de que se trate. </w:t>
      </w:r>
    </w:p>
    <w:p w:rsidR="008107C7" w:rsidRDefault="008107C7" w:rsidP="008107C7">
      <w:pPr>
        <w:pStyle w:val="TextoNormal"/>
      </w:pPr>
      <w:r>
        <w:t xml:space="preserve">Tomando en consideración este aserto, es claro que excede de la competencia del legislador estatal dictar, en una materia de competencia exclusiva de la Comunidad Autónoma como es la de ordenación del territorio, urbanismo y vivienda, normas para los casos de "defecto de regulación específica por las Comunidades Autónomas", como hace el legislador estatal en la Disposición final primera, 3. Del texto de la misma se desprende que no sería un derecho supletorio, aplicable en el supuesto de que, intentada la autointegración del ordenamiento autonómico no se halle criterio o norma aplicable, sino que, por el contrario, se está regulando aquí un supuesto de ausencia de norma, que el legislador estatal, excediendo de su ámbito competencial, colma con su norma. </w:t>
      </w:r>
    </w:p>
    <w:p w:rsidR="008107C7" w:rsidRDefault="008107C7" w:rsidP="008107C7">
      <w:pPr>
        <w:pStyle w:val="TextoNormal"/>
      </w:pPr>
      <w:r>
        <w:t xml:space="preserve">El inciso final del art. 149.3 C.E. no puede ser interpretado como una modificación del sistema de integración de lagunas, como una cláusula abierta que otorga al legislativo estatal la facultad de dictar normas, cualquiera que sea la materia, al único fin de integrar lagunas que pueda tener el derecho autonómico, porque aceptar esta tesis sería modificar el esquema de distribución competencial establecido no sólo en la Constitución, sino también en los Estatutos de Autonomía. El propio Tribunal Constitucional, en su STC 85/1983, fundamento jurídico 3º, ha excluido el carácter de cláusula abierta de atribución competencial del art. 149.3 C.E. Una segunda consecuencia de la interpretación expansiva de la cláusula de supletoriedad sería que, al ejercer el Estado la facultad de dictar normas que incidan en materia de competencia exclusiva de las Comunidades Autónomas amparándose en otro título competencial, cual es la cláusula supletoria, se estaría imponiendo a las Comunidades Autónomas un modelo normativo único, siquiera sea con carácter supletorio, lo que no responde ni al sentido de la unidad de la nación española (en su vertiente de la unidad del ordenamiento jurídico que nace del "tronco común" que constituye la Constitución), ni al reconocimiento de la existencia de los diversos ordenamientos jurídicos emanados de las distintas Comunidades Autónomas, al tiempo que se autorizaría una extralimitación competencial indiscriminada al legislativo estatal. Si lo que se pretende es legislar para dotar al ordenamiento regulador de la ordenación territorial de una homogeneidad y coherencia en todo el territorio nacional, respondiendo así al principio de unidad, habrá de dictarse un conjunto de normas básicas, un marco que, referido a las diversas materias de competencia estatal, ha de respetar cada uno de los ordenamientos autonómicos. Pero, a la luz del art. 149.3 C.E., lo que no puede hacerse es, utilizando el vehículo que constituye una Ley con contenidos de legislación básica, introducir los restantes preceptos en los ordenamientos </w:t>
      </w:r>
      <w:r>
        <w:lastRenderedPageBreak/>
        <w:t xml:space="preserve">autonómicos a través de la cláusula de supletoriedad, entendida ésta, además, como aplicación de la norma en caso de que el legislador autonómico no haya establecido una normación específica al respecto. </w:t>
      </w:r>
    </w:p>
    <w:p w:rsidR="008107C7" w:rsidRDefault="008107C7" w:rsidP="008107C7">
      <w:pPr>
        <w:pStyle w:val="TextoNormal"/>
      </w:pPr>
      <w:r>
        <w:t xml:space="preserve">C) Llama la atención el gran número de disposiciones que en la Ley tienen formalmente el carácter de normas básicas. La mitad de sus preceptos son, íntegra o parcialmente, básicos. La Ley impone un sistema acabado de hacer planeamiento y ejecutarlo. No se está en presencia de una norma que establezca los principios generales que los distintos sistemas o subsistemas de planeamiento y ejecución del urbanismo pueden implementar en su desarrollo, sino de un modelo acabado de ordenar el territorio y ejecutar la urbanización. En el paroxismo de este afán reglamentista la Ley -en un precepto básico- dice los tipos de planes que en cada suelo se requieren para poder urbanizar. Es sabido que el contenido funcional de la potestad básica del Estado, la actuación que la Constitución Española le encomienda con esta función, tiene al menos dos parámetros o líneas de estructuración precisas. La primera es que se trata de establecer lo que se ha llamado "un denominador normativo común" para el territorio nacional y a partir del cual puedan actuar válida, legislativa y administrativamente todas las Comunidades Autónomas. Pero esta ordenación básica, nuclear y primaria, debe permitir un desarrollo ulterior lo suficientemente amplio que posibilite a las distintas Comunidades Autónomas el ejercicio, en su labor de desarrollo normativo, de diferentes políticas sectoriales diferenciadas y acordes con su propio interés autonómico. Este segundo aspecto adquiere una especial o capital importancia cuando, como en el presente caso, no se trata de una materia en que la legislación básica le esté atribuida al Estado y la de desarrollo a la Comunidad Autónoma, sino que se trata de una competencia exclusiva de la Comunidad Autónoma que posee una fuerza expansiva universal, sólo limitada por otros títulos competenciales en otras materias atribuibles al Estado. En la Ley combatida, en cambio, el Estado no se limita a exponer que el contenido mínimo de la propiedad inmobiliaria será tal o cual, o que las plusvalías de la acción pública revertirán a la sociedad en una u otra forma. Aquí el Estado, ilegítimamente, acomete el diseño de un solo modelo de ordenar el proceso urbanizador y ordenador del territorio, imponiendo el auténtico corsé a todos los modelos o submodelos de ordenación concebibles. Las normas que la Disposición final primera, 1, señala como básicas serían, pues, inconstitucionales por cuanto sobrepasan lo que razonablemente se puede considerar como normación básica. </w:t>
      </w:r>
    </w:p>
    <w:p w:rsidR="008107C7" w:rsidRDefault="008107C7" w:rsidP="008107C7">
      <w:pPr>
        <w:pStyle w:val="TextoNormal"/>
      </w:pPr>
      <w:r>
        <w:t xml:space="preserve">Examinando los títulos competenciales estatales que la Ley invoca, ha de descartarse el mal llamado título competencial del art. 149.1.1 C.E., dado que el criterio de la definición de los contenidos mínimos del derecho de la propiedad no puede habilitar a una norma en la que no existe, en ninguno de sus preceptos, ninguna definición propia ni del contenido de la propiedad inmobiliaria ni del ius aedificandi. En efecto, la Ley, fiel en esto a sus precedentes, no define el contenido del aprovechamiento urbanístico, sino que establece el procedimiento que hace posible este aprovechamiento a través de los planes y de su ejecución. Esto es pura y simplemente la esencia de la acción urbanística. Lo mismo se puede decir del cálculo del aprovechamiento tipo (Capítulo V), de la actuación por unidades de ejecución (Capítulo VII), etc. Pero hay, si cabe, un argumento de mayor entidad y contundencia para descartar la aplicación del art. 149.1.1 a la Ley. La Disposición adicional primera dispone que la Ley será de aplicación general "a los Municipios de población superior a 25.000 habitantes" y a otros comprendidos en áreas determinadas de la forma que allí se indica. No cabe mayor argumento para dejar demostrado que no se está en presencia de una norma básica de garantía de todos los españoles. Y aun más (y ello constituiría un nuevo motivo de inconstitucionalidad por violación del art. 14 C.E.): todas las determinaciones de la Ley </w:t>
      </w:r>
      <w:r>
        <w:lastRenderedPageBreak/>
        <w:t xml:space="preserve">se aplican a Municipios con Plan General y sólo con Plan General. Esto es, no es de aplicación a los Municipios que, no contando con Plan General, cuentan con normas subsidiarias de planeamiento, o a los que simplemente no cuenten con otro instrumento que una delimitación de suelo urbano. Y estos últimos son la inmensa mayoría. Quiebra, pues, el principio básico de aplicación general, universal, de los contenidos de la Ley a todos los españoles. Realmente, la invocación del art. 149.1.1 C.E. para justificar el carácter de legislación básica no deja de ser un flatus vocis, por otro lado excesivamente socorrido. </w:t>
      </w:r>
    </w:p>
    <w:p w:rsidR="008107C7" w:rsidRDefault="008107C7" w:rsidP="008107C7">
      <w:pPr>
        <w:pStyle w:val="TextoNormal"/>
      </w:pPr>
      <w:r>
        <w:t xml:space="preserve">En cuanto al título del art. 149.1.8 C.E., es de competencia plena y directa y no puede servir para amparar una competencia básica. El Estado no tiene la competencia para dictar normas básicas de legislación civil o las reglas básicas relativas a la aplicación y eficacia de las normas jurídicas. Simplemente, o es legislación civil o no es constitucionalmente admisible su consideración como normas básicas. Pero es que tampoco puede considerarse que los preceptos recurridos sean legislación civil en el sentido que a este término hay que dar, atendiendo a una recta interpretación del mismo de acuerdo con la doctrina del Tribunal Constitucional. Ciertamente, se está en presencia de un supuesto idéntico pero "en reverso" del enjuiciado en la STC 37/1987. </w:t>
      </w:r>
    </w:p>
    <w:p w:rsidR="008107C7" w:rsidRDefault="008107C7" w:rsidP="008107C7">
      <w:pPr>
        <w:pStyle w:val="TextoNormal"/>
      </w:pPr>
      <w:r>
        <w:t xml:space="preserve">También el título comprendido en el art. 149.1.18 C.E. de legislación sobre expropiación forzosa es de competencia plena y directa y desde luego no básico, por lo que no puede ser útil para amparar una competencia de esta naturaleza. Este título es apto para producir una legislación en términos generales, abstractos, del instituto de la expropiación, su regulación con alcance de generalidad, pero no para definir o pormenorizar la utilización de este instrumento jurídico al servicio de políticas sectoriales concretas o definir las causas y los casus expropiandi. Esto último es propio del poder que ostenta la competencia material de que se trata y aplica la expropiación. Aquí también, entre otras, la STC 37/1987 es paradigmática. Si se repasan los preceptos objeto de recurso, se podrá aseverar que ninguno de ellos contiene una regulación del instituto de la expropiación, sino que son un conjunto de supuestos en que el legislador ha definido distintas causae expropiandi. </w:t>
      </w:r>
    </w:p>
    <w:p w:rsidR="008107C7" w:rsidRDefault="008107C7" w:rsidP="008107C7">
      <w:pPr>
        <w:pStyle w:val="TextoNormal"/>
      </w:pPr>
      <w:r>
        <w:t xml:space="preserve">Por lo que concierne a los títulos del art. 149.1.13 y 23 C.E., no ha existido nunca un Plan Nacional de Urbanismo y Ordenación Territorial, ni la Ley contiene ninguna medida, directriz, ordenación o regulación de índole económica. El urbanismo es, desde luego, una actividad económica importante, pero si hubiera de reconocerse competencia al Estado en cualquier actividad económicamente relevante, se habría terminado con el Estado autonómico. El Tribunal Constitucional ya ha rechazado de plano semejante argumento en relación con la propiedad agraria (STC 37/1987). Por otra parte, el urbanismo, por sí solo, y como reconoce la propia Exposición de Motivos de la Ley, no es suficiente ni siquiera para inducir actividad económica directa en lo que es su primer objetivo: la promoción de viviendas. De otro lado, ¿existe algún precepto o mención en toda la Ley que pueda considerarse legislación, básica o no, protectora del medio ambiente? No puede siquiera utilizarse el criterio teleológico de la distinción entre protección del medio ambiente y ordenación del territorio y urbanismo (STC 64/1989). </w:t>
      </w:r>
    </w:p>
    <w:p w:rsidR="008107C7" w:rsidRDefault="008107C7" w:rsidP="008107C7">
      <w:pPr>
        <w:pStyle w:val="TextoNormal"/>
      </w:pPr>
      <w:r>
        <w:t xml:space="preserve">D) Algunos de los argumentos utilizados hasta ahora ponen de relieve la defectuosa invocación que contiene la Ley de las reglas competenciales recogidas en el art. 149.1.8 y 18 C.E. tal como hace la Disposición final primera, 2, que cataloga los preceptos como de aplicación plena. Pero además de esto se van a resumir los motivos por los que dichos preceptos están viciados asimismo de inconstitucionalidad en cuanto suponen una extralimitación competencial. En primer lugar, cualquiera que sea el criterio que se utilice para discernir lo que ha de entenderse por "legislación civil" -sea el de la especificidad de la competencia (criterio utilizado por la STC 37/1987), sea el argumento histórico (en el que sería </w:t>
      </w:r>
      <w:r>
        <w:lastRenderedPageBreak/>
        <w:t xml:space="preserve">legislación civil la comprendida en el Código Civil y en las Leyes especiales), criterio apuntado en la STC sobre la Ley de Aguas-, es lo cierto que ninguno de los preceptos de la Ley puede reconducirse a esta competencia estatal y que la regulación de la propiedad urbanística y sus límites corresponde a las Comunidades Autónomas. En segundo lugar, respecto a los ámbitos de la Ley que pretenden quedar amparados en la competencia sobre expropiación forzosa, está fuera de toda duda que corresponde a las Comunidades Autónomas, en el ámbito de la competencia de que se trate, no sólo la ejecución de las medidas expropiatorias, sino también la definición de la concreta causa expropiandi. La Ley, a este respecto, contiene una pluralidad de artículos dedicados a esta finalidad; en concreto, y específicamente, los arts. 100 y 78. </w:t>
      </w:r>
    </w:p>
    <w:p w:rsidR="008107C7" w:rsidRDefault="008107C7" w:rsidP="008107C7">
      <w:pPr>
        <w:pStyle w:val="TextoNormal"/>
      </w:pPr>
      <w:r>
        <w:t xml:space="preserve">Los que desde luego no resultan acogibles a la competencia estatal sobre legislación civil ni sobre expropiación forzosa son los artículos a los que también la Ley les concede carácter de aplicación plena, esto es, los arts. 57.1 b) y 2 B), 58 y 62.2. En todos ellos se trata pura y simplemente de cómo, cuándo y bajo qué procedimiento se han de conseguir los sistemas generales en suelo urbano o urbanizable, y ello parece de toda evidencia que es la esencia más pura del actuar urbanístico. Se impugnan además los restantes preceptos relacionados en la Disposición final primera, 2, como de aplicación plena y que en un principio podrían entenderse como referibles al título competencial sobre expropiación forzosa. Se trata del Capítulo de valoraciones (Título Segundo) y del dedicado a la determinación del justiprecio (Capítulo III del Título Tercero). En todos estos preceptos el legislador estatal parte del supuesto de que existen unos determinados instrumentos de planeamiento y unas determinadas categorías o clases de suelo, así como unos precisos sistemas o formas de ejecución, y, de esta manera, los preceptos aludidos continuamente se refieren al suelo urbanizable programado con programa de actuación aprobado, suelo urbano con ordenación detallada, incluido en unidades de actuación, etc. Esto es, la Ley da por supuesto justamente aquello cuya constitucionalidad se viene negando: que todas las Comunidades Autónomas, y particularmente la de Canarias, han de tener un modelo normativo-urbanístico común, con idéntico planeamiento, con idéntica categorización de los suelos, con similares procedimientos de ejecución. En definitiva, la Ley coarta y condiciona la posibilidad de que una región archipielágica tan peculiar como la canaria se dote de un ordenamiento jurídico-urbanístico distinto del modelo que impone. </w:t>
      </w:r>
    </w:p>
    <w:p w:rsidR="008107C7" w:rsidRDefault="008107C7" w:rsidP="008107C7">
      <w:pPr>
        <w:pStyle w:val="TextoNormal"/>
      </w:pPr>
      <w:r>
        <w:t xml:space="preserve">E) Hay también dos motivos de inconstitucionalidad material y no formal. El primero de ellos lo es por pugnar contra el derecho a la igualdad recogido en el art. 14 de la C.E., en relación con el trato discriminatorio que se produce entre los propietarios de suelo urbano y urbanizable en función de que el Municipio en que se encuentre cuente con Plan General o no (normas subsidiarias u otro instrumento cualquiera). De dicha circunstancia, que en absoluto se fundamenta en dato objetivo o dependiente de su voluntad, se seguirá un conjunto de derechos -cabalmente el ahora denominado aprovechamiento tipo- y deberes radicalmente distintos y en absoluto razonablemente justificados. A este respecto, ha de subrayarse que todo el haz de deberes/sanciones que introduce la Ley lo son en Municipios con Plan General y que tal decisión depende de la voluntad de la Administración Municipal, así como que, a pesar de su nombre, las normas subsidiarias tienen vigencia indefinida. Se produce así una discriminación no razonable en el estatuto de la propiedad inmobiliaria, ajena a su propia naturaleza. </w:t>
      </w:r>
    </w:p>
    <w:p w:rsidR="008107C7" w:rsidRDefault="008107C7" w:rsidP="008107C7">
      <w:pPr>
        <w:pStyle w:val="TextoNormal"/>
      </w:pPr>
      <w:r>
        <w:t xml:space="preserve">Por otra parte, la Ley en conjunto constituye una violación del art. 33 C.E., esencialmente de su núm. 2. Esta violación se comete en un doble plano: en primer lugar, la Ley delimita el contenido de la propiedad remitiéndolo al grado de ejecución del planeamiento; en segundo lugar, la Ley establece un sistema sancionatorio por incumplimiento de los deberes </w:t>
      </w:r>
      <w:r>
        <w:lastRenderedPageBreak/>
        <w:t xml:space="preserve">urbanísticos consistentes justamente en la privación misma del derecho de propiedad o de parte sustancial de él. </w:t>
      </w:r>
    </w:p>
    <w:p w:rsidR="008107C7" w:rsidRDefault="008107C7" w:rsidP="008107C7">
      <w:pPr>
        <w:pStyle w:val="TextoNormal"/>
      </w:pPr>
      <w:r>
        <w:t>Concluye su escrito de demanda el representante del Gobierno de Canarias con la súplica de que se dicte Sentencia por la que se declare la inconstitucionalidad y nulidad de los preceptos recurridos. Por medio de otrosí, se solicita del Tribunal que, de conformidad con lo prevenido en el art. 88 LOTC, dicte las órdenes oportunas a fin de que por las Cortes Generales se le remita toda la documentación existente, tanto de Pleno como de Comisión, relativa a la tramitación parlamentaria y antecedentes del proyecto de la Ley 8/1990, dándose traslado de los mismos a la representación meritada y, una vez conocidos, se le otorgue a la misma plazo para formular las alegaciones pertinentes.</w:t>
      </w:r>
    </w:p>
    <w:p w:rsidR="008107C7" w:rsidRDefault="008107C7" w:rsidP="008107C7">
      <w:pPr>
        <w:pStyle w:val="TextoNormal"/>
      </w:pPr>
    </w:p>
    <w:p w:rsidR="008107C7" w:rsidRDefault="008107C7" w:rsidP="008107C7">
      <w:pPr>
        <w:pStyle w:val="TextoNormal"/>
      </w:pPr>
      <w:r w:rsidRPr="008107C7">
        <w:rPr>
          <w:rStyle w:val="NumeroAFNegritaCaracter"/>
        </w:rPr>
        <w:t>17</w:t>
      </w:r>
      <w:r>
        <w:t>. Por providencia de 12 de noviembre de 1990, la Sección Tercera del Tribunal acordó: 1º) admitir a trámite el recurso de inconstitucionalidad promovido por el Gobierno de Canarias, turnado con el núm. 2.488/90; 2º) dar traslado de la demanda y documentos presentados, conforme establece el art. 34.1 LOTC, al Congreso de los Diputados y al Senado, por conducto de sus Presidentes, y al Gobierno, por conducto del Ministerio de Justicia, al objeto de que, en el plazo de quince días, pudieran personarse en el procedimiento y formular las alegaciones que estimasen convenientes; 3º) comunicar al Abogado del Gobierno de Canarias que firma la demanda, que debería justificar la condición de la representación procesal con que actúa, toda vez que no aparece acreditado en autos este extremo; 4º) publicar la incoación del recurso en el "Boletín Oficial del Estado", para general conocimiento.</w:t>
      </w:r>
    </w:p>
    <w:p w:rsidR="008107C7" w:rsidRDefault="008107C7" w:rsidP="008107C7">
      <w:pPr>
        <w:pStyle w:val="TextoNormal"/>
      </w:pPr>
    </w:p>
    <w:p w:rsidR="008107C7" w:rsidRDefault="008107C7" w:rsidP="008107C7">
      <w:pPr>
        <w:pStyle w:val="TextoNormal"/>
      </w:pPr>
      <w:r w:rsidRPr="008107C7">
        <w:rPr>
          <w:rStyle w:val="NumeroAFNegritaCaracter"/>
        </w:rPr>
        <w:t>18</w:t>
      </w:r>
      <w:r>
        <w:t>. Por escrito registrado el 21 de noviembre de 1990, el Presidente del Congreso de los Diputados comunicó el Acuerdo de la Cámara de no personarse en el procedimiento ni formular alegaciones, poniendo a disposición del Tribunal las actuaciones de la Cámara que pudiera precisar, con remisión a la Dirección de Estudios y Documentación de la Secretaría General. El Vicepresidente Primero del Senado, mediante escrito registrado el 26 de noviembre siguiente, comunicó el Acuerdo de la Cámara de que se la tuviera por personada en el procedimiento y por ofrecida su colaboración a los efectos del art. 88.1 LOTC.</w:t>
      </w:r>
    </w:p>
    <w:p w:rsidR="008107C7" w:rsidRDefault="008107C7" w:rsidP="008107C7">
      <w:pPr>
        <w:pStyle w:val="TextoNormal"/>
      </w:pPr>
    </w:p>
    <w:p w:rsidR="008107C7" w:rsidRDefault="008107C7" w:rsidP="008107C7">
      <w:pPr>
        <w:pStyle w:val="TextoNormal"/>
      </w:pPr>
      <w:r w:rsidRPr="008107C7">
        <w:rPr>
          <w:rStyle w:val="NumeroAFNegritaCaracter"/>
        </w:rPr>
        <w:t>19</w:t>
      </w:r>
      <w:r>
        <w:t>. Mediante providencia del 26 de noviembre de 1990, la Sección acordó incorporar a las actuaciones el escrito del 16 de noviembre anterior presentado por el Abogado del Estado, a quien, como pedía en el mismo, se le tiene por personado y parte, en representación del Gobierno, escrito del que se dará traslado a las representaciones procesales del Parlamento de Navarra, Consejo de Gobierno de la Diputación Regional de Cantabria, Consejo Ejecutivo de la Generalidad de Cataluña, Consejo de Gobierno de la Diputación General de Aragón, Junta de Castilla y León y Gobierno de Canarias para que, en el plazo común de diez días, expusieran lo que estimasen procedente acerca de la acumulación de este recurso y de los registrados con los núms. 2.477/90, 2.479/90, 2.481/90, 2.486/90 y 2487/90, promovidos, respectivamente, por los cinco primeros de los mencionados. Con providencia de igual fecha, la Sección, a la vista de lo pedido en el otrosí de la demanda y conforme dispone el art. 88 LOTC, acordó recabar de las Cortes Generales la remisión al Tribunal de toda la documentación existente, tanto de Pleno como de Comisión, relativa a la tramitación parlamentaria y antecedentes remitidos con el proyecto de la Ley recurrida 8/1990.</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20</w:t>
      </w:r>
      <w:r>
        <w:t>. Por providencia de 10 de diciembre de 1990, acordó la Sección incorporar a las actuaciones el escrito que, con la documentación adjunta, se había recibido del Abogado del Gobierno de Canarias, don Javier Varona Gómez-Acedo, mediante el que acreditaba su condición de representante procesal de dicha parte, como se le había solicitado en el numeral 4 del proveído de 12 de noviembre anterior.</w:t>
      </w:r>
    </w:p>
    <w:p w:rsidR="008107C7" w:rsidRDefault="008107C7" w:rsidP="008107C7">
      <w:pPr>
        <w:pStyle w:val="TextoNormal"/>
      </w:pPr>
    </w:p>
    <w:p w:rsidR="008107C7" w:rsidRDefault="008107C7" w:rsidP="008107C7">
      <w:pPr>
        <w:pStyle w:val="TextoNormal"/>
      </w:pPr>
      <w:r w:rsidRPr="008107C7">
        <w:rPr>
          <w:rStyle w:val="NumeroAFNegritaCaracter"/>
        </w:rPr>
        <w:t>21</w:t>
      </w:r>
      <w:r>
        <w:t>. Mediante Auto de 15 de enero de 1991, el Pleno del Tribunal acordó la acumulación de los recursos de inconstitucionalidad núms. 2.479/90, 2.481/90, 2.486/90, 2.487/90 y 2.488/90 al registrado con el núm. 2.477/90, concediendo nuevo plazo de quince días al Abogado del Estado para que con relación a los recursos acumulados presentara las alegaciones que estimase convenientes.</w:t>
      </w:r>
    </w:p>
    <w:p w:rsidR="008107C7" w:rsidRDefault="008107C7" w:rsidP="008107C7">
      <w:pPr>
        <w:pStyle w:val="TextoNormal"/>
      </w:pPr>
    </w:p>
    <w:p w:rsidR="008107C7" w:rsidRDefault="008107C7" w:rsidP="008107C7">
      <w:pPr>
        <w:pStyle w:val="TextoNormal"/>
      </w:pPr>
      <w:r w:rsidRPr="008107C7">
        <w:rPr>
          <w:rStyle w:val="NumeroAFNegritaCaracter"/>
        </w:rPr>
        <w:t>22</w:t>
      </w:r>
      <w:r>
        <w:t xml:space="preserve">. El Abogado del Estado evacuó el trámite de alegaciones conferido mediante escrito registrado el 1 de febrero de 1991, en el que, en síntesis, expuso cuanto a continuación se consigna: </w:t>
      </w:r>
    </w:p>
    <w:p w:rsidR="008107C7" w:rsidRDefault="008107C7" w:rsidP="008107C7">
      <w:pPr>
        <w:pStyle w:val="TextoNormal"/>
      </w:pPr>
      <w:r>
        <w:t>A) Concentrados los recursos en la Disposición final primera de la Ley (y especialmente en sus dos primeros apartados), fácilmente se entiende que las inconstitucionalidades reprochadas se deben a la infracción del orden constitucional y estatutario de competencias. No obstante, algunos recursos esbozan otras razones de inconstitucionalidad, que conviene rechazar a limine. Así, en primer lugar, el recurso de inconstitucionalidad núm. 2.479/90 aduce la infracción de la libertad de empresa (art. 38 C.E.), cuyo contenido esencial (art. 53.1 C.E.) no respeta la Ley en el sentir del recurrente. Pero las razones que da en abono de su tesis carecen de toda solidez y relevancia jurídico- constitucional. En efecto, ha declarado este Tribunal que en el art. 38 C.E. "predomina como es patente el carácter de garantía institucional" (STC 83/1984, fundamento jurídico 3º) y que es incorrecta una concepción "abstracta y virtualmente ilimitada" de la libertad de empresa (STC 37/1987, fundamento jurídico 5º). Por el contrario, la STC 37/1987, fundamento jurídico 5º, precisa que "la función social de la propiedad, al configurar el contenido de este derecho mediante la imposición de deberes positivos a su titular, no puede dejar de delimitar a su vez el derecho del empresario agrícola (en este caso, del empresario que urbaniza, promueve o construye) para producir o no producir, para invertir o no invertir", pues "la libertad de empresa que reconoce el art. 38 C.E. no puede exonerar del cumplimiento de la función social de la propiedad, de lo que se sigue que las limitaciones legítimamente derivadas de esta última no infringen en ningún caso el contenido esencial de la libertad de empresa". Por lo tanto, no hay infracción independiente del art. 38 C.E. cuando el legislador delimita legítimamente la función social de un determinado tipo de propiedad. Ahora bien, la demostración de que, al efectuar esta delimitación, se ha cometido un exceso contrario a la Constitución exige el estudio detenido de cada precepto delimitador, sin que sean atendibles críticas indeterminadas, expresiones declamatorias o invocación retóricas. Decae, por lo tanto, el argumento empleado en el recurso. La crítica general de la Ley desde la perspectiva política ("adquisición escalonada y ficticia de facultades parciales", "dura sanción en caso de incumplimiento") no puede cimentar la invalidación por inconstitucional de ningún concreto precepto de la Ley, y menos aún de toda ella. Tampoco hay precepto o principio constitucional que reserve a los planes urbanísticos delimitar la función social de la propiedad y prohíba al legislador democrático hacerlo directamente. Nada de ello resulta del art. 33.2 C.E. Las figuras del planeamiento territorial y urbanístico son, por lo demás, libre creación del legislador com</w:t>
      </w:r>
      <w:r>
        <w:lastRenderedPageBreak/>
        <w:t xml:space="preserve">petente y no gozan de ninguna garantía constitucional. La STC 37/1987, fundamento jurídico 8º, declara expresamente que las Leyes ordenadoras de la propiedad urbana "establecen por sí mismas, o por remisión a los instrumentos normativos del planeamiento, los deberes y límites intrínsecos que configuran la función social de la propiedad del suelo desde el punto de vista de la ordenación del territorio". </w:t>
      </w:r>
    </w:p>
    <w:p w:rsidR="008107C7" w:rsidRDefault="008107C7" w:rsidP="008107C7">
      <w:pPr>
        <w:pStyle w:val="TextoNormal"/>
      </w:pPr>
      <w:r>
        <w:t xml:space="preserve">El recurso pretende apelar también a una supuesta "naturaleza de la cosa" ("la empresa tiene sus reglas lógicas y racionales"), tal vez para sugerir que el legislador no debe violarlas. Como ejemplo de ello, se cita el "almacenamiento racional" de suelo, análogo a la "práctica normal de formar stocks". Pero parece difícil entender que el art. 38 C.E. consagre el derecho de quienes actúan en el mercado inmobiliario a obtener mayores beneficios mediante el "almacenamiento racional" del suelo (racional, es de suponer, como medio para alcanzar el fin de maximizar beneficios), pues difícilmente cabría distinguir este hipotético derecho de la pura especulación inmobiliaria, que la Ley se propone impedir (Preámbulo, I, párrafo 1º) para cumplir el mandato del art. 47 C.E. El art. 38 C.E. no sanciona un derecho a maximizar sin obstáculos el lucro empresarial, sino que sujeta la libertad de empresa a "las exigencias de la economía general", la cual, a su vez, ha de servir "para asegurar a todos una digna calidad de vida", en palabras del Preámbulo de la Constitución, siempre bajo el principio de subordinación al interés general de "la riqueza del país" (art. 128.1 C.E.). Así lo recoge la STC 37/1987, fundamento jurídico 5º. Los demás argumentos bosquejados son patentemente ajenos al Derecho constitucional ("grave crisis económica mundial", "demagógico planteamiento sancionador de la Ley", importancia para Cantabria del turismo o la segunda residencia). No pueden, pues, ser objeto de consideración. </w:t>
      </w:r>
    </w:p>
    <w:p w:rsidR="008107C7" w:rsidRDefault="008107C7" w:rsidP="008107C7">
      <w:pPr>
        <w:pStyle w:val="TextoNormal"/>
      </w:pPr>
      <w:r>
        <w:t xml:space="preserve">B) En el recurso de inconstitucionalidad núm. 2.488/90 se aduce infracción del art. 14 C.E. por resultar discriminados los propietarios según que el Municipio cuente o no con un Plan General de ordenación urbana. Aunque el razonamiento es poco claro, parece entenderse que, como condición necesaria para que todos sus preceptos sean aplicables, la Ley presupone la existencia de un Plan General. Basta leer la Ley, y especialmente su Disposición adicional primera, 3, para convencerse de que no es así. Otra cosa es que la Ley presuponga el derecho vigente o parta de él para formular algunas de sus disposiciones, lo que, como es lógico, no determina quebrantamiento del art. 14 C.E. Es, por lo demás, sabido que, en "el caso arquetípico de la propiedad inmobiliaria", acaece que "las características naturales del bien objeto de dominio y su propia localización la hacen susceptible de diferentes utilidades sociales, que pueden y deben traducirse en restricciones y deberes diferenciados para los propietarios" (STC 37/1987, fundamento jurídico 3º). Con arreglo a esta doctrina, sería legítimo, por ejemplo, establecer un tratamiento normativo diferenciado para los Municipios más poblados, porque en ellos los problemas urbanísticos son distintos y más graves que en los pequeños Municipios y es superior la plusvalía urbanística, de la que imperativamente ha de participar la comunidad (art. 47 C.E.). Y en cualquier caso la autonomía garantizada en los arts. 137 y concordantes de la C.E. lleva inherente la capacidad de decidir cuándo y cómo ejercer las propias competencias, de manera que el principio constitucional de igualdad no impone que el ejercicio de esas competencias deba hacerse "de una manera o con un contenido y unos resultados idénticos o semejantes" (STC 37/1987, fundamento jurídico 10). </w:t>
      </w:r>
    </w:p>
    <w:p w:rsidR="008107C7" w:rsidRDefault="008107C7" w:rsidP="008107C7">
      <w:pPr>
        <w:pStyle w:val="TextoNormal"/>
      </w:pPr>
      <w:r>
        <w:t xml:space="preserve">En segundo término, afirma el recurrente que la Ley en conjunto constituye una violación del art. 33 C.E., esencialmente de su núm. 2. Este grave reproche es desarrollado en seis líneas y se hace consistir en que la Ley delimita el contenido de la propiedad "remitiéndolo al grado de ejecución del planeamiento" y establece un sistema sancionatorio por incumplimiento de deberes urbanísticos que consiste en "la privación del derecho de propiedad o de </w:t>
      </w:r>
      <w:r>
        <w:lastRenderedPageBreak/>
        <w:t xml:space="preserve">parte sustancial de él". Pasando por alto la deficiente formulación, ninguna de las dos razones llevan a la inconstitucionalidad de ningún precepto de la Ley ni menos de ésta en su totalidad. La STC 37/1987, fundamento jurídico 8º, admite expresamente la "remisión a los instrumentos normativos del planeamiento"; con carácter general, la remisión como técnica colaborativa de la Ley y el Reglamento no viola el art. 53.1 C.E., sino que debe estimarse incluida en la cláusula "de acuerdo con las Leyes" del art. 33.2 C.E. (STC 37/1987, fundamento jurídico 3º). Pero además, al aducir estos dos motivos de inconstitucionalidad referidos genéricamente contra toda la Ley, el Letrado de la Comunidad Autónoma impugnante ha sobrepasado la voluntad impugnatoria manifestada por el Gobierno canario en su acuerdo de 18 de octubre de 1990. Lo que acordó recurrir el Órgano ejecutivo canario eran los apartados 1 y 2 de la Disposición final primera de la Ley, en cuanto declaran básicos y de aplicación plena ciertos preceptos, así como "cualquier otro artículo, párrafo o particular que guarde relación con los preceptos impugnados o con los motivos de inconstitucionalidad aducidos", cláusula esta de muy dudosa validez y que en todo caso ha de interpretarse con la máxima restricción para evitar que -con violación de los arts. 162.1 a) C.E., 33.2 LOTC y 14.4 del E.A. de Canarias- el Gobierno de esta Comunidad pueda hacer dejación de su facultad de decidir traspasándola a su Letrado. En consecuencia, el alegato meritado puede ser rechazado sin examen por haber extralimitado el Letrado de la Comunidad Autónoma el Acuerdo impugnatorio adoptado por el órgano ejecutivo legitimado para recurrir. </w:t>
      </w:r>
    </w:p>
    <w:p w:rsidR="008107C7" w:rsidRDefault="008107C7" w:rsidP="008107C7">
      <w:pPr>
        <w:pStyle w:val="TextoNormal"/>
      </w:pPr>
      <w:r>
        <w:t xml:space="preserve">C) Las competencias estatales invocadas en el apartado 1 de la Disposición final primera de la Ley 8/1990 son las reservadas por las reglas 1, 8, 13, 18 y 23 del art. 149.1 C.E. Todos los recursos coinciden en señalar el dato obvio de que el art. 149.1 C.E. no se refiere expresamente a la materia de la ordenación del territorio y el urbanismo. Sí lo hace, en cambio, el art. 148.3 C.E., a cuyo amparo todas las Comunidades Autónomas, y desde luego aquellas a que pertenecen los órganos recurrentes, han asumido la competencia exclusiva sobre ordenación del territorio y urbanismo. En algunos Estatutos la asunción de la competencia exclusiva se lleva a cabo pura y simplemente; en otros se hace la superflua advertencia de que las competencias exclusivas se ejercerán "en los términos expuestos en la Constitución" o "respetando, en todo caso, lo dispuesto en la Constitución"; y los restantes Estatutos declaran que las competencias autonómicas exclusivas se ejercerán "sin perjuicio de lo establecido en el art. 149 C.E." o "respetando, en todo caso, lo dispuesto en los arts. 140 y 149.1 C.E. y en el presente Estatuto". Pero con independencia de que los Estatutos callen o lo declaren de forma más o menos precisa, la supremacía de la Constitución obliga a entender que las competencias reservadas al Estado por el art. 149.1 constituyen un límite absoluto a la asunción de competencias en los Estatutos de Autonomía. Desde el principio, la jurisprudencia constitucional previno sobre el sentido marcadamente equívoco de las competencias autonómicas exclusivas y siempre ha sostenido que "el Estado no puede verse privado del ejercicio de las competencias exclusivas por la existencia de una competencia, aunque también sea exclusiva, de una Comunidad Autónoma" (STC 56/1986, fundamento jurídico 3º). La STC 192/1990, fundamento jurídico 2º, tras señalar que es perfectamente posible que "en una misma medida puedan incidir en forma concurrente y compatible varias competencias", subraya que el ejercicio de una competencia exclusiva autonómica puede quedar condicionado por el ejercicio de una competencia reservada al Estado por el art. 149.1 C.E. Es éste un fenómeno totalmente normal, perteneciente a la fisiología del orden de competencias, pues las Comunidades Autónomas poseen sus competencias (exclusivas y no exclusivas) por la Constitución y dentro de la Constitución. Así pues, la simple comprobación de que el art. 149.1 C.E. no se refiere a la materia de ordenación del territorio y urbanismo es simple punto de partida, no de llegada. De la falta de mención de esa concreta materia en la </w:t>
      </w:r>
      <w:r>
        <w:lastRenderedPageBreak/>
        <w:t xml:space="preserve">lista del art. 149.1 C.E. no se sigue absoluta y completa franquía, exención o inmunidad para las competencias urbanísticas autonómicas, que no hallarían límite alguno en el ejercicio de las competencias constitucionales del Estado. Por el contrario, la ausencia de la ordenación del territorio o del urbanismo en la lista del art. 149.1 C.E. no impide a priori fenómenos de concurrencia y aun entrecruzamiento de la competencia autonómica exclusiva sobre esa materia con otras competencias estatales exclusivas. O formulado en perspectiva normativa: nada impide que se produzca un concurso de normas de competencia (constitucionales y estatutarias), que habrá de resolverse teniendo en cuenta, ante todo, la primacía de las normas constitucionales de competencia contenidas en el art. 149.1 de la Norma fundamental (STC 86/1989, fundamento jurídico 7º). Pues las normas constitucionales de competencia contenidas en el art. 149.1 C.E. son supremas. El art. 148.1 C.E. es una norma que "permite" disponer de competencia sobre ciertas materias, pero la lista del art. 149.1 es imperativa e indisponible salvo con arreglo al art. 150.1 y 2 C.E. (se deja aparte la Disposición adicional primera de la Constitución). </w:t>
      </w:r>
    </w:p>
    <w:p w:rsidR="008107C7" w:rsidRDefault="008107C7" w:rsidP="008107C7">
      <w:pPr>
        <w:pStyle w:val="TextoNormal"/>
      </w:pPr>
      <w:r>
        <w:t xml:space="preserve">Más en concreto, y aun con riesgo de simplificar, puede afirmarse que, a grandes trazos, el urbanismo autonómico incluye sobre todo la ordenación urbana, mientras que el estatuto básico del suelo corresponde establecerlo al Estado. Por otro lado, la competencia autonómica en materia urbanística no puede desconocer la incidencia en esa materia de las instituciones capitales del Derecho Administrativo (régimen de los actos, vías de recurso, expropiación, responsabilidad) sobre las que el Estado ostenta competencia para fijar bases, cuando no la íntegra normación. La proyección de estas grandes instituciones generales al campo urbanístico no permite desconocer la competencia estatal, que no puede quedar eliminada por la especialidad de la materia. Es sumamente significativa la doctrina de la STC 213/1988, fundamento jurídico 3º, confirmada por la STC 259/1988, según la cual la competencia autonómica urbanística del art. 9.9 del E.A. de Cataluña cede ante la estatal del art. 149.1.18 C.E. </w:t>
      </w:r>
    </w:p>
    <w:p w:rsidR="008107C7" w:rsidRDefault="008107C7" w:rsidP="008107C7">
      <w:pPr>
        <w:pStyle w:val="TextoNormal"/>
      </w:pPr>
      <w:r>
        <w:t xml:space="preserve">A continuación, y dentro del examen abstracto de la pertinencia de los títulos estatales de competencia invocados por la Disposición final primera, 1, de la Ley, procede hacer algunas precisiones sobre las normas de competencia invocadas por dicha Disposición. </w:t>
      </w:r>
    </w:p>
    <w:p w:rsidR="008107C7" w:rsidRDefault="008107C7" w:rsidP="008107C7">
      <w:pPr>
        <w:pStyle w:val="TextoNormal"/>
      </w:pPr>
      <w:r>
        <w:t xml:space="preserve">D) Como dicen las SSTC 75/1990, fundamento jurídico 2º, y 86/1990, fundamento jurídico 2º, el art. 149.1.1 C.E. recoge un título sin materia: no versa en rigor sobre materia alguna, sino que "habilita al Estado para garantizar, en todo el territorio, determinados principios fundamentales". ¿Cuáles son esos principios a cuyo servicio está la competencia del art. 149.1.1 C.E.? Dicho de otra manera: ¿qué es lo que la reserva competencial del art. 149.1.1 C.E. impide que regule el legislador autonómico? Según la STC 37/1981, fundamento jurídico 2º, "la potestad legislativa de las Comunidades Autónomas no puede regular las condiciones básicas del ejercicio de los derechos o posiciones jurídicas fundamentales que quedan reservadas a la legislación del Estado". En cambio, si la norma legal incide en el ejercicio de los derechos o libertades constitucionales, pero no afecta a las condiciones básicas, "puede ser promulgada por las Comunidades Autónomas cuyos Estatutos le atribuyan competencia legislativa sobre una materia cuya regulación implique necesariamente, en uno o en otro grado, una regulación del ejercicio de derechos constitucionalmente garantizados". Ahora bien, es claro que la propiedad es un derecho constitucionalmente garantizado (art. 33.1 C.E.), cuya función social -delimitada de acuerdo con las leyes: art. 33.2 C.E.- puede traducirse, según declara la STC 37/1987 (fundamentos jurídicos 2º y 3º), en restricciones de las facultades dominicales o en la imposición de deberes o cargas. Es también manifiesto que la ordenación del territorio y el urbanismo es materia de exclusiva competencia autonómica cuya regulación incide en el derecho constitucionalmente garantizado </w:t>
      </w:r>
      <w:r>
        <w:lastRenderedPageBreak/>
        <w:t xml:space="preserve">de propiedad. Luego se satisfacen las condiciones exigidas por la STC 37/1981, para entender que la regulación de las condiciones básicas del ejercicio del derecho de la propiedad (incluida la delimitación de su función social) compete al Estado con arreglo al art. 149.1.1 C.E., y, en consecuencia, la regulación del ejercicio del derecho a la propiedad por el legislador autonómico, en ejercicio de la competencia exclusiva sobre ordenación del territorio y urbanismo, deberá respetar las condiciones básicas establecidas por el Estado. Confirma con toda claridad estas tesis la STC 37/1987, que en su fundamento jurídico 9º concede la posibilidad de que el Estado pueda disponer de "una potestad normativa en relación con la función social de la propiedad sobre cualquier tipo de bienes (luego también sobre los inmuebles urbanos y urbanizables, v.g.) y en virtud de cualesquiera intereses de carácter público, incluso aquellos cuya definición o gestión no le está encomendada (como los urbanísticos)", potestad limitada, naturalmente, a "regular las condiciones básicas que garanticen la igualdad de trato asimismo básica o esencial de todos los españoles en el ejercicio (y en el contenido) de sus derechos de propiedad". Este es justamente el propósito que ha presidido la Ley 8/1990, que, nótese, no contiene normas sustantivas de ordenación urbanística aplicables a toda España (densidades máximas, fijación de reservas dotacionales, criterios de clasificación del suelo, etc.); pero trata de que la incidencia de esa ordenación urbanística objetiva no menoscabe la igualdad en las posiciones jurídicas fundamentales de los propietarios afectados (véase el Preámbulo de la Ley, V, párrafo 4º). Es conveniente resaltar que la competencia estatal del art. 149.1.1 C.E. no es, según se desprende de lo anterior, coextensa con la competencia urbanística autonómica. El art. 149.1.1 C.E. no permite al Estado dictar normas básicas en toda la tradicional materia urbanística, entendiendo por tal, grosso modo, la cubierta por la Ley del Suelo de 1976 y sus Reglamentos, sino solamente fijar las condiciones básicas en una zona -o, mejor, dimensión- de esa materia, a saber, aquella en que prepondera el aspecto de regulación del contenido y ejercicio del derecho de propiedad y de su función social. Finalmente, quizás quepa defender teóricamente que el art. 149.1.1 C.E. no otorga una competencia para, en sentido estricto, fijar "bases" cuando habilita para regular condiciones básicas del ejercicio de los derechos y deberes constitucionales a fin de garantizar la igualdad de los españoles. Pero el resultado práctico de ejercer la competencia del art. 149.1.1 C.E. es análogo al de las estrictas competencias para establecer "bases". Y desde este punto de vista es perfectamente lícito que pueda invocarse dicho precepto constitucional a los efectos propios de la Disposición final primera, 1, de la Ley 8/1990, esto es, para calificar como básicos ciertos preceptos legales (así proceden, por ejemplo, las SSTC 37/1987, fundamento jurídico 9º; 154/1988, fundamentos jurídicos 3º y 5º; y 189/1989, fundamento jurídico 3º). </w:t>
      </w:r>
    </w:p>
    <w:p w:rsidR="008107C7" w:rsidRDefault="008107C7" w:rsidP="008107C7">
      <w:pPr>
        <w:pStyle w:val="TextoNormal"/>
      </w:pPr>
      <w:r>
        <w:t xml:space="preserve">Las tesis anteriores entrañan el rechazo de las afirmaciones hechas a propósito del art. 149.1.1 C.E. en algunos de los recursos. El recurso de inconstitucionalidad núm. 2.477/90 sostiene que el art. 149.1.1 "no es un título competencial autónomo, cuya interpretación, en todo caso, tampoco puede llevar a fáciles conclusiones uniformadoras". Esto último es exacto, pero de ahí no se sigue razón de inconstitucionalidad, ni total ni parcial, de la Disposición final primera, 1, de la Ley. A falta de mayores precisiones, no es claro qué quiere decir el recurrente cuando sostiene que el título competencial referido no es autónomo o no tiene contenido sustantivo. Si con ello se pretende afirmar que no versa en rigor sobre materia alguna, su tesis es correcta, pero nuevamente habrá de afirmarse que de ella no se sigue inconstitucionalidad alguna de la Disposición final citada. Por su parte, el recurso de inconstitucionalidad núm. 2.479/90 mantiene que el art. 149.1.1 C.E. es inaplicable porque "el derecho de propiedad es un derecho perteneciente a la esfera de la legislación civil. Su lugar está en el Código Civil", de manera que no cabe confundir "régimen urbanístico del </w:t>
      </w:r>
      <w:r>
        <w:lastRenderedPageBreak/>
        <w:t xml:space="preserve">suelo" (que es un "concepto válido") y "régimen urbanístico del derecho de propiedad del suelo", que, a su juicio, no lo es. Pero semejante distinción no sólo es artificiosa e impracticable a fuer de nacida con pura finalidad polémica, sino que contradice frontalmente la doctrina de la STC 37/1987, tanto en lo que se refiere al pluralismo de la institución dominical, que no puede ser concebida "como una figura jurídica reconducible exclusivamente al tipo abstracto descrito en el art. 348 del Código Civil" (fundamento jurídico 2º), como en lo que atañe al sentido del art. 149.1.1 C.E. (fundamento jurídico 9º). </w:t>
      </w:r>
    </w:p>
    <w:p w:rsidR="008107C7" w:rsidRDefault="008107C7" w:rsidP="008107C7">
      <w:pPr>
        <w:pStyle w:val="TextoNormal"/>
      </w:pPr>
      <w:r>
        <w:t xml:space="preserve">Particularmente recusable aparece la concepción defendida en el recurso de inconstitucionalidad 2.487/90. Para el recurrente, la Ley ha vaciado de contenido el derecho de propiedad sobre el suelo, pero ello ni es fiel descripción del contenido de la Ley ni la concepción que se defiende concuerda con una idea de propiedad constitucional, sino con otra que calificó de "abstracta" la STC 37/1987, pero que con buenas razones cabría llamar absoluta o individualista. Este concepto, cabe repetir, no es el de la Constitución. El art. 53.1 C.E. consagra, ciertamente, un contenido esencial o mínimo de la propiedad. Ahora bien, si se pretende esclarecer ese contenido esencial, se encontrará que la norma suprema prescribe para la propiedad privada -para toda propiedad privada- que su contenido deberá ser delimitado de acuerdo con las leyes por su función social, y que toda propiedad se beneficia de la garantía expropiatoria. La función social se eleva así a clave para cualquier elaboración dogmática del concepto de propiedad privada, y sobre todo se convierte en factor ineliminable en la interpretación y aplicación de las normas legales en la materia. Uno de los tipos de propiedad más intensamente funcionalizados ha de serlo la propiedad inmobiliaria susceptible de aprovechamiento urbanístico o en la perspectiva de su aprovechamiento urbanístico (propiedad urbanística). A este tipo de propiedad inmobiliaria no sólo le es aplicable el general art. 33.2 C.E., sino los específicos mandatos del art. 47 C.E. De este último precepto se derivan para el legislador y para todos los órganos de los poderes públicos tres mandatos especialmente relevantes: en primer lugar, el constituyente ha supeditado el conjunto de la actividad urbanística a la consecución del derecho de todos los españoles a disfrutar de una vivienda digna y adecuada. Así pues, las decisiones urbanísticas de los poderes públicos, las técnicas urbanísticas por las que opten, deben, sobre todo, servir a la promoción de las "condiciones necesarias" para hacer efectivo el derecho referido. Y algo parecido cabe decir de las "normas (urbanísticas) pertinentes". En segundo lugar, como especificación tanto de la función social del art. 33.2 C.E. como de la subordinación de toda la riqueza (también la inmobiliaria) al interés general (art. 128.1 C.E.), el art. 47 C.E. obliga a que el régimen de utilización del suelo se acomode al interés general. Todos los poderes públicos (incluido el legislador) quedan constitucionalmente obligados a impedir la especulación, que el constituyente deja caracterizada como fenómeno contrario al uso de suelo de acuerdo con el interés general. En virtud de su mención en el art. 47 C.E., las ganancias procedentes de la especulación quedan constitucionalmente desprotegidas. Por último, el párrafo 2º del art. 47 C.E. parte de la premisa del urbanismo como función pública al referirse a la acción urbanística de los Entes públicos en cuanto generadora de plusvalías (plusvalías, se entiende, de los predios privados). La transformación del suelo que hace posible el aprovechamiento urbanístico, y aumenta así el valor de las fincas privadas, es producida por una acción o decisión pública, lo que implica, por un lado, que semejante transformación no es en sí misma una facultad inherente a la propiedad privada y, por el otro, justifica la prescripción constitucional (que es obligación para el legislador) de que la "comunidad" participe en aquellas plusvalías. Corresponde a los poderes públicos -y en primer lugar al legislador- determinar cuál ha de ser en cada caso la participación comunitaria en las plusvalías derivadas de la acción urbanística de los Entes públicos, lo que podrá hacerse de muy diversos </w:t>
      </w:r>
      <w:r>
        <w:lastRenderedPageBreak/>
        <w:t xml:space="preserve">modos. En resumen, la apropiación privada de esa plusvalía no forma parte del contenido esencial de la propiedad. Atendido, pues, lo que dispone el art. 47 C.E., la función social de la propiedad urbanística puede legitimar la no atribución al propietario de determinadas facultades o su atribución condicionada a ciertos requisitos. Legitima igualmente el sometimiento del ejercicio de las facultades atribuidas a determinadas condiciones y puede hacer obligatorio ese ejercicio o supeditarlo al cumplimiento de deberes o cargas, etc. Son muchas las maneras posibles de fijar "la finalidad o utilidad social" que debe cumplir cada categoría de bienes objeto de propiedad privada, con tal de que no rebase el límite del contenido esencial. Es innegable que la Ley 8/1990 ha intensificado la funcionalización de la propiedad del suelo, pasando, por decir así, del plano del condicionamiento del ejercicio del ius aedificandi al plano de la atribución. Pero seguimos encontrándonos dentro de la configuración del derecho de propiedad privada, no como se dice en el recurso ante una "nuda propiedad" a la que se agrega o adiciona una concesión de servicio público. </w:t>
      </w:r>
    </w:p>
    <w:p w:rsidR="008107C7" w:rsidRDefault="008107C7" w:rsidP="008107C7">
      <w:pPr>
        <w:pStyle w:val="TextoNormal"/>
      </w:pPr>
      <w:r>
        <w:t xml:space="preserve">Igualmente inatendibles son los argumentos del recurso de inconstitucionalidad núm. 2.488/90, que no pasan de manifestar una legítima discrepancia política, pero que no ofrecen razones jurídico-constitucionales. Este recurso reprocha reiteradas veces a la Ley el haber impuesto un solo modelo urbanístico para toda España, impidiendo a la Comunidad Autónoma crear el suyo propio. Semejante aseveración sólo podría justificarse como conclusión de un examen minucioso -artículo por artículo- de la Ley, en el que quedara demostrado cuáles son los preceptos cuyo efecto conjunto fuera imposibilitar a las Comunidades Autónomas la definición de la política urbanística autonómica (conclusión a posteriori). Lejos de ello, el recurso parte de la indemostrada premisa de que la Ley impone un modelo urbanístico único. La única forma de contestar a esto es razonar que los preceptos declarados básicos por la Disposición final primera, 1, de la Ley son real y materialmente básicos, lo que, entre otras consecuencias, implica que las Cortes han dejado suficiente espacio a las Comunidades Autónomas para definir su propia política urbanística y crear modelos territoriales y urbanísticos peculiares. Nótese ahora que el Preámbulo de la Ley, II, párrafo 4º, reconoce expresamente que las Comunidades Autónomas "son las competentes para definir la política urbanística en su territorio", como, por su parte, corresponde en primer término a los Ayuntamientos "dirigir y controlar el proceso de urbanización y edificación". Sostiene este recurso que el del art. 149.1.1 C.E. no es un verdadero título competencial, sino un mero límite de las competencias autonómicas, una reiteración redundante del art. 139 C.E. Semejante tesis contradice tanto la letra como el espíritu y finalidad del art. 149.1.1 C.E. y choca con la jurisprudencia constitucional ya citada. En cuanto a que no existe ningún precepto de la Ley que defina ni el contenido propio de la propiedad inmobiliaria ni del ius aedificandi, basta remitir a lo dicho a propósito del recurso de inconstitucionalidad núm. 2.487/90 y subrayar que el Gobierno de Canarias ha reconocido el carácter básico de los arts. 1 a 11 de la Ley, al excluirlos del recurso. </w:t>
      </w:r>
    </w:p>
    <w:p w:rsidR="008107C7" w:rsidRDefault="008107C7" w:rsidP="008107C7">
      <w:pPr>
        <w:pStyle w:val="TextoNormal"/>
      </w:pPr>
      <w:r>
        <w:t xml:space="preserve">E) La segunda norma constitucional de competencia invocada por la Disposición final primera, 1, de la Ley 8/1990 es la 8 del art. 149.1 C.E. Respecto a la pertinencia de invocar este precepto constitucional, oponen los recurrentes que "el estatuto de la propiedad del suelo es derecho público" (recurso de inconstitucionalidad núm. 2.481/90) y las materias con título específico en los arts. 148.1 y 149.1 C.E. "deben ser excluidas del de legislación civil aunque pudieran tener algún tipo de conexión con el Derecho Civil" (ibidem), de manera que "la institución de la propiedad se residencia en el Código Civil, pero su función social se fija por las leyes sectoriales que la determinan" (ibidem). Parecidas tesis se exponen en los recursos 2.486/90, 2.487/90 y 2.488/90. Este último añade, además, que el título </w:t>
      </w:r>
      <w:r>
        <w:lastRenderedPageBreak/>
        <w:t xml:space="preserve">del art. 149.1.8 C.E. atribuye "competencia plena y directa y no puede servir para amparar una competencia básica". </w:t>
      </w:r>
    </w:p>
    <w:p w:rsidR="008107C7" w:rsidRDefault="008107C7" w:rsidP="008107C7">
      <w:pPr>
        <w:pStyle w:val="TextoNormal"/>
      </w:pPr>
      <w:r>
        <w:t xml:space="preserve">Sin embargo, no cabe negar a priori la aptitud del art. 149.1.8 C.E. para amparar el establecimiento de legislación básica. Entre los conceptos contenidos en este título se encuentra el de "bases de las obligaciones contractuales". Por otra parte, la concurrencia de la competencia estatal sobre la legislación civil en general (o sobre la determinación de las fuentes del Derecho) con las competencias autonómicas relativas a la conservación, modificación y desarrollo de los derechos civiles forales o especiales (incluidas sus normas sobre fuentes) puede engendrar, en algunos supuestos, resultados prácticos similares a la articulación de competencias según el esquema bases/desarrollo y ejecución. En fin, nada obsta a que este título pueda concurrir con otro de los relacionados en el art. 149.1 C.E. para justificar constitucionalmente que una determinada norma básica ha sido dictada dentro de la competencia del Estado. En este último caso, la medida o limite de la competencia estatal la daría el título que habilita para establecer las normas básicas, pero el art. 149.1.8 C.E. cooperaría en justificar que no se ha vulnerado el orden de competencias. Aunque sin responder exactamente a este esquema, el fundamento jurídico 14 de la STC 227/1988 razona con los apartados 1 y 8 del art. 149.1 para justificar la competencia del Estado. Es razonable interpretar que la legislación civil del art. 149.1.8 se refiere, en principio, al Derecho Civil como rama del Derecho privado (STC 88/1986, fundamento jurídico 5º), lo que preservaría la especialidad de otros títulos competenciales. Pero sería erróneo identificar sin más, como parece pretenderse, "legislación civil sobre propiedad" con "artículos del Código Civil atinentes a la propiedad". Legislación civil es un concepto material (STC 227/1988, fundamento jurídico 14), para cuya precisión hay que partir de la summa divisio entre derecho público y derecho privado, tal y como la ha entendido este Tribunal. Si con arreglo a la doctrina de la STC 37/1981, fundamento jurídico 3º, en el concepto "legislación mercantil" cabe incluir "la regulación de las relaciones jurídico-privadas de los empresarios mercantiles o comerciantes en cuanto tales", idéntico criterio relacional habrá que seguir para la "legislación civil". Esta noción constitucional, como mínimo, habrá de comprender la regulación de ciertas relaciones jurídico-privadas. Por lo tanto, será perfectamente hacedero invocar el art. 149.1.8 C.E. cuando -cual sucede, por ejemplo, con la Disposición adicional quinta, 3, de la Ley 8/1990- se trate de normas que gobiernen relaciones jurídico-privadas, obligatorias o reales. Además, muchos preceptos de la Ley 8/1990 son relevantes, o pueden ser también relevantes, para las relaciones jurídico-privadas, y en especial para el tráfico jurídico-privado (así, los arts. 1, 2, 9.2, 10.1, 11, 15.1 ó 25.1 de la Ley 8/1990). No es indiferente para la realización de negocios jurídicos enderezados a la enajenación o gravamen de suelo urbano o urbanizable el grado de adquisición de las facultades o derechos urbanísticos y de cumplimiento de los deberes o cargas urbanísticas ob rem. En esta perspectiva cabría invocar el núm. 8 del art. 149.1 C.E., por lo general de manera concurrente con el art. 149.1.1 C.E., en cuanto regulación de aspectos específicos del régimen peculiar de un tipo de propiedad predial [STC 227/1988, fundamento jurídico 23 e)]. </w:t>
      </w:r>
    </w:p>
    <w:p w:rsidR="008107C7" w:rsidRDefault="008107C7" w:rsidP="008107C7">
      <w:pPr>
        <w:pStyle w:val="TextoNormal"/>
      </w:pPr>
      <w:r>
        <w:t xml:space="preserve">F) Sobre la pertinencia del art. 149.1.13 C.E., el recurso de inconstitucionalidad núm. 2.481/90 la niega porque no cabe concebir el urbanismo como un sector económico al que pudiera proyectarse el título competencial citado. La Ley 8/1990, razona el recurrente, "no pretende planificar el sector urbanístico". El recurso de inconstitucionalidad núm. 2.486/90 señala que el apartado 3 del art. 35.1 del E.A. de Aragón no contiene ninguna restricción o modulación, a diferencia, por ejemplo, del apartado 10 del mismo artículo. El recurso de inconstitucionalidad núm. 2.487/90 contrapone planeamiento urbanístico (físico) y planes económicos. Ahora bien, como señaló la STC 76/1983, fundamento jurídico 14, el art. </w:t>
      </w:r>
      <w:r>
        <w:lastRenderedPageBreak/>
        <w:t xml:space="preserve">149.1.13 C.E. "no establece límites en cuanto al contenido material de la planificación económica". Por esta razón, la STC 227/1988, fundamento jurídico 20 b), ha declarado que el art. 149.1.13 C.E. permite al Estado establecer las bases de la ordenación planificada de los recursos hidráulicos, atendido que "el agua constituye un recurso de vital importancia, imprescindible además para la realización de múltiples actividades económicas", lo que, sin duda, puede afirmarse también del suelo urbano o urbanizable, como así lo hizo la STC 37/1987, fundamento jurídico 2º, que se refiere al "carácter no renovable o naturalmente limitado en su extensión de este tipo de bienes" y a "la trascendencia económica que ofrece como soporte físico de actividades productivas". De este modo, considerado como bien escaso y susceptible de usos alternativos, también el suelo es un bien económico, y no cabe descartar a priori que algún precepto de una Ley como la 8/1990 pudiera ser fundamentado en el art. 149.1.13 C.E. No procede, pues, excluir que, por su directa incidencia en la regulación del mercado inmobiliario o el sector de promoción y construcción de viviendas, pudiera ampararse alguna norma de la Ley -v.g., el art. 35.3- en el art. 149.1.13 C.E., de acuerdo con la doctrina de la STC 152/1988, fundamentos jurídicos 2º y ss. Nada impide, en fin, la invocación concurrente de este título competencial junto con otros. De otra parte, el argumento de la Diputación General de Aragón pasa por alto el tenor del apartado 2 del art. 35 del Estatuto de Autonomía. La expresión o ausencia de "modulaciones" en los preceptos competenciales estatutarios no es, además, decisiva, pues el acierto mayor o menor en su redacción no puede menoscabar la primacía de las normas formalmente constitucionales de competencia, únicas a las que está sometido este Tribunal (art. 1.1 LOTC). </w:t>
      </w:r>
    </w:p>
    <w:p w:rsidR="008107C7" w:rsidRDefault="008107C7" w:rsidP="008107C7">
      <w:pPr>
        <w:pStyle w:val="TextoNormal"/>
      </w:pPr>
      <w:r>
        <w:t xml:space="preserve">G) El art. 149.1.18 C.E. es portador de varias normas de competencia, mediante las que se reserva al Estado la creación y configuración del Derecho Administrativo General, al menos en sus aspectos esenciales. Ningún recurso pone en duda la pertinencia de la regla citada. En su mayor parte, los alegatos relativos a este título se centran en el alcance que deba darse a la competencia estatal exclusiva referente a la legislación sobre expropiación forzosa. Pero ésta no es una competencia de bases, sino, en la terminología de la Ley, de aplicación plena, de modo que será estudiada más adelante. Como luego se verá, el apartado 1 de la Disposición final primera cita el art. 149.1.18 C.E. en cuanto este precepto constitucional consagra la competencia exclusiva del Estado para fijar las bases del régimen jurídico de las Administraciones Públicas, el procedimiento común y el sistema de responsabilidad de todas las Administraciones Públicas. "Bases del régimen jurídico de las Administraciones Públicas" es concepto global que incluye, en puridad, todos los demás conceptos específicos del art. 149.1.18 C.E. </w:t>
      </w:r>
    </w:p>
    <w:p w:rsidR="008107C7" w:rsidRDefault="008107C7" w:rsidP="008107C7">
      <w:pPr>
        <w:pStyle w:val="TextoNormal"/>
      </w:pPr>
      <w:r>
        <w:t xml:space="preserve">Finalmente, el art. 149.1.23 C.E. se invoca "en cuanto a los preceptos de la Ley que se refieren al régimen del suelo no urbanizable" (Preámbulo de la Ley, II, párrafo 3º). Estos preceptos son los del Capítulo II del Título Primero -Capítulo llamado justamente "Régimen del suelo no urbanizable"-, que comprende los arts. 5, 6 y 7 de la Ley 8/1990. La competencia estatal, de ordenación mínima, ha sido orientada teleológicamente por el constituyente: la cuestión de si una norma estatal queda o no amparada en este título exige verificar si persigue o no la finalidad de proteger el medio ambiente. A consecuencia de ello, será necesario estudiar más adelante si los artículos citados representan o no ordenaciones mínimas con finalidad protectora del medio ambiente. </w:t>
      </w:r>
    </w:p>
    <w:p w:rsidR="008107C7" w:rsidRDefault="008107C7" w:rsidP="008107C7">
      <w:pPr>
        <w:pStyle w:val="TextoNormal"/>
      </w:pPr>
      <w:r>
        <w:t xml:space="preserve">H) Se debe ya descender al examen de cada uno de los preceptos declarados básicos por la Disposición final primera, 1, de la Ley que hayan sido impugnados y contra los que se hayan hecho razonamientos especiales en los recursos. En efecto, una vez reconocido en abstracto ser pertinente la invocada competencia estatal de normación básica, la falta de impugnación concreta del carácter básico de cada precepto impide pronunciarse sobre los </w:t>
      </w:r>
      <w:r>
        <w:lastRenderedPageBreak/>
        <w:t xml:space="preserve">mismos, pues no puede el Tribunal "anticipar en abstracto todos los posibles argumentos que pudieran plantearse contra tal calificación, sino sólo examinar lo que las partes se plantean" (STC 86/1989, fundamento jurídico 18). La Disposición final primera, 1, de la Ley declara básicos los once primeros artículos de la misma. De estos artículos hay argumentaciones especiales contra los arts. 5, 6, 7, 8, 9 y 11. </w:t>
      </w:r>
    </w:p>
    <w:p w:rsidR="008107C7" w:rsidRDefault="008107C7" w:rsidP="008107C7">
      <w:pPr>
        <w:pStyle w:val="TextoNormal"/>
      </w:pPr>
      <w:r>
        <w:t xml:space="preserve">Como se ha visto, los arts. 5, 6 y 7 de la Ley 8/1990 pretenden ampararse en el art. 149.1.23 C.E. Para mostrar que se ajustan al orden de competencia basta con razonar su finalidad protectora del medio ambiente y su carácter de ordenación mínima compatible con medidas autonómicas adicionales de protección. El Abogado del Estado se extiende a continuación sobre esto, aduciendo que la finalidad de protección ambiental es patente y que el carácter mínimo de la ordenación establecida en estos tres preceptos es también manifiesto, como demuestra el simple resumen de su contenido. Es obvio que dichos preceptos no sólo no impiden sino que presuponen -precisamente por ampararse en el art. 149.1.23 C.E. y no en otro título de competencia- que las Comunidades Autónomas puedan adoptar regímenes de protección sin más que respetar los criterios mínimos de estos artículos. </w:t>
      </w:r>
    </w:p>
    <w:p w:rsidR="008107C7" w:rsidRDefault="008107C7" w:rsidP="008107C7">
      <w:pPr>
        <w:pStyle w:val="TextoNormal"/>
      </w:pPr>
      <w:r>
        <w:t xml:space="preserve">El art. 8 de la Ley es recurrido por los recursos de inconstitucionalidad núms. 2.481/90 y 2.486/90 sólo en lo que concierne al inciso "conforme a lo dispuesto en esta Ley". Este inciso no excluye que las Comunidades Autónomas, dentro de su competencia, regulen el deber que los propietarios tienen de incorporarse al proceso urbanizador o edificatorio, incluso yendo más allá -si esto es posible- de fijar condiciones y plazos. El sentido del inciso es, simplemente, reenviar a la Ley en su totalidad y siempre de acuerdo con el grado de aplicación que tenga cada uno de sus preceptos según la Disposición final primera. Si este Tribunal declarara que algún artículo mencionado en el apartado 1 de la Disposición final primera no es básico, el reenvío del art. 8 debería entenderse hecho a ese artículo considerado como no básico. En pocas palabras, su mismo carácter genérico hace que el inciso impugnado sea competencialmente inocuo. Este mismo razonamiento vale para el inciso "en los términos fijados por esta Ley" del art. 11.2 impugnado por el recurso de inconstitucionalidad núm. 2.486/90. La argumentación contra el art. 8 contenida en el recurso de inconstitucionalidad núm. 2.487/90 se basa en que no cabe hablar de deberes de los propietarios, puesto que se trata sólo de la incorporación de los particulares a un servicio público, tesis que resulta inaceptable. Se añade que un deber como el del art. 8 exigiría una "clara compensación económica"; pero con ello se desconoce la consagración constitucional de la función social (art. 33.2 C.E. y STC 37/1987, fundamento jurídico 2º), no menos que las disposiciones de la propia Ley sobre "patrimonialización" o incorporación al patrimonio de derechos o facultades (arts. 11 y ss., 86.1 y 87 de la Ley 8/1990). </w:t>
      </w:r>
    </w:p>
    <w:p w:rsidR="008107C7" w:rsidRDefault="008107C7" w:rsidP="008107C7">
      <w:pPr>
        <w:pStyle w:val="TextoNormal"/>
      </w:pPr>
      <w:r>
        <w:t xml:space="preserve">La impugnación de los arts. 9 y 11 en el recurso de inconstitucionalidad núm. 2.487/90 reitera su planteamiento general relativo al servicio público urbanístico, ya rechazado. Los arts. 8, 9 y 11 de la Ley se sustentan competencialmente en el art. 149.1.1 C.E., pues regulan condiciones básicas para garantizar a los españoles un igual contenido y ejercicio del derecho de propiedad sobre el suelo. Los arts. 8 y 9 establecen facultades o derechos y deberes o cargas básicos de los propietarios. El art. 11 es clave en la economía de la Ley, porque enuncia las facultades o derechos de adquisición -atribución- gradual y sucesiva (perspectiva dinámica en la integración de la propiedad urbanística), que constituyen la esencia misma de la propiedad urbanística y la singularizan respecto a otros tipos de propiedad. En cuanto ello es así, el art. 11 -y lo mismo cabría decir de los arts. 8 y 9- son relevantes también en las relaciones jurídicas privadas, lo que permite invocar el art. 149.1.8 C.E. en concurrencia con el apartado 1 del propio precepto. Esto mismo podría decirse cada vez que un articulo de la Ley quede amparado en el art. 149.1.1, por lo que se excusa en lo sucesivo la </w:t>
      </w:r>
      <w:r>
        <w:lastRenderedPageBreak/>
        <w:t xml:space="preserve">invocación explícita del art. 149.1.8 cuando ello ocurra. Los arts. 1 a 11 no contrarían, pues, el orden constitucional y estatutario de competencias frente a lo que se argumenta de adverso. </w:t>
      </w:r>
    </w:p>
    <w:p w:rsidR="008107C7" w:rsidRDefault="008107C7" w:rsidP="008107C7">
      <w:pPr>
        <w:pStyle w:val="TextoNormal"/>
      </w:pPr>
      <w:r>
        <w:t xml:space="preserve">Examinando ahora todos los preceptos del Título Primero posteriores al art. 11 que han sido declarados básicos, contra el art. 12.1, 3 y 4 aduce el recurso de inconstitucionalidad núm. 2.487/90 que, por conferir "una primera participación en el servicio público urbanístico", aborda materia ajena a la competencia estatal. El Estado no puede regular más que supletoriamente "si debe haber o no planeamiento o cuál deba ser el instrumento jurídico para conceder a un particular el llamado derecho a urbanizar", ni puede "habilitar directamente al planeamiento como lo hace el apartado 4". No cabe duda de que el régimen de las figuras de planeamiento urbanístico (prescindiendo del Plan Nacional o de planes supracomunitarios) pertenece a la materia de urbanismo y, por esa razón, la determinación en concreto, según la clase de suelo, del "planeamiento preciso" para adquirir el derecho a urbanizar, tal y como lo hace el art. 12.2 de la Ley, sólo puede tener carácter supletorio. Pero no cabe negar carácter básico al criterio resultante de combinar los apartados 1 y 3 del art. 12, según los cuales el derecho a urbanizar requiere la aprobación definitiva del instrumento de ordenación más específico según la clase de suelo. Mediante este criterio, se establece para toda España un régimen mínimo homogéneo en cuanto al modo de adquirir la facultad o derecho a urbanizar (mínimo amparado en el art. 149.1.1 C.E.), concretando el momento de adquisición. La existencia en general del planeamiento urbanístico (e incluso de un planeamiento jerarquizado y escalonado que está implícito en los apartados 1 y 3) puede considerarse base del régimen jurídico de las Administraciones Públicas, que garantiza el tratamiento común de los propietarios (art. 149.1.18 C.E.). El apartado 4 no es una norma habilitante sino condicionada. Ejercer el derecho a urbanizar requerirá la aprobación del estudio de detalle, proyecto de urbanización u otro instrumento, cuando y sólo cuando así lo establezca "la legislación o el planeamiento urbanísticos" (autonómica posiblemente la primera, autonómico y local el segundo). No sólo la legislación o el planeamiento urbanísticos son dueños de dar o quitar relevancia a los estudios de detalle o proyecto de urbanización, sino que podrán crear otro tipo de instrumentos. El carácter marcadamente dispositivo del art. 12.4 le hace inocuo competencialmente (véase, v.g., STC 76/1983, fundamento jurídico 21). </w:t>
      </w:r>
    </w:p>
    <w:p w:rsidR="008107C7" w:rsidRDefault="008107C7" w:rsidP="008107C7">
      <w:pPr>
        <w:pStyle w:val="TextoNormal"/>
      </w:pPr>
      <w:r>
        <w:t xml:space="preserve">El art. 13.1 es norma básica que garantiza a todos los particulares (y Entidades públicas) un tratamiento común ante las Administraciones urbanísticas, al facultar a aquéllos para redactar y presentar a la Administración competente los instrumentos que desarrollen el Plan General. Constituye ello un modo de dar efectividad al derecho a urbanizar impidiendo que su adquisición quede al arbitrio de la diligencia o desidia administrativa en la redacción de los planes urbanísticos y en la iniciación del procedimiento para su aprobación. En cuanto regulación de un modo de iniciativa y colaboración en la función planificadora urbanística (cfr. arts. 52 y ss. de la Ley del Suelo), el art. 13.1 se ampara en el art. 149.1.18 C.E. (bases del régimen jurídico de las Administraciones Públicas que garantizan un tratamiento común a los administrados), como viene a admitir el propio recurso de inconstitucionalidad núm. 2.487/90, cuya ulterior objeción -el art. 13.1 no es lo suficientemente "abstracto"- no puede ser compartida, pues las bases no implican necesariamente un cierto grado de abstracción, que sería imposible de fijar con un mínimo de precisión, sino que pueden dictar "el detalle necesario" que exija la igualdad (STC 178/1989, fundamento jurídico 6º); ni, por otro lado, puede negarse que el art. 13.1 de la Ley se reduce a formular un criterio sumamente general (compárese con los tres artículos que dedica la Ley del Suelo a esta cuestión). </w:t>
      </w:r>
    </w:p>
    <w:p w:rsidR="008107C7" w:rsidRDefault="008107C7" w:rsidP="008107C7">
      <w:pPr>
        <w:pStyle w:val="TextoNormal"/>
      </w:pPr>
      <w:r>
        <w:t xml:space="preserve">El art. 14 regula la extinción del derecho a urbanizar (apartado 1) y el modo de declararla (apartado 2). Objeta el recurso de inconstitucionalidad núm. 2.487/90 que el precepto utiliza </w:t>
      </w:r>
      <w:r>
        <w:lastRenderedPageBreak/>
        <w:t xml:space="preserve">nociones propias del régimen urbanístico. Pero con ello no se lesiona el orden de competencia. Puesto que el art. 12.1 de la Ley regula la extinción de un derecho o facultad urbanística, por fuerza habrá de referirse a nociones propias del derecho urbanístico, aunque éste sea de competencia autonómica. La referencia a "los terrenos incluidos en una unidad de ejecución por un sistema de gestión privada" se explica porque, fuera de esa hipótesis, carece de sentido el cumplimiento conjunto de los deberes de urbanización, gestión y equidistribución. Por lo tanto, la citada referencia precisa simplemente las hipótesis de extinción del derecho a urbanizar. Si los apartados 1 y 3 del art. 12 (adquisición del derecho a urbanizar) se amparaban en el art. 149.1.1, otro tanto ocurrirá con su extinción (apartado 1 del art. 14). El apartado 2 de este artículo, en cambio, se acomoda mejor con el art. 149.1.18 C.E. en cuanto proclama el principio de declaración administrativa de la extinción con audiencia previa, lo que es clara norma básica que garantiza un tratamiento común a los administrados. </w:t>
      </w:r>
    </w:p>
    <w:p w:rsidR="008107C7" w:rsidRDefault="008107C7" w:rsidP="008107C7">
      <w:pPr>
        <w:pStyle w:val="TextoNormal"/>
      </w:pPr>
      <w:r>
        <w:t xml:space="preserve">El art. 15.1 regula la adquisición del derecho al aprovechamiento urbanístico y el art. 16.1 lo fija en el resultado de referir a su superficie el 85 por 100 del aprovechamiento tipo del área de reparto. El fin de asegurar una igualdad básica o esencial en el contenido de los derechos de propiedad incluye estos preceptos en la esfera del art. 149.1.1 C.E. según la doctrina de la STC 37/1987, fundamento jurídico 9º. En efecto, el art. 15.1 señala los requisitos esenciales para adquirir el derecho al aprovechamiento y el art. 16.1 fija con carácter general el contenido apropiable de ese derecho o facultad. El art. 16.2 contiene una excepción a la regla general del art. 16.1. Y si la regla general tiene carácter básico en cuanto amparada por el art. 149.1.1 C.E., otro tanto cabrá decir de la excepción, que, como tal, determina o precisa la esfera de aplicación de la regla [así, SSTC 227/1988, fundamento jurídico 23 e), y 17/1990, fundamento jurídico 8º]. </w:t>
      </w:r>
    </w:p>
    <w:p w:rsidR="008107C7" w:rsidRDefault="008107C7" w:rsidP="008107C7">
      <w:pPr>
        <w:pStyle w:val="TextoNormal"/>
      </w:pPr>
      <w:r>
        <w:t xml:space="preserve">El art. 17.1 se limita a enumerar grandes tipos generales de "concreción" del derecho al aprovechamiento urbanístico, con el fin de asegurar una uniformidad general para toda España en un aspecto importante del régimen del derecho al aprovechamiento urbanístico, cual es su especificación o concreción, lo que es plenamente razonable atendida la finalidad que el legislador nacional se propone. El precepto, en suma, se ampara en el art. 149.1.1 C.E. </w:t>
      </w:r>
    </w:p>
    <w:p w:rsidR="008107C7" w:rsidRDefault="008107C7" w:rsidP="008107C7">
      <w:pPr>
        <w:pStyle w:val="TextoNormal"/>
      </w:pPr>
      <w:r>
        <w:t xml:space="preserve">El art. 18.1 establece los casos en que el derecho al aprovechamiento urbanístico se reduce en un 50 por 100. En cuanto este precepto prescribe, en su inciso primero, que el derecho al aprovechamiento urbanístico -a diferencia de otras facultades- no se extingue sino que sólo se reduce a la mitad por incumplimiento del deber de solicitar licencia, es precepto básico que se ampara en el art. 149.1.1 C.E. Se amparan en el art. 149.1.18 C.E., a título de bases del régimen jurídico-administrativo que garantizan un tratamiento común del administrado, tanto el inciso final del art. 18.1 como el art. 18.3. Respecto a ellos vale lo razonado para el art. 14.2. Hay que recordar que la llamada expropiación-sanción es una denominación doctrinal de la que no se sigue que se trate de una decisión con finalidad punitiva con infracción de normas penales o sancionadoras de inexcusable observancia (STC 42/1989, fundamento jurídico 4º, y ATC 657/1987). </w:t>
      </w:r>
    </w:p>
    <w:p w:rsidR="008107C7" w:rsidRDefault="008107C7" w:rsidP="008107C7">
      <w:pPr>
        <w:pStyle w:val="TextoNormal"/>
      </w:pPr>
      <w:r>
        <w:t xml:space="preserve">El art. 19.1 regula la adquisición del derecho al aprovechamiento cuando se trate de suelo urbano no incluido en una unidad de ejecución. Al no darse esta circunstancia, es obvio que la adquisición de la facultad no puede depender del cumplimiento tempestivo de los deberes de cesión, equidistribución y urbanización (art. 15.1), por lo mismo que estos deberes se cumplen conjuntamente en las unidades de ejecución que para eso se delimitan (art. 31.1). Por tanto, es perfectamente razonable la creación de un régimen especial de adquisición para suelo urbano no incluido en unidad de ejecución, y el art. 19.1 queda amparado por el art. 149.1.1 C.E., lo mismo que ocurría con el art. 15.1 de la Ley. Para el art. 19.2 vale lo expuesto al tratar del art. 18.1 y 3. La especialidad en el régimen de adquisición funda la </w:t>
      </w:r>
      <w:r>
        <w:lastRenderedPageBreak/>
        <w:t xml:space="preserve">especialidad en el régimen de reducción de este derecho en suelo urbano no incluido en unidades de ejecución. </w:t>
      </w:r>
    </w:p>
    <w:p w:rsidR="008107C7" w:rsidRDefault="008107C7" w:rsidP="008107C7">
      <w:pPr>
        <w:pStyle w:val="TextoNormal"/>
      </w:pPr>
      <w:r>
        <w:t xml:space="preserve">El art. 20 se ocupa de la adquisición del derecho a edificar y queda amparado en el art. 149.1.1 C.E. por parejas razones a las expuestas al tratar los arts. 12.1, 3 y 4 y 15.1. El art. 22 determina las consecuencias de la falta de adquisición del derecho a edificar por causa imputable al titular. En cuanto ello es así, el art. 22 queda amparado, como el 20, por el art. 149.1.1 C.E. Es patente el nexo entre este precepto y el art. 18.1 y 3: la justificación competencial de este último se extiende al art. 22. El art. 23 ha sido dictado en virtud de la competencia del art. 149.1.18 C.E. El apartado 1 pretende fijar un contenido tipo de la licencia, aunque acaba por remitir una vez más a "la normativa aplicable" (autonómica y local, en su caso). El apartado 2 regula la extinción del derecho a edificar. Vale para este artículo lo dicho al tratar de los arts. 14 y 18.1 y 3 (es decir, se ampara en los apartados 1 y 18 del art. 149.1 C.E.). El art. 24 regula la situación derivada de la extinción del derecho a edificar. Su apartado 1 está claramente justificado en el art. 149.1.1 C.E., pues delimita las facultades del propietario en aquella situación. El apartado 2 se apoya más bien en el art. 149.1.18 C.E. y enlaza con el art. 18.3. Por estar amparados en competencias constitucionales del Estado, es obvio que los arts. 22 y 24 no violan la autonomía municipal (arts. 137 y 140 C.E.). </w:t>
      </w:r>
    </w:p>
    <w:p w:rsidR="008107C7" w:rsidRDefault="008107C7" w:rsidP="008107C7">
      <w:pPr>
        <w:pStyle w:val="TextoNormal"/>
      </w:pPr>
      <w:r>
        <w:t xml:space="preserve">Ninguno de los recursos formula objeciones de constitucionalidad al art. 25 de la Ley. Se objeta a los arts. 26, 27.1, 2 y 3 y 28 que son típicos preceptos de disciplina urbanística que persiguen el restablecimiento de la legalidad. Sin duda así acaece, pero de ahí no se sigue que el legislador nacional sea incompetente para dictar los expresados preceptos. En parte, se apoyan en el art. 149.1.1 C.E. en cuanto regulan el estatuto jurídico básico de lo edificado -igual para toda España- sin o contra licencia y ordenación urbanística (art. 26) o conforme a licencia que luego se declare contraventora de la ordenación urbanística (art. 27.1, 2 y 3) o excediendo del aprovechamiento correspondiente al titular (art. 28.1; el apartado 2, en cuanto prescribe la inoponibilidad de la obligación a terceros hipotecarios podría ampararse directamente en el art. 149.1.8 C.E.). Aun contemplando estos artículos en estricta perspectiva jurídico- administrativa (es decir, destacando que atribuyen potestades administrativas para restablecer la legalidad urbanística), es manifiesto lo razonable de establecer un régimen básico que garantice el tratamiento común del administrado en supuestos que pueden afectar gravemente a propiedades privadas, con lo que sería invocable el art. 149.1.18 C.E. </w:t>
      </w:r>
    </w:p>
    <w:p w:rsidR="008107C7" w:rsidRDefault="008107C7" w:rsidP="008107C7">
      <w:pPr>
        <w:pStyle w:val="TextoNormal"/>
      </w:pPr>
      <w:r>
        <w:t xml:space="preserve">Los arts. 30.1 y 2 y 31.1 se limitan a prever la existencia de áreas de reparto en suelo urbano y urbanizable y a definir las unidades de ejecución. En cuanto éstas son técnicas para hacer efectivos deberes y derechos básicos de los propietarios, los citados preceptos quedan amparados por el mismo título competencial que los arts. 9.1, 14.1, 15.1 o 16.1, es decir, el art. 149.1.1 C.E. En cuanto técnicas administrativas que garantizan un tratamiento común del administrado en la fijación del aprovechamiento tipo -magnitud esencial para la determinación del contenido económico inherente al derecho de aprovechamiento urbanístico- o en el cumplimiento de los deberes básicos de cesión, equidistribución y urbanización, cabría también invocar el art. 149.1.18 C.E. En el recurso de inconstitucionalidad núm. 2.481/90, se subraya que es contradictorio declarar básicos los artículos mencionados para limitar luego especialmente su aplicación a los Municipios del apartado 1 de la Disposición adicional primera (y, en su caso, a los del inciso final del apartado 2). Pero ha de notarse que no hay contradicción entre el carácter básico fundado en el art. 149.1.1 (o en el 149.1.18) y la restricción de la esfera espacial de vigencia. Es perfectamente lícito que la competencia constitucional del art. 149.1.1 se ejerza para preservar la igualdad de todos los españoles </w:t>
      </w:r>
      <w:r>
        <w:lastRenderedPageBreak/>
        <w:t xml:space="preserve">incluidos dentro de una clase o categoría demarcada no arbitrariamente por el legislador (en el caso de la Disposición adicional primera, 1 y 2, por el legislador nacional y autonómico en cooperación). Los problemas urbanísticos de Barcelona no son iguales, ni cualitativa ni cuantitativamente, a los de un pequeño pueblo del Ampurdán o el Urgellés. Es, pues, constitucionalmente lícito dictar disposiciones que aseguran la igualdad básica de todos los españoles en el grupo de Municipios con mayores problemas urbanísticos (y con mayores plusvalías urbanísticas), que dan determinados en razón de su población o entorno (apartado 1 de la Disposición adicional primera), amén de otras consideraciones que pueda apreciar prudentemente el legislador autonómico (apartado 2 de la Disposición adicional primera). Ha de observarse, en fin, que las remisiones a la "legislación urbanística" (art. 30.1) o a la "legislación urbanística aplicable" (arts. 30.2 y 31.1) reducen la imperatividad o capacidad constrictiva de estos preceptos, que, en realidad, vienen a quedar en buena parte a disposición del legislador autonómico. </w:t>
      </w:r>
    </w:p>
    <w:p w:rsidR="008107C7" w:rsidRDefault="008107C7" w:rsidP="008107C7">
      <w:pPr>
        <w:pStyle w:val="TextoNormal"/>
      </w:pPr>
      <w:r>
        <w:t xml:space="preserve">Los arts. 32, 33 (1, 3, 4 y 5), 34, 35 (1, 2 y 3) y 36.1 son conjuntamente considerados en los recursos señalando simplemente que ésta es "materia urbanística donde las haya" o "regulación de una técnica urbanística". Nuevamente hay que recordar que, aunque así sea, aunque el cálculo del aprovechamiento tipo sea una técnica urbanística, no por ello cabe excluir que estos preceptos resulten amparados en las normas constitucionales de competencia estatal. Los arts. 32, 33 (1, 3, 4 y 5), 34 y 35 (1, 2 y 3) contienen poco más que un armazón conceptual o enumeración de los elementos fundamentales de cálculo, que es lo único que se pretende imponer con carácter uniforme para asegurar la igualdad básica en el aprovechamiento urbanístico (art. 149.1.1 C.E.) </w:t>
      </w:r>
    </w:p>
    <w:p w:rsidR="008107C7" w:rsidRDefault="008107C7" w:rsidP="008107C7">
      <w:pPr>
        <w:pStyle w:val="TextoNormal"/>
      </w:pPr>
      <w:r>
        <w:t xml:space="preserve">y el tratamiento común de los administrados (art. 149.1.18 C.E.), y dado además su evidente nexo con el régimen de las valoraciones. Aun así, es claro que todo el sistema queda remitido a la legislación urbanística y al planeamiento, lo que equivale a decir a la esfera autonómica y local. Por su directa incidencia sobre la construcción de viviendas de protección pública, el art. 35.3 podría ampararse también en el art. 149.1.13 C.E., de acuerdo con la doctrina de la STC 152/1988 (fundamentos jurídicos 2º y 4º). El art. 36.1 define en su segundo inciso qué se entiende por "sustitución de la edificación" y prescribe que se sujeten al régimen propio de ésta las rehabilitaciones no obligatorias que tengan características y alcance equivalente a la citada sustitución. Este precepto enlaza con el art. 33.4 (que condiciona la aplicación efectiva del aprovechamiento tipo en terrenos edificados a la sustitución de la edificación) y en cierta forma lo completa. </w:t>
      </w:r>
    </w:p>
    <w:p w:rsidR="008107C7" w:rsidRDefault="008107C7" w:rsidP="008107C7">
      <w:pPr>
        <w:pStyle w:val="TextoNormal"/>
      </w:pPr>
      <w:r>
        <w:t xml:space="preserve">Los arts. 37.1 y 2, 38 y 39 se enlazan claramente con el art. 16, y su carácter básico se apoya en idénticas razones a las ofrecidas al examinar ese artículo. La uniformidad del porcentaje de cesión es un elemento de primer orden para garantizar la igualdad del contenido del derecho de aprovechamiento urbanístico, y por ende del contenido de la propiedad privada del suelo tal y como resulta delimitado por su función social, y hace así constitucionalmente legítima la intervención del Estado conforme al art. 149.1.1 C.E. y en su caso al art. 149.1.18 C.E. Otra vez procede señalar en estos artículos la importancia de los reenvíos explícitos o implícitos a la legislación urbanística aplicable y al planeamiento. </w:t>
      </w:r>
    </w:p>
    <w:p w:rsidR="008107C7" w:rsidRDefault="008107C7" w:rsidP="008107C7">
      <w:pPr>
        <w:pStyle w:val="TextoNormal"/>
      </w:pPr>
      <w:r>
        <w:t xml:space="preserve">Los arts. 40.2 y 4, 41 y 42.1 y 3 son preceptos declarados básicos dentro de un Capítulo que lleva por título "actuación mediante unidades de ejecución". A estos preceptos se objeta, una vez más, que contienen regulaciones manifiesta y típicamente urbanísticas. Pero también de nuevo se hace preciso repetir que la verdadera y propia cuestión no es ésa, sino si los indicados preceptos pueden o no considerarse amparados en alguna norma constitucional que reserve imperativamente ciertas competencias al Estado. El art. 40.2 es otro precepto que reenvía a la "legislación urbanística aplicable" (lo que equivale a reconocer para en su </w:t>
      </w:r>
      <w:r>
        <w:lastRenderedPageBreak/>
        <w:t xml:space="preserve">caso la competencia autonómica) la regulación de un determinado extremo, que ahora es el de qué sucede cuando, habiéndose optado por un sistema de gestión privada, no se han cumplido tempestivamente los deberes de cesión, equidistribución y urbanización, de lo que depende la extinción del derecho a urbanizar (art. 14.1) o la adquisición (atribución) del derecho al aprovechamiento (art. 15.1). El contenido propiamente básico del precepto -el que, por ende, se impone al legislador autonómico- se reduce a estas dos reglas: los plazos deben computarse "desde la delimitación de la correspondiente unidad de ejecución" y deben garantizarse a los propietarios no responsables del incumplimiento de los deberes de cesión, equidistribución y urbanización "los derechos vinculados a la ejecución del planeamiento o a la valoración urbanística establecida en esta Ley para los supuestos de expropiación como sistema de actuación". Se trata, claramente, de dos normas de garantía para los propietarios afectados. Desde este punto de vista, el art. 40.2 queda amparado por el art. 149.1.1 C.E. Alternativamente, cabe considerar el precepto incluido en la esfera del art. 149.1.18 C.E. Parecida argumentación vale para el art. 40.4 de la Ley. No se pretende con él imponer un determinado sistema de actuación (las palabras "u otro equivalente" representan un reconocimiento de la competencia autonómica para modelar aquellos sistemas), sino garantizar a los propietarios la adquisición del derecho al aprovechamiento urbanístico adaptando la prescripción general del art. 15.1 a las peculiaridades del sistema de cooperación o equivalentes, ya que en ellos no puede, por ejemplo, hablarse en puridad de un deber de urbanizar, sino del deber de sufragar el coste de la urbanización. La precisión de cuáles son en concreto los deberes y cargas "inherentes al sistema" cuyo cumplimiento determina la adquisición del derecho al aprovechamiento queda implícitamente remitida a la legislación y al planeamiento urbanísticos. El art. 41 garantiza a los propietarios la conservación de sus derechos "si la falta de ejecución del Plan fuera imputable a la Administración actuante". Claramente son invocables el art. 149.1.1 C.E. o, alternativamente, el art. 149.1.18. El art. 42.1 atribuye a la Administración actuante las diferencias positivas entre los aprovechamientos materializables y los patrimonializables, razón que abona, con arreglo al art. 42.3, la participación de la Administración en los costes de urbanización en proporción a los aprovechamientos. El art. 42.1 viene a complementar las reglas del art. 16 y concordantes de la Ley, ya que determina el patrimonio público en que se integra la parte del aprovechamiento real no objeto de apropiación por el conjunto de propietarios. Y el art. 42.3 aclara una importante consecuencia jurídica de lo dispuesto en el apartado 1. Si el art. 16 era básico, básicos han de ser los apartados 1 y 3 del art. 42, que pueden quedar acogidos al art. 149.1.18 C.E. (bases del régimen jurídico de las Administraciones Públicas). </w:t>
      </w:r>
    </w:p>
    <w:p w:rsidR="008107C7" w:rsidRDefault="008107C7" w:rsidP="008107C7">
      <w:pPr>
        <w:pStyle w:val="TextoNormal"/>
      </w:pPr>
      <w:r>
        <w:t xml:space="preserve">El art. 59 regula la ocupación directa de los terrenos destinados a sistemas generales y dotaciones de carácter local. Sus apartados 3, 4 y 5 son reglas registrales inmobiliarias, que se amparan en el art. 149.1.8 C.E. Aunque, como regulación global de la ocupación directa, sea exacto calificar de básico el art. 59, parece evidente que el contenido de estos apartados no consiente un desarrollo autonómico divergente. En cuanto a los apartados 1 y 2, dado que preservan la efectividad del derecho al aprovechamiento urbanístico de una categoría de propietarios y que, por otro lado, imponen a la legislación urbanística determinadas garantías procedimentales en una actuación cuya finalidad es modificar una situación posesoria inmobiliaria y producir imperativamente un cambio jurídico real, quedan amparados en los apartados 1 y 18 del art. 149.1 C.E. (el art. 149.1.1 es más pertinente respecto al art. 59.1 de la Ley y el 149.1.18 para el art. 59.2). </w:t>
      </w:r>
    </w:p>
    <w:p w:rsidR="008107C7" w:rsidRDefault="008107C7" w:rsidP="008107C7">
      <w:pPr>
        <w:pStyle w:val="TextoNormal"/>
      </w:pPr>
      <w:r>
        <w:t xml:space="preserve">El art. 61 se compone de tres apartados. El primero garantiza la afectación de los terrenos dotacionales no obtenidos por expropiación, y constituye una base del régimen jurídico- administrativo que el Estado puede dictar en virtud del art. 149.1.18 C.E. para tutelar el fin </w:t>
      </w:r>
      <w:r>
        <w:lastRenderedPageBreak/>
        <w:t xml:space="preserve">público inherente a aquella afectación, fin que es el que ha justificado el paso de unos bienes inmobiliarios de un patrimonio privado a la esfera administrativa. Los apartados 2 y 3 declaran de cesión obligatoria y gratuita los terrenos afectos a dotaciones locales y precisan el momento en que se produce la transmisión; como estos apartados 2 y 3 inciden directamente en determinados derechos de propiedad, pueden ampararse en el art. 149.1.1 C.E., además de en el art. 149.1.18 C.E. </w:t>
      </w:r>
    </w:p>
    <w:p w:rsidR="008107C7" w:rsidRDefault="008107C7" w:rsidP="008107C7">
      <w:pPr>
        <w:pStyle w:val="TextoNormal"/>
      </w:pPr>
      <w:r>
        <w:t xml:space="preserve">El art. 63.1 fija los procedimientos administrativos de reacción contra el incumplimiento de los deberes urbanísticos. Esos procedimientos son la expropiación y la venta forzosa. La regulación de esta última compete hacerla a la legislación urbanística aplicable (autonómica en su caso) y así lo reconoce el precepto. La fijación tasada de estas figuras ablatorias y la garantía de la correspondencia entre ablación e indemnización quedan, sin ningún género de dudas, amparadas en los apartados 1 y 18 del art. 149.1 C.E., en relación con los tres apartados del art. 33 C.E., pues constituye evidente garantía de igualdad en el ejercicio de la propiedad privada y en el tratamiento de los administrados el que sean idénticas para toda España las figuras ablatorias con que se reacciona frente a incumplimientos de los deberes dimanantes de la función social, aunque el régimen particular de la venta forzosa consienta adaptaciones en cada Comunidad Autónoma. </w:t>
      </w:r>
    </w:p>
    <w:p w:rsidR="008107C7" w:rsidRDefault="008107C7" w:rsidP="008107C7">
      <w:pPr>
        <w:pStyle w:val="TextoNormal"/>
      </w:pPr>
      <w:r>
        <w:t xml:space="preserve">El art. 76 contiene normas básicas de régimen local ("régimen jurídico de las Administraciones locales"), para lo que el Estado viene habilitado por el art. 149.1.18 C.E. según se infiere de la doctrina de la STC 214/1989, fundamento jurídico 1º, que resume la jurisprudencia constitucional en este punto. No ha sido impugnado especialmente por nadie. El art. 77.1 y 2 ha sido impugnado todo él en el recurso de inconstitucionalidad núm. 2.481/90 y sólo su apartado 3 en el recurso de inconstitucionalidad núm. 2.487/90. Como reconoce el Abogado de la Generalidad, el régimen de subrogación previsto en los apartados 1 y 2 del art. 77 no lesiona la autonomía municipal (arts. 137 y 140 C.E.), conclusión que se comparte. Pero entiende el Letrado catalán que el art. 77 "concreta" el art. 60 L.R.B.R.L. y establece "bases sobre bases". Esto es francamente dudoso, sin embargo, ya que aquí no hay propiamente protección de ninguna competencia estatal o autonómica (ni, en realidad, tampoco incumplimiento de obligaciones directamente impuestas por la Ley), sino inactividad material, pasividad o dejación en el ejercicio de las potestades atribuidas para reaccionar contra el incumplimiento de deberes urbanísticos (expropiación y venta forzosa). La subrogación es el medio para poner fin a esa inactividad material de los Ayuntamientos, permitiendo el ejercicio subsidiario y sustitutorio de esas potestades por otra Administración. Por otro lado, la STC 132/1989, fundamento jurídico 23, rechaza el esquema argumental de las "bases sobre bases", admitiendo la legitimidad constitucional de bases específicas junto con bases genéricas o comunes. De este modo, nada impide que, junto a las normas básicas generales contenidas en la L.R.B.R.L., puedan establecerse bases específicas de régimen local para grupos determinados de supuestos siempre que no se rebase el límite de lo materialmente básico. Y nótese que los dos apartados del art. 77 dejan mucho espacio al desarrollo legislativo autonómico. En cuanto al apartado 3 del art. 77, es obvio que resulta básico por idénticas razones que los arts. 14 y 15.1 y queda amparado por el art. 149.1.1/18 C.E. </w:t>
      </w:r>
    </w:p>
    <w:p w:rsidR="008107C7" w:rsidRDefault="008107C7" w:rsidP="008107C7">
      <w:pPr>
        <w:pStyle w:val="TextoNormal"/>
      </w:pPr>
      <w:r>
        <w:t xml:space="preserve">Los arts. 86 a 89 regulan una serie de supuestos indemnizatorios por lesiones patrimoniales que el ciudadano no tiene el deber de soportar aunque deriven de actividades lícitas de la Administración (más concretamente, de las Administraciones autonómica y local). Son todas ellas hipótesis materialmente urbanísticas, pero no por ello queda excluida la pertinencia de invocar el título estatal relativo al "sistema de responsabilidad de todas las Administraciones Públicas". Esta cláusula competencial del art. 149.1.18 C.E. debe ser interpretada teleológicamente. Con ello se quiere significar, ante todo, que corresponde al </w:t>
      </w:r>
      <w:r>
        <w:lastRenderedPageBreak/>
        <w:t xml:space="preserve">Estado regular el régimen de la responsabilidad patrimonial de derecho público hasta donde juzguen las Cortes que, en cada momento, lo hace necesario el tratamiento común de los administrados en lo que toca a su resarcimiento frente a lesiones patrimoniales originadas en hechos y actos incluidos en la esfera de actividad propia de la Administración. Esta cláusula del art. 149.1.18 ha de entenderse, pues, en estrecha relación con el art. 106.2 C.E. La ley que establece los términos en que los particulares tendrán derecho a ser indemnizados es, por principio, la ley estatal. Y esto es así para todas las Administraciones Públicas, es decir, no sólo para la del Estado sensu stricto, sino para cualesquiera Administraciones, incluidas las autonómicas o locales. En efecto, si se trata de garantizar un tratamiento común de la indemnidad del administrado en toda España, hubiera sido incongruente permitir regímenes diferenciados según niveles de Administración. Así interpretada la norma estatal de competencia, el contenido de los arts. 85 a 89 no debe ser encuadrado en la materia "urbanismo" (art. 148.1.3 C.E.), pues el ejercicio de la competencia exclusiva de las Comunidades Autónomas permitiría una posible desigualdad de hipótesis indemnizatorias y no indemnizatorias según la apreciación de cada legislador autonómico. El desarrollo legislativo de estos preceptos de la Ley podrá, sin embargo, producirse en otros importantes aspectos, más propiamente urbanísticos, como puede ser la concreción de vinculaciones singulares o la determinación de cuáles son los deberes legales a que se refiere el art. 88. Los arts. 86 a 89 garantizan, pues, que una misma línea separará en toda España lo indemnizable y lo que no lo es por consecuencia de algunos tipos de acción urbanística de los Entes públicos. </w:t>
      </w:r>
    </w:p>
    <w:p w:rsidR="008107C7" w:rsidRDefault="008107C7" w:rsidP="008107C7">
      <w:pPr>
        <w:pStyle w:val="TextoNormal"/>
      </w:pPr>
      <w:r>
        <w:t xml:space="preserve">El art. 98 contiene una serie de normas básicas de régimen local, que el Estado puede establecer al amparo del art. 149.1.18 C.E. Se trata, en efecto, de las normas básicas que regulan un grupo homogéneo de bienes patrimoniales municipales, a veces singularizados por su procedencia y siempre por su clasificación urbanística y destino. La Junta de Castilla y León basa su impugnación en que esta masa patrimonial de régimen especial se orienta al urbanismo y la vivienda y en que se hace uso de "conceptos técnico-jurídicos urbanísticos". Pero nada hay en el concepto constitucional de bases que impida la creación de regímenes especiales para alcanzar cualesquiera finalidades particulares. La existencia o no de regímenes especiales dentro del derecho básico de los bienes de las Entidades locales es en sí misma una cuestión de conveniencia política, que puede y debe resolver el legislador nacional dentro de sus competencias. Y, por otro lado, es lógico que el régimen de un patrimonio adscrito a finalidades urbanísticas y nutrido a veces mediante el ejercicio de competencias urbanísticas use conceptos urbanísticos. Pues en una regulación de este tipo no se puede hacer abstracción del derecho vigente, y no hay en ello violación alguna del orden de competencias. </w:t>
      </w:r>
    </w:p>
    <w:p w:rsidR="008107C7" w:rsidRDefault="008107C7" w:rsidP="008107C7">
      <w:pPr>
        <w:pStyle w:val="TextoNormal"/>
      </w:pPr>
      <w:r>
        <w:t xml:space="preserve">También el art. 99.1 contiene otra base amparada en el art. 149.1.18 C.E. Esta norma, meramente permisiva o habilitante, faculta al planeamiento para prever reservas de terreno de posible adquisición con destino al patrimonio municipal del suelo. El efecto jurídico principal de esta reserva es el que prevé el art. 100: implica la declaración de utilidad pública y necesidad de la ocupación. Además, como es lógico, la previsión de reservas en el planeamiento orienta vinculantemente la actuación municipal a la adquisición de esos terrenos y no de otros. Así pues, por un lado, el art. 99.1 es competencialmente inocuo en cuanto prevé una mera posibilidad; por otro, precisa el supuesto fáctico de un artículo de aplicación plena, el 100; y, en fin, facilita un posible modo de integrar el patrimonio municipal del suelo, con lo que se extiende a él la justificación competencial dada respecto al art. 98. </w:t>
      </w:r>
    </w:p>
    <w:p w:rsidR="008107C7" w:rsidRDefault="008107C7" w:rsidP="008107C7">
      <w:pPr>
        <w:pStyle w:val="TextoNormal"/>
      </w:pPr>
      <w:r>
        <w:t xml:space="preserve">La Disposición adicional primera contiene una serie de reglas relativas a la esfera territorial de vigencia de la Ley. Ésta no se aplicará por igual en todos los Municipios españoles. En algunos se aplicará en su integridad; en los demás se aplicará sólo en parte, exactamente </w:t>
      </w:r>
      <w:r>
        <w:lastRenderedPageBreak/>
        <w:t xml:space="preserve">en la parte que precisa el apartado 3. Naturalmente, tanto en el caso de aplicación íntegra o total como en el caso de aplicación limitada o parcial, los preceptos de la Ley conservan el carácter básico, de aplicación plena o supletoria que resulta de la Disposición final primera. La Disposición adicional primera no regula materias urbanísticas, sino que establece reglas sobre la vigencia de preceptos dictados por las Cortes Generales. Aun cuando fueran inconstitucionales algunos de los preceptos impugnados en el recurso de inconstitucionalidad núm. 2.486/90, la Disposición adicional primera seguiría rigiendo para los demás. Menos aun cabe sostener que corresponda a las Comunidades Autónomas el decidir la aplicabilidad de las normas de la Ley según sea la dimensión de la población de los Municipios, porque las Comunidades Autónomas son radicalmente incompetentes para determinar cuál sea la vigencia y aplicabilidad de las normas estatales (STC 132/1989, fundamento jurídico 33). Como dice la STC 46/1990, fundamento jurídico 4º, "nunca un legislador autonómico puede disponer nada acerca del ámbito legislativo propio del legislador estatal, ni puede decir nada sobre el momento de entrada en vigor de las leyes del Estado", salvo, claro es, cuando las Cortes Generales le inviten a cooperar en la determinación de la vigencia espacial o temporal de preceptos estatales en su Comunidad Autónoma, como hace el apartado 2 de esta Disposición adicional primera o hizo en su día la Disposición adicional tercera de la Ley de Aguas de 1985 (SSTC 227/1988, fundamento jurídico 17, y 46/1990, fundamento jurídico 2º). El legislador nacional deja al criterio del legislador autonómico excluir o extender la íntegra aplicación de la Ley para ciertos Municipios de su Comunidad Autónoma, fiado de que el legislador autonómico podrá apreciar con mayor acierto los problemas urbanísticos peculiares de cada uno de aquéllos. </w:t>
      </w:r>
    </w:p>
    <w:p w:rsidR="008107C7" w:rsidRDefault="008107C7" w:rsidP="008107C7">
      <w:pPr>
        <w:pStyle w:val="TextoNormal"/>
      </w:pPr>
      <w:r>
        <w:t xml:space="preserve">Si la Disposición adicional primera contiene reglas que afectan a la esfera territorial de vigencia de la Ley, la Disposición adicional tercera modula la aplicación de algunos de sus preceptos por razón del destinatario. En cuanto ello afecta a la esfera personal de vigencia de la Ley, la competencia es inequívocamente estatal por las razones expuestas al estudiar la Disposición adicional primera. </w:t>
      </w:r>
    </w:p>
    <w:p w:rsidR="008107C7" w:rsidRDefault="008107C7" w:rsidP="008107C7">
      <w:pPr>
        <w:pStyle w:val="TextoNormal"/>
      </w:pPr>
      <w:r>
        <w:t xml:space="preserve">La Disposición adicional quinta regula el realojamiento de los ocupantes legales de inmuebles que hayan sido desalojados en ejecución de actuaciones urbanísticas. El apartado 3 de esta Disposición es un precepto materialmente civil dictado al amparo del art. 149.1.8 C.E. Los apartados 1 y 2 son más bien bases del régimen jurídico-administrativo establecidas con arreglo al art. 149.1.18 C.E. para garantizar un tratamiento común a los ocupantes legales de inmuebles que resulten afectados por actuaciones sistemáticas de carácter expropiatorio u otro tipo. En unos casos, la Ley obliga a la Administración actuante a proporcionar alojamiento y en otros no; pero en unos y otros casos el tratamiento de los ocupantes legales debe ser uniforme en todo el territorio español. También cabría amparar los apartados 1 y 2 en el art. 149.1.1 C.E. en relación con el art. 47 C.E. (derecho a disfrutar de "una vivienda digna y adecuada"). </w:t>
      </w:r>
    </w:p>
    <w:p w:rsidR="008107C7" w:rsidRDefault="008107C7" w:rsidP="008107C7">
      <w:pPr>
        <w:pStyle w:val="TextoNormal"/>
      </w:pPr>
      <w:r>
        <w:t xml:space="preserve">La Disposición adicional sexta modifica el tenor del art. 105.2, último párrafo, de la Ley del Suelo, precepto que ostenta carácter básico por las mismas razones que ya se han dado para los arts. 16, 19.1 y 2 ó 32 y ss., es decir, porque se amparan en el art. 149.1.1/18 C.E. La Disposición adicional novena modifica un precepto estatal posterior a la Constitución, el art. 2 del Real Decreto-ley 16/1981. Parece obvio que la competencia para ello sólo puede corresponder a los órganos centrales provistos del poder de dictar normas con fuerza de ley, entre los cuales se hallan, claro, las Cortes Generales (art. 66.2 C.E.). Por otro lado, en la Disposición adicional novena se plasma la decisión tomada por el legislador nacional de terminar con una situación anómala en la clasificación de suelo urbano, originada por la existencia de planeamiento no adaptado aún a la Ley 19/1975, de 2 de mayo. Se acude para </w:t>
      </w:r>
      <w:r>
        <w:lastRenderedPageBreak/>
        <w:t xml:space="preserve">ello a una medida (que sólo tiene razón de ser en cuanto se extienda a toda España) consistente en sujetar la clasificación de suelo urbano a un particular procedimiento administrativo (aprobación de un proyecto de delimitación). Por ello, cabe considerar a esta Disposición como base de régimen jurídico administrativo con que se garantiza el igual tratamiento de los propietarios de estos terrenos, aquellos a los que afecta la Disposición. Esta queda así amparada por el art. 149.1.18 C.E. </w:t>
      </w:r>
    </w:p>
    <w:p w:rsidR="008107C7" w:rsidRDefault="008107C7" w:rsidP="008107C7">
      <w:pPr>
        <w:pStyle w:val="TextoNormal"/>
      </w:pPr>
      <w:r>
        <w:t xml:space="preserve">Las Disposiciones transitorias primera, cuarta, 1, quinta y sexta se atacan exclusivamente por su conexión con otros preceptos de la Ley declarados básicos. Justificado ya que esos preceptos son materialmente básicos, lo mismo habrá que decir de estas Disposiciones transitorias. Las Disposiciones transitorias primera, cuarta, 1, y quinta tienen que ver, sobre todo, con el régimen del aprovechamiento urbanístico. La Disposición transitoria sexta es una norma que garantiza la incorporación al patrimonio de cierto tipo de edificación, añadiendo la regla especial de valoración. </w:t>
      </w:r>
    </w:p>
    <w:p w:rsidR="008107C7" w:rsidRDefault="008107C7" w:rsidP="008107C7">
      <w:pPr>
        <w:pStyle w:val="TextoNormal"/>
      </w:pPr>
      <w:r>
        <w:t xml:space="preserve">I) Entrando en el examen del apartado 2º de la Disposición final primera, la mayor oposición se ha suscitado acerca del alcance de la reserva al Estado de la legislación sobre expropiación forzosa (art. 149.1.18 C.E.). Casi todos los recursos recuerdan la doctrina de la STC 37/1987, fundamento jurídico 6º, pero no la interpretan acertadamente. Estudiada esta doctrina, puede sostenerse, en primer lugar, que las llamadas expropiaciones urbanísticas o por razón de urbanismo pueden ser procedimientos expropiatorios especiales, y así ocurre en la legislación vigente. Pero su regulación compete al Estado, pues sólo éste puede regular las diversas variantes de la institución expropiatoria y los distintos tipos o modalidades de expropiación, según afirma expresamente la Sentencia citada. En segundo lugar, la competencia estatal en materia de expropiaciones urbanísticas incluye los criterios y sistema de valoración del justiprecio con el fin de impedir que los bienes objeto de expropiación puedan ser evaluados con criterios diferentes en unas y otras partes del territorio nacional, y todo lo relativo al procedimiento expropiatorio (en sentido complejo o global) considerado, ante todo, desde la perspectiva garantista. El procedimiento incluye también la fase de declaración de utilidad pública o interés social. En tercer lugar, la legislación urbanística de competencia autonómica desempeña el carácter de legislación sectorial a los efectos de la definición de causas expropiatorias. Por ende, los órganos de la Comunidad Autónoma competente para ello podrán definirlas en concreto o participar en su definición, respetando siempre las normas estatales sobre expropiaciones urbanísticas. Dicho esto, procede, sin más iniciar el estudio de los preceptos declarados de aplicación plena por el apartado 2 de la Disposición final primera, siempre que hayan sido objeto de impugnación especial. </w:t>
      </w:r>
    </w:p>
    <w:p w:rsidR="008107C7" w:rsidRDefault="008107C7" w:rsidP="008107C7">
      <w:pPr>
        <w:pStyle w:val="TextoNormal"/>
      </w:pPr>
      <w:r>
        <w:t>El art. 21 es, sin duda, una importante regla en materia de responsabilidad patrimonial de Derecho Público (art. 106.2 C.E.), pero no es la única regulación indemnizatoria contenida en la Ley 8/1990. Ya se han mencionado los arts. 86 a 89 de la Ley, en relación con los cuales se hicieron algunas precisiones sobre el "sistema de responsabilidad de todas las Administraciones Públicas" como título de competencia estatal (art. 149.1.18 C.E.). Pero los arts. 86 a 89 son preceptos básicos, mientras que el art. 21 es de aplicación plena. ¿Cómo explicar, pues, que un mismo título competencial sirva para amparar dos tipos de normas, unas que permiten un desarrollo autonómico diferenciado (arts. 86 a 89) y otra no (art. 21)? La dificultad puede ser superada con una interpretación razonable del título de competencia estatal, de los preceptos estatutarios relacionados con él [como el art. 57 a) L.O.R.A.F.N.A.) y de los artículos de la Ley 8/1990 que se acaban de citar. El carácter básico de los arts. 86 a 89 es un modo de decir que la percepción normativa del especial régimen de responsabi</w:t>
      </w:r>
      <w:r>
        <w:lastRenderedPageBreak/>
        <w:t xml:space="preserve">lidad contenido en ellos requiere indispensablemente la colaboración de la legislación urbanística y del planeamiento. El carácter de aplicación plena atribuido al art. 21 envuelve no tanto la imposibilidad de que puedan existir otros supuestos de responsabilidad relacionados con la intervención administrativa en la actividad edificatoria, cuanto la formulación de estos dos mandatos sin posible desarrollo legislativo autonómico ulterior: primero, que en las tres hipótesis enumeradas (anulación de licencia, demora injustificada en otorgarla, denegación improcedente) el resarcimiento de daños procederá en los casos y con la concurrencia de los requisitos establecidos en las normas que regulan con carácter general dicha responsabilidad, no en otros términos, con otros requisitos o según otras normas. Y, segundo mandato, que no habrá lugar a indemnización por dolo, culpa o negligencia graves imputables al perjudicado, sin que esta exclusión admita ampliaciones o desarrollos. </w:t>
      </w:r>
    </w:p>
    <w:p w:rsidR="008107C7" w:rsidRDefault="008107C7" w:rsidP="008107C7">
      <w:pPr>
        <w:pStyle w:val="TextoNormal"/>
      </w:pPr>
      <w:r>
        <w:t xml:space="preserve">El art. 29.2 es una norma claramente registral inmobiliaria, que se ampara en el art. 149.1.8 C.E. La Junta de Castilla y León asevera que este precepto debería haber sido "más abstracto", pero no pasa de ser ello sugerencia técnica y no razón de inconstitucionalidad. El art. 29.2 se relaciona, cierto, con el art. 15.3 (precepto supletorio), lo que convierte al primero en un precepto condicionado: será aplicable si y cuando deban los Ayuntamientos expedir la certificación del art. 15.3 por no disponer otra cosa la legislación autonómica. La argumentación del recurso de inconstitucionalidad núm. 2.486/90 sólo es comprensible si se considera que se ha cometido un lapsus al decir "estatal" por "autonómico" en la frase "también el legislador estatal puede definir los supuestos accesibles al Registro de la Propiedad siempre que se acomode a las reglas que disciplinan dicha institución". Aunque esta tesis fuera correcta -y no lo es tal y como está formulada-, no se sigue de ella que las Cortes Generales no pudieran dictar el art. 29.2, que no contiene una simple regla de acceso al Registro de la Propiedad de unos ciertos actos, sino que establece el tipo de asiento registral que ha de practicarse e impone un deber de colaboración con el Registro. </w:t>
      </w:r>
    </w:p>
    <w:p w:rsidR="008107C7" w:rsidRDefault="008107C7" w:rsidP="008107C7">
      <w:pPr>
        <w:pStyle w:val="TextoNormal"/>
      </w:pPr>
      <w:r>
        <w:t xml:space="preserve">Los arts. 57.1 b) y 2 b), 58, 60 y 62.2 se basan en la competencia estatal para dictar normas de expropiación forzosa en todas sus variantes, tipos y modalidades (STC 37/1987, fundamento jurídico 6º), según razona el Abogado del Estado a continuación. </w:t>
      </w:r>
    </w:p>
    <w:p w:rsidR="008107C7" w:rsidRDefault="008107C7" w:rsidP="008107C7">
      <w:pPr>
        <w:pStyle w:val="TextoNormal"/>
      </w:pPr>
      <w:r>
        <w:t xml:space="preserve">En cuanto a los arts. 66 a 73, que integran el Título Segundo de la Ley ("Valoraciones"), los criterios de valoración de los arts. 66 a 72 y concordantes "regirán cualquiera que sea la finalidad que motive la expropiación y la legislación, urbanística o de otro carácter, que la legitime", dice el art. 73. Es este un precepto que indiscutiblemente corresponde dictar al Estado y sólo a él con arreglo al art. 149.1.18 C.E., ya que, según la STC 37/1987, fundamento jurídico 6º, únicamente la Ley estatal puede establecer "los criterios y sistema de valoración del justiprecio" para impedir que los bienes objeto de expropiación "puedan ser evaluados con criterios diferentes en unas y otras partes del territorio nacional". En efecto, el régimen de valoraciones constituye parte fundamental del régimen expropiatorio, lo que obliga a integrar los arts. 66 a 72 con los arts. 81 a 85; hay tan perfecta continuidad entre uno y otro grupo de preceptos que su inclusión en Títulos diferentes no deja de producir la impresión de división o distribución artificiosa, quizás sólo explicable por la regla de extensión del régimen de valoración contenida en el art. 73. Por ello, todo el Título Segundo queda amparado en la competencia estatal para regular la expropiación forzosa. </w:t>
      </w:r>
    </w:p>
    <w:p w:rsidR="008107C7" w:rsidRDefault="008107C7" w:rsidP="008107C7">
      <w:pPr>
        <w:pStyle w:val="TextoNormal"/>
      </w:pPr>
      <w:r>
        <w:t xml:space="preserve">Del Título Tercero ("Expropiaciones") son preceptos de aplicación plena los arts. 74, 75, 78 y 81 a 85. El art. 74 permite aplicar el procedimiento de tasación conjunta (apartado 1), habilita para pagar el justiprecio in natura en ciertas hipótesis (apartado 2) y establece una consecuencia jurídica de la liberación de expropiaciones; los dos primeros apartados tienen incidencia en el régimen del justiprecio (competencia estatal: STC 37/1987, fundamento jurídico 6º) y el tercero determina la consecuencia jurídica del levantamiento de la sujeción </w:t>
      </w:r>
      <w:r>
        <w:lastRenderedPageBreak/>
        <w:t xml:space="preserve">a la potestad expropiatoria. El art. 75 excluye el derecho de reversión en ciertos supuestos y lo permite expresamente en otros; aunque la reversión no esté dentro de la garantía constitucional expropiatoria [SSTC 166/1986, fundamento jurídico 13 a), y 67/1988, fundamento jurídico 6º], sí puede ser una garantía legal del cumplimiento de la causa de expropiación, cuya procedencia o exclusión, por ende, corresponde al legislador nacional. Los arts. 81 y 85 son normas de determinación del justiprecio, clara competencia estatal (STC 37/1987, fundamento jurídico 6º). En cuanto al art. 78, es necesario subrayar con energía que este precepto no impide que la legislación autonómica urbanística puede añadir nuevas causas de expropiar a las expresamente incluidas en los apartados 1 y 2. Al contrario: la letra f) del apartado 2 lo presupone, ya que entre "los demás supuestos legalmente previstos" se contarán los que lo sean en la legislación autonómica, incluida la urbanística. En ese sentido, no se impide a las Comunidades Autónomas "complementar" el art. 78. El verdadero problema está en que, por haber malentendido la doctrina de la STC 37/1987, fundamento jurídico 6º, algunas Comunidades Autónomas sostienen que les corresponde en materia urbanística un auténtico monopolio en la definición legal de las causas de expropiar. Y no es así. El Estado, en efecto, es competente para establecer las garantías que deben observarse en la definición de las causas de expropiar por cualquier órgano de los poderes públicos. Estas garantías pueden no sólo ser formales, sino también materiales. Así, el legislador nacional podrá determinar categorías o clases de supuestos en que cabe acudir a la expropiación, o establecer casos en que queda excluida la expropiación según se den o no ciertos requisitos, o fijar hipótesis en que cabe poner fin al sometimiento de ciertos bienes a la potestad expropiatoria. La previsión de categorías o clases de causas de expropiar no queda reservada (y menos aun por la Constitución) a la "legislación sectorial", estatal o autonómica, sino que también cabe hacerla en la legislación expropiatoria, sea al regular el procedimiento general, sea al regular procedimientos especiales. El repertorio de causas de expropiar de los apartados 1 y 2 del art. 78 ha podido, pues, ser establecido por las Cortes en virtud del art. 149.1.18 C.E. Estos apartados tienen importancia decisiva en la modelación del instituto expropiatorio aplicado al campo urbanístico, haciéndolo aparecer revestido de funciones muy diversas. También por esta vía, es decir, por el valor configurador del instituto que revisten los apartados 1 y 2 del art. 78, podría justificarse la competencia estatal para dictarlo. Sin el apartado 1, por ejemplo, quedaría claudicante la delimitación básica de la función social de la propiedad urbanística efectuada por la Ley al amparo del art. 149.1.1 C.E. en relación con el art. 33.1 y 2 C.E. La legitimación de las expropiaciones por incumplimiento de la función social de la propiedad no puede quedar al arbitrio de cada legislador autonómico, de manera que tenga mayor o menor extensión y alcance, según la libre apreciación de cada Comunidad Autónoma. El art. 78 no sólo contiene un repertorio de causas de expropiar. También incluye reglas de justiprecio o impone condicionamientos temporales o formales a la operación de ciertas causas de expropiar. Todo lo cual queda también encuadrado en la competencia expropiatoria estatal. </w:t>
      </w:r>
    </w:p>
    <w:p w:rsidR="008107C7" w:rsidRDefault="008107C7" w:rsidP="008107C7">
      <w:pPr>
        <w:pStyle w:val="TextoNormal"/>
      </w:pPr>
      <w:r>
        <w:t xml:space="preserve">El último de los artículos de aplicación plena es el art. 100, que dispone que la delimitación de un terreno como reserva para la constitución o ampliación del patrimonio municipal del suelo implicará la declaración de utilidad pública y la necesidad de ocupación. No puede dudarse que está dentro de la competencia estatal en materia expropiatoria el determinar hipótesis en que un determinado acto tiene por efecto, implícito, el cumplimiento de las dos primeras fases del procedimiento expropiatorio global. También son de aplicación plena las Disposiciones adicionales séptima, octava y décima, pero ninguna de ellas ha sido especialmente recurrida. </w:t>
      </w:r>
    </w:p>
    <w:p w:rsidR="008107C7" w:rsidRDefault="008107C7" w:rsidP="008107C7">
      <w:pPr>
        <w:pStyle w:val="TextoNormal"/>
      </w:pPr>
      <w:r>
        <w:lastRenderedPageBreak/>
        <w:t xml:space="preserve">J) El apartado 3 de la Disposición final primera declara de aplicación supletoria los demás preceptos en defecto de regulación específica por las Comunidades Autónomas en ejercicio de sus competencias. Esta Disposición es superflua, considerando estrictamente las cosas. Si el apartado 3 de la Disposición final primera hubiera sido omitido, y la Disposición final constara solamente de dos apartados, la simple aplicación del art. 149.3 C.E. otorgaría carácter supletorio a los preceptos no citados en los apartados 1 y 2. Basta con ello para demostrar que no puede ser inconstitucional el que, por razones de seguridad jurídica (art. 9.3 C.E.), se haya incluido una declaración expresa de supletoriedad. Pese a la claridad del asunto, conviene hacer algunas consideraciones generales sobre el problema. La garantía constitucional contenida en el último inciso del art. 149.3 C.E. representa una de las grandes opciones jurídicas del constituyente; una opción que constituye uno de los pilares de la unidad jurídica nacional. La supletoriedad general del derecho del Estado es un formidable instrumento para reintegrar a la unidad el pluralismo jurídico ínsito en nuestro Estado compuesto. Ciertamente, y como ha dicho el Tribunal, aunque la cláusula no atribuye competencias sobre cualquier materia a favor del Estado, sino que es una regla ordenadora de la preferencia en la aplicación de las normas en el Estado compuesto configurado por la Constitución [SSTC 15/1989, fundamento jurídico 1º, y 103/1989, fundamento jurídico 4º a)], ocurre que, tratándose de normas estatales, la distribución constitucional y estatutaria de las materias competenciales entre el Estado y las Comunidades Autónomas nunca alcanza virtualidad invalidatoria, sino, únicamente, determina "el grado de aplicación (supletoria o directa)" [STC 103/1989, fundamento jurídico 4º c)]. Dicho de otro modo, una norma estatal no puede ser invalidada por motivos competenciales; sólo cabe determinar cuál es el grado en que se aplica. Por esta razón y en este sentido, es lícito afirmar que las Cortes Generales, como titulares de la potestad legislativa del Estado (art. 66.2 C.E.), "pueden legislar, en principio, sobre cualquier materia sin necesidad de poseer un título específico para ello" (STC 76/1983, fundamento jurídico 4º). Y así, las SSTC 227/1988, fundamento jurídico 30, y 103/1989, fundamento jurídico 3º, interpretan una Disposición similar a la transitoria quinta del E.A. de Aragón (invocada en el recurso de inconstitucionalidad núm. 2.486/90) en el sentido de que el carácter supletorio del derecho estatal preconstitucional no impide su modificación por las Cortes Generales. </w:t>
      </w:r>
    </w:p>
    <w:p w:rsidR="008107C7" w:rsidRDefault="008107C7" w:rsidP="008107C7">
      <w:pPr>
        <w:pStyle w:val="TextoNormal"/>
      </w:pPr>
      <w:r>
        <w:t xml:space="preserve">Esta doctrina constitucional hace improsperables los argumentos de los recurrentes contra la Disposición final primera, 3. El recurso de inconstitucionalidad núm. 2.479/90 parte de una premisa errónea, ya que niega al apartado 3 de la Disposición final primera un fundamento (las competencias "supletorias" del Estado) que nadie ha invocado y en el que no se apoya aquel precepto. El recurso de inconstitucionalidad núm. 2.486/90 incurre en el mismo error y hace caso omiso de la jurisprudencia constitucional en la materia, en particular cuando invoca la Disposición transitoria quinta del E.A. de Aragón en un sentido que no concuerda con la doctrina de la STC 103/1989. Sostiene, por lo demás, una tesis inaceptable por contradictoria con el sentido de la cláusula constitucional de supletoriedad tal y como la ha interpretado este Tribunal, puesto que pretende limitar a unos evanescentes "principios fundamentales del Estado" la función integradora inherente a todo el derecho estatal. Nada hay en la Constitución que imponga como día en que comenzará a desplegarse la eficacia supletoria del derecho estatal aquel en que la Comunidad Autónoma se considere dotada de un ordenamiento propio más o menos perfecto, criterio absolutamente inseguro e inmanejable en la práctica aplicativa. Lo contrario es más cierto: la eficacia supletoria del derecho estatal deberá ser tanto más asegurada cuanto más imperfectos y lagunosos sean los ordenamientos autonómicos, y por tanto cuanto más disten de esa "perfección", sea ello por las </w:t>
      </w:r>
      <w:r>
        <w:lastRenderedPageBreak/>
        <w:t xml:space="preserve">razones que fueran. En cuanto al recurso de inconstitucionalidad núm. 2.488/90, es innecesario examinar en detalle sus razonamientos, por cuanto el Gobierno canario no acordó impugnar el apartado 3 de la Disposición final primera, sino sólo sus apartados 1 y 2 y eso en parte (véase su Acuerdo de 18 de octubre de 1990). La inclusión del apartado 3 de la Disposición final primera en la demanda de inconstitucionalidad es, pues, otro exceso del Letrado del Gobierno canario. Con todo, cabe observar que, aunque la relación de supletoriedad pueda concebirse teóricamente como relación entre ordenamientos, los problemas de supletoriedad se plantean al aplicar normas particulares y concretas; que la Constitución no da base para diferenciar entre las razones por las que se origina en el derecho autonómico la laguna que es llenada por la aplicación supletoria del derecho estatal; y, en fin, que el sentido que ha querido darse al apartado 3 de la Disposición final primera es declarar expresamente la eficacia supletoria de ciertas normas de derecho estatal en plena conformidad con el art. 149.3 C.E. </w:t>
      </w:r>
    </w:p>
    <w:p w:rsidR="008107C7" w:rsidRDefault="008107C7" w:rsidP="008107C7">
      <w:pPr>
        <w:pStyle w:val="TextoNormal"/>
      </w:pPr>
      <w:r>
        <w:t xml:space="preserve">K) Para terminar, es menester referirse a las dos impugnaciones de la Ley de carácter íntegro o global. La impugnación global hecha en el recurso de inconstitucionalidad núm. 2.477/90 descansa en la ineptitud de los títulos competenciales de los núms. 1, 8, 13, 18 y 23 del art. 149.1 C.E. para dictar la Ley 8/1990. Sin embargo, ha quedado demostrado que no es así en las alegaciones anteriores, a las que procede remitirse. En el recurso de inconstitucionalidad núm. 2.479/90 es difícil aislar un solo razonamiento preciso de inconstitucionalidad, y menos aún un razonamiento apropiado a la desmesurada petición de que se declare inconstitucional la Ley "en su totalidad". En su mayor parte, la demanda se limita a citar el Preámbulo de la Ley y a resumir muy a grandes trazos su contenido. En efecto, los dos primeros motivos del recurso pueden compendiarse del modo siguiente. El Estado "no conserva ninguna competencia urbanística", luego la Ley "sólo puede ser constitucional si su contenido no es urbanístico y responde al ejercicio de alguna de las competencias exclusivas del Estado". De aquí se infiere que los Capítulos V y VII del Título Primero de la Ley son urbanísticos y que los Capítulos I a IV del mismo Título tampoco pueden ser básicos porque "el derecho de propiedad no debe integrarse en el derecho urbanístico, sino en la legislación civil". Hubiera bastado con "modificar los artículos de la Ley del Suelo que regulan los derechos y deberes del propietario del suelo". Estas afirmaciones pueden entenderse contestadas con las alegaciones anteriores. Las preferencias sobre técnicas legislativas no pueden confundirse con vicios de inconstitucionalidad. Se hace desde luego una referencia a los arts. 86 a 89 de la Ley, pero no cabe decir que se los impugne. Tampoco pueden decirse impugnados los preceptos de los Títulos Segundo y Tercero de la Ley. Se aduce, por fin, el carácter urbanístico de los preceptos básicos del Capítulo X del Título Primero (por error se dice Capítulo IX) y del Título Sexto. Puede considerarse contestada esta objeción asimismo en las alegaciones anteriores. </w:t>
      </w:r>
    </w:p>
    <w:p w:rsidR="008107C7" w:rsidRDefault="008107C7" w:rsidP="008107C7">
      <w:pPr>
        <w:pStyle w:val="TextoNormal"/>
      </w:pPr>
      <w:r>
        <w:t xml:space="preserve">En el recurso de inconstitucionalidad núm. 2.479/90 se citan la STC 37/1987 y algunas opiniones doctrinales, pero no se añade nada nuevo a lo que ha quedado ya consignado. </w:t>
      </w:r>
    </w:p>
    <w:p w:rsidR="008107C7" w:rsidRDefault="008107C7" w:rsidP="008107C7">
      <w:pPr>
        <w:pStyle w:val="TextoNormal"/>
      </w:pPr>
      <w:r>
        <w:t>Concluye el Abogado del Estado su muy extenso escrito de alegaciones con la súplica de que se dicte en su día Sentencia desestimatoria en su totalidad de los recursos de inconstitucionalidad acumulados.</w:t>
      </w:r>
    </w:p>
    <w:p w:rsidR="008107C7" w:rsidRDefault="008107C7" w:rsidP="008107C7">
      <w:pPr>
        <w:pStyle w:val="TextoNormal"/>
      </w:pPr>
    </w:p>
    <w:p w:rsidR="008107C7" w:rsidRDefault="008107C7" w:rsidP="008107C7">
      <w:pPr>
        <w:pStyle w:val="TextoNormal"/>
      </w:pPr>
      <w:r w:rsidRPr="008107C7">
        <w:rPr>
          <w:rStyle w:val="NumeroAFNegritaCaracter"/>
        </w:rPr>
        <w:t>23</w:t>
      </w:r>
      <w:r>
        <w:t xml:space="preserve">. La Sección Segunda del Tribunal, por providencia de 16 de julio de 1991, acordó dar vista a los recurrentes y al Abogado del Estado de los expedientes de elaboración de la Ley impugnada recibidos del Congreso de los Diputados y del Senado, al objeto de que, en </w:t>
      </w:r>
      <w:r>
        <w:lastRenderedPageBreak/>
        <w:t>el plazo de diez días, pudieran examinarlos y formular las alegaciones que estimaren convenientes al respecto. El Abogado del Estado evacuó el trámite conferido mediante escrito registrado el 25 de julio siguiente.</w:t>
      </w:r>
    </w:p>
    <w:p w:rsidR="008107C7" w:rsidRDefault="008107C7" w:rsidP="008107C7">
      <w:pPr>
        <w:pStyle w:val="TextoNormal"/>
      </w:pPr>
    </w:p>
    <w:p w:rsidR="008107C7" w:rsidRDefault="008107C7" w:rsidP="008107C7">
      <w:pPr>
        <w:pStyle w:val="TextoNormal"/>
      </w:pPr>
      <w:r w:rsidRPr="008107C7">
        <w:rPr>
          <w:rStyle w:val="NumeroAFNegritaCaracter"/>
        </w:rPr>
        <w:t>24</w:t>
      </w:r>
      <w:r>
        <w:t>. Por providencia de 16 de noviembre de 1992, acordó la Sección incorporar a las actuaciones, a los efectos procedentes, el escrito del Procurador don Ignacio Argos Linares mediante el que, con la copia del poder que acompaña, pide se le tenga por personado, en sustitución de su compañero don Rafael Torrente Ruíz, en el recurso de inconstitucionalidad planteado por el Consejo de Gobierno de la Diputación Regional de Cantabria.</w:t>
      </w:r>
    </w:p>
    <w:p w:rsidR="008107C7" w:rsidRDefault="008107C7" w:rsidP="008107C7">
      <w:pPr>
        <w:pStyle w:val="TextoNormal"/>
      </w:pPr>
    </w:p>
    <w:p w:rsidR="008107C7" w:rsidRDefault="008107C7" w:rsidP="008107C7">
      <w:pPr>
        <w:pStyle w:val="TextoNormal"/>
      </w:pPr>
      <w:r w:rsidRPr="008107C7">
        <w:rPr>
          <w:rStyle w:val="NumeroAFNegritaCaracter"/>
        </w:rPr>
        <w:t>25</w:t>
      </w:r>
      <w:r>
        <w:t xml:space="preserve">. El Consejo de Gobierno de la Comunidad Autónoma de las Islas Baleares, representado por el Letrado Jefe de su Asesoría Jurídica don Pedro A. Aguiló Monjo, interpuso, mediante escrito registrado el 29 de septiembre de 1992, recurso de inconstitucionalidad, "desde un punto de vista formal", contra la totalidad del Real Decreto Legislativo 1/1992, de 26 de junio ("Boletín Oficial del Estado" núm. 156, de 30 de junio), y, en cuanto a su contenido, contra los apartados 1 y 2 de su Disposición final única, en relación a los respectivos artículos que se habrían de señalar. Ello con arreglo a la siguiente fundamentación: </w:t>
      </w:r>
    </w:p>
    <w:p w:rsidR="008107C7" w:rsidRDefault="008107C7" w:rsidP="008107C7">
      <w:pPr>
        <w:pStyle w:val="TextoNormal"/>
      </w:pPr>
      <w:r>
        <w:t xml:space="preserve">A) La Disposición final segunda de la Ley 8/1990, de 25 de julio, sobre Reforma del Régimen Urbanístico y Valoraciones del Suelo estableció, al amparo de lo dispuesto en el art. 82 C.E., una delegación legislativa al Gobierno de la Nación para que en el plazo de un año, desde la publicación de dicha Ley, aprobara un Texto Refundido de las disposiciones estatales vigentes sobre suelo y ordenación urbana, que incluía la facultad de "regularizar, aclarar y armonizar" las disposiciones refundidas. Es claro, sin embargo, que dicha Ley no autoriza "ampliación" alguna en relación con el contenido de las disposiciones refundidas. Transcurrido el plazo otorgado sin que el Gobierno hiciera uso de la autorización otorgada por el legislador, y al objeto de salvar tal situación, la Ley de Presupuestos Generales del Estado para 1992 -Ley 31/1991, de 30 de diciembre-, en su Disposición final quinta, textualmente establece: "El Gobierno podrá hacer uso de la autorización establecida en la Disposición Final Segunda de la Ley 8/1990, de 25 de julio, para aprobar el Texto Refundido de las disposiciones estatales vigentes sobre suelo y ordenación urbana, durante los seis primeros meses de 1992". A primera vista podría parecer que nada se opone a la "prórroga" otorgada tras el primer incumplimiento. Pero ocurre que, habiéndose agotado el plazo inicialmente otorgado por el legislador al Gobierno, aquél no puede prorrogarse, ni mucho menos abrirse de nuevo, mediante una disposición incluida en la Ley anual de Presupuestos del Estado. Ello es así porque las Leyes de Presupuestos contienen unos límites materiales que impiden incluir en ellas, injustificadamente, materias no relacionadas con la disciplina presupuestaria, tal y como ha venido decantando la doctrina del Tribunal Constitucional en SSTC como la 63/1986, fundamento jurídico 5º, la 65/1987 y la de 18 de mayo de 1992, fundamento jurídico 4º. Por consiguiente, la autorización contenida en la Disposición final quinta de la Ley 31/1991 es nula por inconstitucional. Y no existiendo autorización, al haber precluido el plazo contenido en la propia Ley 8/1990, no podía el Gobierno, en ese momento, proceder a la refundición autorizada en su día. </w:t>
      </w:r>
    </w:p>
    <w:p w:rsidR="008107C7" w:rsidRDefault="008107C7" w:rsidP="008107C7">
      <w:pPr>
        <w:pStyle w:val="TextoNormal"/>
      </w:pPr>
      <w:r>
        <w:t xml:space="preserve">B) Tanto la Ley 8/1990 como el Real Decreto Legislativo 1/1992 inciden, desde su propia denominación respectiva, sobre la materia del urbanismo que la Constitución incluyó en el art. 148.1.3, permitiendo que fuera asumida por todas las Comunidades Autónomas en sus correspondientes Estatutos de Autonomía. A mayor abundamiento, el art. 149.1 C.E. no contiene referencia alguna a la materia del urbanismo, lo que conlleva que no exista reserva alguna al respecto en favor del Estado. En concreto, según el art. 10.3 del E.A. de las Islas </w:t>
      </w:r>
      <w:r>
        <w:lastRenderedPageBreak/>
        <w:t xml:space="preserve">Baleares, corresponde a la Comunidad Autónoma la competencia exclusiva sobre "ordenación del territorio, incluido el litoral, urbanismo y vivienda". Es claro que ello no supone, por sí mismo, que el Estado no pueda alegar otros títulos competenciales que le permitan "incidir" sobre la materia urbanística, pero en ningún caso le permitirán "regularla", al no ostentar competencia específica, que debe prevalecer en caso de concurrencia, en aplicación de reiterada jurisprudencia constitucional. Por otra parte, si bien el Real Decreto Legislativo cumple la doctrina constitucional que exige la concreción de los preceptos que tienen la consideración de normativa básica (apartado 1 de la Disposición final única), y de aquellos otros que son de aplicación plena (apartado 2), la justificación de uno u otro carácter a través de los títulos competenciales utilizados por el Estado se realiza mediante la cita global y genérica, respectivamente, de lo previsto en el art. 149.1.1, 8, 13 y 23 (apartado 1) y en el art. 149.1.8 y 18 (apartado 2), lo que hace prácticamente imposible determinar el título competencial que ampara la calificación de cada uno de los preceptos. Debe añadirse, por último, que el Real Decreto Legislativo no resulta inocuo desde el punto de vista del enjuiciamiento constitucional, no sólo por introducir innovaciones en el ordenamiento urbanístico estatal sin competencia que las ampare, sino por incorporar y derogar el contenido de la Ley 8/1990, lo que reproduce, y obliga a plantear, las causas de inconstitucionalidad de que adolecía aquélla. </w:t>
      </w:r>
    </w:p>
    <w:p w:rsidR="008107C7" w:rsidRDefault="008107C7" w:rsidP="008107C7">
      <w:pPr>
        <w:pStyle w:val="TextoNormal"/>
      </w:pPr>
      <w:r>
        <w:t xml:space="preserve">La competencia autonómica en materia de urbanismo, derivada del art. 148.3 C.E. y del art. 10.3 E.A. de las Islas Baleares, resulta especialmente amplia e intensa, comportando, según el art. 45 E.A. de las Islas Baleares, la potestad legislativa, la potestad reglamentaria y la función ejecutiva, incluida la inspección. Coherentemente con ello, el art. 149.1 C.E. no establece reserva alguna a la actuación exclusiva del Estado y fueron traspasados la totalidad de medios personales y materiales adscritos al ejercicio de la competencia urbanística en Baleares. Dicha competencia, que tiene por objeto "la actividad consistente en la delimitación de los diversos usos a que puede destinarse el suelo o el espacio físico territorial" (STC 77/1987), opera necesariamente sobre la propiedad del suelo, configurando el concepto de "propiedad urbanística" que se adquiere progresiva y gradualmente por el propietario a medida que cumplimenta sucesivamente los deberes y cargas urbanísticas que le impone el planeamiento. Tal configuración se hallaba ya presente en la Ley 19/1975 y en el Texto Refundido aprobado por Real Decreto 1.346/1976, que constituían la legislación urbanística estatal preconstitucional. Es lógico concluir que el constituyente, al posibilitar la atribución a las Comunidades Autónomas, en forma exclusiva, de la competencia sobre el urbanismo, englobara, bajo tal materia, la totalidad de las facultades que la legislación entonces vigente comprendía y, entre ellas, desde luego, la determinación y configuración de la propiedad urbanística, lo cual supone que el establecimiento de las limitaciones y deberes inherentes a la función social de la propiedad (art. 33.2 C.E.) corresponde, respetando su núcleo esencial, a quienes tienen competencia en relación con las distintas materias que inciden sobre el contenido de la propiedad, entendida como derecho subjetivo y como derecho real, que es el ámbito propio de la competencia exclusiva del Estado en materia de legislación civil en los términos del art. 149.1.8 C.E. El alcance y amplitud de esta competencia urbanística resulta corroborado por distintas SSTC, entre las que destaca la STC 37/1987 (en especial, sus fundamentos jurídicos 2º y 8º). Además, la competencia urbanística ha sido profundamente ejercitada, con rango legislativo, por las distintas Comunidades Autónomas. </w:t>
      </w:r>
    </w:p>
    <w:p w:rsidR="008107C7" w:rsidRDefault="008107C7" w:rsidP="008107C7">
      <w:pPr>
        <w:pStyle w:val="TextoNormal"/>
      </w:pPr>
      <w:r>
        <w:t xml:space="preserve">Como se ha dicho, los apartados 1 y 2 de la Disposición final única del Real Decreto Legislativo se fundamentan en distintos títulos competenciales en favor del Estado. Ahora </w:t>
      </w:r>
      <w:r>
        <w:lastRenderedPageBreak/>
        <w:t xml:space="preserve">bien, el alcance del art. 149.1.1 C.E. en relación al presente caso se agota en la determinación de las condiciones de ejercicio del derecho de propiedad que, por tener el carácter de esenciales, deben aplicarse en la totalidad del territorio estatal, no pudiendo por lo tanto establecerse -ni realmente desarrollarse- desde las competencias autonómicas. En tales términos no parece posible que el art. 149.1.1 fundamente una legislación básica (que es lo que se deriva del apartado 1 de la Diposición final única) referida a la propiedad urbanística, ya que el mínimo esencial común que posibilita se agota en sí mismo y no admite desarrollo autonómico. En cualquier caso, el art. 149.1.1 no permite "regular", ni siquiera como legislación básica, la materia relativa a la propiedad urbanística en su integridad. </w:t>
      </w:r>
    </w:p>
    <w:p w:rsidR="008107C7" w:rsidRDefault="008107C7" w:rsidP="008107C7">
      <w:pPr>
        <w:pStyle w:val="TextoNormal"/>
      </w:pPr>
      <w:r>
        <w:t xml:space="preserve">En cuanto al título del art. 149.1.8 C.E., debe distinguirse la regulación del derecho real de propiedad, como derecho subjetivo, e incluso la declaración genérica y esencial de su contenido y limitaciones básicas (competencia exclusiva del Estado), de la regulación de la delimitación de su función social, que corresponde, como derecho público, al Estado o a las Comunidades Autónomas en función de la titularidad de la competencia que se actúe. Así resulta de las SSTC 227/1988, fundamento jurídico 22, y 37/1987. Por tanto, la conclusión sólo puede ser la de que el art. 149.1.8 no permite al Estado regular la propiedad urbanística, sino únicamente el derecho real de propiedad, como derecho subjetivo, por lo que, sólo en este limitado ámbito, en relación al Real Decreto Legislativo 1/1992, servirá de título para imponer el carácter básico de un precepto o su aplicación plena. En tanto en cuanto así no ocurra cabrá sostener la inconstitucionalidad de los correspondientes preceptos. </w:t>
      </w:r>
    </w:p>
    <w:p w:rsidR="008107C7" w:rsidRDefault="008107C7" w:rsidP="008107C7">
      <w:pPr>
        <w:pStyle w:val="TextoNormal"/>
      </w:pPr>
      <w:r>
        <w:t xml:space="preserve">Por lo que atañe al título del art. 149.1.13 C.E., las características del urbanismo como actividad encaminada a determinar los distintos usos del suelo y la edificación, directamente relacionada con el territorio, hace especialmente difícil que las opciones diferentes que las Comunidades Autónomas puedan establecer produzcan efectos disfuncionales o desintegradores de la actividad económica general. El Real Decreto Legislativo, como con anterioridad la Ley 8/1990, no pretende planificar el sector inmobiliario-urbanístico o dictar medidas económicas al respecto, sino regular, en su integridad, el régimen del suelo y la ordenación urbana. En principio, por lo tanto, no parece que el art. 149.1.13 pueda ser título habilitante para el Estado para declarar básicos gran parte de los artículos que se relacionan en el apartado 1 de la Disposición final única. Todo ello además de no especificar qué artículos concretos hallan su fundamento, para ser declarados básicos, en el art. 149.1.13. </w:t>
      </w:r>
    </w:p>
    <w:p w:rsidR="008107C7" w:rsidRDefault="008107C7" w:rsidP="008107C7">
      <w:pPr>
        <w:pStyle w:val="TextoNormal"/>
      </w:pPr>
      <w:r>
        <w:t xml:space="preserve">Del amplio contenido del art. 149.1.18 C.E., citado como fundamento genérico tanto de la aplicación básica como de la plena, únicamente parece relevante el procedimiento administrativo común y, muy especialmente, la legislación sobre expropiación forzosa. En cuanto al primer supuesto, nada habrá que objetar si la norma básica contiene principios genéricos comunes, pero no podrá extenderse a los aspectos que, por suponer una regulación detallada del o de los procedimientos especiales en materia de urbanismo, corresponden a las respectivas Comunidades Autónomas competentes (SSTC de 29 de diciembre de 1988 y 26 de enero de 1989). Mayor trascendencia cabe otorgar al título consistente en "legislación sobre expropiación forzosa", en el bien entendido de que ello sólo alcanza a regular el régimen jurídico y las garantías de la expropiación forzosa como institución jurídica para obtener la transmisión forzosa y coactiva de bienes y derechos, pero que no puede extenderse a la decisión de su utilización como instrumento urbanístico y, mucho menos, a su utilización con alcance sancionador en materia urbanística. La STC 37/1987 lo expresa con claridad. Serán, por lo tanto, las Comunidades Autónomas las que, en materia de urbanismo, deberán definir legalmente los supuestos de utilización del instrumento expropiatorio, ya sea como sistema de ejecución urbanística o como expropiación-sanción, sin perjuicio, claro está, de que deban atenerse a la legislación general del Estado que regula el instituto jurídico </w:t>
      </w:r>
      <w:r>
        <w:lastRenderedPageBreak/>
        <w:t xml:space="preserve">de la expropiación forzosa y garantiza, por igual, los derechos patrimoniales de todos los sujetos privados. El Real Decreto Legislativo 1/1992, como ya hacía la Ley 8/1990, no contiene una regulación sustantiva de la expropiación forzosa, sino que se refiere reiteradamente a la aplicación instrumental de la expropiación forzosa en la materia de urbanismo, excediendo el ámbito del art. 149.1.18 C.E. y vulnerando en consecuencia la competencia autonómica de las Islas Baleares sobre urbanismo. </w:t>
      </w:r>
    </w:p>
    <w:p w:rsidR="008107C7" w:rsidRDefault="008107C7" w:rsidP="008107C7">
      <w:pPr>
        <w:pStyle w:val="TextoNormal"/>
      </w:pPr>
      <w:r>
        <w:t xml:space="preserve">La regla del art. 149.1.23 C.E. habilita al legislador estatal para dictar la legislación básica sobre protección del medio ambiente, lo que, en el Preámbulo de la Ley 8/1990, se pone en relación, única y exclusivamente, con los "preceptos de la Ley que se refieren al régimen del suelo no urbanizable", y, en consecuencia, permite concluir que, en relación al Real Decreto Legislativo 1/1992, amparan, únicamente, la declaración de norma básica referida a los arts. 15 y 16.1, 2 y 4, y aun de éstos el art. 16.4 parece tener como fundamento el art. 149.1.8 C.E. Se trataría, por lo tanto, de un supuesto de competencias concurrentes, acerca del cual el criterio jurisprudencial del Tribunal obliga a decantarse en favor de la competencia autonómica como más específica y como la inspiradora de la razón o finalidad de la norma (SSTC 88/1986 y 252/1988, entre otras). A mayor abundamiento, conviene advertir, entre otras cosas, que el Estado ha ejercitado directamente la competencia del art. 149.1.23 mediante la Ley 4/1989, de 27 de marzo, de Conservación de los Espacios Naturales y de la Flora y Fauna Silvestres, y que no es posible equiparar el medio ambiente con el régimen jurídico del suelo no urbanizable. Por ello, aunque los artículos declarados básicos coincidan fundamentalmente con los arts. 5, 6 y 7 de la Ley 8/1990 y tengan un contenido aceptable, no puede olvidarse que materialmente regulan la ordenación del uso del suelo, comprendida en la competencia urbanística y de ordenación del territorio. </w:t>
      </w:r>
    </w:p>
    <w:p w:rsidR="008107C7" w:rsidRDefault="008107C7" w:rsidP="008107C7">
      <w:pPr>
        <w:pStyle w:val="TextoNormal"/>
      </w:pPr>
      <w:r>
        <w:t xml:space="preserve">C) A continuación se examinan los preceptos declarados básicos por el apartado 1 de la Disposición final única. Los arts. 3.2 c) y 9.1, en cuanto determinan e imponen que el territorio municipal debe dividirse en áreas de suelo urbano, urbanizable o en su caso apto para urbanizar y no urbanizable, tienen un contenido material claramente urbanístico y de ordenación del territorio, que no queda salvado por la expresión final "o clases equivalentes establecidas por la legislación autonómica", por lo que su carácter básico no queda justificado por título competencial alguno de los alegados por el Estado, lo que debe comportar su declaración de inconstitucionalidad. </w:t>
      </w:r>
    </w:p>
    <w:p w:rsidR="008107C7" w:rsidRDefault="008107C7" w:rsidP="008107C7">
      <w:pPr>
        <w:pStyle w:val="TextoNormal"/>
      </w:pPr>
      <w:r>
        <w:t xml:space="preserve">El art. 11.4 equipara el suelo apto para urbanizar al suelo urbanizable programado "a efectos de la valoración del suelo, supuestos expropiatorios y obtención de terrenos dotacionales"; y lo hace con carácter de generalidad, excediendo con ello el alcance refundidor ordenado por la Disposición final segunda de la Ley 8/1990, si se atiende a que el párrafo 2º del apartado 3 de su Disposición adicional primera establece que en los Municipios en que no se aplique la Ley 8/1990 con carácter general, y sólo en éstos, "el suelo apto para urbanizar se asimilará al urbanizable programado", y, aun en tal caso, únicamente "a efectos de lo establecido en los arts. 12 y 66", es decir, solamente para la adquisición y ejercicio del derecho a urbanizar y para la valoración del suelo. Todo ello sin título competencial en favor del Estado para sostener su carácter básico y sin posibilidad de que mantenga tal calificación si, en cuanto al exceso, se convirtiera en norma reglamentaria, inútil, dado su rango, para contener la declaración de norma básica. </w:t>
      </w:r>
    </w:p>
    <w:p w:rsidR="008107C7" w:rsidRDefault="008107C7" w:rsidP="008107C7">
      <w:pPr>
        <w:pStyle w:val="TextoNormal"/>
      </w:pPr>
      <w:r>
        <w:t xml:space="preserve">Los arts. 15, 16.1 y 2 y 17 son normas que tienen como contenido la determinación del régimen de utilización de cada tipo de suelo -en este caso, el no urbanizable-, lo que constituye la facultad esencial que integra la competencia en materia de urbanismo, según la STC 77/1984, y supone el título más específico frente al que no debe prosperar el art. </w:t>
      </w:r>
      <w:r>
        <w:lastRenderedPageBreak/>
        <w:t xml:space="preserve">149.1.23 C.E.; en especial una vez que el Estado ha promulgado la Ley 4/1989. Por ello, el carácter básico de estos artículos es contrario al orden competencial. </w:t>
      </w:r>
    </w:p>
    <w:p w:rsidR="008107C7" w:rsidRDefault="008107C7" w:rsidP="008107C7">
      <w:pPr>
        <w:pStyle w:val="TextoNormal"/>
      </w:pPr>
      <w:r>
        <w:t xml:space="preserve">El Capítulo III del Título Primero ("Régimen del suelo urbano y urbanizable") contiene ocho secciones, declarándose artículos básicos los de todas y cada una de ellas. Hay que entender que el Estado ostenta título competencial derivado del art. 149.1.1 y 18 respectivamente para los artículos contenidos en las secciones primera y octava. Igualmente resulta aceptable el art. 37.2, amparado en el art. 149.1.8 C.E., y, con mayores dudas, los arts. 23, 24.1, 3 y 4, 25, 26, 28.1 y 5, 31.1, 33.1 y 37.1, en cuanto, con arreglo al art. 149.1.1, garantizan la igualdad básica de los derechos y deberes de los propietarios urbanísticos, regulan las distintas facultades que sucesivamente integran la propiedad urbanística y determinan el modo de adquisición y extinción de cada una de ellas. El resto, sin embargo, englobado en las secciones segunda a séptima, ambas inclusive, vulneran el orden constitucional de distribución de competencias al regular materia urbanística y, en concreto, la configuración y desarrollo del derecho a la propiedad urbanística como de progresiva adquisición en función del cumplimiento de las cargas y deberes urbanísticos con expresa indicación de cuantías, reducciones e incluso plazos. En gran parte, los artículos que se impugnan reproducen y desarrollan los arts. 11 a 28 de la Ley 8/1990. El art. 27.1, 2 y 4 es una clara muestra de que no se limita a regular las condiciones básicas del ejercicio del derecho de propiedad urbanística o el modo de adquisición y extinción de las facultades que lo integran, sino que determina la cuantía concreta y uniforme de la participación de la sociedad en su conjunto en las plusvalías generadas por el planeamiento urbanístico y, en definitiva, establece cargas y cesiones que la propiedad inmobiliaria debe soportar como obligación derivada de la ejecución urbanística. No se trata de una limitación del derecho de propiedad, sino de unas cargas y cesiones derivadas de la ejecución urbanística. El art. 149.1.1 tal vez habilite al Estado para establecer el principio general de que la obtención de los beneficios urbanísticos debe ser correlativa al cumplimiento de los deberes y cargas que impone, pero no puede extender sus efectos a determinar y concretar cuáles serán estas cargas y cesiones, ya que ello corresponde directamente al titular de la competencia en materia de urbanismo, si no quiere dejarse ésta sin contenido alguno o, al menos, sin el contenido recognoscible que tuvo a la vista el constituyente de 1978. Téngase en cuenta, además, que el mandato del art. 47.2 C.E., que impone la participación de la comunidad en las plusvalías urbanísticas, vincula a todos los poderes públicos y, por lo tanto, también a las Comunidades Autónomas, directamente, en el ejercicio de sus respectivas competencias. Por su parte, el art. 29.1 va más allá de la determinación de nuevas cesiones básicas en materia de urbanismo, ya que concreta las técnicas y modalidades para hacer efectivos los procesos redistributivos de beneficios y cargas urbanísticas, lo que constituye ámbito material de la competencia de urbanismo, sin que exista título habilitante alguno que le permita al Estado acometer tal tarea. El art. 30.1 y 3 regula una sanción urbanística consistente en la reducción del derecho al aprovechamiento urbanístico por incumplimiento del deber de solicitar la licencia de edificación dentro de plazo. Pues bien: no parece posible configurar la indicada reducción como una limitación legal del derecho de propiedad, sino que constituye una medida de fomento. En el párrafo 3º de este art. 30 se le impone a los Ayuntamientos la obligación de resolver acerca del incumplimiento del plazo para obtener licencia y de decidir acerca de la expropiación-sanción o de la venta forzosa-sanción, sin que se acierte a comprender cuál es el título habilitante del Estado para imponer tales obligaciones, vulnerando los principios constitucionales de autonomía municipal y autonómica (arts. 137 y 140 C.E.). El art. 31.2 remite al art. 30.3 y establece también una reducción-sanción acerca de la cual debe considerarse lo mismo, ya que las razones de inconstitucionalidad son idénticas. </w:t>
      </w:r>
    </w:p>
    <w:p w:rsidR="008107C7" w:rsidRDefault="008107C7" w:rsidP="008107C7">
      <w:pPr>
        <w:pStyle w:val="TextoNormal"/>
      </w:pPr>
      <w:r>
        <w:lastRenderedPageBreak/>
        <w:t xml:space="preserve">El art. 32 resulta inconstitucional por idénticas razones a las expuestas en relación al art. 27; no sólo por imponer unas cargas y cesiones urbanísticas concretas, sino por hacerlo en cuantía sustancialmente superior a las generales (75 por 100 y 50 por 100, en vez del 85 por 100), sin justa distribución de cargas y beneficios y por la sola circunstancia externa al titular de los terrenos de estar destinados a sistemas generales o a dotaciones públicas de carácter local o estar incluidos en unidades de ejecución a desarrollar por el sistema de expropiación. En tales términos, resulta patente que el art. 149.1.1 no puede ser título habilitante para el Estado. Respecto a los arts. 34 y 36, aparte de su contenido sancionador, que remite a lo ya expuesto en relación a los arts. 30 y 31, ha de resaltarse que imponen imperativamente la expropiación o venta forzosa, vulnerando los arts. 137 y 140 C.E. y configurando una causa expropiatoria no amparable en el art. 149.1.18 C.E., ya que corresponde al titular de la competencia material urbanística, dado el carácter instrumental de la expropiación forzosa resaltado por la jurisprudencia constitucional. El art. 35.1 se ve en la necesidad de dar carácter básico a determinados datos del contenido del acto municipal de otorgamiento de licencia de edificación, vulnerando directamente la competencia autonómica en materia de urbanismo (ya que el otorgamiento de la licencia de obras y su contenido puede calificarse de "núcleo duro" de la competencia de ejecución urbanística) y la autonomía municipal, sin título competencial que habilite al Estado para hacerlo. </w:t>
      </w:r>
    </w:p>
    <w:p w:rsidR="008107C7" w:rsidRDefault="008107C7" w:rsidP="008107C7">
      <w:pPr>
        <w:pStyle w:val="TextoNormal"/>
      </w:pPr>
      <w:r>
        <w:t xml:space="preserve">Los arts. 38, 39, 40 y 41 tienen claramente un contenido de disciplina urbanística, acerca de la que, por cierto, la Comunidad Autónoma de las Islas Baleares ha promulgado su legislación propia contenida en la Ley 10/1990, de 23 de octubre, que no puede verse desplazada por una pretendida normativa básica dictada por el Estado sin fundamento constitucional alguno. Basta analizar el contenido de los artículos citados para concluir que se trata de medidas conducentes al restablecimiento de la legalidad urbanística, en cada uno de los supuestos que se contemplan, que deben ser adoptadas, por lo tanto, por las Comunidades Autónomas competentes para legislar en materia urbanística. En fin, el art. 42.1, 2 y 3 regula las consecuencias de la inactividad de los Ayuntamientos ante el incumplimiento de deberes urbanísticos, estableciendo una subrogación en favor de las Comunidades Autónomas en el ejercicio de la potestad expropiatoria, con establecimiento incluso de plazo concreto y regulación de reducción de aprovechamiento en un 50 por 100. Con tal artículo se vulneran los arts. 137 y 140 C.E., por un lado, y la competencia urbanística de las Comunidades Autónomas, por otro, en los términos ya expuestos anteriormente, sin título estatal alguno para imponer tal normativa básica. </w:t>
      </w:r>
    </w:p>
    <w:p w:rsidR="008107C7" w:rsidRDefault="008107C7" w:rsidP="008107C7">
      <w:pPr>
        <w:pStyle w:val="TextoNormal"/>
      </w:pPr>
      <w:r>
        <w:t xml:space="preserve">Los arts. 59.1 y 2 y 62, por conexión e idénticos razonamientos utilizados al examinar, fundamentalmente, los arts. 27 y 32, vulneran el orden constitucional de distribución de competencias, sin que a ello obste que el directo objetivo del artículo sea la valoración de los terrenos. Por otra parte, se trata de una norma que regula, con todo detalle y concreción, la valoración de los terrenos destinados a sistemas generales, impidiendo cualquier posibilidad de desarrollo normativo, con lo que se vulnera, también, el concepto material de legislación básica que ha acuñado la jurisprudencia constitucional (entre otras, por ejemplo, en su STC 99/1987, fundamento jurídico 2º). El art. 72.1 impone con carácter básico que los Planes Generales municipales de ordenación o instrumento de planeamiento análogo deberán contener determinaciones para asegurar la aplicación de las normas de valoraciones y de régimen urbanístico de la propiedad del suelo contenidas en el propio Real Decreto Legislativo, lo que exige, por conexión, plantear la inconstitucionalidad de los artículos relativos a ambas materias. Además, resulta cuestión distinta la de que la normativa básica estatal deba ser atendida y la de imponer determinaciones concretas al contenido de los </w:t>
      </w:r>
      <w:r>
        <w:lastRenderedPageBreak/>
        <w:t xml:space="preserve">instrumentos de planeamiento, ya que esto último constituye contenido propio de la competencia autonómica en materia de urbanismo. Las mismas razones convienen al art. 78.2, aunque en este caso referidas a las determinaciones que deben contener las normas subsidiarias municipales en cuanto a la delimitación de áreas de reparto y fijación de aprovechamientos tipo. </w:t>
      </w:r>
    </w:p>
    <w:p w:rsidR="008107C7" w:rsidRDefault="008107C7" w:rsidP="008107C7">
      <w:pPr>
        <w:pStyle w:val="TextoNormal"/>
      </w:pPr>
      <w:r>
        <w:t xml:space="preserve">Los arts. 94.1 y 2, 95, 96.1 y 3, 97, 98, 99.1 y 2 y 100 constituyen concreciones propias del contenido de los Planes Generales, cuya competencia, obviamente urbanística, corresponde a las Comunidades Autónomas. Por otro lado, difícilmente puede ser básica una normativa que no extiende su aplicación a todo el territorio nacional, según resulta de la Disposición adicional primera, y, desde luego, no puede lógicamente venir amparada en el único título competencial de los alegados por el Estado que verosímilmente podía tener alguna relación con el tema: el art. 149.1.1 C.E., ya que se refiere a la regulación de las condiciones básicas que garanticen la igualdad de "todos" los españoles en el ejercicio de los derechos y en el cumplimiento de los deberes constitucionales. La delimitación de áreas en el suelo urbano o urbanizable programado y el cálculo del aprovechamiento tipo constituyen las piezas fundamentales de la gestión urbanística que corresponde a las Comunidades Autónomas y no desvirtúa la argumentación las remisiones que en algunos de estos artículos se realizan a la legislación autonómica, que debería someterse a una pretendida normativa básica que regula con total concreción la materia, determinando incluso la técnica y el modo de cálculo del aprovechamiento tipo. </w:t>
      </w:r>
    </w:p>
    <w:p w:rsidR="008107C7" w:rsidRDefault="008107C7" w:rsidP="008107C7">
      <w:pPr>
        <w:pStyle w:val="TextoNormal"/>
      </w:pPr>
      <w:r>
        <w:t xml:space="preserve">Los arts. 151.1 y 3, 154.2 y 166.1 c) y e), relativos a la actuación mediante unidades de ejecución, contienen medidas concretas de carácter urbanístico que exceden la imposición - legítima desde los títulos competenciales del Estado- del principio general de que la ejecución del planeamiento debe garantizar la distribución equitativa de los beneficios y cargas derivados del desarrollo urbanístico. En tales términos, estos artículos no pueden ser considerados básicos e invaden por ello la competencia autonómica en materia de urbanismo. Por lo que se refiere a los arts. 184.2 y 227.1, los deberes urbanísticos que configuran la función social de la propiedad urbanística corresponde fijarlos a la legislación autonómica, sin perjuicio, claro está, de aquellos de carácter básico que el Estado pueda imponer en ejercicio de la competencia derivada del art. 149.1.1 C.E. Se impugna asimismo el art. 228.3 y 4, por conexión e idénticos motivos a lo expuesto en relación a los arts. 27, 32 y 59. Los arts. 237, 238 y 239, en cuanto se refieren a supuestos indemnizatorios derivados de la alteración del planeamiento o de la imposición por éste de vinculaciones o limitaciones singulares, no constituyen, desde luego, regulación del sistema de responsabilidad de todas las Administraciones Públicas (art. 149.1.18 C.E.), ni tampoco de las condiciones básicas de todos los españoles en el ejercicio de los derechos constitucionales (art. 149.1.1), sino que corresponde a la legislación urbanística el establecer los efectos del cambio de planeamiento o de la imposibilidad de justo reparto de cargas y beneficios en el seno de la ejecución urbanística. </w:t>
      </w:r>
    </w:p>
    <w:p w:rsidR="008107C7" w:rsidRDefault="008107C7" w:rsidP="008107C7">
      <w:pPr>
        <w:pStyle w:val="TextoNormal"/>
      </w:pPr>
      <w:r>
        <w:t xml:space="preserve">Los arts. 248 y 249, referidos a la protección de la legalidad urbanística, constituyen contenido propio de la disciplina urbanística, acerca de la que se dictó por el Parlamento Balear la Ley 10/1990, y suponen un desarrollo pormenorizado de las decisiones que deben adoptarse y del procedimiento para hacerlo. Con ello se vulnera la noción material de bases, en un ámbito propio de la legislación autonómica en materia de urbanismo y sin que se vislumbre cuál pueda ser el título habilitante, entre los alegados por el Estado, que permita otorgarle el carácter de normativa básica. Los arts. 253.3 y 254.2 se recurren en conexión con lo expuesto en relación con el art. 40. El art. 278.1 regula una posibilidad dirigida al </w:t>
      </w:r>
      <w:r>
        <w:lastRenderedPageBreak/>
        <w:t xml:space="preserve">contenido de los Planes Generales o sus revisiones del programa de actuación, para establecer reservas de terrenos en suelo urbanizable no programado o no urbanizable común, destinadas a constituir o ampliar el patrimonio municipal del suelo, lo que constituye una norma de contenido claramente urbanístico, en cuanto delimitación y asignación de usos del suelo, y sin que el Estado ostente título para regularlo y, mucho menos, con el carácter de normativa básica. </w:t>
      </w:r>
    </w:p>
    <w:p w:rsidR="008107C7" w:rsidRDefault="008107C7" w:rsidP="008107C7">
      <w:pPr>
        <w:pStyle w:val="TextoNormal"/>
      </w:pPr>
      <w:r>
        <w:t xml:space="preserve">Las Disposiciones adicionales primera, tercera y cuarta, 1 y 2, regulan aspectos que corresponden establecer a quienes ostentan la competencia en materia de urbanismo y vivienda, sin que quepa imponer su regulación como básica. En este sentido, deben ser las propias normas urbanísticas las que determinen su alcance y nivel de aplicación en función de la población de los Municipios de cada Comunidad Autónoma (Disposición transitoria primera), y ello, claro está, si estiman pertinente que ello ocurra, excepcionando la aplicabilidad general. Desde luego, no corresponde al Estado efectuar tal operación, y mucho menos en aplicación del art. 149.1.1 C.E. De igual forma, deben ser las normas en materia de urbanismo y vivienda las que acuerden si se establecen preceptos particulares, en cuanto a los plazos (Disposición transitoria tercera), para su aplicación a las Entidades y sociedades públicas cuyo fin primordial sea la promoción y urbanización del suelo o la construcción de viviendas (sin tan siquiera adjetivarlas como sociales o sujetas al régimen de protección pública), sin que el Estado ostente título para regularlo como normativa básica. Por último, en cuanto a la Disposición transitoria cuarta, en sus apartados 1 y 2, se dictan pormenorizadas normas en orden al realojo de ocupantes de viviendas afectados por la ejecución de actuaciones urbanísticas, que corresponde dictar a la Comunidad Autónoma como competente en materia de vivienda (art. 148.1.3 C.E. y 10.3 E.A. de las Islas Baleares) y, además, no permiten margen de desarrollo, vulnerando el concepto material de bases. </w:t>
      </w:r>
    </w:p>
    <w:p w:rsidR="008107C7" w:rsidRDefault="008107C7" w:rsidP="008107C7">
      <w:pPr>
        <w:pStyle w:val="TextoNormal"/>
      </w:pPr>
      <w:r>
        <w:t xml:space="preserve">Las Disposiciones transitorias primera, cuarta, quinta, sexta, 1 y 4, y octava contienen determinaciones claramente urbanísticas dirigidas a la fijación de los aprovechamientos urbanísticos en los supuestos que contemplan, o a la determinación del contenido de la primera revisión de los Planes Generales y normas subsidiarias o, por último, a la consideración de suelo urbano en planes sin adaptar, para lo que impone como básico no sólo la necesaria aprobación de la delimitación del suelo urbano, sino las reglas a que ésta debe someterse. Todo ello vulnera la competencia autonómica en materia de urbanismo, sin fundamento para ser regulado por el Estado y, mucho menos, para ser declarado básico. </w:t>
      </w:r>
    </w:p>
    <w:p w:rsidR="008107C7" w:rsidRDefault="008107C7" w:rsidP="008107C7">
      <w:pPr>
        <w:pStyle w:val="TextoNormal"/>
      </w:pPr>
      <w:r>
        <w:t xml:space="preserve">D) En cuanto a los artículos del Real Decreto Legislativo declarados de aplicación plena por el apartado 2 de la Disposición final única, el Estado alega para ello el art. 149.1.8 y 18 C.E., de cuyo contenido destaca como títulos competenciales, utilizados con mayor intensidad, los de expropiación forzosa, legislación civil, procedimiento administrativo común y responsabilidad de las Administraciones Públicas. Ciertamente, gran parte de los artículos referidos encuentran fundamento en los títulos competenciales alegados por el Estado. Resulta, en cambio, prevalente el título autonómico en materia de urbanismo en relación con los siguientes artículos: </w:t>
      </w:r>
    </w:p>
    <w:p w:rsidR="008107C7" w:rsidRDefault="008107C7" w:rsidP="008107C7">
      <w:pPr>
        <w:pStyle w:val="TextoNormal"/>
      </w:pPr>
      <w:r>
        <w:t xml:space="preserve">El art. 47 b) no puede ser de aplicación plena, en tanto en cuanto se remite, entre otros, a los arts. 237, 238 y 239, cuyo carácter básico se ha impugnado. Nada habría que objetar, por lo tanto, si se suprimiera la referencia a "en los supuestos previstos en el Título sexto de esta Ley". El art. 48.2, además de resultar contradictorio con la interpretación conjunta de los arts. 6, 24.1, 26 y 237 y con el principio general de correspondencia entre los beneficios del urbanismo y el cumplimiento de las cargas que éste impone, no se justifica con los títulos competenciales alegados por el Estado y conlleva un plus valorativo en relación con el valor </w:t>
      </w:r>
      <w:r>
        <w:lastRenderedPageBreak/>
        <w:t xml:space="preserve">inicial de los terrenos derivado de la mera clasificación urbanística contenida en el planeamiento, sin la correlativa exigencia de cumplimiento de deber o carga alguna para el propietario. Se trata, por lo tanto, de una consecuencia directa de la planificación urbanística no justificada desde ninguna competencia exclusiva del Estado de entre las contenidas en las reglas 8 y 18 del art. 149.1 C.E. Los arts. 60 y 61, por conexión con lo alegado al examinar los arts. 32.3, 59.1 y 2 y 278.1, no pueden tener, en concordancia con la impugnación efectuada de su carácter básico, el carácter de aplicación plena, al reiterar el contenido de los artículos citados. El art. 136.2 debería haberse limitado a excluir los supuestos que contempla del régimen especial de arrendamientos rústicos y urbanos, como ámbito de su competencia en materia de legislación civil. El resto del apartado constituye norma de contenido urbanístico, por lo que su declaración como de aplicación plena vulnera el orden constitucional de distribución de competencias. </w:t>
      </w:r>
    </w:p>
    <w:p w:rsidR="008107C7" w:rsidRDefault="008107C7" w:rsidP="008107C7">
      <w:pPr>
        <w:pStyle w:val="TextoNormal"/>
      </w:pPr>
      <w:r>
        <w:t xml:space="preserve">Los arts. 199.1 b) y 2 b), 206 y 207 no constituyen contenido propio de la competencia en materia de expropiación forzosa, sino utilización instrumental de la expropiación y ocupación directa como sistema de ejecución urbanística, o como expropiación-sanción, por lo que corresponde a las Comunidades Autónomas la decisión acerca de los supuestos en que debe producirse su utilización. Los arts. 254.1 y 299 se impugnan única y exclusivamente en cuanto se refieren solamente a "esta Ley", en vez de a "la Ley", ya que si el título habilitante para el Estado en relación a la revisión de oficio de licencias u órdenes de ejecución o la resolución de peticiones es la de procedimiento administrativo común, no puede vincularse únicamente a la Ley estatal, sino a la Ley en general. La cuestión resulta especialmente clara en el art. 254.1 al referirse a las infracciones urbanísticas graves, que, obviamente, corresponde determinar a las Comunidades Autónomas competentes. </w:t>
      </w:r>
    </w:p>
    <w:p w:rsidR="008107C7" w:rsidRDefault="008107C7" w:rsidP="008107C7">
      <w:pPr>
        <w:pStyle w:val="TextoNormal"/>
      </w:pPr>
      <w:r>
        <w:t>Concluye el recurrente su argumentación con la súplica de que se tenga por interpuesto recurso de inconstitucionalidad contra la globalidad del Real Decreto Legislativo 1/1992 y, subsidiariamente, contra el apartado 1 de la Disposición final única del citado Real Decreto, en relación con los arts. 3.2 c), 9.1, 11.4, 15, 16.1 y 2, 17, 27.1, 2 y 4, 29.1, 30.1 y 3, 31.2, 32, 34, 35.1, 36, 38, 39, 40, 41, 42.1, 2 y 3, 59.1 y 2, 62, 72.1, 78.2, 94.1 y 2, 95, 96.1 y 3, 97, 98, 99.1 y 2, 100, 151.1 y 3, 154.2, 166.1 c) y e), 184.2, 227.1, 228.3 y 4, 237, 238, 239, 248, 249, 253.3, 254.2, 278.1, las Disposiciones adicionales primera, tercera y cuarta, 1 y 2, y las Disposiciones transitorias primera, cuarta, quinta, sexta, 1 y 4, y octava; y contra el apartado 2 de la propia Disposición final única, en relación con los arts. 47 b), 48.2, 60, 61, 136.2, 199.1 b) y 2 b), 206, 207, 254.1 y 299, y de que en su día se dicte Sentencia declarando la inconstitucionalidad y consiguiente nulidad del Real Decreto Legislativo 1/1992 o subsidiariamente de los concretos preceptos impugnados en cuanto a su respectivo carácter de normativa básica o de aplicación plena.</w:t>
      </w:r>
    </w:p>
    <w:p w:rsidR="008107C7" w:rsidRDefault="008107C7" w:rsidP="008107C7">
      <w:pPr>
        <w:pStyle w:val="TextoNormal"/>
      </w:pPr>
    </w:p>
    <w:p w:rsidR="008107C7" w:rsidRDefault="008107C7" w:rsidP="008107C7">
      <w:pPr>
        <w:pStyle w:val="TextoNormal"/>
      </w:pPr>
      <w:r w:rsidRPr="008107C7">
        <w:rPr>
          <w:rStyle w:val="NumeroAFNegritaCaracter"/>
        </w:rPr>
        <w:t>26</w:t>
      </w:r>
      <w:r>
        <w:t xml:space="preserve">. La Sección Cuarta del Tribunal, por providencia de 14 de octubre de 1992, acordó: 1º) admitir a trámite el recurso de inconstitucionalidad promovido por el Consejo de Gobierno de las Islas Baleares, turnado con el núm. 2.337/92; 2º) dar traslado de la demanda y documentos presentados, conforme establece el art. 34 LOTC, al Congreso de los Diputados y al Senado, por conducto de sus Presidentes, y al Gobierno, por conducto del Ministerio de Justicia, al objeto de que, en el plazo de quince días, pudieran personarse en el proceso y formular las alegaciones que estimasen convenientes; 3º) oír a la parte recurrente y a las antes mencionadas, así como a las representaciones procesales del Parlamento de Navarra, del Consejo de Gobierno de la Diputación Regional de Cantabria, del Consejo Ejecutivo de la Generalidad de Cataluña, del Consejo de Gobierno de la Diputación General de Aragón, del Consejo de Gobierno de la Junta de Castilla y León y del Gobierno de Canarias para </w:t>
      </w:r>
      <w:r>
        <w:lastRenderedPageBreak/>
        <w:t>que, en el mismo plazo del traslado y conforme establece el art. 83 LOTC, pudieran exponer lo que estimasen procedente acerca de la acumulación del presente recurso a los ya acumulados núms. 2.477/90, 2.479/90, 2.481/90, 2.486/90, 2.487/90 y 2.488/90; 4º) publicar la incoación del recurso en el "Boletín Oficial del Estado".</w:t>
      </w:r>
    </w:p>
    <w:p w:rsidR="008107C7" w:rsidRDefault="008107C7" w:rsidP="008107C7">
      <w:pPr>
        <w:pStyle w:val="TextoNormal"/>
      </w:pPr>
    </w:p>
    <w:p w:rsidR="008107C7" w:rsidRDefault="008107C7" w:rsidP="008107C7">
      <w:pPr>
        <w:pStyle w:val="TextoNormal"/>
      </w:pPr>
      <w:r w:rsidRPr="008107C7">
        <w:rPr>
          <w:rStyle w:val="NumeroAFNegritaCaracter"/>
        </w:rPr>
        <w:t>27</w:t>
      </w:r>
      <w:r>
        <w:t>. El Presidente del Congreso, por escrito registrado el 22 de octubre de 1992, comunicó que aun cuando la Cámara no se personaría en el procedimiento ni formularía alegaciones, ponía a disposición del Tribunal las actuaciones que pudiera precisar, con remisión a la Dirección de Estudios y Documentación de la Secretaría General. El siguiente 29 de octubre tuvo entrada un escrito del Presidente del Senado en el que comunicaba el Acuerdo de la Cámara de que se la tuviera por personada en el procedimiento y por ofrecida su colaboración a los efectos del art. 88.1 LOTC.</w:t>
      </w:r>
    </w:p>
    <w:p w:rsidR="008107C7" w:rsidRDefault="008107C7" w:rsidP="008107C7">
      <w:pPr>
        <w:pStyle w:val="TextoNormal"/>
      </w:pPr>
    </w:p>
    <w:p w:rsidR="008107C7" w:rsidRDefault="008107C7" w:rsidP="008107C7">
      <w:pPr>
        <w:pStyle w:val="TextoNormal"/>
      </w:pPr>
      <w:r w:rsidRPr="008107C7">
        <w:rPr>
          <w:rStyle w:val="NumeroAFNegritaCaracter"/>
        </w:rPr>
        <w:t>28</w:t>
      </w:r>
      <w:r>
        <w:t xml:space="preserve">. La Diputación General de Aragón, representada por el Letrado don Juan Antonio García Toledo, interpuso, mediante escrito registrado el 29 de septiembre de 1992, recurso de inconstitucionalidad contra el Real Decreto Legislativo 1/1992, de 26 de junio, por el que se aprueba el Texto Refundido de la Ley sobre el Régimen del Suelo y Ordenación Urbana. Ello con arreglo a la argumentación que seguidamente se consigna: </w:t>
      </w:r>
    </w:p>
    <w:p w:rsidR="008107C7" w:rsidRDefault="008107C7" w:rsidP="008107C7">
      <w:pPr>
        <w:pStyle w:val="TextoNormal"/>
      </w:pPr>
      <w:r>
        <w:t xml:space="preserve">A) Además de la remisión que procede efectuar a todo cuanto ya se alegó en el recurso de inconstitucionalidad núm. 2.486/90, la motivación del presente recurso ha de buscarse en que el Texto Refundido aprobado conculca competencias autonómicas en materia urbanística, cualesquiera que sean los fines que con dicha actuación estatal se hayan pretendido, acaso legítimos desde determinadas perspectivas, pero en absoluto respetuosos con la delimitación competencial basada en el bloque de la constitucionalidad. Dicho de otra forma, el Estado, y para ello es ilustrativa la lectura del Preámbulo de la Ley 8/1990, ha utilizado determinados títulos competenciales propios, pero indirectos, para suplir la falta de un título específico en materia de urbanismo, dando lugar a lo que podría denominarse un abuso interpretativo, que se produce en perjuicio del ámbito competencial que es propio de la Comunidad Autónoma de Aragón. Como punto de partida, ha de recordarse que el art. 148.1.3 C.E. dispone que las Comunidades Autónomas podrán asumir competencias en la materia de "ordenación del territorio, urbanismo y vivienda". Y de conformidad con el principio dispositivo que rige al respecto, la Comunidad Autónoma de Aragón ha asumido la competencia exclusiva en dicha materia, por el dictado del art. 35.1.3 de su Estatuto de Autonomía, debiendo subrayarse en relación con tal competencia exclusiva, en primer lugar, que tiene vocación de plenitud, al ser integral, por comprender la potestad legislativa, la reglamentaria y la función ejecutiva (art. 35.2 del Estatuto). En segundo lugar, que existe una íntima interrelación entre los títulos competenciales sobre ordenación del territorio y urbanismo y que, en todo caso, la exégesis adecuada con respecto a los conceptos materiales utilizados en la delimitación constitucional de las competencias atribuidas al Estado y a las Comunidades Autónomas viene suministrada, de modo principal, por el perfil concreto de esa determinada materia en la regulación del derecho positivo vigente en el momento histórico de la promulgación de la Constitución y de los Estatutos de Autonomía. Es decir, se trata aquí de destacar el extraordinario valor interpretativo del contenido material de la Ley del Suelo y Ordenación Urbana de 1976 y de sus precedentes legislativos a la ahora de dibujar los contornos materiales de la competencia sobre el urbanismo, lo que permite identificarlo sin duda (para ello es clave la inmediación temporal del Texto Refundido de 1976 con respecto a la Constitución, que efectúa la delimitación competencial en los términos expresados) con el denominado régimen urbanístico de la propiedad del suelo, contenido en el nuevo Texto </w:t>
      </w:r>
      <w:r>
        <w:lastRenderedPageBreak/>
        <w:t xml:space="preserve">Refundido objeto del presente recurso de inconstitucionalidad. En tercer lugar, que, en contraste significativo con la expresada titularidad competencial autonómica en materia de urbanismo, del art. 149 C.E. no se desprende que el Estado explícitamente se haya reservado competencias en dicha materia, sin que, por otra parte, el ordenamiento constitucional acoja la tesis de los poderes implícitos, que, en cualquier caso, debería ser objeto de aplicación restrictiva. Afirmada la integridad tendencial de la competencia autonómica, hay que reiterar aquí que ninguno de los títulos competenciales invocados por la Disposición final única del Texto Refundido puede prevalecer y ni siquiera coexistir con aquella competencia sin producir su invasión o vaciamiento material, que debe impedir el pronunciamiento anulatorio del Tribunal con su adecuada interpretación del bloque de la constitucionalidad. </w:t>
      </w:r>
    </w:p>
    <w:p w:rsidR="008107C7" w:rsidRDefault="008107C7" w:rsidP="008107C7">
      <w:pPr>
        <w:pStyle w:val="TextoNormal"/>
      </w:pPr>
      <w:r>
        <w:t xml:space="preserve">B) La aludida Disposición final invoca el art. 149.1 C.E. en sus apartados 1, 8, 13, 18 y 23, si bien no concreta cuál de dichos títulos es el ejercitado en relación con cada uno de los diversos preceptos del Texto Refundido que configura bien como normas básicas bien como normas de aplicación plena. El análisis de los indicados títulos competenciales estatales permite efectuar, de forma resumida, una serie de consideraciones. El art. 149.1.1 C.E. atribuye competencia al Estado para regular las concretas condiciones que garanticen el derecho de igualdad, pero no los derechos mismos, cuya normación puede corresponder, como aquí es el caso, en buena parte del contenido del Texto Refundido, a otra instancia, en virtud de otro título competencial. Una cosa es el título estatal para regular dichas condiciones básicas garantizadoras de la igualdad en el ejercicio de derechos y deberes constitucionales y otra muy distinta es que en el ejercicio de dicho título competencial pueda incidirse en materias de competencia autonómica en conexión con esos derechos. La igualdad de regulación no viene exigida ineludiblemente por la materia de que se trate, sino sólo los derechos y deberes constitucionales, y ello sólo en sus aspectos básicos y esenciales. Hoy la cuestión aparece despejada desde la importante STC 37/1987. En consecuencia, el art. 149.1.1 no permite el establecimiento de bases en relación con sectores materiales confiados, con carácter de competencia exclusiva, a las Comunidades Autónomas; y tampoco puede utilizarse para ampliar las competencias estatales en las diversas materias relacionadas en el resto del art. 149.1, ni para atribuir al Estado nuevas facultades de intervención en ámbitos de competencia autonómica. </w:t>
      </w:r>
    </w:p>
    <w:p w:rsidR="008107C7" w:rsidRDefault="008107C7" w:rsidP="008107C7">
      <w:pPr>
        <w:pStyle w:val="TextoNormal"/>
      </w:pPr>
      <w:r>
        <w:t xml:space="preserve">Se invoca, en segundo término, el art. 149.1.8 C.E. Aparte de las connotaciones de orden registral, el precepto se supone invocado como título competencial en cuanto afecta a la regulación de la propiedad del suelo. Pero es evidente que la propiedad no es incondicionalmente materia propia de la legislación civil y, por otra parte, cada día destaca más la vertiente institucional de tal derecho, integrado por su función social. Es más, la delimitación de la propiedad se aleja paulatinamente del tipo abstracto descrito en el Código Civil, incorporándose progresivamente al Derecho Público contenidos y finalidades esenciales relacionadas con el uso o aprovechamiento de distintos tipos de bienes. En definitiva, pues, la competencia exclusiva del Estado para la legislación civil no excluye que para el ejercicio de las competencias estatutarias sobre sectores materiales de regulación (como ocurre con el urbanismo) las Comunidades Autónomas tengan competencia normativa para disciplinar legalmente la propiedad desde la perspectiva de su función social, como institución sometida al interés público. De nuevo viene específicamente a juego la cita de la STC 37/1987, fundamento jurídico 8º. </w:t>
      </w:r>
    </w:p>
    <w:p w:rsidR="008107C7" w:rsidRDefault="008107C7" w:rsidP="008107C7">
      <w:pPr>
        <w:pStyle w:val="TextoNormal"/>
      </w:pPr>
      <w:r>
        <w:t xml:space="preserve">En tercer lugar, aparece invocado el art. 149.1.13 C.E. Pero, por mucha amplitud que pretenda otorgarse a tal precepto, no es razonable dotarle de tal efecto expansivo como para que una regulación eminentemente sectorial, y atribuida a la competencia exclusiva de las Comunidades Autónomas, como el régimen urbanístico del suelo encaje en dicho título </w:t>
      </w:r>
      <w:r>
        <w:lastRenderedPageBreak/>
        <w:t xml:space="preserve">competencial. Además no se está en presencia de una planificación general de la actividad económica, debiendo insistirse especialmente en la ausencia del carácter "general". En caso contrario, es obvio, y es un peligro del que ya ha advertido el Tribunal Constitucional, que se estarían reduciendo literalmente a la nada las competencias legislativas de la Comunidad Autónoma en una materia que el Estatuto de Autonomía le atribuye con carácter exclusivo. En la regulación de la materia urbanística, que afecta a los diversos usos del suelo y sus correspondientes consecuencias económicas, las Comunidades Autónomas han de tener facultad para establecer opciones diferentes sin que con ello se produzcan disfunciones de la actividad económica general. Las aludidas consecuencias tendrán su origen en la propia y distinta realidad socioeconómica de cada Comunidad Autónoma, sin producir efectos más allá de su territorio. En último término, es muy significativo que el art. 35.1.3 del Estatuto de Autonomía no contenga ninguna restricción o modulación, a diferencia de otros apartados del mismo artículo. En definitiva, el Texto Refundido pretende una regulación global del denominado régimen urbanístico, para cuyo establecimiento no cabe invocar el art. 149.1.13; otra cosa sería la adopción de medidas de incidencia económica sobre el sector del urbanismo. Dicho en otros términos, parece claro que la norma recurrida no pretende la planificación del sector urbanístico, sino su regulación uniforme, incluso en aspectos que pertenecen a la disposición competencial de las Comunidades Autónomas. </w:t>
      </w:r>
    </w:p>
    <w:p w:rsidR="008107C7" w:rsidRDefault="008107C7" w:rsidP="008107C7">
      <w:pPr>
        <w:pStyle w:val="TextoNormal"/>
      </w:pPr>
      <w:r>
        <w:t>El Texto Refundido se ampara asimismo en el título competencial ex art. 149.1.18 C.E. Nada hay que objetar con respecto a la regulación que del instituto de la responsabilidad administrativa se contiene en el Texto Refundido en aspectos muy específicos; lo mismo respecto a ciertos elementos básicos del régimen jurídico de las Administraciones Públicas, siempre que no se rebasen los límites constitucionales de dicha competencia. Sin embargo, en cuanto al tema del procedimiento administrativo, si bien, en principio, el régimen del procedimiento administrativo común está incluido en el ámbito de aplicación del art. 149.1.18, éste permite a las Comunidades Autónomas participar en la regulación de los procedimientos especiales (STC de 29 de diciembre de 1988). Habida cuenta de que el régimen de los procedimientos urbanísticos se está refiriendo a unos procedimientos administrativos especiales (art. 26 del Decreto de 10 de octubre de 1958), no parece defendible que el legislador estatal pueda imponer como básicas o de aplicación plena normas sobre procedimiento urbanístico más allá de los comunes principios genéricos. En otro caso, podría quedar limitado y condicionado el poder autonómico mediante la regulación detallada de cada procedimiento especial. Por lo que se refiere a la materia de expropiación forzosa, no cabe duda, a tenor del derecho vigente y de la común opinión doctrinal, de la posibilidad de que las normas autonómicas contengan referencias instrumentales al empleo de la técnica expropiatoria. En efecto, el art. 149.1.18 contempla la regulación de la expropiación forzosa en cuanto régimen general de dicho instituto, pero no se refiere, y por ende no pueden considerarse incluidas en el precepto, a las regulaciones sectoriales de la institución expropiatoria, en cuanto instrumento y medio al servicio de aquellas regulaciones materiales, cual ocurre en el supuesto del urbanismo. Ello permite concluir que la reserva constitucional en favor del Estado no excluye que las normas autonómicas puedan establecer, en el ámbito de sus propias competencias, los casos, supuestos y formas en que procede aplicar la expropiación. Así ha venido a reconocerlo la STC 37/1987. Tampoco las valoraciones urbanísticas, como figura susceptible de regulación autónoma, son de la exclusiva competencia estatal, en atención al carácter instrumental de la expropiación, ya que no tienen por razón de ser exclusiva la determinación cuantitativa del justiprecio indemnizatorio, sino que vienen a ser un elemento más de la estructura esencial del derecho de la propiedad urbana, al servicio precisa</w:t>
      </w:r>
      <w:r>
        <w:lastRenderedPageBreak/>
        <w:t xml:space="preserve">mente de la aplicación de su función social (definición que corresponde al legislador autonómico, en cuanto sectorialmente competente). En consecuencia, la ley expropiatoria puede regular procedimientos indemnizatorios tendentes a la cuantificación del valor de los bienes expropiados, pero no puede atribuir a tales bienes un determinado valor con exclusión de otros posibles, cuya opción escapa a la naturaleza instrumental de la expropiación. En conclusión, en cuanto no se altere el régimen y las garantías jurídicas reguladas por la legislación estatal, la expropiación forzosa puede ser un instrumento al servicio de la política urbanística, entrando en el ámbito de las competencias autonómicas, bien entendido que la aludida competencia estatal queda circunscrita a cuanto afecta a la regulación sustantiva propia sobre expropiación forzosa. </w:t>
      </w:r>
    </w:p>
    <w:p w:rsidR="008107C7" w:rsidRDefault="008107C7" w:rsidP="008107C7">
      <w:pPr>
        <w:pStyle w:val="TextoNormal"/>
      </w:pPr>
      <w:r>
        <w:t xml:space="preserve">El último de los títulos competenciales invocados por el legislador del Texto Refundido es el derivado del art. 149.1.23 C.E., explicando el Preámbulo de la Ley 8/1990 que ello es en cuanto a los preceptos referidos al régimen del suelo no urbanizable. Ahora bien, la competencia estatal recae únicamente sobre el medio ambiente y no sobre los distintos sectores materiales susceptibles de verse implicados en el mismo; dicha competencia no puede servir de excusa o pretexto para dejar vacías de contenido, o afectadas en más de lo estrictamente necesario para diseñar el encuadre de una política global sobre medio ambiente, las distintas competencias sectoriales de las Comunidades Autónomas, y, entre ellas, la relativa a la ordenación territorial y al urbanismo. El carácter específico del urbanismo y la ordenación del territorio como títulos competenciales estatutariamente sancionados determina una prevalencia aplicativa de los mismos. No es posible equiparar medio ambiente y régimen del suelo no urbanizable, salvo que se extralimite el sentido normativo del art. 149.1.23, y valorando el dato de que las bases de la protección ambiental del espacio físico están expresadas, de forma preponderante, en una norma jurídica tan reciente como la Ley 4/1989, de 27 de marzo, de Conservación de los Espacios Naturales y de la Flora y Fauna Silvestres. </w:t>
      </w:r>
    </w:p>
    <w:p w:rsidR="008107C7" w:rsidRDefault="008107C7" w:rsidP="008107C7">
      <w:pPr>
        <w:pStyle w:val="TextoNormal"/>
      </w:pPr>
      <w:r>
        <w:t xml:space="preserve">C) Examinando ahora particularizadamente los artículos del Texto Refundido, se entiende producida una invasión del ámbito competencial de la Comunidad Autónoma de Aragón por la atribución del carácter de básicos a los siguientes preceptos: </w:t>
      </w:r>
    </w:p>
    <w:p w:rsidR="008107C7" w:rsidRDefault="008107C7" w:rsidP="008107C7">
      <w:pPr>
        <w:pStyle w:val="TextoNormal"/>
      </w:pPr>
      <w:r>
        <w:t xml:space="preserve">Los arts. 15, 16.1 y 2 y 17, que contienen directrices acerca del régimen del suelo no urbanizable. Y ello por la total vinculación de dicho régimen con la competencia exclusiva autonómica sobre ordenación del territorio, que es más amplia en su objeto que la medioambiental, al incluir la distribución de los usos y actividades a que deba destinarse el suelo y sus distintos tipos clasificados, estableciendo las limitaciones que en cada caso hayan de imponerse, así como el señalamiento de las medidas y condiciones precisas para la protección y defensa del paisaje contra su degradación. Al respecto es invocable la doctrina sentada en la STC 77/1984. El art. 19, en su inciso final ("conforme a lo establecido en esta Ley"), no tiene un contenido que pueda calificarse como básico: el deber impuesto por dicho precepto no ha de referirse a las determinaciones de la propia Ley, ya que se discrepa precisamente de la calificación como básica de buena parte de su contenido, al que remite el precepto en cuestión, que por otra parte excluye la posibilidad de que el deber de incorporación al proceso urbanizador o edificatorio pueda ser regulado por la Comunidad Autónoma más allá de establecer determinadas condiciones y plazos. Lo mismo debe decirse del inciso "en los términos fijados por esta Ley" del apartado 1 b) del art. 23. Los arts. 27.1, 2 y 4, así como los arts. 29.1, 30.1 y 3, 31.2 y 32, referidos al "derecho al aprovechamiento urbanístico", no deben considerarse básicos por regular todos ellos materias propias del régimen jurídico urbanístico en sentido estricto, que, por su contenido específico, pertenecen a la competencia propia de la Comunidad Autónoma. El legislador no se limita a plantear las condiciones básicas del ejercicio del derecho de propiedad, sino que entra a determinar </w:t>
      </w:r>
      <w:r>
        <w:lastRenderedPageBreak/>
        <w:t xml:space="preserve">las cargas y cesiones que debe soportar la propiedad inmobiliaria, función que debiera reservarse al ordenamiento urbanístico. Es decir, la determinación de cómo la comunidad ha de participar en las plusvalías de la acción urbanística es materia urbanística, y por ello de competencia autonómica. Tampoco es de recibo que el legislador estatal concrete los criterios técnicos de reparto de beneficios y cargas, o determine la imposición de una sanción urbanística en caso de incumplimiento del deber de solicitar licencia de edificación dentro de plazo, o, en fin, determine el aprovechamiento atribuible en expropiaciones no motivadas por incumplimiento de deberes urbanísticos. </w:t>
      </w:r>
    </w:p>
    <w:p w:rsidR="008107C7" w:rsidRDefault="008107C7" w:rsidP="008107C7">
      <w:pPr>
        <w:pStyle w:val="TextoNormal"/>
      </w:pPr>
      <w:r>
        <w:t xml:space="preserve">Los arts. 34, 35.2 y 36, referidos todos ellos al derecho a edificar, tampoco deben ser considerados básicos por su contenido de regulación, ya que se trata de preceptos que obligan a las Administraciones Públicas a unas determinadas y concretas actuaciones, con independencia de sus propios criterios, atacando frontalmente el principio de autonomía y la posibilidad de diseñar una política urbanística propia. Los arts. 38, 39, 40.1, 2 y 3, y 41, que versan sobre el derecho a la edificación, en cuanto constituyen típicas medidas de disciplina urbanística conducentes al restablecimiento de la legalidad urbanística deberían ser adoptadas, como medidas de política urbanística, por la Comunidad Autónoma si así lo considera oportuno. Otro tanto puede decirse con respecto al art. 42.1, 2 y 3. El art. 45, apartados 1 a 4, que regula determinados deberes de información urbanística en caso de enajenación de terrenos que se encuentren en determinadas situaciones, excede notoriamente de los contornos propios de una pretendida normativa básica. El art. 59.1 y 2 contiene unas reglas de valoración de los terrenos destinados a sistemas generales y a obtener por expropiación que agotan el ámbito de regulación, excluyendo las posibilidades autonómicas de un desarrollo legislativo, por lo que no se compadecen con la naturaleza propia de unas normas básicas. El art. 62, que remite al aprovechamiento urbanístico como regla de valoración, tampoco puede considerarse como norma básica por las mismas razones expuestas en relación con el art. 27.1, 2 y 4 y demás concordantes. Los arts. 72.1 y 78.1, que contienen reglas propias del régimen urbanístico, deberían quedar por tanto a la plena disposición de la Comunidad Autónoma, dotada de competencia exclusiva en la materia sectorial. </w:t>
      </w:r>
    </w:p>
    <w:p w:rsidR="008107C7" w:rsidRDefault="008107C7" w:rsidP="008107C7">
      <w:pPr>
        <w:pStyle w:val="TextoNormal"/>
      </w:pPr>
      <w:r>
        <w:t xml:space="preserve">En cuanto a los arts. 94.1 y 2, 95, 96.1 y 3, 97, 98, 99.1 y 2 y 100, la exigencia de delimitación de áreas de reparto de cargas y beneficios y de unidades de ejecución y las reglas para la determinación del aprovechamiento tipo repelen absolutamente el calificativo de normas básicas, dado su carácter instrumental y el detalle de una regulación concreta que, por entero, debía corresponder al legislador autonómico. De nuevo se está ante una materia puramente urbanística, en la que no tienen cabida las bases estatales. Tampoco las reglas contenidas en el art. 104.1 y 3 son coherentes con su pretendido carácter de normas básicas; se trata de previsiones típicas de una normativa urbanística, pero no responden para nada a las mínimas exigencias materiales de una norma básica. Los arts. 109.1, 113.2, 124, 133 y 135 regulan aspectos puramente procedimentales, no compadeciéndose con el carácter de procedimiento administrativo especial y no mereciendo, por tanto, el calificativo de básicos. Por su parte, el art. 132 vincula a la aprobación de los planes la declaración de la utilidad pública de las obras y la necesidad de ocupación de los terrenos, pero, pese a cualquier apariencia, no se está aquí en el ámbito de la legislación sobre expropiación forzosa, sino que se trata de determinaciones prototípicas de una legislación puramente sectorial, por lo que deberían reservarse a la competencia autonómica. La regla del art. 134.1, por muy trascendental que sea, compartiéndose en cuanto a su sentido sustantivo de regulación, es propia del régimen urbanístico, por lo que tampoco encaja adecuadamente entre las denominadas normas básicas. También la regla del art. 138 b), que contiene una norma de protección a la </w:t>
      </w:r>
      <w:r>
        <w:lastRenderedPageBreak/>
        <w:t xml:space="preserve">adaptación ambiental, choca con los límites propios de una norma básica en materia urbanística. Los arts. 143 y 144.1 son propios del régimen urbanístico, por lo que son de aplicación las consideraciones ya efectuadas con anterioridad. Los arts. 149.3, 150 y 151.1 y 3 regulan cuestiones típicas de la gestión urbanística, que tampoco merecen la atribución de carácter básico. Idéntica consideración merecen, por su contenido, los arts. 166.1 a), c) y e), y 167. </w:t>
      </w:r>
    </w:p>
    <w:p w:rsidR="008107C7" w:rsidRDefault="008107C7" w:rsidP="008107C7">
      <w:pPr>
        <w:pStyle w:val="TextoNormal"/>
      </w:pPr>
      <w:r>
        <w:t xml:space="preserve">El art. 176 es una pretendida norma básica que no merece tal calificación por excluir toda posibilidad de desarrollo legislativo por parte de las Comunidades Autónomas. Respecto al art. 183, se da por reiterada la consideración sugerida por el art. 132. El art. 184.2 impone también unas determinadas consecuencias en el caso de incumplimiento de sus obligaciones por el adjudicatario del concurso para la redacción de un programa de actuación urbanística. Los arts. 203 y 205, referidos a la obtención de terrenos dotacionales, tienen, como mucho un contenido reglamentario, que repele su consideración como normas básicas. El primero de ellos especifica y concreta casuísticamente la regulación del procedimiento de ocupación directa (publicidad, plazos, contenido, formalización, etc.); y también el segundo, que prevé la cesión por ministerio de la ley, ha de encuadrarse entre las normas de mera gestión urbanística, cuya determinación debería quedar reservada a la Comunidad Autónoma. Otro tanto debe decirse respecto a los arts. 227.1 y 228.3 y 4. </w:t>
      </w:r>
    </w:p>
    <w:p w:rsidR="008107C7" w:rsidRDefault="008107C7" w:rsidP="008107C7">
      <w:pPr>
        <w:pStyle w:val="TextoNormal"/>
      </w:pPr>
      <w:r>
        <w:t xml:space="preserve">Los arts. 237, 238, 239 y 241 regulan distintos supuestos de indemnización con carácter de normas básicas, pese a que corresponde a la legislación urbanística la determinación de dichos supuestos. La materia no debe encuadrarse como perteneciente al ámbito del sistema de responsabilidad de las Administraciones Públicas, por no concurrir los supuestos estructurales precisos para ello. Se trata más bien de un aspecto relativo a la dinámica del planeamiento urbanístico, que encaja plenamente entre los contornos del régimen urbanístico. La competencia estatal se circunscribe a la regulación del sistema de responsabilidad, por lo que no puede absorber la regulación, en una específica sede sectorial, de las indemnizaciones procedentes por la modificación de los instrumentos de la planificación urbanística. Los arts. 248 y 249 se deben encuadrar dentro de la tipología propia de la disciplina urbanística, por lo que procede remitirse a lo ya expuesto anteriormente sobre un supuesto idéntico. </w:t>
      </w:r>
    </w:p>
    <w:p w:rsidR="008107C7" w:rsidRDefault="008107C7" w:rsidP="008107C7">
      <w:pPr>
        <w:pStyle w:val="TextoNormal"/>
      </w:pPr>
      <w:r>
        <w:t xml:space="preserve">Las Disposiciones adicionales primera, tercera (reglas 1 y 2) y cuarta acogen normas que forman parte del régimen urbanístico, a decidir libremente por cada Comunidad Autónoma. Especialmente significativa es la primera, que establece el ámbito subjetivo de aplicación de la Ley, los Municipios a los que debe aplicarse, lo que constituye un punto fundamental para la política urbanística autonómica, aparte de sorprender que regulaciones consideradas básicas sean o no aplicables en función del dato coyuntural de la población de los distintos Municipios. También han de ser las Comunidades Autónomas quienes decidan sobre las particularidades, en cuanto a plazos, aplicables a las entidades y empresas públicas de su territorio. En cuanto a la regla sobre el derecho al realojamiento de los ocupantes de viviendas que deban desalojarse para ejecutar actuaciones urbanísticas, lo adecuado al sistema español de distribución de competencias es que las dicte el titular de la competencia sobre urbanismo y vivienda, es decir, las Comunidades Autónomas. Finalmente, las Disposiciones transitorias primera, cuarta, quinta, sexta, apartados 1 y 4, y octava no pueden tampoco considerarse como legislación básica por su relación directa con los preceptos del mismo Texto Refundido a que se refieren, los cuales, como ya se ha expuesto, no se encuentran amparados por el art. 149 C.E., por lo que deben residenciarse en el ámbito propio reservado a la Comunidad Autónoma. </w:t>
      </w:r>
    </w:p>
    <w:p w:rsidR="008107C7" w:rsidRDefault="008107C7" w:rsidP="008107C7">
      <w:pPr>
        <w:pStyle w:val="TextoNormal"/>
      </w:pPr>
      <w:r>
        <w:t xml:space="preserve">D) En cuanto a los preceptos considerados de aplicación plena, se impugna la inclusión en dicha categoría de los siguientes: </w:t>
      </w:r>
    </w:p>
    <w:p w:rsidR="008107C7" w:rsidRDefault="008107C7" w:rsidP="008107C7">
      <w:pPr>
        <w:pStyle w:val="TextoNormal"/>
      </w:pPr>
      <w:r>
        <w:lastRenderedPageBreak/>
        <w:t xml:space="preserve">El art. 43.3, porque, pese a las apariencias, no es una regla vinculada a la competencia para la ordenación de los registros e instrumentos públicos, sino que se limita a prever determinada obligación administrativa de remisión de datos al Registro de la Propiedad, lo que es distinto de la competencia estatal que acaba de citarse, amparada por el art. 149.1.8 C.E. En segundo lugar, los arts. 46 a 57, referidos al tema de la valoración. La valoración de los terrenos, como parte integrante del ordenamiento urbanístico, ha de entenderse atribuida a la competencia exclusiva de las Comunidades Autónomas, ya que la competencia estatal para la legislación sobre expropiación forzosa no resulta título suficiente para atraer la regulación de dicha materia. Se trata de competencias de diferente naturaleza. El régimen de valoraciones completa el estatuto jurídico de la propiedad del suelo, como consecuencia de la función social que se le asigna, lo que lo sitúa en el ámbito de disposición autonómico. Por idénticas razones, el objeto del presente recurso se contrae asimismo a los arts. 58, 60, 61, 160.3 y 173, en la dicción "conforme a lo establecido en los arts. 59 y 60, sin deducción o adición alguna". </w:t>
      </w:r>
    </w:p>
    <w:p w:rsidR="008107C7" w:rsidRDefault="008107C7" w:rsidP="008107C7">
      <w:pPr>
        <w:pStyle w:val="TextoNormal"/>
      </w:pPr>
      <w:r>
        <w:t xml:space="preserve">También se impugnan los arts. 199.1 b) y 2 b), 202, apartados 1 a 4, y 204, ya que se limitan a determinar supuestos de utilización de las técnicas expropiatoria y de ocupación directa, lo que no supone legislar sobre el contenido institucional de dichas figuras, sino sólo utilizarlas instrumentalmente, por lo que la competencia debe ser autonómica. Además, y en cuanto a los que constituyen determinación de causa expropiandi, procede remitirse a lo ya expuesto. La previsión del art. 254.1 no puede considerarse de aplicación plena, por formar parte del régimen jurídico urbanístico, que queda a la libre disponibilidad del titular de la competencia sectorial. Finalmente, con relación al art. 278.4, se dan por reproducidas, por identidad de razón, las consideraciones formuladas respecto de los arts. 109.1 y concordantes y 176, 183 y 184.2. </w:t>
      </w:r>
    </w:p>
    <w:p w:rsidR="008107C7" w:rsidRDefault="008107C7" w:rsidP="008107C7">
      <w:pPr>
        <w:pStyle w:val="TextoNormal"/>
      </w:pPr>
      <w:r>
        <w:t>Finaliza su escrito de demanda la representación de la Diputación General de Aragón con la súplica de que se tenga por interpuesto y formalizado recurso de inconstitucionalidad contra el Texto Refundido y concretamente contra su Disposición final única en cuanto declara: 1º) en su apartado 1, el carácter de legislación básica de los siguientes preceptos: 15, 16.1 y 2, 17, inciso final del 19 ("conforme a lo establecido en esta Ley"), 23.1 b) ("en los términos fijados por esta Ley"), 27.1, 2 y 4, 29.1, 30.1 y 3, 31.2, 32, 34, 35.2, 36, 38, 39, 40.1, 2 y 3, 41, 42.1, 2 y 3, 45.1 a 4, 59.1 y 2, 62, 72.1, 78.2, 94.1 y 2, 95, 96.1 y 3, 97, 98, 99.1 y 2, 100, 104.1 y 3, 109.1, 113.2, 124, 132, 133, 134.1, 135, 138 b), 143, 144.1, 149.3, 150, 151.1 y 3, 166.1 a), c) y e), 167, 176, 183, 184.2, 203, 205, 227.1, 228.3 y 4, 237 a 239, 241, 248, 249, Disposiciones adicionales primera, tercera, reglas 1 y 2, y cuarta y Disposiciones transitorias primera, cuarta, quinta, sexta, apartados 1 y 4, y octava; 2º) en su apartado 2, que son de aplicación plena los arts. 43.3, 46 a 57, 58, 60, 61, 160.3, 173 ("conforme a lo establecido en los arts. 59 y 60, sin deducción o adición alguna"), 199.1 b) y 2 b), 202.1 a 4, 204, 254.1 y 278.4; y que se dicte Sentencia por la que se declare la inconstitucionalidad y consecuente nulidad de los expresados preceptos del Texto Refundido impugnado. Por medio de otrosí, se interesa igualmente la acumulación del presente recurso a los recursos, a su vez acumulados, núms. 2.477/90, 2.479/90, 2.481/90, 2.486/90, 2.487/90 y 2.488/90.</w:t>
      </w:r>
    </w:p>
    <w:p w:rsidR="008107C7" w:rsidRDefault="008107C7" w:rsidP="008107C7">
      <w:pPr>
        <w:pStyle w:val="TextoNormal"/>
      </w:pPr>
    </w:p>
    <w:p w:rsidR="008107C7" w:rsidRDefault="008107C7" w:rsidP="008107C7">
      <w:pPr>
        <w:pStyle w:val="TextoNormal"/>
      </w:pPr>
      <w:r w:rsidRPr="008107C7">
        <w:rPr>
          <w:rStyle w:val="NumeroAFNegritaCaracter"/>
        </w:rPr>
        <w:t>29</w:t>
      </w:r>
      <w:r>
        <w:t xml:space="preserve">. La Sección Segunda del Tribunal, por providencia de 14 de octubre de 1992, acordó: 1º) admitir a trámite el recurso de inconstitucionalidad promovido por la Diputación General de Aragón, turnado con el núm. 2.341/92; 2º) dar traslado de la demanda y documentos presentados, conforme establece el art. 34 LOTC, al Congreso de los Diputados y al Senado, por conducto de sus Presidentes, y al Gobierno, por conducto del Ministerio de Justicia, al objeto de que, en el plazo de quince días, pudieran personarse en el proceso y formular las </w:t>
      </w:r>
      <w:r>
        <w:lastRenderedPageBreak/>
        <w:t>alegaciones que estimasen procedentes; 3º) oír a las partes antes mencionadas, así como a las representaciones procesales del Parlamento de Navarra, del Consejo de Gobierno de la Diputación Regional de Cantabria, del Consejo Ejecutivo de la Generalidad de Cataluña, de la Junta de Castilla y León y del Gobierno de Canarias para que, en el mismo plazo del traslado y conforme establece el art. 83 LOTC, pudieran exponer lo que estimasen conveniente acerca de la acumulación de este recurso -solicitada en el primer otrosí de la demanda- con los ya acumulados núms. 2.477/90, 2.479/90, 2.481/90, 2.486/90, 2.487/90 y 2.488/90, y también con el 2.337/92, planteado por el Consejo de Gobierno de las Islas Baleares, a quien se oiría asimismo sobre dicha acumulación; 4º) publicar la incoación del recurso en el "Boletín Oficial del Estado".</w:t>
      </w:r>
    </w:p>
    <w:p w:rsidR="008107C7" w:rsidRDefault="008107C7" w:rsidP="008107C7">
      <w:pPr>
        <w:pStyle w:val="TextoNormal"/>
      </w:pPr>
    </w:p>
    <w:p w:rsidR="008107C7" w:rsidRDefault="008107C7" w:rsidP="008107C7">
      <w:pPr>
        <w:pStyle w:val="TextoNormal"/>
      </w:pPr>
      <w:r w:rsidRPr="008107C7">
        <w:rPr>
          <w:rStyle w:val="NumeroAFNegritaCaracter"/>
        </w:rPr>
        <w:t>30</w:t>
      </w:r>
      <w:r>
        <w:t>. El Presidente del Congreso de los Diputados, por escrito registrado el 22 de octubre de 1992, comunicó el Acuerdo de la Cámara de no personarse en el procedimiento ni formular alegaciones, poniendo a disposición del Tribunal las actuaciones que pudiera precisar, con remisión a la Dirección de Estudios y Documentación de la Secretaría General. Mediante escrito registrado el siguiente 29 de octubre, el Presidente del Senado comunicó el Acuerdo de la Cámara de que se la tuviera por personada en el procedimiento y por ofrecida su colaboración a los efectos del art. 88.1 LOTC.</w:t>
      </w:r>
    </w:p>
    <w:p w:rsidR="008107C7" w:rsidRDefault="008107C7" w:rsidP="008107C7">
      <w:pPr>
        <w:pStyle w:val="TextoNormal"/>
      </w:pPr>
    </w:p>
    <w:p w:rsidR="008107C7" w:rsidRDefault="008107C7" w:rsidP="008107C7">
      <w:pPr>
        <w:pStyle w:val="TextoNormal"/>
      </w:pPr>
      <w:r w:rsidRPr="008107C7">
        <w:rPr>
          <w:rStyle w:val="NumeroAFNegritaCaracter"/>
        </w:rPr>
        <w:t>31</w:t>
      </w:r>
      <w:r>
        <w:t xml:space="preserve">. El Consejo Ejecutivo de la Generalidad de Cataluña, representado por su Abogado don Xavier Castrillo Gutiérrez, interpuso, mediante escrito registrado el 29 de septiembre de 1992, recurso de inconstitucionalidad contra la Disposición final única, puntos 1, 2 y 3, en relación con diversos preceptos, del Texto Refundido de la Ley sobre el Régimen del Suelo y Ordenación Urbana, aprobado mediante el Real Decreto Legislativo 1/1992, de 26 de junio. Aduce el impugnante la argumentación que a continuación se resume: </w:t>
      </w:r>
    </w:p>
    <w:p w:rsidR="008107C7" w:rsidRDefault="008107C7" w:rsidP="008107C7">
      <w:pPr>
        <w:pStyle w:val="TextoNormal"/>
      </w:pPr>
      <w:r>
        <w:t xml:space="preserve">A) Siendo en todo coincidente la delimitación del marco competencial aplicable a la Ley 8/1990 y al Texto Refundido, parece oportuno, en aras del principio de economía procesal y para evitar fatigosas redundancias, no repetir la extensa y razonada argumentación general contenida en la demanda contra la Ley 8/1990, dedicada a estudiar el marco competencial de dicha Ley, ni la más específica referida a los preceptos en concreto impugnados, argumentaciones que se dan por reproducidas, entendiendo que cabe esperar del Tribunal que extienda los efectos del enjuiciamiento de los preceptos impugnados de la Ley 8/1990 a aquellos del Texto Refundido que virtualmente los reproducen. Dicho esto, es de observar que la Disposición final única del Texto Refundido determina el grado de aplicación de sus preceptos, distinguiendo los que tienen carácter de legislación básica (enumerados en el punto 1) y los que son de aplicación plena (citados en el punto 2) del resto de preceptos, los cuales (según dispone el punto 3) serán de aplicación supletoria en defecto de regulación específica por las Comunidades Autónomas. Pues bien, se ha de señalar expresamente que el objeto del presente recurso es la impugnación de dicha Disposición final por el valor que atribuye a determinados preceptos del Texto Refundido dentro del orden constitucional de distribución de competencias, en perjuicio claro y notorio de las que corresponden a las Comunidades Autónomas y, entre ellas, a la Generalidad de Cataluña. Así, lo que se cuestiona es, en primer lugar, si los preceptos del Texto Refundido señalados como básicos lo son materialmente en relación con alguna de las materias en que el Estado ostenta competencia para dictar legislación básica, que no puede ser la materia urbanística, ya que esta materia no figura en el art. 149 C.E. y sí, en cambio, ha sido asumida como competencia exclusiva por todas las Comunidades Autónomas en sus respectivos Estatutos. En segundo lugar, si los preceptos declarados de aplicación plena respetan las competencias urbanísticas </w:t>
      </w:r>
      <w:r>
        <w:lastRenderedPageBreak/>
        <w:t xml:space="preserve">autonómicas, de manera que, aunque cabe que incidan en el campo del urbanismo, no regulan propiamente materia urbanística y dificultan o impiden el ejercicio de aquéllas; y, en tercer lugar, si el resto de preceptos refundidos pueden ser calificados como supletorios de la regulación específica dictada por la Generalidad de Cataluña contenida en el Texto Refundido de los textos legales vigentes en Cataluña en materia urbanística, aprobado por el Decreto Legislativo 1/1990, de 12 de julio. </w:t>
      </w:r>
    </w:p>
    <w:p w:rsidR="008107C7" w:rsidRDefault="008107C7" w:rsidP="008107C7">
      <w:pPr>
        <w:pStyle w:val="TextoNormal"/>
      </w:pPr>
      <w:r>
        <w:t xml:space="preserve">B) El punto 1 de la Disposición final única del Texto Refundido atribuye el carácter de legislación básica, en virtud de lo previsto en el art. 149.1.1, 8, 13, 18 y 23 C.E., a una larga serie de preceptos. Algunos de ellos, que no llegan a la mitad, son simple reproducción de otros contenidos en la Ley 8/1990 con el mismo valor, motivo por el que ya fueron objeto del recurso planteado contra la citada Ley. En cuanto al resto, su calificación de normativa básica les viene de la decisión del Gobierno del Estado al efectuar la refundición. Parece oportuno considerar por separado estos dos grupos de preceptos. </w:t>
      </w:r>
    </w:p>
    <w:p w:rsidR="008107C7" w:rsidRDefault="008107C7" w:rsidP="008107C7">
      <w:pPr>
        <w:pStyle w:val="TextoNormal"/>
      </w:pPr>
      <w:r>
        <w:t xml:space="preserve">En aras de evitar innecesarias repeticiones, y como sea que la decisión que en su día adopte el Tribunal respecto a los preceptos de la Ley 8/1990 que han sido impugnados como básicos necesariamente deberá proyectarse sobre los correspondientes preceptos del Texto con fuerza de Ley en el que han quedado refundidos, se da por reproducido lo que sobre ellos se manifestó en la demanda del recurso de inconstitucionalidad 2.481/90. Por ello, el Abogado de la Generalidad se limita a citarlos (arts. 15; 16.2; 17; 19; 27.1 y 2; 28.5; 29.1; 30.1 y 3; 31.2; 32.1, 2 y 3; 34; 36; 38; 40.1, 2 y 3; 41.1; 42.1, 2 y 3; 62; 72.2 A] b]; 94.1 y 2; 95; 96.1 y 3; 97.1, 2 y 3; 98; 99.1 y 2; 104.1; 144.1; 149.3; 151.1 y 3; 203.2 a 6; 205; 227.1; 237.1 y 2; 238.1; 239.1; 241; 278.1; disposiciones adicionales primera, tercera, 1 y 2, y cuarta; y disposiciones transitorias primera, 1, 2 y 4, cuarta, quinta, sexta, 1 y octava, señalando, para evitar cualquier confusión, cuál es el precepto correspondiente de la Ley 8/1990 ya impugnado. </w:t>
      </w:r>
    </w:p>
    <w:p w:rsidR="008107C7" w:rsidRDefault="008107C7" w:rsidP="008107C7">
      <w:pPr>
        <w:pStyle w:val="TextoNormal"/>
      </w:pPr>
      <w:r>
        <w:t xml:space="preserve">Establecido lo anterior, es de señalar que en el punto 1 de la Disposición final única del Texto Refundido se atribuye el carácter de legislación básica a una serie de preceptos que no se limitan a "incidir" sobre la materia urbanística desde los títulos competenciales estatales citados, sino que pasan a "regular" cuestiones propias de dicha materia, incluso de forma precisa y detallada. Todo ello resulta materialmente incompatible con la noción de base o normativa básica. Cita a continuación el Abogado de la Generalidad aquellos preceptos que no pueden ser calificados como básicos, ya que su finalidad es propiamente urbanística al igual que la materia en ellos regulada, con lo que se invade la competencia exclusiva de la Generalidad de Cataluña sobre ordenación del territorio, urbanismo y vivienda, atribuida en el art. 9.9 de su Estatuto. Se trata de los arts. 3.1 y 2 c); 4.1; 20; 27.2 y 4; 31.1; 39; 59.1 y 2; 65.1; 67; 72.1; 78.2; 97.4; 100; 104.3; 109.1; 113.2; 124; 135; 137.5; 141; 143; 166.1 a), c) y e); 167; 176; 184.2; 203.1; 228.3 y 4; 237.3; 238.2; 239.2; 242.1 y 6; 246.2; 248; 249; 253.3; 254.2; 277; 280.1; 282.2; 284.3; 285 y 286 y la disposición adicional séptima. Además, respecto a la Disposición adicional séptima, que regula la estructura y funciones de la Comisión Central del Territorio y Urbanismo, como órgano superior de carácter consultivo de la Administración del Estado en materias de ordenación del territorio y urbanismo, prosigue diciendo el Abogado de la Generalidad, al tiempo que señala su inconstitucionalidad, que merece una triple consideración. En primer lugar, y de manera semejante a lo denunciado en cuanto al art. 65.1, se declara básico un precepto que se refiere a unas hipotéticas facultades autoorganizativas del Estado que en nada afectan a las Comunidades Autónomas, por lo que, de acuerdo con la función que necesariamente está llamada a cumplir la legislación básica, no resulta ni correcto ni adecuado atribuirles tal calificación. Una vez más se está produciendo una confusión entre lo básico y lo estatal, que desvirtúa la </w:t>
      </w:r>
      <w:r>
        <w:lastRenderedPageBreak/>
        <w:t xml:space="preserve">relación dialéctica que debe existir entre el Estado y las Comunidades Autónomas a través de normas básicas y normas de desarrollo, siempre, por supuesto, que el constituyente la haya previsto para regular un determinado sector material. Así pues, dicha relación resulta imposible cuando el Estado llega a pretender que se considere como normativa básica preceptos referidos a su propia organización administrativa. En segundo lugar, resulta de dudosa constitucionalidad que el Estado cree una organización administrativa dedicada a materias en las que carece de título competencial alguno. Aunque ello se haga atribuyéndole, en principio, funciones de índole consultiva y no directamente ejecutiva, no deja de ser un contrasentido y una constante amenaza tanto para el pacífico ejercicio competencial autonómico como para el principio de seguridad jurídica. Es más, una vez que en la reciente reforma de la organización administrativa del Estado el Ministerio de Obras Públicas y Urbanismo (M.O.P.U.) pasó a ser el Ministerio de Obras Públicas y Transportes (M.O.P.T.), denominación más acorde con las competencias que constitucionalmente le corresponde ejercer al Estado, la creación de una Comisión Central como ésta, encuadrada en el Ministerio de Obras Públicas y Transportes, no puede entenderse sino como un paso atrás en la construcción del Estado autonómico y significa que, en pocas palabras, el M.O.P.T. siga siendo el M.O.P.U. Y, finalmente, cabe llamar la atención sobre el exceso en el uso de la delegación que comporta esta regulación, que al igual que la referida al Plan Nacional de Ordenación (arts. 65 a 67) es aquí introducida con rango de Ley por un Texto Refundido sin que existieran antecedentes legales al respecto. De esta manera, el Gobierno sustrae al posible debate legislativo de las Cámaras la regulación legal de unas figuras cuya creación no puede entenderse en modo alguno como fruto de la regularización, armonización o aclaración de las disposiciones legales existentes sobre suelo y ordenación urbana y que, por lo mismo, no sólo supone un incorrecto ejercicio de la labor encomendada, sino que, al exceder el ámbito de la delegación concreta contenida en la Ley 8/1990, vulnera directamente las condiciones del ejercicio de funciones legislativas por el Gobierno, mediante la figura del Decreto Legislativo, contenidas en el art. 82 C.E. Y por ello resulta inconstitucional. </w:t>
      </w:r>
    </w:p>
    <w:p w:rsidR="008107C7" w:rsidRDefault="008107C7" w:rsidP="008107C7">
      <w:pPr>
        <w:pStyle w:val="TextoNormal"/>
      </w:pPr>
      <w:r>
        <w:t xml:space="preserve">C) El punto 2 de la Disposición final del Texto Refundido declara de aplicación plena, en virtud del art. 149.1.8 y 18 C.E., una larga lista de preceptos. Cabe entender que mediante ellos el Estado pretende ejercer competencias que ostenta con carácter exclusivo y que, por lo tanto, resultan de obligado cumplimiento en todas las Comunidades Autónomas, sin que haya lugar a su desarrollo normativo por éstas. Pues bien, aquellos preceptos de aplicación plena que se corresponden con preceptos de la Ley 8/1990 ya impugnados en el recurso de inconstitucionalidad núm. 2.481/90 deben tenerse por inconstitucionales por las mismas razones que constan en el citado recurso. Se trata de los arts. 202.4, 206, 207 y 278.4. Los demás preceptos de aplicación plena han de examinarse de forma singularizada. </w:t>
      </w:r>
    </w:p>
    <w:p w:rsidR="008107C7" w:rsidRDefault="008107C7" w:rsidP="008107C7">
      <w:pPr>
        <w:pStyle w:val="TextoNormal"/>
      </w:pPr>
      <w:r>
        <w:t xml:space="preserve">Vulneran las competencias autonómicas, en primer lugar, el art. 47 b), que fija el momento al que ha de referirse la valoración en el caso de que sea necesaria para determinar la indemnización por cambio de planeamiento, según los supuestos previstos en los arts. 237 a 241. Se trata de una competencia urbanística, al igual que la ejercida en los citados artículos, los cuales deben ser considerados como no básicos. En segundo lugar, los arts. 206 y 207, que tratan de diversos supuestos expropiatorios. Como se dice en la STC 37/1987, entre otras, cuando la legislación sectorial corresponde a las Comunidades Autónomas, son éstas, y no el Estado, las que ostentan la potestad de definir legalmente los supuestos en que cabe hacer uso del instrumento expropiatorio mediante la declaración de la causa expropiandi necesaria en cada caso. Por ello, y sin perjuicio de que la Generalidad deba respetar la legislación estatal sobre expropiación, la determinación de las causae expropiandi en materia urbanística le compete. </w:t>
      </w:r>
    </w:p>
    <w:p w:rsidR="008107C7" w:rsidRDefault="008107C7" w:rsidP="008107C7">
      <w:pPr>
        <w:pStyle w:val="TextoNormal"/>
      </w:pPr>
      <w:r>
        <w:lastRenderedPageBreak/>
        <w:t xml:space="preserve">En tercer lugar, los arts. 66, 107, 112, 118.1 y 126.1, todos ellos referentes al Plan Nacional de Ordenación. Estos preceptos plantean la cuestión previa de si el Estado, que no posee competencias específicas en materia urbanística, puede dictar normas de aplicación plena en relación a un planeamiento de todo el territorio español. La respuesta ha de ser negativa por coherencia con el modelo de distribución competencial implantado en la Constitución. Es más, no resulta acorde con el sistema constitucional de integrar las competencias estatales y autonómicas, para el caso de que ambas incidan necesariamente en un mismo espacio físico, que el Estado se autoatribuya determinar las directrices así como facultades coordinadoras, y, menos aun, que lo haga por la irregular e inconstitucional vía de que su Gobierno dicte un Texto Refundido en el que los preceptos señalados exceden el ámbito de la delegación que le fue otorgada por las Cortes para la materia específicamente urbanística. En pocas palabras: si el Plan Nacional de Ordenación se refiere a la materia urbanística, es inconstitucional por no poseer el Estado competencia para establecerlo. Y si se trata de un Plan referido a materias de la competencia estatal, entonces su inclusión en este Texto Refundido resulta inconstitucional por exceder el ámbito material de la delegación y sustraer su discusión parlamentaria al poder legislativo. </w:t>
      </w:r>
    </w:p>
    <w:p w:rsidR="008107C7" w:rsidRDefault="008107C7" w:rsidP="008107C7">
      <w:pPr>
        <w:pStyle w:val="TextoNormal"/>
      </w:pPr>
      <w:r>
        <w:t xml:space="preserve">Vulneran asimismo las competencias autonómicas los arts. 136.2, 287.2 y 3, 288.3 y 289, que contemplan regulaciones relativas al derecho de superficie, cuyo contenido ha sido configurado siempre desde la normativa urbanística. Además, lo dispuesto en el art. 136.2 tiene un contenido manifiestamente urbanístico al referirse a la demolición o desalojo de las obras o usos autorizados con carácter provisional. En quinto lugar, los arts. 220.1, 221 y 300, que se refieren a las actuaciones realizadas por los órganos autonómicos competentes en los procedimientos de tasación conjunta, expropiación individual y subrogación, respectivamente, no pueden ser considerados como de aplicación plena, ya que materialmente no responden a un título competencial exclusivo del Estado. Su contenido supone una indebida vinculación de las actuaciones de los órganos autonómicos a la decisión normativa estatal, vulnerando el orden competencial fijado en los arts. 149.1.18 C.E. y 10.1.1 del E.A. de Cataluña. Los arts. 174.2, 254.1 y 299 tratan de materias estrictamente urbanísticas. El primero sobre liberación de bienes expropiados a cambio de la imposición de las oportunas condiciones; el segundo referido a la revisión de licencias y el tercero a la resolución de peticiones, siempre de acuerdo con lo expuesto en "esta" Ley, lo que excluye completamente de legitimación a la normativa autonómica al respecto, la cual, por otra parte, debe ser la única aplicable para resolver las cuestiones urbanísticas. Por último, dado que en la Ley 8/1990 los preceptos que regulan el procedimiento y efectos del tanteo y retracto tienen la calificación de normativa supletoria, el art. 296 del Texto Refundido, que se refiere a las notificaciones y que se corresponde con el art. 95 de la citada Ley, no puede ser calificado como de aplicación plena. </w:t>
      </w:r>
    </w:p>
    <w:p w:rsidR="008107C7" w:rsidRDefault="008107C7" w:rsidP="008107C7">
      <w:pPr>
        <w:pStyle w:val="TextoNormal"/>
      </w:pPr>
      <w:r>
        <w:t xml:space="preserve">D) En el punto 3 de la Disposición final única se dispone que los restantes preceptos, es decir, los que no son de aplicación básica o plena, serán de aplicación supletoria en defecto de regulación específica por las Comunidades Autónomas en ejercicio de sus competencias. Este punto lleva a preguntarse en base a qué título competencial el Estado puede establecer que todos aquellos preceptos del Texto Refundido no amparados en alguno de los títulos competenciales del art. 149.1 C.E. tengan vigencia en los territorios en que no exista regulación específica al respecto. En términos más generales, se trata de considerar la legitimidad constitucional de que el Estado dicte legislación supletoria en aquellas materias en las que carece de título competencial específico, como es el caso del urbanismo, puesto que dicha materia ha sido asumida con carácter de competencia exclusiva por todas y cada una </w:t>
      </w:r>
      <w:r>
        <w:lastRenderedPageBreak/>
        <w:t xml:space="preserve">de las Comunidades Autónomas sin excepción. Cabe señalar que el punto 3 de la Disposición final no se limita a reproducir el contenido del art. 149.3 C.E., puesto que este último lo que pone en relación son los ordenamientos jurídicos y no las leyes sectoriales. El Tribunal Constitucional se ha pronunciado en diversas ocasiones sobre la supletoriedad del derecho estatal (SSTC 85/1983, 227/1988, 15/1989 y 103/1989, siendo de especial consideración la doctrina recogida en la STC 147/1991, fundamento jurídico 7º, en la que Tribunal ha armonizado las distintas declaraciones anteriores, integrándolas en un sistema conceptual lógico y coherente). Además, es de considerar la existencia de un amplio ordenamiento urbanístico propio dictado por los Parlamentos autonómicos. Y más concretamente, en el caso de Cataluña, del Decreto Legislativo 1/1990, de 12 de julio, por el que se aprueba el Texto Refundido de los textos legales vigentes en Cataluña en materia urbanística, que constituye un verdadero código autonómico del urbanismo. Por ello, y considerando que todo sistema jurídico ha de tender a integrarse con sus propias normas, se estima contrario al orden competencial constitucionalmente establecido que el Texto Refundido aprobado por el Real Decreto Legislativo 1/1992 tenga valor de norma urbanística supletoria en Cataluña. </w:t>
      </w:r>
    </w:p>
    <w:p w:rsidR="008107C7" w:rsidRDefault="008107C7" w:rsidP="008107C7">
      <w:pPr>
        <w:pStyle w:val="TextoNormal"/>
      </w:pPr>
      <w:r>
        <w:t xml:space="preserve">E) Para finalizar, una última consideración de carácter global en orden a poner de relieve la profunda preocupación que supone para la Generalidad de Cataluña la edición por el Estado de nuevas normas urbanísticas, como la Ley 8/1990 y el actual Texto Refundido. Porque, en efecto, bien cabe entender que la confusión provocada por la maraña de títulos competenciales invocados por el Estado para justificar unos preceptos como básicos y otros como de aplicación plena no sólo va en detrimento de la específica competencia de las Comunidades Autónomas para ejercer pacíficamente la plenitud de la función legislativa sobre el urbanismo de su territorio, sino que a su vez lesiona la seguridad jurídica garantizada en el art. 9.3 C.E. y desfigura el propio modelo de Estado autonómico consensuado en la Constitución Española de 1978. </w:t>
      </w:r>
    </w:p>
    <w:p w:rsidR="008107C7" w:rsidRDefault="008107C7" w:rsidP="008107C7">
      <w:pPr>
        <w:pStyle w:val="TextoNormal"/>
      </w:pPr>
      <w:r>
        <w:t>Concluye el impugnante su escrito de demanda con la súplica de que se tenga por formalizado recurso de inconstitucionalidad contra la Disposición final única del Texto Refundido de la Ley sobre el Régimen del Suelo y Ordenación Urbana, aprobado por el Real Decreto Legislativo 1/1992, en su punto 1, en relación con los arts. 3.1, 3.2 c), 4.1, 15, 16.2, 17, 19, 20, 27.1, 2 y 4, 28.5, 29.1, 30.1 y 3, 31.1 y 2, 32, 34, 36, 38, 39, 40.1, 2 y 3, 41.1, 42.1, 2 y 3, 59.1 y 2, 62, 65.1, 67, 72.1 y 2 A) b), 78.2, 94.1 y 2, 95, 96.1 y 3, 97, 98, 99.1 y 2, 100, 104.1 y 3, 109.1, 113.2, 124, 135, 137.5, 141, 143, 144.1, 149.3, 151.1 y 3, 166.1 a), c) y e), 167, 176, 184.2, 203, 205, 227.1, 228.3 y 4, 237, 238, 239, 241, 242.1 y 6, 246.2, 248, 249, 253.3, 254.2, 277, 278.1, 280.1, 282.2, 284.3, 285 y 286, las Disposiciones adicionales primera, tercera, 1 y 2, cuarta, séptima y octava y las Disposiciones transitorias primera, cuarta, quinta, sexta, 1 y 4, y octava; en su punto 2, en relación con los arts. 47 b), 66, 107, 112, 118.1, 126.1, 136.2, 174.2, 202.4, 206, 207, 220.1, 221, 254.1, 278.4, 287.2 y 3, 288.3, 289, 296, 299 y 300; y en su punto 3, en relación con los preceptos de aplicación supletoria, y que en su día se dicte Sentencia por la que se declare la inconstitucionalidad y consiguiente nulidad de la calificación otorgada a los mencionados preceptos o, subsidiariamente, que la misma no es de aplicación en Cataluña. Por medio de otrosí, se interesa igualmente la acumulación del presente recurso al recurso de inconstitucionalidad núm. 2.481/90 y a los otros cinco interpuestos contra la Ley 8/1990, a su vez acumulados.</w:t>
      </w:r>
    </w:p>
    <w:p w:rsidR="008107C7" w:rsidRDefault="008107C7" w:rsidP="008107C7">
      <w:pPr>
        <w:pStyle w:val="TextoNormal"/>
      </w:pPr>
    </w:p>
    <w:p w:rsidR="008107C7" w:rsidRDefault="008107C7" w:rsidP="008107C7">
      <w:pPr>
        <w:pStyle w:val="TextoNormal"/>
      </w:pPr>
      <w:r w:rsidRPr="008107C7">
        <w:rPr>
          <w:rStyle w:val="NumeroAFNegritaCaracter"/>
        </w:rPr>
        <w:t>32</w:t>
      </w:r>
      <w:r>
        <w:t xml:space="preserve">. La Sección Tercera del Tribunal, por providencia de 14 de octubre de 1992, acordó: 1º) admitir a trámite el recurso de inconstitucionalidad promovido por el Consejo Ejecutivo de la Generalidad de Cataluña, turnado con el núm. 2.342/92; 2º) dar traslado de la demanda </w:t>
      </w:r>
      <w:r>
        <w:lastRenderedPageBreak/>
        <w:t>y documentos presentados, conforme establece el art. 34 LOTC, al Congreso de los Diputados y al Senado, por conducto de sus Presidentes, y al Gobierno, por conducto del Ministerio de Justicia, al objeto de que, en el plazo de quince días, pudieran personarse en el proceso y formular las alegaciones que estimaren procedentes; 3º) oír a las partes mencionadas, así como a las representaciones procesales del Parlamento de Navarra, del Consejo de Gobierno de la Diputación Regional de Cantabria, del Consejo de Gobierno de la Diputación General de Aragón, del Consejo de Gobierno de la Junta de Castilla y León y del Gobierno de Canarias para que, en el mismo plazo del traslado y conforme establece el art. 83 LOTC, pudieran exponer lo que estimasen procedente acerca de la acumulación de este recurso con los ya acumulados núms. 2.477/90, 2.479/90, 2.481/90, 2.486/90, 2.487/90 y 2.488/90 y 2.337/92 y 2.341/92, estos últimos planteados, respectivamente, por los Consejos de Gobierno de las Islas Baleares y de la Diputación General de Aragón, a los que también se habría de oír sobre dicha acumulación; 4º) publicar la incoación del recurso en el "Boletín Oficial del Estado".</w:t>
      </w:r>
    </w:p>
    <w:p w:rsidR="008107C7" w:rsidRDefault="008107C7" w:rsidP="008107C7">
      <w:pPr>
        <w:pStyle w:val="TextoNormal"/>
      </w:pPr>
    </w:p>
    <w:p w:rsidR="008107C7" w:rsidRDefault="008107C7" w:rsidP="008107C7">
      <w:pPr>
        <w:pStyle w:val="TextoNormal"/>
      </w:pPr>
      <w:r w:rsidRPr="008107C7">
        <w:rPr>
          <w:rStyle w:val="NumeroAFNegritaCaracter"/>
        </w:rPr>
        <w:t>33</w:t>
      </w:r>
      <w:r>
        <w:t>. El Presidente del Congreso de los Diputados, por escrito registrado el 22 de octubre de 1992, comunicó el Acuerdo de la Cámara de no personarse en el procedimiento ni formular alegaciones, poniendo a disposición del Tribunal las actuaciones que pudiera precisar, con remisión a la Dirección de Estudios y Documentación de la Secretaría General. El Presidente del Senado, por escrito registrado el 28 de octubre, comunicó el Acuerdo de la Cámara de que se la tuviera por personada en el procedimiento y por ofrecida su colaboración a los efectos del art. 88.1 LOTC.</w:t>
      </w:r>
    </w:p>
    <w:p w:rsidR="008107C7" w:rsidRDefault="008107C7" w:rsidP="008107C7">
      <w:pPr>
        <w:pStyle w:val="TextoNormal"/>
      </w:pPr>
    </w:p>
    <w:p w:rsidR="008107C7" w:rsidRDefault="008107C7" w:rsidP="008107C7">
      <w:pPr>
        <w:pStyle w:val="TextoNormal"/>
      </w:pPr>
      <w:r w:rsidRPr="008107C7">
        <w:rPr>
          <w:rStyle w:val="NumeroAFNegritaCaracter"/>
        </w:rPr>
        <w:t>34</w:t>
      </w:r>
      <w:r>
        <w:t>. El Pleno del Tribunal, por Auto de 9 de diciembre de 1992, acordó acumular los recursos de inconstitucionalidad núms. 2.337/92, 2.341/92 y 2.342/92 a los ya acumulados registrados con los núms. 2.477/90, 2.479/90, 2.481/90, 2.486/90, 2.487/90 y 2.488/90, y conceder un nuevo plazo de quince días al Abogado del Estado para que pudiera presentar las alegaciones que estimase oportuno en relación con los tres recursos indicados en primer lugar.</w:t>
      </w:r>
    </w:p>
    <w:p w:rsidR="008107C7" w:rsidRDefault="008107C7" w:rsidP="008107C7">
      <w:pPr>
        <w:pStyle w:val="TextoNormal"/>
      </w:pPr>
    </w:p>
    <w:p w:rsidR="008107C7" w:rsidRDefault="008107C7" w:rsidP="008107C7">
      <w:pPr>
        <w:pStyle w:val="TextoNormal"/>
      </w:pPr>
      <w:r w:rsidRPr="008107C7">
        <w:rPr>
          <w:rStyle w:val="NumeroAFNegritaCaracter"/>
        </w:rPr>
        <w:t>35</w:t>
      </w:r>
      <w:r>
        <w:t xml:space="preserve">. El Abogado del Estado evacuó el trámite conferido mediante escrito registrado el 22 de diciembre de 1992, en el que hizo las alegaciones que a continuación se extractan: </w:t>
      </w:r>
    </w:p>
    <w:p w:rsidR="008107C7" w:rsidRDefault="008107C7" w:rsidP="008107C7">
      <w:pPr>
        <w:pStyle w:val="TextoNormal"/>
      </w:pPr>
      <w:r>
        <w:t xml:space="preserve">A) Para empezar, no merecen consideración especial los supuestos padecimientos o lesiones de la seguridad jurídica (art. 9.3 C.E.) que denuncia el Abogado de la Generalidad de Cataluña, que no pasan de ser invocación retórica, ya que no suplica luego la declaración de inconstitucionalidad de todo el Texto Refundido por violación de la seguridad jurídica, sino sólo la de tres apartados de su Disposición final única, y eso exclusivamente para cambiar la, a su juicio, errónea calificación de los preceptos como básicos, de aplicación plena o supletorios. Se entra a examinar, por tanto, la supuesta inconstitucionalidad, alegada por la representación del Gobierno balear, de la Disposición final quinta de la Ley 31/1991, de 30 de diciembre, de Presupuestos del Estado para 1992. Esa Disposición rehabilitó la autorización para refundir contenida en la Disposición final segunda de la Ley 8/1990. La representación indicada recurre un precepto legal que formaba parte de una Ley publicada el 31 de diciembre de 1991, siendo así que el plazo para recurrir contra la citada Disposición final quinta terminó el 31 de marzo de 1992 (art. 33 LOTC). Debe, pues, denegarse el examen de esta alegación por ser extemporánea la impugnación planteada. A ello no cabe contestar que la inconstitucionalidad y nulidad de la Ley o cláusula legal de delegación se propaga al </w:t>
      </w:r>
      <w:r>
        <w:lastRenderedPageBreak/>
        <w:t xml:space="preserve">Texto Refundido, en razón de que el rango y fuerza legal de éste se fundamenta en la validez de aquélla, de manera que en el recurso de inconstitucionalidad contra el texto delegado pueden hacerse valer no sólo los vicios imputables al uso o ejercicio de la delegación -sea por inconstitucionalidad material del contenido de los preceptos de la Ley delegada, sea por haberse violado los límites de la delegación legislativa-, sino, asimismo, los que afectan a la Ley de delegación o Ley delegante en cuanto base o fundamento del texto cuya formación el legislador encargó al Gobierno. Esta tesis debe, en efecto, desecharse en beneficio de la seguridad jurídica (art. 9.3 C.E.), representada tanto por la estricta observancia de los plazos para impulsar el control abstracto de constitucionalidad de las Leyes, cuanto por la necesidad de proporcionar la mayor seguridad a los operadores jurídicos y a los ciudadanos sobre la validez presunta de los textos con fuerza de Ley. Los diversos tipos de relaciones que pueden mediar entre unas y otras normas legales (Ley delegante y Ley delegada, Ley orgánica y Ley ordinaria que colabora con la orgánica, Ley autonómica que desarrolla un precepto básico estatal, etc.) no pueden servir de base para defraudar el sometimiento a plazo de caducidad del proceso para el control abstracto de la constitucionalidad de las Leyes (art. 33 LOTC y AATC, entre otros, 547/1989, fundamento jurídico 1º, y 24/1990, fundamento jurídico 2º). Cuando el vicio de inconstitucionalidad se impute a la Ley delegante, a la Ley Orgánica, a la Ley Básica, los tres meses deben contarse desde su publicación, sin admitir que puedan ser impugnadas a través de un recurso contra el texto delegado, la Ley ordinaria que colabora con la orgánica o la Ley autonómica que desarrolla un precepto básico que se reputa inconstitucional. En todos estos casos existe o puede existir un nexo de fundamentación tal que la invalidez de la norma fundamentadora puede extenderse a la norma fundamentada. Pero ni la Constitución ni la Ley Orgánica del Tribunal Constitucional autorizan este tipo de recursos mediatos de inconstitucionalidad, más aun cuando cabe impulsar el llamado control concreto de inconstitucionalidad a través del planteamiento de la cuestión. </w:t>
      </w:r>
    </w:p>
    <w:p w:rsidR="008107C7" w:rsidRDefault="008107C7" w:rsidP="008107C7">
      <w:pPr>
        <w:pStyle w:val="TextoNormal"/>
      </w:pPr>
      <w:r>
        <w:t xml:space="preserve">De otra parte, la doctrina de la STC 76/1992, fundamento jurídico 4º, no es de aplicación a la Disposición final quinta de la Ley 31/1991, ya que tal Disposición no está en la base de una libre innovación del ordenamiento, es decir, no regula propiamente materia alguna. Además, ha de destacarse que la representación del Gobierno balear no opone que la citada Disposición final quinta vulnere el art. 82 C.E. por rehabilitar una delegación legislativa caducada, la contenida en la Disposición final segunda de la Ley 8/1990. Y, en efecto, ninguna infracción constitucional se aprecia en la rehabilitación, como no la hay en la prórroga y ampliación de una anterior autorización para refundir (STC 13/1992, fundamento jurídico 16). La única peculiaridad de las rehabilitaciones de cláusulas de delegación estriba en que los "límites de la delegación" resultantes del art. 82.3 C.E. se establecen per relationem, acogiendo como propios la Disposición final quinta los contenidos de la Disposición final segunda de la Ley 8/1990. Y es que la rehabilitación de una delegación legislativa entraña la plena asunción de los términos en que se había contenido la delegación caducada, sin otras variaciones que las que pudiera introducir la propia cláusula rehabilitadora. La rehabilitación de una delegación legislativa caducada es, de este modo, una cláusula expresa, y no implícita, de delegación legislativa, pues manifiesta inequívocamente la voluntad de las Cortes de apoderar al Gobierno para dictar un texto con fuerza de Ley (en este caso la Disposición final quinta de la Ley 31/1991 emplea las palabras "Texto Refundido", uno de los tipos de Ley delegada mencionados en el art. 82 C.E.). Es consecuencia de lo expuesto que la refundición rehabilitada por la Disposición final quinta de la Ley 31/1991 deba entenderse concedida para regular, aclarar y armonizar los textos legales refundidos, con el significado que a estas expresiones da el Fundamento jurídico 16 de la STC 13/1992. </w:t>
      </w:r>
    </w:p>
    <w:p w:rsidR="008107C7" w:rsidRDefault="008107C7" w:rsidP="008107C7">
      <w:pPr>
        <w:pStyle w:val="TextoNormal"/>
      </w:pPr>
      <w:r>
        <w:lastRenderedPageBreak/>
        <w:t xml:space="preserve">B) El régimen impugnatorio de los tres recursos interpuestos no puede ser idéntico. Los preceptos del Texto Refundido que reproducen (sustituyen y derogan) otros de la Ley 8/1990 no pueden ser ahora recurridos ante este Tribunal si se dejaron sin recurrir los correlativos de la Ley refundida, la Ley 8/1990. En cambio, puede plantearse ahora si han sido correctamente declarados básicos o de aplicación plena los preceptos provenientes de cuerpos normativos distintos a la Ley 8/1990 o los preceptos incluidos en el Texto Refundido por razón de aclaración, regularización o armonización, algunos de ellos tomados de textos reglamentarios preexistentes. En efecto, el Texto Refundido sustituye y deroga a la Ley 8/1990 (Disposición derogatoria única, apartado 1). En principio, la derogación entraña la desaparición sobrevenida del objeto del recurso de inconstitucionalidad [SSTC 160/1987, fundamento jurídico 6 b) y 150/1990, fundamento jurídico 8º], aunque este criterio haya de ser modulado en especiales circunstancias: por ejemplo, cuando se aduce un vicio de un Decreto-ley luego convertido en Ley (STC 60/1986, fundamento jurídico 1º) o el precepto derogado conserva un "vestigio de vigencia" (STC 199/1987, fundamento jurídico 3º). La STC 141/1988, fundamento jurídico 1º, consideró, por su lado, que el efecto derogatorio de un Texto Refundido impedía plantear la cuestión de inconstitucionalidad sobre un precepto de la Ley refundida, aun existiendo identidad de tenor. La doctrina de la terminación anormal de los recursos de inconstitucionalidad por pérdida sobrevenida de la vigencia de los preceptos legales impugnados necesita ser también matizada cuando, pendiente el recurso, quedan derogados aquellos preceptos por haber quedado refundidos en un texto único. La matización consiste en que quienes recurrieron la Ley refundida no quedan gravados con la carga de reiterar su voluntad impugnatoria respecto a los correlativos preceptos del Texto Refundido, aunque, si quieren, puedan hacerlo, como aquí han hecho los órganos ejecutivos catalán y aragonés. Los demás órganos recurrentes contra la Ley 8/1990 (Parlamento Navarro, Consejos de Gobierno de Cantabria, Canarias y Castilla y León) no han de ver desaparecido el objeto de sus recursos; simplemente se ha transformado. Si se acoge alguno de sus razonamientos contra preceptos de la Ley 8/1990, la transformación del objeto de sus recursos obligará al Tribunal a declarar inconstitucional el precepto del Texto Refundido que recoja el impugnado de la Ley 8/1990. </w:t>
      </w:r>
    </w:p>
    <w:p w:rsidR="008107C7" w:rsidRDefault="008107C7" w:rsidP="008107C7">
      <w:pPr>
        <w:pStyle w:val="TextoNormal"/>
      </w:pPr>
      <w:r>
        <w:t xml:space="preserve">Ahora bien, de modo inverso, quien no haya recurrido en su día contra la Ley 8/1990, no puede aprovechar la publicación del Texto Refundido para impugnar los preceptos de aquella Ley refundida que, sin alteración, aparecen en el nuevo texto único. Admitir otra cosa entrañaría permitir el fraude del plazo de caducidad impuesto por el art. 33 LOTC, con daño a la seguridad jurídica por parejas razones a las ya expuestas. En este caso se encuentra, sobre todo, el recurso balear núm. 2.337/92. El Consejo de Gobierno de las Islas Baleares no recurrió contra la Ley 8/1990 y ahora impugna preceptos del Texto Refundido de tenor idéntico a los de aquella Ley. Dicho de manera más precisa: el Consejo de Gobierno balear discute ahora el carácter básico o la aplicación plena de contenidos preceptivos ya declarados básicos o de aplicación plena por la Disposición final primera de la Ley 8/1990. Por lo tanto, debe excluirse, por extemporáneo (art. 33 LOTC), el examen de si son básicos o de aplicación plena una serie de artículos del Texto Refundido citados en la súplica del recurso balear en cuanto reproducen el tenor o contenido preceptivo de otros artículos de la Ley 8/1990 declarados básicos o de aplicación plena por su Disposición final primera. Por consecuencia de ello, el recurso balear sólo puede entenderse admisible contra la declaración como básicos de los artículos que a continuación se citan y contra la declaración como de aplicación plena de otros artículos que igualmente cita el Abogado del Estado. </w:t>
      </w:r>
    </w:p>
    <w:p w:rsidR="008107C7" w:rsidRDefault="008107C7" w:rsidP="008107C7">
      <w:pPr>
        <w:pStyle w:val="TextoNormal"/>
      </w:pPr>
      <w:r>
        <w:lastRenderedPageBreak/>
        <w:t xml:space="preserve">También el recurso catalán (núm. 2.342/92) adolece de parecido vicio que el balear, es decir, impugna preceptos del Texto Refundido que recogen otros de la Ley 8/1990 no recurridos en su día por el órgano ejecutivo catalán. Ocurre esto con los artículos que a continuación se citan y cuya impugnación es extemporánea (art. 33 LOTC), al no haber sido recurridos en su día los correlativos de la Ley 8/1990. Los arts. 206 y 207 del Texto Refundido se corresponden con el art. 78 de la Ley 8/1990, cuyo carácter de aplicación plena impugnó en su día el Consejo Ejecutivo de la Generalidad Catalana. No se entiende, pues, que estos mismos artículos figuren entre los que esa misma demanda conceptúa como recurridos ex novo. </w:t>
      </w:r>
    </w:p>
    <w:p w:rsidR="008107C7" w:rsidRDefault="008107C7" w:rsidP="008107C7">
      <w:pPr>
        <w:pStyle w:val="TextoNormal"/>
      </w:pPr>
      <w:r>
        <w:t xml:space="preserve">En cuanto al recurso promovido por la Diputación General de Aragón (2.341/92), nada hay que oponer a que la Diputación Aragonesa vuelva a recurrir los preceptos del Texto Refundido que reproducen los de la Ley 8/1990 impugnados en su día por el órgano ejecutivo aragonés. En esa situación se encuentran los preceptos que a continuación se citan. El resto de los preceptos impugnados son los que ha considerado el Letrado de la Comunidad Autónoma como invasores de las competencias autonómicas, en virtud de la implícita delegación o habilitación contenida en la cláusula "así como contra todos aquellos que supongan una invasión de las competencias que en la materia ostenta la Comunidad Autónoma de Aragón" que se lee en el punto 1º del Acuerdo de la Diputación General de Aragón de 18 de agosto de 1992 que acompaña al recurso. Esta cláusula, sin embargo, debe reputarse inválida y, por lo tanto, los preceptos impugnados a su amparo deben quedar excluidos del enjuiciamiento constitucional. En efecto, quien debe tomar indelegablemente la decisión de recurrir ciertos preceptos de una Ley estatal y no otros es el órgano colegiado ejecutivo de la Comunidad Autónoma, sin que le esté permitido hacer dejación en su Letrado de la determinación de cuáles han de ser los preceptos concretamente recurridos que han de figurar en la demanda de inconstitucionalidad (art. 33 LOTC). Esta es la interpretación correcta de los arts. 162.1 a) C.E., 32.2 LOTC y 26 del E.A. de Aragón. El art. 32.2 LOTC, al que se remite el 26 del Estatuto, exige un "previo acuerdo adoptado al efecto" por el órgano autonómico recurrente. Ese previo acuerdo debe dejar perfectamente determinados los preceptos que se recurren, sin emplear conceptos indeterminados ni conceder margen alguno de apreciación a órganos autonómicos de inferior jerarquía o a su defensor procesal. Es lícito emplear fórmulas generales que permitan una determinación inequívoca, pero no otras que suponen delegar o abdicar de lo que pertenece al núcleo de la decisión de recurrir. Y eso es exactamente lo que ocurre con la cláusula cuya invalidez se postula. En consecuencia, no procede examinar la constitucionalidad de los preceptos del Texto Refundido que a continuación se citan. Algunos de estos preceptos reproducen otros de la Ley 8/1990 que no fueron recurridos en su día por la Diputación General de Aragón, por lo que tampoco cabría ahora -por razón de extemporaneidad (art. 33 LOTC)- entrar a enjuiciar su inconstitucionalidad; en este caso se hallan los artículos que seguidamente se mencionan. </w:t>
      </w:r>
    </w:p>
    <w:p w:rsidR="008107C7" w:rsidRDefault="008107C7" w:rsidP="008107C7">
      <w:pPr>
        <w:pStyle w:val="TextoNormal"/>
      </w:pPr>
      <w:r>
        <w:t xml:space="preserve">Si alguna de las defensas desarrolladas en esta alegación es acogida en la Sentencia, valdrá, habida cuenta del momento procesal, para desestimar el recurso por razón de inadmisibilidad en relación con los artículos del Texto Refundido a que afecte el óbice expuesto. </w:t>
      </w:r>
    </w:p>
    <w:p w:rsidR="008107C7" w:rsidRDefault="008107C7" w:rsidP="008107C7">
      <w:pPr>
        <w:pStyle w:val="TextoNormal"/>
      </w:pPr>
      <w:r>
        <w:t xml:space="preserve">C) Los alegatos generales contenidos en los tres recursos, que versan sobre el alcance de los títulos estatales de competencia invocados por los apartados 1 y 2 de la Disposición final única del Texto Refundido, deben entenderse contestados con los argumentos expuestos en el escrito de alegaciones de 1 de febrero de 1991 (recursos 2.477/90 y acumulados). No obstante, procede efectuar algunas precisiones teniendo en cuenta la jurisprudencia constitucional posterior. La STC 149/1991, fundamento jurídico 1º B), sienta unos criterios respecto a la competencia autonómica de ordenación del territorio válidos igualmente para la </w:t>
      </w:r>
      <w:r>
        <w:lastRenderedPageBreak/>
        <w:t xml:space="preserve">competencia autonómica en materia de urbanismo (ambas competencias aparecen en el art. 148.1.3 C.E.). Esas competencias autonómicas no pueden impedir el ejercicio por el Estado de las suyas exclusivas (SSTC 77/1984 y 57/1986), ni ser entendidas en términos tan absolutos que eliminen o destruyan las competencias que la propia Constitución reserva al Estado, "aunque el uso que éste haga de ellas condicione necesariamente la ordenación del territorio" o el urbanismo. La misma STC 149/1991, fundamento jurídico 1º D), admite que el art. 149.1.1 C.E., en relación con el art. 33 C.E. (1 y 2), ampara la regulación por el Estado de "condiciones básicas de la propiedad". Y aunque sin duda es cierto que cabe distinguir el título competencial del art. 149.1.1 C.E. de los títulos que reservan al Estado las bases o la legislación básica (STC 136/1991, fundamento jurídico 1º), no hay duda de que, por un lado, toda fijación de bases puede llevar implícito un juicio de igualdad y, por el otro, el art. 149.1.1 habilita al Estado para regular condiciones básicas. No es, por tanto, improcedente invocar el art. 149.1.1 para calificar de básicos ciertos preceptos del Texto Refundido, en cuanto son portadores de las condiciones básicas establecidas por las Cortes Generales para garantizar la igualdad de todos los españoles así en el ejercicio de los derechos o facultades urbanísticas de la propiedad inmobiliaria (art. 33.1 C.E.), como en el cumplimiento de los deberes nacidos de su función social (arts. 33.2 C.E. y 5 del Texto Refundido), y por tanto, del régimen de utilización del suelo de acuerdo con el interés general o de la participación de la comunidad en las plusvalías que genere la acción pública urbanística (art. 47 C.E.). Es claro, en cualquier caso, que la argumentación general sobre los títulos competenciales sólo puede servir para enmarcar el debate sobre la constitucionalidad de los preceptos concretamente impugnados; pero en sí misma esa argumentación general no permite tener ningún precepto particular por apodícticamente inconstitucional. Es necesario argumentar en cada caso, carga no correctamente levantada en muchas ocasiones por los órganos recurrentes, que se limitan a afirmar, pero no a razonar, la inconstitucionalidad del carácter básico o de aplicación plena de muchos preceptos. </w:t>
      </w:r>
    </w:p>
    <w:p w:rsidR="008107C7" w:rsidRDefault="008107C7" w:rsidP="008107C7">
      <w:pPr>
        <w:pStyle w:val="TextoNormal"/>
      </w:pPr>
      <w:r>
        <w:t xml:space="preserve">Por lo que hace a preceptos particulares del Texto Refundido que reproducen o recogen otros de la Ley 8/1990 impugnados en su día por el Consejo Ejecutivo de la Generalidad de Cataluña y por la Diputación General de Aragón a causa de negarles carácter básico o de aplicación plena, procede la remisión de nuevo a las alegaciones del 1 de febrero de 1991, recursos 2.477/90 y acumulados. </w:t>
      </w:r>
    </w:p>
    <w:p w:rsidR="008107C7" w:rsidRDefault="008107C7" w:rsidP="008107C7">
      <w:pPr>
        <w:pStyle w:val="TextoNormal"/>
      </w:pPr>
      <w:r>
        <w:t xml:space="preserve">Si, contra lo anteriormente razonado, el Tribunal entendiera procedente examinar la constitucionalidad de aquellos preceptos recurridos por el Consejo de Gobierno balear que, correspondientes con los de la Ley 8/1990, no fueron en su día recurridos, también cabe remitirse a la defensa de dichos preceptos de la Ley 8/1990 hecha en las alegaciones referidas. Otro tanto cabe decir respecto a los artículos del Texto Refundido que reproducen otros de la Ley 8/1990 impugnados ex novo por el Consejo Ejecutivo de la Generalidad de Cataluña y por la Diputación General de Aragón. </w:t>
      </w:r>
    </w:p>
    <w:p w:rsidR="008107C7" w:rsidRDefault="008107C7" w:rsidP="008107C7">
      <w:pPr>
        <w:pStyle w:val="TextoNormal"/>
      </w:pPr>
      <w:r>
        <w:t xml:space="preserve">D) Corresponde ahora defender el carácter básico o de aplicación plena que los apartados 1 y 2 de la Disposición final única del Texto Refundido atribuyen a ciertos preceptos provenientes de cuerpos normativos distintos de la Ley 8/1990 o introducidos para regularizar, aclarar y armonizar. Las consideraciones que a continuación siguen dan por supuestas las alegaciones efectuadas el 1 de febrero de 1991 en los recursos 2.477/90 y acumulados. Se estudiará también la constitucionalidad de los preceptos elegidos por el Letrado de la Comunidad Autónoma de Aragón en virtud de la delegación o habilitación que le concedió el órgano ejecutivo autonómico para determinar los preceptos del Texto Refundido que creyera invasores de las competencias aragonesas, si bien no hará falta decir que tal examen se efectúa subsidiariamente a la objeción expuesta anteriormente. </w:t>
      </w:r>
    </w:p>
    <w:p w:rsidR="008107C7" w:rsidRDefault="008107C7" w:rsidP="008107C7">
      <w:pPr>
        <w:pStyle w:val="TextoNormal"/>
      </w:pPr>
      <w:r>
        <w:lastRenderedPageBreak/>
        <w:t xml:space="preserve">Procede así, en primer lugar, tratar de los preceptos declarados básicos por el apartado 1 de la Disposición final única del Texto Refundido. Los recursos no objetan la aptitud de un Texto Refundido -Ley delegada- para declarar básicos preceptos provenientes de cuerpos legales distintos de la Ley 8/1990 e incluso introducidos en virtud de la facultad de regularizar, aclarar y armonizar (STC 179/1992, fundamento jurídico 2º). Impugnan exclusivamente el carácter básico de los preceptos, al entender que no lo son materialmente, en general por no poderse amparar en las competencias estatales del art. 149.1.1, 8, 13, 18 y 23 C.E. Es necesario examinar en concreto cada precepto declarado básico, sin perjuicio de agruparlos por afinidad de materia. </w:t>
      </w:r>
    </w:p>
    <w:p w:rsidR="008107C7" w:rsidRDefault="008107C7" w:rsidP="008107C7">
      <w:pPr>
        <w:pStyle w:val="TextoNormal"/>
      </w:pPr>
      <w:r>
        <w:t xml:space="preserve">Arts. 3.1, 3.2 c) y 4.1. El art. 3.1 del Texto Refundido fija algunas finalidades generales de la acción urbanística sobre el régimen del suelo. Estas finalidades concretan lo dispuesto en los arts. 33.2 y 47 C.E. Su formulación por el legislador nacional se ampara en el art. 149.1.1 y 18 C.E. El art. 3.2 c) se refiere a las clases fundamentales de suelo determinantes de las facultades y deberes urbanísticos de sus propietarios, y queda amparado, por tanto, en el art. 149.1.1 en relación con el art. 33 (1 y 2) C.E. El precepto admite una diversa clasificación del suelo efectuada por el legislador autonómico, aunque exige equivalencia de las clasificaciones autonómicas con la general, dado que tal equivalencia es condición básica para la igualdad en los derechos y deberes inherentes a la propiedad urbanística (art. 149.1.1). Por su parte, el propósito del art. 4.1 no es otro que declarar pública (administrativa) "en todo caso" la dirección y control de la gestión urbanística. Esta delimitación general entre la esfera pública y la iniciativa privada compete al Estado en cuanto base del régimen jurídico de la administración urbanística (art. 149.1.18 C.E.) y también en cuanto condición básica que garantiza la igualdad en el ejercicio de la propiedad y de la libertad de empresa (art. 149.1.1 en relación con los arts. 33.1 y 2 y 38 C.E.). "La Administración urbanística competente" puede ser la estatal, la autonómica o la local según la distribución constitucional, estatutaria y legal de las competencias. El empleo de esta expresión -"Administración urbanística competente"- entraña implícito y respetuoso reenvío al bloque de la constitucionalidad y a la legalidad competencial, lo que hace competencialmente inocuo este precepto. </w:t>
      </w:r>
    </w:p>
    <w:p w:rsidR="008107C7" w:rsidRDefault="008107C7" w:rsidP="008107C7">
      <w:pPr>
        <w:pStyle w:val="TextoNormal"/>
      </w:pPr>
      <w:r>
        <w:t xml:space="preserve">Arts. 9.1, 11.4, 16.1, 20.1 b), 27.4, 39, 45.1 y 4 y 59. Para el art. 9.1, impugnado en conjunción con el art. 3.2 c), vale lo dicho al examinar este último. El art. 11.4 es impugnado en el recurso balear por representar un exceso en el uso de la delegación. Olvida, sin embargo, el recurrente que el art. 11.4 no ha sido impugnado autónomamente; impugnados han sido sólo los apartados 1 y 2 de la Disposición final única del Texto Refundido. Por lo tanto, sólo cabe discutir si el art. 11.4 ha sido bien declarado básico o no. El art. 11.4, en cuanto impone la equiparación entre suelo apto para urbanizar y suelo urbanizable programado, se ampara en el art. 149.1.1 y 18 C.E. Por lo demás, no existe el supuesto exceso que se imputa al art. 11.4. La clase "suelo apto para urbanizar" es propia de una especial figura del planeamiento, las normas subsidiarias, según resulta del art. 11.3 del Texto Refundido, no impugnado. Las normas son subsidiarias justamente porque se aplican a Municipios carentes de Plan General (art. 75 del Texto Refundido). No hay, pues, exceso alguno respeto a la Disposición adicional primera, 3, de la Ley 8/1990. En cuanto al art. 16.1, se ampara claramente en el art. 149.1.13 C.E., ya que la prohibición del fraccionamiento de predios contenida en la legislación agraria u otra especial (legislaciones que pueden ser autonómicas) "para la consecución de sus correspondientes fines" reposa en una determinada imagen sobre la explotación agraria adecuada desde el punto de vista de la estructura y de la política económicas, que exige prohibir su división o fraccionamiento por debajo de un mínimo; este mínimo puede variar ratione territorii, pero la norma básica es justamente que debe haber un límite </w:t>
      </w:r>
      <w:r>
        <w:lastRenderedPageBreak/>
        <w:t xml:space="preserve">al fraccionamiento predial. Pero además, en cuanto el art. 16.1 contiene una prohibición relevante en el tráfico jurídico- privado, pues la prohibición ha de tenerse en cuenta "en las transferencias de propiedad, divisiones y segregaciones de terrenos", cabe invocar también el art. 149.1.8 C.E. </w:t>
      </w:r>
    </w:p>
    <w:p w:rsidR="008107C7" w:rsidRDefault="008107C7" w:rsidP="008107C7">
      <w:pPr>
        <w:pStyle w:val="TextoNormal"/>
      </w:pPr>
      <w:r>
        <w:t xml:space="preserve">El art. 20.1 b) concreta, con carácter básico, el deber de cesión del art. 9.1 b) de la Ley 8/1990. Esta concreción se ampara en la necesidad de regularizar, aclarar y armonizar. Respecto a la aclaración de que los cesionarios han de ser "los Ayuntamientos", sin duda se ha debido tener en cuenta lo dispuesto en artículos como el 98.1 de la Ley 8/1990 y el que el Ayuntamiento sea ordinariamente la Administración actuante. Pero eso no impide que en su caso pueda ser cesionaria otra Administración actuante, como resulta de preceptos del Texto Refundido más específicos que el art. 20.1 b) (véanse, por ejemplo, los arts. 151, 167 a), 197 b), etc. del Texto Refundido). Por lo que concierne al art. 27.4, es claramente básico en virtud del art. 149.1.1 -y, en su caso, del art. 149.1.18 C.E.- por las razones que se dieron al contestar los recursos contra la Ley 8/1990 en defensa de los arts. 16.1 y 37 de esta Ley. Pues bien, los apartados 1, 2 y 3 del art. 27 del Texto Refundido reproducen respectivamente los arts. 16.1 y 37 (2 y 3) de la Ley, es decir: los apartados 1 y 2 del art. 27 del Texto Refundido regulan el aprovechamiento urbanístico apropiable por el titular de un terreno y por el conjunto de propietarios incluidos en una unidad de ejecución, cuando en ambos casos sea de aplicar la regulación del aprovechamiento tipo y de las áreas de reparto; y el apartado 3 presupone también -por remisión al 2- la aplicación del régimen de las áreas de reparto. De este modo, el apartado 4 concreta la regulación del aprovechamiento urbanístico con referencia al suelo urbano donde no se apliquen las disposiciones sobre áreas de reparto y aprovechamiento tipo (cfr. Disposición adicional primera, 3, Ley 8/1990; asimismo, último párrafo del art. 105.2 del Texto Refundido de 1976, tal como quedó redactado por la Disposición adicional sexta de la Ley 8/1990, precepto básico). Por lo tanto, el art. 27.4 del Texto Refundido necesariamente se amparará en los mismos títulos competenciales que los tres primeros apartados de ese mismo artículo. </w:t>
      </w:r>
    </w:p>
    <w:p w:rsidR="008107C7" w:rsidRDefault="008107C7" w:rsidP="008107C7">
      <w:pPr>
        <w:pStyle w:val="TextoNormal"/>
      </w:pPr>
      <w:r>
        <w:t xml:space="preserve">El art. 39 constituye una clara base del régimen jurídico de la Administración urbanística (art. 149.1.18 C.E.), pues el precepto establece el régimen mínimo uniforme para toda España sobre la legalización de edificaciones compatibles con el planeamiento, pero ejecutadas sin licencia o sin ajustarse a las condiciones de ésta. Esta base de régimen jurídico-administrativo urbanístico, por referirse a un acto interventor de la edificación, operará primordialmente en la actuación de las entidades locales (art. 243.1 del Texto Refundido) y más específicamente de los Municipios [art. 25.2 d) L.B.R.L.]. Mas como la posible legalización es determinante del derecho a la edificación (art. 37.1 del Texto Refundido), podría también aducirse el art. 149.1.1 en relación con el art. 33.1 y 2 C.E. A su vez, los apartados 1 a 4 del art. 45 del Texto Refundido se apoyan, como es evidente, en el art. 149.1.8 (bases de las obligaciones contractuales), ya que norman el contenido necesario de contratos que sirven de título a enajenaciones (apartados 1, 2 y 3), y hacen caso de rescisión e indemnización el infringir tales disposiciones sobre contenido necesario (apartado 4). En fin, el art. 59, 1 y 2 del Texto Refundido, enumerado por el Consejo Ejecutivo de la Generalidad de Cataluña entre los preceptos que no reproducen otros de la Ley 8/1990, recoge en realidad el contenido del art. 38 de esa Ley, impugnado en su día por el mismo órgano autonómico y a cuya defensa procede remitirse. </w:t>
      </w:r>
    </w:p>
    <w:p w:rsidR="008107C7" w:rsidRDefault="008107C7" w:rsidP="008107C7">
      <w:pPr>
        <w:pStyle w:val="TextoNormal"/>
      </w:pPr>
      <w:r>
        <w:t xml:space="preserve">Arts. 65.1, 67, 72.1, 78.2, 97.4, 100, 104.1 y 3, 109.1, 113.2, 124, 132, 133, 134.1, 135, 137.5 y 138 b). El Consejo Ejecutivo de la Generalidad de Cataluña impugna una serie de preceptos del Texto Refundido relativos al Plan Nacional de Ordenación. La mayor parte de estos preceptos son, comprensiblemente, de aplicación plena. Pero hay dos preceptos </w:t>
      </w:r>
      <w:r>
        <w:lastRenderedPageBreak/>
        <w:t xml:space="preserve">relativos al Plan Nacional de Ordenación declarados básicos: los arts. 65.1 y 67, que son claras bases del régimen jurídico de todas las Administraciones urbanísticas (art. 149.1.18 C.E.). El art. 65.1 prevé la posibilidad de esta singular figura del planeamiento y el art. 67 lo hace vinculante no ya para la Administración del Estado, sino para todas las Administraciones Públicas -de ahí el carácter básico del precepto- al disponer que desarrollarán sus actividades con incidencia territorial en el marco de las directrices del Plan Nacional de Ordenación. La STC 149/1991, fundamento jurídico 1º B), ha subrayado que la ordenación del territorio es "más una política que una concreta técnica y una política, además, de enorme amplitud" y que la idea misma de ordenación o planificación territorial nació "justamente de la necesidad de coordinar o armonizar, desde el punto de vista de su proyección territorial, los planes de actuación de distintas Administraciones". Obvio es que el Plan Nacional de Ordenación tiene "sentido, por sí mismo, supraautonómico" (STC 146/1992, fundamento jurídico 1º) y que, "por la propia naturaleza de las cosas" (ibidem), la competencia para formularlo, tramitarlo, aprobarlo y revisarlo, así como para determinar sus rasgos esenciales en cuanto a contenido y efectos, necesariamente ha de corresponder al Estado. Contra lo que afirma el Abogado de la Generalidad, el Plan Nacional de Ordenación estaba ya previsto en el Texto Refundido de 1976, por lo que no hay exceso alguno en el ejercicio de la delegación, lo que además no se ha llevado a la súplica al igual que se decía al tratar del art. 11.4. </w:t>
      </w:r>
    </w:p>
    <w:p w:rsidR="008107C7" w:rsidRDefault="008107C7" w:rsidP="008107C7">
      <w:pPr>
        <w:pStyle w:val="TextoNormal"/>
      </w:pPr>
      <w:r>
        <w:t xml:space="preserve">El art. 72.1 es básico por contener un recordatorio de que los Planes Generales Municipales o instrumentos autonómicos análogos deben contener determinaciones que aseguren la aplicación de las reglas del Texto Refundido sobre valoraciones y régimen urbanístico de la propiedad del suelo, según su distinta naturaleza (básicas, de aplicación plena, supletorias). El precepto, puramente remisivo, es en sí mismo competencialmente inocuo. Si este Tribunal privara de carácter básico o de aplicación plena a algún precepto, repercutiría ello en la fuerza vinculatoria que hubiera de tener sobre el planeamiento general, pero en nada afectaría a este art. 72.1. Parecida justificación vale para el art. 78.2. Imponer la delimitación de áreas de reparto y fijar aprovechamientos tipo en el suelo apto para urbanizar, como determinaciones necesarias de las normas subsidiarias municipales, no es más que un recordatorio de la procedente aplicación de unos preceptos provenientes de la Ley 8/1990. El art. 97.4 es recurrido en el recurso catalán por coherencia con la impugnación de los tres primeros apartados del propio artículo, que reproducen el art. 34 de la Ley 8/1990. El art. 97.4 es un precepto absolutamente respetuoso con la competencia autonómica de cuyo reconocimiento parte. Por lo que hace al art. 100, es un mero precepto de aclaración, que se limita a salvar lo establecido en la Disposición Adicional Primera. Sólo si ésta fuera inconstitucional, cabría extender esta calificación al art. 100 por conexión o consecuencia. Los apartados 1 y 3 del art. 104 son bases del régimen jurídico- administrativo del urbanismo (art. 149.1.18 C.E.). Está, en efecto, constitucionalmente justificado atribuir carácter básico al reconocimiento genérico de la iniciativa privada (y pública, pero distinta de la Administración urbanística competente) en el planeamiento (apartado 1), así como al régimen general de los instrumentos precisos para dotar de efectividad a tal reconocimiento (apartado 3). El último inciso del art. 104.3 puede ser también considerado como regla perteneciente a la legislación expropiatoria (art. 149.1.18 C.E.). El art. 109.1 se ampara asimismo en el art. 149.1.18 como base del régimen jurídico administrativo. Este artículo es una regla de garantía de la autonomía municipal en materia urbanística (art. 140 C.E.), enlazado con el art. 25.2 d) de la L.B.R.L. No se contradicen los dos primeros apartados del art. 109 del Texto Refundido: el apartado 2 debe ser interpretado como facultad de pedir asistencia o colaboración para ejercitar la competencia municipal del apartado 1. </w:t>
      </w:r>
    </w:p>
    <w:p w:rsidR="008107C7" w:rsidRDefault="008107C7" w:rsidP="008107C7">
      <w:pPr>
        <w:pStyle w:val="TextoNormal"/>
      </w:pPr>
      <w:r>
        <w:lastRenderedPageBreak/>
        <w:t xml:space="preserve">El art. 113.2 se ampara en el art. 149.1.18, pues impone la indeclinable observancia ("en todo caso") de ciertas garantías procedimentales en el trámite de los planes directores. La información pública se asienta materialmente en el art. 105 a) C.E., dada la inequívoca naturaleza normativa de los citados planes. El art. 124 se enlaza con el 70.2 de la L.B.R.L., y queda claramente amparado por el art. 149.1.18 C.E. -como base del régimen jurídico administrativo que garantiza tratamiento común a los administrados- en relación con el art. 9.3 C.E. (principio de publicidad de las normas), dada la naturaleza normativa de los planes de urbanismo. El art. 132 se ampara igualmente en el art. 149.1.18 C.E. Regula un importante efecto típico de la aprobación de planes urbanísticos y de la delimitación de unidades de ejecución, la legitimación de expropiaciones. Asegura así una mínima homogeneidad para todo el territorio nacional en la eficacia de los planes y de la delimitación de unidades de ejecución, especialmente necesaria para garantizar la igualdad de tratamiento ante la expropiación (art. 33 C.E.). Algo parecido cabe decir del art. 134.1. El art. 133 se justifica, una vez más, en el art. 149.1.18 C.E., esta vez en relación con el art. 105 b) C.E. Es constitucionalmente irreprochable considerar que ha de ser parte del régimen jurídico administrativo básico un mínimo de publicidad de los planes, mediante el establecimiento de derechos de consulta e información que garanticen un tratamiento común de los interesados en todo el territorio nacional. El art. 135 se asienta en el principio general de cooperación y colaboración entre las diversas Administraciones Públicas, inherente a la estructura misma del Estado compuesto delineado por la Constitución. Competencialmente se ampara en el art. 149.1.18 C.E. Es evidente el interés del Estado en estar informado del planeamiento general de los Ayuntamientos para el debido ejercicio de las competencias estatales y para conocer cómo se cumple y concreta la legislación estatal en esos instrumentos de planificación urbanística. </w:t>
      </w:r>
    </w:p>
    <w:p w:rsidR="008107C7" w:rsidRDefault="008107C7" w:rsidP="008107C7">
      <w:pPr>
        <w:pStyle w:val="TextoNormal"/>
      </w:pPr>
      <w:r>
        <w:t xml:space="preserve">El art. 137.5 encuentra acogida, como la Disposición adicional cuarta, 3, a la que remite, en el art. 149.1.8 C.E., pues contiene una norma que se inserta en el régimen de la relación arrendaticia urbana (un derecho del arrendatario frente al arrendador, "base de las obligaciones contractuales"). El art. 138 b) se basa en el art. 149.1.23 C.E. La STC 149/1991, fundamento jurídico 1º D), afirma que el art. 149.1.23 permite al Estado establecer "toda la normativa que considere indispensable para la protección del medio ambiente". La protección de los valores estéticos del paisaje es también protección del medio ambiente. </w:t>
      </w:r>
    </w:p>
    <w:p w:rsidR="008107C7" w:rsidRDefault="008107C7" w:rsidP="008107C7">
      <w:pPr>
        <w:pStyle w:val="TextoNormal"/>
      </w:pPr>
      <w:r>
        <w:t xml:space="preserve">Arts. 141, 143, 154.2, 166.1 a), c) y e), 167, 174.2, 176, 183, 184.2 y 203.1. El carácter básico del art. 141 descansa en el art. 149.1.18 C.E. La ejecución de los planes puede llevarse a cabo en un triple nivel administrativo (estatal, autonómico, local) según la distribución constitucional, estatutaria y legal de las competencias, es decir, la ejecución de planes no es monopolio de ningún nivel administrativo. La señalada intervención de las Administraciones citadas deja a salvo la competencia de órganos específicos y la participación de los particulares. Este tipo de preceptos puede, acaso, merecer juicios poco favorables sobre su perfección técnica, pero de ello no se infiere su inconstitucionalidad ni, en especial, su falta de carácter materialmente básico. El art. 143 no es más que una anticipación o resumen de la sistemática del Título Cuarto; basta comparar el tenor de este artículo con los rótulos de los Capítulos II, III y IV del citado Título. En cuanto anticipación o resumen es, al mismo tiempo, básico (ex art. 149.1.18 C.E.) y competencialmente inocuo. El art. 154.2 contiene una norma de régimen general del dominio público, claramente base del régimen jurídico administrativo (art. 149.1.18). Del art. 166.1 sólo son básicas las letras a), c) y e). Las dos primeras encuentran amparo en el art. 149.1.1 C.E. en relación con los arts. 33 (1 y 2) y 47 C.E., en cuanto mínima garantía de igualdad básica de los propietarios sujetos a reparcelación, técnica, como se sabe, de justo reparto de los beneficios y las cargas de la ordenación </w:t>
      </w:r>
      <w:r>
        <w:lastRenderedPageBreak/>
        <w:t xml:space="preserve">urbanística. La letra e) más bien se asienta competencialmente en el art. 149.1.18 C.E. El art. 167 describe los efectos jurídico- reales del acuerdo aprobatorio de la reparcelación. Pueden invocarse para justificar su carácter básico, de forma concurrente, las competencias sobre las materias 1, 8 y 18 del art. 149.1 C.E. El art. 183 se justifica como básico por las razones expuestas al tratar del art. 132. El art. 184.2 no es sino la proyección del art. 63.1 de la Ley 8/1990 sobre la caducidad de los programas de actuación urbanística por incumplimiento del adjudicatario. Vale, pues, la defensa hecha a propósito del citado precepto: el art. 184.2 se apoya en el art. 149.1.1 y 18 C.E., pues trata de garantizar condiciones básicas de igualdad y tratamiento común ante dos figuras ablatorias - expropiación y venta forzosa- con virtualidad sancionadora del incumplimiento de deberes urbanísticos. En cuanto al art. 203, sus apartados 2 a 6 reproducen el art. 59 de la Ley 8/1990. El apartado 1 es básico por serlo los demás apartados del artículo en virtud de las razones dadas en su día para el art. 59 de la Ley 8/1990. El apartado 1 se limita a definir las ocupaciones directas; con ello proporciona mayor seguridad jurídica en aplicación de los restantes apartados de ese precepto, haciendo que en toda España se entienda lo mismo por ocupación directa. </w:t>
      </w:r>
    </w:p>
    <w:p w:rsidR="008107C7" w:rsidRDefault="008107C7" w:rsidP="008107C7">
      <w:pPr>
        <w:pStyle w:val="TextoNormal"/>
      </w:pPr>
      <w:r>
        <w:t xml:space="preserve">Arts. 228.3 y 4, 237.3, 238.2, 239.2, 242.1 y 6, 246.2, 248, 249, 253.3, 254.2, 282.2, 284.3, 285 y 286. El art. 228.3 se basa en el art. 149.1.1 y 18 C.E., según se razonó en su día respecto a otros preceptos de la Ley 8/1990 con parecida estructura, esto es, preceptos que imponen una valoración cifrada en un porcentaje de aprovechamiento. El art. 228.4 se limita a configurar ob rem el régimen del art. 228, para justificar lo cual valen los títulos competenciales que se acaban de invocar, y también el del art. 149.1.8 C.E. por su incidencia en el tráfico privado. El art. 237.3 es básico en virtud de idéntico título que fundamenta el carácter básico del art. 237.1, es decir, el art. 149.1.18 C.E. ("sistema de responsabilidad de todas las Administraciones Públicas", tal como se razonó en el escrito alegatorio de 1 de febrero de 1991). Parejas razones valen para los arts. 238.2 y 239.2. Son básicos estos preceptos por su relación con otros preceptos básicos como son los arts. 238.1 y 239.1. El art. 238.2 extiende a las edificaciones ya iniciadas el régimen indemnizatorio previsto en el apartado 1 para los casos de edificación no iniciada por quien hubiera ya adquirido ("patrimonializado") el derecho a edificar. El art. 239.2 enuncia un importante supuesto indemnizatorio por razón de vínculos o limitaciones singulares, que se empareja con el del apartado 1 del mismo artículo, también referido a vinculaciones singulares. Ambos se amparan en el art. 149.1.18 C.E. ("sistema de responsabilidad de todas las Administraciones Públicas"). </w:t>
      </w:r>
    </w:p>
    <w:p w:rsidR="008107C7" w:rsidRDefault="008107C7" w:rsidP="008107C7">
      <w:pPr>
        <w:pStyle w:val="TextoNormal"/>
      </w:pPr>
      <w:r>
        <w:t xml:space="preserve">Los apartados 1 y 6 del art. 242 son bases del régimen jurídico de la Administración urbanística, más exactamente la Administración urbanística municipal (art. 149.1.18 C.E.). Es verdaderamente notable ver impugnado el evidente carácter básico del principio de que todo acto de edificación queda sometido a licencia municipal o de que el silencio positivo no opera contra la ley o el plan [cfr. art. 62.1 f) de la nueva Ley de Régimen Jurídico de las Administraciones Públicas]. También ostentan patente carácter del régimen jurídico administrativo urbanístico los arts. 246.2, 248, 249, 253.3 y 254.2. El art. 246.2 está en directa relación con el art. 21.2 y el art. 248 con el art. 38; los arts. 253.3 y 254.2 remiten, por su parte, al art. 40. Se envía, pues, a la defensa que en su día se hizo de los arts. 26 y 27 de la Ley 8/1990; el art. 10.2 de esa Ley no fue impugnado. Los arts. 282.2, 284.3, 285 y 286 contienen otras tantas bases del régimen jurídico de las cesiones de bienes pertenecientes al patrimonio municipal del suelo, que podrían ser encuadradas no sólo en el régimen jurídico administrativo básico del urbanismo, sino también dentro de las bases del régimen local (art. 80.2 de la L.B.R.L. y 79.2 del Texto Refundido del Régimen Local de 1986), aunque se trate de un régimen especial que entraña la creación de un patrimonio separado (art. 276.2) afecto a finalidades de urbanismo y vivienda (arts. 276.1 y 280.1 del Texto Refundido). El </w:t>
      </w:r>
      <w:r>
        <w:lastRenderedPageBreak/>
        <w:t xml:space="preserve">carácter básico de los arts. 282.2, 284.3, 285 y 286 se asienta en su conexión inmediata con la satisfacción de los fines inherentes al patrimonio municipal del suelo, en especial los concernientes a viviendas de protección pública y usos de interés social. </w:t>
      </w:r>
    </w:p>
    <w:p w:rsidR="008107C7" w:rsidRDefault="008107C7" w:rsidP="008107C7">
      <w:pPr>
        <w:pStyle w:val="TextoNormal"/>
      </w:pPr>
      <w:r>
        <w:t xml:space="preserve">Disposiciones adicionales séptima y octava y Disposiciones transitorias primera, 3, y sexta, 4. La Disposición adicional séptima establece la Comisión Central del Territorio y del Urbanismo y regula su organización, composición y funciones. La Comisión interviene en el ejercicio de tres claras competencias urbanísticas estatales: informa antes de la aprobación del Plan Nacional de Urbanismo (Disposición adicional séptima, 7; cfr. art. 112 del Texto Refundido), informa el planeamiento de Municipios no integrados en una Comunidad Autónoma (Ceuta y Melilla) e informa obras urgentes o de excepcional interés público del Estado [cfr. art. 244.2, 3 y 4 delTexto Refundido, por nadie impugnado seguramente a la vista de la doctrina de las SSTC 56/1986 y 149/1991, Fundamento jurídico 3º C), c)]. Por lo tanto, tampoco es cierto que el Estado carezca de competencias urbanísticas. Al contrario, aquellas que aparecen en la Disposición adicional séptima son indiscutiblemente suyas. Si éste es el caso, obvio es que ningún quebrantamiento del orden constitucional y estatutario de competencia se produce porque el Estado cree un órgano consultivo -en el que, además, participan las Comunidades Autónomas- para intervenir en hipótesis de ejercicio de competencias urbanísticas que son estatales sin disputa. Obviamente, el encuadramiento de la Comisión en el Ministerio de Obras Públicas y Transportes es perfectamente conforme a la Constitución. Más difícil resulta explicar la calificación como básica de la Disposición adicional séptima. Tal vez con ello se ha pretendido indicar que los legisladores autonómicos quedan vinculados a respetar el contenido de la Disposición adicional séptima como si de una base se tratara. Pero lleva razón el Abogado de la Generalidad cuando observa que carece de todo sentido el plural desarrollo autonómico de esta base. Una vez claro esto, no parece que el carácter básico de la Disposición adicional séptima merezca la tacha de inconstitucionalidad; en cualquier caso, básica o no, la Disposición adicional séptima no debe ser invalidada, ya que, de no ser básica, debería considerarse de aplicación plena, aunque en realidad trasciende uno y otro concepto, cuyo sentido más propio se alcanza sólo en conexión con posibles competencias autonómicas. La Disposición adicional octava está, en cambio, bien declarada básica, pues contiene una valiosa directriz para el legislador vasco y el navarro. Nada impide una norma básica con ámbito territorial restringido a una o dos Comunidades que gozan de un singular régimen en materia tributaria. Esta norma será básica para los legisladores de esa o esas Comunidades. </w:t>
      </w:r>
    </w:p>
    <w:p w:rsidR="008107C7" w:rsidRDefault="008107C7" w:rsidP="008107C7">
      <w:pPr>
        <w:pStyle w:val="TextoNormal"/>
      </w:pPr>
      <w:r>
        <w:t xml:space="preserve">La defensa de las Disposiciones transitorias primera, 3, y sexta, 4, debe hacerse señalando su estrecha conexión con los demás apartados de las mismas, trasunto de las Disposiciones transitorias primera y cuarta de la Ley 8/1990, que, a su vez, enlazaban con otros preceptos básicos del articulado. Procede, pues, la remisión al escrito de alegaciones de 1 de febrero de 1991. </w:t>
      </w:r>
    </w:p>
    <w:p w:rsidR="008107C7" w:rsidRDefault="008107C7" w:rsidP="008107C7">
      <w:pPr>
        <w:pStyle w:val="TextoNormal"/>
      </w:pPr>
      <w:r>
        <w:t xml:space="preserve">E) Para sostener la aplicación plena de ciertos preceptos del Texto Refundido, su Disposición final única, apartado 2, invoca el art. 149.1.8 y 18 C.E., como hacía el apartado 2 de la Disposición final primera de la Ley 8/1990. </w:t>
      </w:r>
    </w:p>
    <w:p w:rsidR="008107C7" w:rsidRDefault="008107C7" w:rsidP="008107C7">
      <w:pPr>
        <w:pStyle w:val="TextoNormal"/>
      </w:pPr>
      <w:r>
        <w:t xml:space="preserve">Arts. 47, 50.2, 53.4 y 61. El art. 47 es de aplicación plena en virtud del art. 149.1.18 C.E. en cuanto contiene una regla perteneciente a la legislación expropiatoria (letra a) y otra que puede encuadrarse en el sistema de responsabilidad de las Administraciones (letra b). Puede defenderse que la competencia estatal en este último dominio justifica tanto la fijación de bases (así lo demuestra, por ejemplo, el art. 10.1.1 del E.A. de Cataluña, entre otros ejemplos estatutarios) como el establecimiento de preceptos de aplicación plena sin posible desarrollo autonómico. Todo dependerá de su peso e importancia, a criterio de las Cortes Generales, </w:t>
      </w:r>
      <w:r>
        <w:lastRenderedPageBreak/>
        <w:t xml:space="preserve">en el sistema de responsabilidad de las Administraciones (véase el escrito alegatorio en los recursos 2.477/90 y acumulados). Los arts. 50.2, 53.4 y 61 son de aplicación plena por las mismas razones generales dadas en el tantas veces citado escrito de alegaciones de 1 de febrero de 1991. </w:t>
      </w:r>
    </w:p>
    <w:p w:rsidR="008107C7" w:rsidRDefault="008107C7" w:rsidP="008107C7">
      <w:pPr>
        <w:pStyle w:val="TextoNormal"/>
      </w:pPr>
      <w:r>
        <w:t xml:space="preserve">Arts. 66, 107, 112, 118.1, 126.1 y 136.2. Salvo el último, son éstos preceptos de aplicación plena relativos al Plan Nacional de Ordenación, el cual estaba ya previsto en el Texto Refundido de 1976, por lo que no hay exceso en el uso de la delegación. El Plan Nacional de Ordenación es un instrumento de planificación territorial o física de nivel y alcance nacional; su finalidad propia es condicionar las potestades planificadoras de ordenación territorial y urbanística de esfera territorial autonómica o local, y es, como tan plásticamente se ha dicho, un Plan de planes. Ya es sabido que el carácter nacional o supraautonómico del Plan Nacional de Ordenación lo coloca, por la propia naturaleza de las cosas, fuera de toda competencia asumible por las Comunidades Autónomas y dentro de la estatal. No otra cosa ha querido significarse al otorgar aplicación plena a estos artículos. En cuanto al art. 136.2, se fundamenta en el art. 149.1.8 C.E. </w:t>
      </w:r>
    </w:p>
    <w:p w:rsidR="008107C7" w:rsidRDefault="008107C7" w:rsidP="008107C7">
      <w:pPr>
        <w:pStyle w:val="TextoNormal"/>
      </w:pPr>
      <w:r>
        <w:t xml:space="preserve">Arts. 160.3, 174.2, 220.1 y 221. El art. 160.3 contiene una regla de valoración expropiatoria, aplicación particular del art. 52. Competencialmente se basa en el art. 149.1.18 C.E. (legislación sobre expropiación forzosa). En el mismo precepto constitucional se asienta el art. 174.2, regla que preserva de la excepcional liberación de expropiaciones a las motivadas por el incumplimiento de deberes urbanísticos. Es, pues, una norma de protección de la real efectividad que el legislador quiere que posean las expropiaciones que sancionan el incumplimiento de deberes urbanísticos. También han de conceptuarse legislación sobre expropiación forzosa, en el sentido y a los efectos del art. 149.1.18 C.E., los arts. 220.1 y 221. El primero atribuye efecto implícito de declarar la urgente ocupación -con lo que ello tiene de merma de garantías para el expropiado y facilidad para la acción administrativa- a la resolución autonómica que apruebe el expediente de tasación conjunta; el art. 221 contiene una norma de garantía para los expropiados en procedimiento individual y su justificada excepción. </w:t>
      </w:r>
    </w:p>
    <w:p w:rsidR="008107C7" w:rsidRDefault="008107C7" w:rsidP="008107C7">
      <w:pPr>
        <w:pStyle w:val="TextoNormal"/>
      </w:pPr>
      <w:r>
        <w:t xml:space="preserve">Arts. 254.1, 287.2 y 3, 288.3, 289, 296, 299 y 300. El art. 254.1 contiene una regla de procedimiento administrativo común (art. 149.1.18 C.E. y SSTC 227/1988, fundamento jurídico 32, y 148/1991, fundamento jurídico 7º). Lo mismo vale para los arts. 299 y 300. Los arts. 287.2 y 3, 288.3 y 289 se amparan en el art. 149.1.8 C.E. El art. 296 contiene una regla de ordenación del Registro de la Propiedad (art. 149.1.8 C.E.). </w:t>
      </w:r>
    </w:p>
    <w:p w:rsidR="008107C7" w:rsidRDefault="008107C7" w:rsidP="008107C7">
      <w:pPr>
        <w:pStyle w:val="TextoNormal"/>
      </w:pPr>
      <w:r>
        <w:t xml:space="preserve">F) Por lo que respecta al apartado 3 de la Disposición final única, se aduce por el Abogado de la Generalidad que el Estado carece radicalmente de competencias en materia de urbanismo, alegando la doctrina de la STC 147/1991, fundamento jurídico 7º. Ahora bien, ante todo conviene recordar que el órgano ejecutivo catalán no impugnó en su día el apartado 3 de la Disposición final primera de la Ley 8/1990. Por lo tanto, deben quedar excluidos de impugnación al menos los preceptos del Texto Refundido que reproducen otros de la Ley citada con eficacia meramente supletoria. En segundo lugar, no es correcta la premisa de que parte el Abogado de la Generalidad. El Estado dispone de competencias constitucionales exclusivas que le permiten dictar normas en la materia que en nuestro Derecho se ha venido llamando "régimen del suelo y ordenación urbana" o abreviadamente "urbanismo". Por lo tanto, no es de aplicación la doctrina de la STC referida, que se ciñe estrictamente a los casos en que se den conjuntamente estas dos circunstancias: la primera, tratarse de materias "diferidas por los Estatutos de Autonomía a la competencia exclusiva de todas y cada una de las respectivas Comunidades Autónomas" (más adelante, el propio fundamento jurídico 7º de la STC 147/1991 aclara que, para juzgarse cumplido este requisito, es necesario </w:t>
      </w:r>
      <w:r>
        <w:lastRenderedPageBreak/>
        <w:t xml:space="preserve">que "todos los Estatutos de Autonomía atribuyan la competencia como exclusiva y en un mismo grado de homogeneidad"); y, la segunda, que el Estado "no invoque algún título propio que le permita dictar normas generales en la materia". En consecuencia, si se admitiera que en materia de urbanismo se satisface la primera circunstancia, nunca se satisfaría la segunda, ya que el Estado dispone de títulos propios para dictar normas generales sobre el régimen del suelo y ordenación urbana y, por ello, aun en estrictísima aplicación de la doctrina de la STC 147/1991, podría dictar un Texto Refundido como el impugnado, es decir, un cuerpo completo de Derecho urbanístico algunos de cuyos preceptos son básicos, otros de aplicación plena, y, finalmente, supletorios los demás. Desde la perspectiva de la doctrina constitucional mencionada, este caso -el urbanismo- es similar al de la agricultura y ganadería, en que la STC 79/1992, fundamento jurídico 2º, ha admitido, sin reserva de ningún tipo, que el Estado puede dictar normas supletorias o que -con cita de la STC 147/1991- dispone de competencias concurrentes, que constitucionalmente reposan en el art. 149.1.13 C.E. </w:t>
      </w:r>
    </w:p>
    <w:p w:rsidR="008107C7" w:rsidRDefault="008107C7" w:rsidP="008107C7">
      <w:pPr>
        <w:pStyle w:val="TextoNormal"/>
      </w:pPr>
      <w:r>
        <w:t xml:space="preserve">De otro lado, el Abogado del Estado quiere dejar constancia de su respetuoso disentimiento con algunas formulaciones contenidas en el fundamento jurídico 7º de la STC 147/1991, difícilmente compatibles con el recto sentido de la cláusula de supletoriedad del art. 149.3 C.E. Esta doctrina, en efecto, parece tener una de sus bases en la necesidad de preservar el designio autonómico de "desregulación". Ocurre, sin embargo, que no puede confundirse la pasividad o tardanza en ejercer las potestades normativas autonómicas con la opción de desregular como elección de un régimen jurídico. Aunque suene a paradoja, una opción desreguladora autonómica sólo debe ser protegida frente a la regulación estatal cuando aquélla se haya plasmado en una norma autonómica. La desregulación requiere justamente una norma de desregulación; sustituir regulación por desregulación es una operación normativa. Si la Comunidad Autónoma quiere evitar la aplicación supletoria de "mandatos prohibitivos" contenidos en normas estatales, sólo puede hacerlo dictando una norma que excluya su aplicación, cuando posea competencia para dictar norma de tal tipo de aplicación preferente. La mera formulación de una política autonómica desreguladora, mientras no tenga traducción normativa, esto es, mientras no dé origen a una actividad normativa autonómica, no puede ser razón para excluir la aplicación supletoria del derecho estatal y, menos aun, para impedir su mera existencia o formulación. En suma, la libertad autonómica de "decidir si tales materias deben ser sometidas... a reglamentación específica y en qué momento debe hacerse" no conduce a negar la aplicación supletoria a las normas estatales, contengan o no mandatos prohibitivos. Para negar, o, mejor, excluir, la aplicación supletoria de las normas estatales, la Comunidad Autónoma no tiene otro camino que el de dictar una norma autonómica de exclusión. Además, los mismos términos en que está formulada la doctrina que se critica la convierten en una pura proclamación grata al particularismo autonómico, pero que en rigor nunca encontraría aplicación. De un modo u otro, el Estado siempre podrá invocar un título concurrente. </w:t>
      </w:r>
    </w:p>
    <w:p w:rsidR="008107C7" w:rsidRDefault="008107C7" w:rsidP="008107C7">
      <w:pPr>
        <w:pStyle w:val="TextoNormal"/>
      </w:pPr>
      <w:r>
        <w:t xml:space="preserve">Pero es que, con independencia de las muchas o pocas veces que pueda ser aplicada, la doctrina del fundamento jurídico 7º de la STC 147/1991 no condice con el sentido profundo que reviste la singular cláusula constitucional de supletoriedad. Esta es un instrumento capital de la unidad jurídica querida por el constituyente, o, dicho de otro modo, es un importante instrumento de reintegración a la unidad del pluralismo jurídico inherente a nuestro Estado compuesto, es decir, un instrumento para hacer efectiva la unidad del ordenamiento español, del que los autonómicos son, simplemente, "parte integrante" (art. 147.1 C.E.). La decisión soberana del pueblo español, titular del poder constituyente, hizo del estatal derecho supletorio "en todo caso", es decir, fuera cual fuera el tipo de competencia autonómica </w:t>
      </w:r>
      <w:r>
        <w:lastRenderedPageBreak/>
        <w:t xml:space="preserve">en que se basara la producción de la norma autonómica. La consecuencia del "en todo caso" constitucional es que todas las potestades normativas autonómicas han de entenderse atribuidas por el bloque de la constitucionalidad para lo que podría llamarse diferenciación normativa sobre un fondo jurídico homogéneo, que necesariamente ha de ser estatal. La diferenciación normativa autonómica expresa su propio interés; el fondo de unidad normativa reposa en la cláusula constitucional de supletoriedad, no menos que en las reservas competenciales del art. 149.1 C.E. La tesis que se defiende no es nueva ni original. Es la del Tribunal hasta la STC 147/1991; o mejor, el trasfondo, no siempre expreso, de la doctrina del Tribunal sobre la supletoriedad del derecho estatal "en todo caso". Probablemente, ese "en todo caso" fue el que llevó a que la STC 76/1983, fundamento jurídico 4º, admitiera que las Cortes Generales "pueden legislar en principio sobre cualquier materia sin necesidad de poseer título específico para ello"; o a que la STC 56/1989, fundamento jurídico 4º, en hipótesis parecida a la de la STC 147/1991, sostuviera, con todo acierto, que un precepto estatal, "en su calidad de Derecho supletorio, nunca podría ser anulado por motivos competenciales". </w:t>
      </w:r>
    </w:p>
    <w:p w:rsidR="008107C7" w:rsidRDefault="008107C7" w:rsidP="008107C7">
      <w:pPr>
        <w:pStyle w:val="TextoNormal"/>
      </w:pPr>
      <w:r>
        <w:t>Finaliza su escrito de alegaciones el Abogado del Estado con la súplica de que se dicte Sentencia por la que: 1º) se deniegue por causa de extemporaneidad el examen de la alegación 2ª del recurso de inconstitucionalidad núm. 2.337/92; 2º) se acojan las defensas previas razonadas en la alegación 3ª del escrito del representante del Estado; y 3º) se desestimen los recursos en todo lo demás, o, subsidiariamente, se desestimen los tres recursos en su integridad.</w:t>
      </w:r>
    </w:p>
    <w:p w:rsidR="008107C7" w:rsidRDefault="008107C7" w:rsidP="008107C7">
      <w:pPr>
        <w:pStyle w:val="TextoNormal"/>
      </w:pPr>
    </w:p>
    <w:p w:rsidR="008107C7" w:rsidRDefault="008107C7" w:rsidP="008107C7">
      <w:pPr>
        <w:pStyle w:val="TextoNormal"/>
      </w:pPr>
      <w:r w:rsidRPr="008107C7">
        <w:rPr>
          <w:rStyle w:val="NumeroAFNegritaCaracter"/>
        </w:rPr>
        <w:t>36</w:t>
      </w:r>
      <w:r>
        <w:t>. Por providencia de 18 de marzo de 1997, se señaló para deliberación y votación de esta Sentencia el día 20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La Ley 8/1990, de 25 de julio, sobre Reforma del Régimen Urbanístico y Valoraciones del Suelo, fue impugnada a través de seis recursos de inconstitucionalidad deducidos por el Parlamento de Navarra, el Consejo de Gobierno de la Diputación Regional de Cantabria, el Consejo Ejecutivo de la Generalidad de Cataluña, el Consejo de Gobierno de la Junta de Castilla y León, por el Gobierno de Canarias, por la Diputación General de Aragón y por el Gobierno de Aragón, que fueron acumulados al primero.</w:t>
      </w:r>
    </w:p>
    <w:p w:rsidR="008107C7" w:rsidRDefault="008107C7" w:rsidP="008107C7">
      <w:pPr>
        <w:pStyle w:val="TextoNormal"/>
      </w:pPr>
      <w:r>
        <w:t>Por otra parte, la Disposición final segunda de la citada Ley 8/1990 autorizó al Gobierno para que en el plazo de un año desde su publicación aprobara un Texto Refundido de las disposiciones estatales vigentes sobre la materia. No obstante, la refundición no se llevó a efecto en el meritado plazo y la Disposición final quinta de la Ley 31/1991, de Presupuestos Generales, le confirió al Gobierno un nuevo plazo para realizar tal refundición en los primeros seis meses de 1992.</w:t>
      </w:r>
    </w:p>
    <w:p w:rsidR="008107C7" w:rsidRDefault="008107C7" w:rsidP="008107C7">
      <w:pPr>
        <w:pStyle w:val="TextoNormal"/>
      </w:pPr>
      <w:r>
        <w:t xml:space="preserve">Pues bien, antes de que finalizara el proceso constitucional que tenía por objeto la Ley 8/1990, sobre la Reforma del Régimen Urbanístico y Valoraciones del Suelo, y como consecuencia de tal delegación legislativa, el Gobierno aprobó el Texto Refundido de la Ley sobre el Régimen del Suelo y Ordenación Urbana, mediante el Real Decreto Legislativo 1/1992, de 26 de junio, Texto Refundido que, según la citada autorización y como ha quedado dicho, debía comprender las disposiciones estatales vigentes sobre la materia, así como su regularización, aclaración y armonización. La Disposición derogatoria única, apartado </w:t>
      </w:r>
      <w:r>
        <w:lastRenderedPageBreak/>
        <w:t>1º, de esta nueva norma deroga expresamente la Ley 8/1990, de 25 de julio, sobre Reforma del Régimen Urbanístico y Valoraciones del Suelo.</w:t>
      </w:r>
    </w:p>
    <w:p w:rsidR="008107C7" w:rsidRDefault="008107C7" w:rsidP="008107C7">
      <w:pPr>
        <w:pStyle w:val="TextoNormal"/>
      </w:pPr>
      <w:r>
        <w:t>Contra el Texto Refundido de la Ley sobre el Régimen del Suelo y Ordenación Urbana (en adelante, T.R.L.S.), promovieron recurso de inconstitucionalidad la Comunidad Autónoma de las Islas Baleares, la Diputación General de Aragón y el Consejo Ejecutivo de la Generalidad de Cataluña, remitiéndose en parte estos dos últimos recursos a las alegaciones vertidas en su día en sus respectivos escritos frente a la Ley 8/1990. No obstante, el Parlamento de Navarra, el Consejo de Gobierno de la Diputación Regional de Cantabria, el Consejo de Gobierno de la Junta de Castilla y León y el Gobierno de Canarias, esto es, cuatro de los recurrentes de la Ley 8/1990, no reproducen ni formulan recurso alguno contra el T.R.L.S. de 1992.</w:t>
      </w:r>
    </w:p>
    <w:p w:rsidR="008107C7" w:rsidRDefault="008107C7" w:rsidP="008107C7">
      <w:pPr>
        <w:pStyle w:val="TextoNormal"/>
      </w:pPr>
      <w:r>
        <w:t>Estos datos iniciales han suscitado entre los comparecientes algunas cuestiones que han de ser estudiadas en primer término, antes de entrar en el fondo, a saber: a) si, como alega la representación estatal, ha de reputarse de extemporánea la impugnación del Gobierno balear consistente en que la Ley 31/1991, de Presupuestos, no es cauce válido para conferir un nuevo plazo de habilitación, y ello, alega el Abogado del Estado, por cuanto ese reproche no se hizo valer ante la citada Ley de 1991, sino, ulteriormente, frente al T.R.L.S. de 1992; b) caso de admitirse la citada impugnación, hemos de determinar si la prórroga de la delegación legislativa contenida en la Ley de Presupuestos resulta constitucionalmente válida; c) asimismo si la íntegra y expresa derogación de la Ley 8/1990 realizada por el T.R.L.S.  acarrea la desaparición sobrevenida del objeto de los recursos deducidos contra aquélla; d) si debe considerarse igualmente extemporáneo el recurso de la Comunidad Autónoma de las Islas Baleares, como consecuencia de no haber impugnado la Ley 8/1990, en la que se contenía la delegación normativa; e) y, finalmente, si ha de inadmitirse parcialmente el recurso de la Diputación General de Aragón por la inviabilidad del apoderamiento al Letrado.</w:t>
      </w:r>
    </w:p>
    <w:p w:rsidR="008107C7" w:rsidRDefault="008107C7" w:rsidP="008107C7">
      <w:pPr>
        <w:pStyle w:val="TextoNormal"/>
      </w:pPr>
      <w:r>
        <w:t>Resueltas estas cuestiones previas, habremos de examinar, antes de proceder al análisis de cada concreta impugnación, cuáles son los títulos competenciales en juego; así como la calificación de los preceptos del T.R.L.S. como normas básicas, de aplicación plena y supletoria que realiza la Disposición final única del citado T.R.L.S..</w:t>
      </w:r>
    </w:p>
    <w:p w:rsidR="008107C7" w:rsidRDefault="008107C7" w:rsidP="008107C7">
      <w:pPr>
        <w:pStyle w:val="TextoNormal"/>
      </w:pPr>
      <w:r>
        <w:t>A) CUESTIONES PREVIAS</w:t>
      </w:r>
    </w:p>
    <w:p w:rsidR="008107C7" w:rsidRDefault="008107C7" w:rsidP="008107C7">
      <w:pPr>
        <w:pStyle w:val="TextoNormal"/>
      </w:pPr>
    </w:p>
    <w:p w:rsidR="008107C7" w:rsidRDefault="008107C7" w:rsidP="008107C7">
      <w:pPr>
        <w:pStyle w:val="TextoNormal"/>
      </w:pPr>
      <w:r w:rsidRPr="008107C7">
        <w:rPr>
          <w:rStyle w:val="NumeroAFNegritaCaracter"/>
        </w:rPr>
        <w:t>2</w:t>
      </w:r>
      <w:r>
        <w:t>. (Sobre la extemporaneidad de la impugnación basada en el límite material de la Ley de Presupuestos y sobre la validez de la prórroga de la delegación legislativa contenida en la Ley de Presupuestos).</w:t>
      </w:r>
    </w:p>
    <w:p w:rsidR="008107C7" w:rsidRDefault="008107C7" w:rsidP="008107C7">
      <w:pPr>
        <w:pStyle w:val="TextoNormal"/>
      </w:pPr>
      <w:r>
        <w:t xml:space="preserve">Como ha quedado dicho, la Ley 8/1990, de 25 de julio, sobre Reforma del Régimen Urbanístico y Valoraciones del Suelo, fue derogada por el T.R.L.S. de 1992. El hecho de que cuatro de los recurrentes no hayan reiterado sus recursos contra el T.R.L.S.  plantea de inmediato la cuestión acerca de la eventual pérdida sobrevenida de su objeto. No obstante, antes de resolver si tal derogación priva de sentido actual al enjuiciamiento de la Ley 8/1990, es preciso examinar primero, en un orden lógico, el reproche que la representación del Gobierno balear, en el recurso núm. 2.337/92, dirige contra el citado Real Decreto Legislativo y en cuya virtud el órgano actor pretende, de modo principal, que lo declaremos inconstitucional y nulo en su totalidad.  Si el entero T.R.L.S. hubiera incurrido en causa de nulidad, entre otras consecuencias, habría que entender que la Ley 8/1990 no habría sido derogada y, por consiguiente, no se plantearía la cuestión atinente a la eventual pérdida del objeto de los recursos formulados contra esta Ley. Con todo, a la viabilidad del análisis de esta imputación opone el Abogado del Estado la extemporaneidad de una tal impugnación, puesto que, sostiene, el recurrente afirma la invalidez del T.R.L.S. de 1992 como consecuencia de </w:t>
      </w:r>
      <w:r>
        <w:lastRenderedPageBreak/>
        <w:t>la ilegitimidad constitucional de una norma legal de delegación -la Disposición final quinta de la Ley 31/1991, de ampliación del plazo para ejercer la delegación legislativa- que en su día pudo impugnar y no impugnó. Este es, por tanto, el primer problema que debe ser resuelto.</w:t>
      </w:r>
    </w:p>
    <w:p w:rsidR="008107C7" w:rsidRDefault="008107C7" w:rsidP="008107C7">
      <w:pPr>
        <w:pStyle w:val="TextoNormal"/>
      </w:pPr>
      <w:r>
        <w:t>En suma, pues, dos son las cuestiones que aquí han de enjuiciarse: a) la pretendida extemporaneidad de la impugnación basada en el límite material de la Ley de Presupuestos; y b) la validez de la prórroga de la delegación legislativa contenida en la Ley de Presupuestos.</w:t>
      </w:r>
    </w:p>
    <w:p w:rsidR="008107C7" w:rsidRDefault="008107C7" w:rsidP="008107C7">
      <w:pPr>
        <w:pStyle w:val="TextoNormal"/>
      </w:pPr>
      <w:r>
        <w:t>a) Con carácter preliminar, en efecto, hemos de dar respuesta a la objeción de extemporaneidad que opone el Abogado del Estado a la inconstitucionalidad alegada por la representación del Gobierno de la Comunidad Autónoma de las Islas Baleares de la Disposición final quinta de la Ley 31/1991, de 30 de diciembre, de Presupuestos Generales del Estado para 1992, toda vez que el plazo de caducidad para recurrir contra el citado precepto legal (art 33 LOTC) terminó el 31 de marzo de 1992 y el Ejecutivo balear tenía legitimación para formular recurso de inconstitucionalidad contra la Ley delegante de acuerdo con el art. 32.2 LOTC. Entiende el Abogado del Estado que en el recurso de inconstitucionalidad contra la Ley delegada no pueden hacerse valer los vicios imputables a la Ley de delegación o Ley delegante relativos al uso o ejercicio de la delegación legislativa cuando ésta no fue recurrida en su día, pues "ni la Constitución ni la LOTC autorizan este tipo de recursos mediatos de inconstitucionalidad, más aun cuando cabe impulsar el llamado control concreto de inconstitucionalidad a través del planteamiento de la cuestión".</w:t>
      </w:r>
    </w:p>
    <w:p w:rsidR="008107C7" w:rsidRDefault="008107C7" w:rsidP="008107C7">
      <w:pPr>
        <w:pStyle w:val="TextoNormal"/>
      </w:pPr>
      <w:r>
        <w:t>Tal argumentación no puede compartirse. El Decreto legislativo, como norma con rango de Ley emanada por el Gobierno, sólo es constitucionalmente válido si se dicta en el marco de las condiciones que fijan los arts.82 a 85 C.E., disponiendo concretamente el art. 82.2, in fine, que la correspondiente delegación legislativa tenga lugar "por una ley ordinaria cuando se trate de refundir varios textos legales en un solo". Este requisito, que sin duda puede proyectarse sobre la constitucionalidad de la ley de delegación, afecta también, y en todo caso, a la validez del Decreto Legislativo eventualmente aprobado por el Gobierno con fundamento en dicha ley de delegación. No es dudoso, por tanto, que el T.R.L.S., como Decreto Legislativo, puede ser impugnado y, consiguientemente, controlado por este Tribunal en lo que al cumplimiento del específico requisito más arriba señalado se refiere. A mayor abundamiento, y en otro orden de consideraciones, ello se hace posible asimismo si se tiene en cuenta la situación de potencialidad en que queda la ley delegante, que sólo se actualiza con la aprobación del Decreto Legislativo, en el caso en que éste llegue a dictarse. Al fin y al cabo, la ley de delegación, desde un punto de vista sustantivo o de contenido material, sólo puede ser derogada por el texto refundido en la medida en que, por lo que aquí interesa, haya incorporado los textos legales que deba refundir, sin que tampoco pueda olvidarse que, aun habiendo sido derogada, habrá de actuar siempre - mientras siga vigente el texto refundido- como parámetro para medir las eventuales extralimitaciones en que haya podido incurrir la refundición.</w:t>
      </w:r>
    </w:p>
    <w:p w:rsidR="008107C7" w:rsidRDefault="008107C7" w:rsidP="008107C7">
      <w:pPr>
        <w:pStyle w:val="TextoNormal"/>
      </w:pPr>
      <w:r>
        <w:t xml:space="preserve">Por su parte, la Ley Orgánica del Tribunal Constitucional no limita nuestro enjuiciamiento de los Decretos Legislativos a ninguna de sus condiciones constitucionales de validez [arts. 82 C.E. y 27.2 b) LOTC], de modo que una impugnación concreta como la que hoy se nos plantea, por referencia a la supuesta invalidez ratione temporis de la delegación, no puede ser desechada por este Tribunal con el argumento de que el enjuiciamiento que así se nos pide sólo pudo ser instado, en su día, frente a la propia Ley delegante. La complejidad, en esta y en otras hipótesis, de nuestro sistema de fuentes conduce a la consecuencia, en el orden procesal constitucional, de que la determinación de la validez o constitucionalidad de una disposición o enunciado legal puede requerir el previo examen, a estos solos efectos, de </w:t>
      </w:r>
      <w:r>
        <w:lastRenderedPageBreak/>
        <w:t>la propia constitucionalidad de la norma de ley de que trae causa la impugnada.  El enjuiciamiento es viable, en estos casos, no porque se pueda ignorar, claro está, el plazo que marca el art. 33 LOTC para impugnar la Ley de delegación, sino porque la impugnación en tiempo del Decreto Legislativo permite denunciar contra el mismo, ante esta jurisdicción, cualesquiera quiebras de la Constitución, y entre ellas, como aquí ocurre, la de la falta o defecto del presupuesto del ejercicio en tiempo de la delegación legislativa (art. 82.3 C.E.).</w:t>
      </w:r>
    </w:p>
    <w:p w:rsidR="008107C7" w:rsidRDefault="008107C7" w:rsidP="008107C7">
      <w:pPr>
        <w:pStyle w:val="TextoNormal"/>
      </w:pPr>
      <w:r>
        <w:t>Por tanto, ha de ser posible, en un proceso constitucional en que se cuestiona la validez de la Ley delegada, enjuiciar también los motivos de inconstitucionalidad que sean atribuibles a la Ley de delegación.</w:t>
      </w:r>
    </w:p>
    <w:p w:rsidR="008107C7" w:rsidRDefault="008107C7" w:rsidP="008107C7">
      <w:pPr>
        <w:pStyle w:val="TextoNormal"/>
      </w:pPr>
      <w:r>
        <w:t>b) La Disposición final segunda de la Ley 8/1990 habilitó al Gobierno para que, en el plazo de un año desde la publicación de aquélla, aprobara "un Texto Refundido de las disposiciones estatales vigentes sobre suelo y ordenación urbana", comprendiendo la refundición también "la regularización, aclaración y armonización de dichas disposiciones". El Gobierno no hizo uso en el plazo fijado de la habilitación otorgada, que le fue nuevamente conferida por la Disposición final quinta de la Ley 31/1991, de 30 de diciembre, de Presupuestos Generales del Estado para 1992, disposición que, además de remitirse a la autorización concedida por la Ley 8/1990, estableció como plazo de utilización de la misma los seis primeros meses de 1992. Pues bien, a criterio del recurrente, habiéndose agotado el plazo inicialmente concedido por el Legislador al Gobierno, no puede prorrogarse, ni mucho menos abrirse de nuevo, mediante una disposición comprendida en la Ley anual de Presupuestos del Estado. Y ello porque los límites de tales Leyes impiden que se incluyan, injustificadamente, materias no relacionadas con la disciplina presupuestaria, según ha venido declarando el Tribunal Constitucional. Por consiguiente, la autorización contenida en la Disposición final quinta de la Ley 31/1991 es nula por inconstitucional. Y no existiendo autorización, al haber precluido el plazo establecido en la Ley 8/1990, no podía el Gobierno proceder a la refundición autorizada en su día.</w:t>
      </w:r>
    </w:p>
    <w:p w:rsidR="008107C7" w:rsidRDefault="008107C7" w:rsidP="008107C7">
      <w:pPr>
        <w:pStyle w:val="TextoNormal"/>
      </w:pPr>
      <w:r>
        <w:t>Pues bien, para un correcto planteamiento del problema debe recordarse que el Tribunal Constitucional, desde la temprana STC 27/1981 y a lo largo de numerosas Sentencias posteriores que han culminado en la STC 76/1992, ha elaborado una doctrina sobre los límites constitucionales al contenido material de las Leyes de Presupuestos del Estado y a su utilización como instrumento de la legislación para introducir en el ordenamiento jurídico "disposiciones de carácter general en materias propias de la Ley ordinaria (con excepción de lo dispuesto en el apartado 7º del art. 134 C.E.)". Según dicha doctrina, la Ley de Presupuestos, que se configura como una verdadera Ley, no obstante sus peculiaridades, en el ejercicio de una función o competencia específica desdoblada de la genérica potestad legislativa (art.  66.2 C.E.), tiene un contenido mínimo, necesario e indisponible -esencial, porque no puede faltar y que cualifica a una Ley como de Presupuestos en el sentido constitucional del concepto: "aquélla que, como núcleo fundamental, contiene la aprobación de los Presupuestos Generales del Estado, es decir, las previsiones de ingresos y las autorizaciones de gastos para un ejercicio económico determinado" (STC 126/1987, fundamento jurídico 5º)- constituido por "la expresión cifrada de la previsión de ingresos y la habilitación de gastos" y un contenido posible, no necesario y eventual, integrado por materias distintas a ese núcleo esencial "que no siendo estrictamente presupuestarias inciden en la política de ingresos y gastos del sector público o la condicionan".</w:t>
      </w:r>
    </w:p>
    <w:p w:rsidR="008107C7" w:rsidRDefault="008107C7" w:rsidP="008107C7">
      <w:pPr>
        <w:pStyle w:val="TextoNormal"/>
      </w:pPr>
      <w:r>
        <w:t xml:space="preserve">Pero aun aceptando la posibilidad de que las Leyes anuales de Presupuestos puedan contener disposiciones o regulaciones materiales de esa naturaleza, este Tribunal ha declarado igualmente "que este contenido eventual sólo tiene cabida dentro de límites estrictos", que la doctrina de la STC 76/1992, fundamento jurídico 4º apartado a) -que reiteramos ahora- </w:t>
      </w:r>
      <w:r>
        <w:lastRenderedPageBreak/>
        <w:t>ha resumido concluyendo que "para que la regulación por Ley de Presupuestos de una materia distinta a su núcleo mínimo, necesario e indisponible (previsión de ingresos y habilitaciones de gastos) sea constitucionalmente legítima es necesario que esa materia tenga relación directa con los gastos e ingresos que integran el Presupuesto o con los criterios de política económica de la que ese Presupuesto es el instrumento y que, además, su inclusión esté justificada, en el sentido de que sea un complemento necesario para la mayor inteligencia y para la mejor y más eficaz ejecución del Presupuesto y, en general, de la política económica del Gobierno". "El cumplimiento de estas dos condiciones resulta, pues, necesario para justificar la restricción de las competencias del Poder Legislativo, propia de las Leyes de Presupuestos, y para salvaguardar la seguridad jurídica que garantiza el art. 9.3 C.E., esto es, la certeza del Derecho que exige que una Ley de contenido constitucionalmente definido, como es la Ley de Presupuestos Generales, no contenga más disposiciones que las que corresponden a su función constitucional (arts. 66.2 y 134.2 C.E.)".</w:t>
      </w:r>
    </w:p>
    <w:p w:rsidR="008107C7" w:rsidRDefault="008107C7" w:rsidP="008107C7">
      <w:pPr>
        <w:pStyle w:val="TextoNormal"/>
      </w:pPr>
      <w:r>
        <w:t>Ahora bien, a diferencia de casos anteriores, en que el Tribunal ha enjuiciado la constitucionalidad de una determinada regulación jurídica material sobre diversos ámbitos o sectores del ordenamiento llevada a cabo mediante una Ley de Presupuestos, lo que constituye ahora el objeto de nuestro examen -como aconteciera también en el caso de la STC 13/1992, fundamento jurídico 16, si bien allí para elaborar un Texto Refundido de la Ley General Presupuestaria ampliando la autorización a "la adaptación del nuevo Texto Refundido a la Constitución y a las Leyes promulgadas con posterioridad al 4 de enero de 1977"- no es una disposición que por sí misma contenga una regulación material sino una Disposición final de la Ley de Presupuestos Generales del Estado en la que se contiene, con una técnica ciertamente peculiar, la fijación de un nuevo plazo de la delegación legislativa al Gobierno para elaborar un Texto Refundido (que comprenderá también la regularización, aclaración y armonización de las disposiciones refundidas), disposición ya contenida en la anterior Ley 8/1990 cuyo término temporal se había cumplido sin que el Gobierno hiciera uso de ella.</w:t>
      </w:r>
    </w:p>
    <w:p w:rsidR="008107C7" w:rsidRDefault="008107C7" w:rsidP="008107C7">
      <w:pPr>
        <w:pStyle w:val="TextoNormal"/>
      </w:pPr>
      <w:r>
        <w:t>El acto de voluntad del Parlamento que encierra la delegación legislativa al Gobierno ha de ser examinado, en este caso, en su perspectiva global. Y aunque no quepa hablar, en rigor, de una rehabilitación de la delegación legislativa precedente, la nueva delegación legislativa, que reitera la autorización que había sido otorgada en su día, año y medio antes, ciertamente no puede entenderse aislada de sus precedentes, pues con ellos alcanza su pleno sentido y significación constitucional. Las Cortes delegantes no hacen sino reiterar su voluntad de que el Gobierno apruebe un Texto Refundido, habilitando un segundo plazo para llevar a cabo la labor encomendada.</w:t>
      </w:r>
    </w:p>
    <w:p w:rsidR="008107C7" w:rsidRDefault="008107C7" w:rsidP="008107C7">
      <w:pPr>
        <w:pStyle w:val="TextoNormal"/>
      </w:pPr>
      <w:r>
        <w:t>En efecto, la Disposición final quinta de la Ley 31/1991 de Presupuestos Generales del Estado para 1992 establece que "el Gobierno podrá hacer uso de la autorización establecida en la Disposición final segunda de la Ley 8/1990, de 25 de julio, para aprobar el texto refundido de las disposiciones estatales vigentes, sobre suelo y ordenación urbana, durante los seis primeros meses de 1992".</w:t>
      </w:r>
    </w:p>
    <w:p w:rsidR="008107C7" w:rsidRDefault="008107C7" w:rsidP="008107C7">
      <w:pPr>
        <w:pStyle w:val="TextoNormal"/>
      </w:pPr>
      <w:r>
        <w:t>La cuestión se circunscribe, pues, a determinar si ese nuevo plazo autorizatorio que sustituye al ya caducado y que supone la habilitación concedida por el Legislativo al Gobierno para elaborar un texto refundido, puede realizarse mediante una Ley de Presupuestos del Estado a la vista de los límites formales y materiales que respecto de dicha Ley se deducen del art.  134 C.E.  según la interpretación establecida al respecto por el Tribunal Constitucional.</w:t>
      </w:r>
    </w:p>
    <w:p w:rsidR="008107C7" w:rsidRDefault="008107C7" w:rsidP="008107C7">
      <w:pPr>
        <w:pStyle w:val="TextoNormal"/>
      </w:pPr>
      <w:r>
        <w:t xml:space="preserve">A los efectos de un ponderado contraste constitucional, no cabe desconocer la singularidad que ofrece un precepto como el aquí enjuiciado, que al implicar un simple acto de autorización legislativa dirigido sólo al Gobierno para que proceda a refundir, reduciéndolas </w:t>
      </w:r>
      <w:r>
        <w:lastRenderedPageBreak/>
        <w:t>a unidad, disposiciones normativas vigentes dispersas, carece por sí mismo de contenido propio regulador y, por consiguiente, no tiene virtualidad para incidir en los límites materiales ex art. 134 C.E. que para las Leyes de Presupuestos ha declarado nuestra jurisprudencia constitucional y cuya aplicación al caso, como pretende el recurrente, vedaría un examen de las cuestiones de fondo planteadas en los presentes recursos de inconstitucionalidad acumulados.</w:t>
      </w:r>
    </w:p>
    <w:p w:rsidR="008107C7" w:rsidRDefault="008107C7" w:rsidP="008107C7">
      <w:pPr>
        <w:pStyle w:val="TextoNormal"/>
      </w:pPr>
      <w:r>
        <w:t>La Disposición final quinta de la Ley de Presupuestos Generales del Estado para 1992 no incorpora "disposiciones de carácter general en materias propias de la Ley ordinaria" (STC 65/1990, fundamento jurídico 3º) o "normas típicas del Derecho codificado" [STC 76/1992, fundamento jurídico 4º b)], ni tampoco "una norma reguladora, aunque sea en clave negativa, de la naturaleza y el régimen jurídico" de un instituto (STC 178/1994, fundamento jurídico 5º).</w:t>
      </w:r>
    </w:p>
    <w:p w:rsidR="008107C7" w:rsidRDefault="008107C7" w:rsidP="008107C7">
      <w:pPr>
        <w:pStyle w:val="TextoNormal"/>
      </w:pPr>
      <w:r>
        <w:t>Por otra parte, tal Disposición no supone en modo alguno una "restricción ilegítima de las competencias del poder legislativo" [SSTC 65/1987, fundamento jurídico 5º; 76/1992, fundamento jurídico 4º a)]. Las facultades de examen, enmienda y aprobación de las Cámaras Legislativas fueron ejercidas plenamente al aprobar la Ley 8/1990, sobre Reforma del Régimen Urbanístico y Valoraciones del Suelo, que modificó el Texto Refundido de la Ley del Suelo de 1976 entonces en vigor. Nada ha sido hurtado al debate parlamentario ni se han menoscabado las potestades legislativas de las Cortes Generales y el respeto a las minorías parlamentarias en el sentido proscrito por la Constitución como consecuencia de la utilización de un procedimiento legislativo especial, como es el presupuestario (SSTC 27/1981, fundamento jurídico 2º; 65/1987, fundamento jurídico 5º; 134/1987, fundamento jurídico 6º; y 76/1992, fundamento jurídico 4º), ni tampoco el debate presupuestario y "el contenido primordial que caracteriza a la Ley de Presupuestos" han resultado desvirtuados por la introducción en ella de una peculiar delegación legislativa como la aquí contemplada.</w:t>
      </w:r>
    </w:p>
    <w:p w:rsidR="008107C7" w:rsidRDefault="008107C7" w:rsidP="008107C7">
      <w:pPr>
        <w:pStyle w:val="TextoNormal"/>
      </w:pPr>
      <w:r>
        <w:t>Desde la perspectiva de la seguridad jurídica, y con independencia de que no se haya llevado a cabo una regulación jurídico-material cuando se autoriza la refundición de la Ley de reforma con los textos legales anteriores, primero en la misma Ley 8/1990 y luego en la Ley 31/1991 de Presupuestos Generales del Estado, las Cortes Generales, lejos de producir inseguridad jurídica, han servido a este principio constitucional (art. 9.3), también en cuanto habilitan al Gobierno para reducir a unidad las sucesivas reformas legales.</w:t>
      </w:r>
    </w:p>
    <w:p w:rsidR="008107C7" w:rsidRDefault="008107C7" w:rsidP="008107C7">
      <w:pPr>
        <w:pStyle w:val="TextoNormal"/>
      </w:pPr>
      <w:r>
        <w:t>En definitiva, pues, debe rechazarse la impugnación dirigida a la totalidad del T.R.L.S. por cuanto no se aprecia vulneración de los límites materiales de la Ley aprobatoria de los Presupuestos Generales del Estado que resultan del art. 134 C.E., tal como ha quedado razonado.</w:t>
      </w:r>
    </w:p>
    <w:p w:rsidR="008107C7" w:rsidRDefault="008107C7" w:rsidP="008107C7">
      <w:pPr>
        <w:pStyle w:val="TextoNormal"/>
      </w:pPr>
    </w:p>
    <w:p w:rsidR="008107C7" w:rsidRDefault="008107C7" w:rsidP="008107C7">
      <w:pPr>
        <w:pStyle w:val="TextoNormal"/>
      </w:pPr>
      <w:r w:rsidRPr="008107C7">
        <w:rPr>
          <w:rStyle w:val="NumeroAFNegritaCaracter"/>
        </w:rPr>
        <w:t>3</w:t>
      </w:r>
      <w:r>
        <w:t>. (Sobre la pérdida de objeto de los recursos deducidos frente a la Ley 8/1990).</w:t>
      </w:r>
    </w:p>
    <w:p w:rsidR="008107C7" w:rsidRDefault="008107C7" w:rsidP="008107C7">
      <w:pPr>
        <w:pStyle w:val="TextoNormal"/>
      </w:pPr>
      <w:r>
        <w:t xml:space="preserve">Resuelta la primera cuestión previa, hemos de volver al dato de la derogación en su totalidad de la Ley 8/1990 por obra del T.R.L.S.. Como hemos declarado en otras ocasiones, aunque es cierto que en el recurso de inconstitucionalidad "la derogación, por lo común, extinguirá el objeto" del proceso (cfr. SSTC 111/1983, fundamento jurídico 2; 385/1993, fundamento jurídico 2º), no lo es menos que cuando "pierda su vigencia el precepto legal controvertido, tal circunstancia sobrevenida habrá de ser tenida en cuenta por este Tribunal para apreciar si la misma conlleva... la exclusión de toda aplicabilidad de la Ley.  Si así fuera no habrá sino que reconocer que desapareció, al acabar su vigencia, el objeto de este proceso constitucional que, por sus notas de abstracción y objetividad, no puede hallar su exclusivo sentido en la eventual remoción de las situaciones jurídicas creadas en aplicación </w:t>
      </w:r>
      <w:r>
        <w:lastRenderedPageBreak/>
        <w:t>de la Ley, acaso inconstitucional..." (cfr., entre otras, SSTC 160/1987; 385/1993, fundamento jurídico 2º). Tal ha sido, por lo que aquí interesa, la doctrina que ha venido sosteniendo este Tribunal en relación con los recursos de inconstitucionalidad en los que se ventilaban cuestiones no competenciales. La regla general en el ámbito de los recursos de inconstitucionalidad es, por consiguiente, la extinción del proceso. En ese sentido, ha de tenerse por desaparecido el objeto del proceso en punto a las escasas pretensiones materiales o sustantivas que algunos recursos dedujeron frente a la Ley 8/1990.</w:t>
      </w:r>
    </w:p>
    <w:p w:rsidR="008107C7" w:rsidRDefault="008107C7" w:rsidP="008107C7">
      <w:pPr>
        <w:pStyle w:val="TextoNormal"/>
      </w:pPr>
      <w:r>
        <w:t>No obstante, es cierto que, como excepción a este principio, hemos admitido la pervivencia del objeto del recurso de inconstitucionalidad cuando la controversia relativa a un precepto derogado tiene un contenido competencial, ya que la función de preservar los ámbitos respectivos de competencia no puede quedar enervada automáticamente por la modificación de las disposiciones cuya adopción dio lugar al litigio (STC 43/1996, fundamento jurídico 3º, y la jurisprudencia que allí se cita en materia de conflictos competenciales). De esta forma, pues, este Tribunal ha resuelto que la doctrina recaída en relación con la derogación de las normas objeto de un conflicto de competencias (entre otras, las SSTC 182 y 248/1988; 194/1994) es también de aplicación a los recursos de inconstitucionalidad de carácter conflictual, en razón de análogos argumentos, y por cuya virtud, aunque la derogación de la norma objeto de un conflicto de competencias puede provocar sobrevenidamente la pérdida del objeto del conflicto mismo y, en consecuencia, resultar improcedente que éste sea resuelto mediante Sentencia (STC 248/1988, fundamento jurídico 2º), ello excluye todo automatismo en la respuesta y habrá de estarse, en definitiva, a las circunstancias que en él concurren (aquí, entre otras, el fenómeno de la delegación normativa) y, ante todo, a la pervivencia de la controversia competencial, para que se pueda concluir si requiere una decisión sobre el fondo (SSTC 248/1988; 182/1988, fundamento jurídico 1º; ATC 155/1991, fundamento jurídico 2º; etc), puesto que, en suma, "la solución ha de venir dada en función de la incidencia real de la derogación, no de criterios abstractos" (STC 385/1993, fundamento jurídico 2º), lo que puede deparar, según los casos, que se entienda extinguido el objeto (cfr. STC 96/1996, fundamentos jurídicos 15 y 28; ATC 288/1996).</w:t>
      </w:r>
    </w:p>
    <w:p w:rsidR="008107C7" w:rsidRDefault="008107C7" w:rsidP="008107C7">
      <w:pPr>
        <w:pStyle w:val="TextoNormal"/>
      </w:pPr>
      <w:r>
        <w:t>Ha de notarse, en primer lugar, que los cuatro recursos de inconstitucionalidad que se dirigen contra la derogada Ley 8/1990 -y que no se han reiterado frente al T.R.L.S.- formularon numerosas controversias competenciales y es obligado, por consiguiente, determinar si tales recursos, en lo que tienen de conflictual, han de correr la misma suerte, esto es, si debe considerarse en principio extinguido el proceso como consecuencia de la derogación de la norma por serle de aplicación la misma doctrina o si, por el contrario, su carácter conflictual les hace acreedores a un tratamiento diverso.</w:t>
      </w:r>
    </w:p>
    <w:p w:rsidR="008107C7" w:rsidRDefault="008107C7" w:rsidP="008107C7">
      <w:pPr>
        <w:pStyle w:val="TextoNormal"/>
      </w:pPr>
      <w:r>
        <w:t>Conviene notar que, en el presente caso, nos encontramos ante una norma (la Ley 8/1990) que se halla derogada precisamente en la misma medida en que es sustituida por el T.R.L.S., que, como tal Texto Refundido, carece técnicamente de capacidad innovadora, con lo que la controversia competencial puede trasladarse, prácticamente en sus propios términos, a sus disposiciones, como así ha ocurrido efectivamente. Por consiguiente, la necesidad de delimitación de los ámbitos competenciales en relación con la Ley 8/1990 no puede estimarse subsistente, habida cuenta de que será satisfecha al analizar, desde la perspectiva constitucional, la norma que la ha sustituido y que, a la vez, al enjuiciar las impugnaciones relativas al T.R.L.S., se resolverán las cuestiones en torno a la ley delegada. En consecuencia, debe concluirse que ha desaparecido el objeto de los recursos de inconstitucionalidad deducidos contra la Ley 8/1990.</w:t>
      </w:r>
    </w:p>
    <w:p w:rsidR="008107C7" w:rsidRDefault="008107C7" w:rsidP="008107C7">
      <w:pPr>
        <w:pStyle w:val="TextoNormal"/>
      </w:pPr>
      <w:r>
        <w:t xml:space="preserve">Debe advertirse, finalmente, que el Decreto-ley 5/1996, de 7 de junio, no impugnado, ha derogado algunos preceptos del T.R.L.S.. Al margen de que esa derogación puntual afecte </w:t>
      </w:r>
      <w:r>
        <w:lastRenderedPageBreak/>
        <w:t>sólo a algunos de los artículos del T.R.L.S.  impugnados, como se verá más adelante, ello no supone la pérdida de objeto de los recursos deducidos contra éste, habida cuenta de que la disputa sigue viva y a la luz de las circunstancias concurrentes.</w:t>
      </w:r>
    </w:p>
    <w:p w:rsidR="008107C7" w:rsidRDefault="008107C7" w:rsidP="008107C7">
      <w:pPr>
        <w:pStyle w:val="TextoNormal"/>
      </w:pPr>
    </w:p>
    <w:p w:rsidR="008107C7" w:rsidRDefault="008107C7" w:rsidP="008107C7">
      <w:pPr>
        <w:pStyle w:val="TextoNormal"/>
      </w:pPr>
      <w:r w:rsidRPr="008107C7">
        <w:rPr>
          <w:rStyle w:val="NumeroAFNegritaCaracter"/>
        </w:rPr>
        <w:t>4</w:t>
      </w:r>
      <w:r>
        <w:t>. (Sobre si ha de reputarse de extemporáneo el recurso de la Comunidad Autónoma de las Islas Baleares, como consecuencia de no haber impugnado la Ley 8/1990).</w:t>
      </w:r>
    </w:p>
    <w:p w:rsidR="008107C7" w:rsidRDefault="008107C7" w:rsidP="008107C7">
      <w:pPr>
        <w:pStyle w:val="TextoNormal"/>
      </w:pPr>
      <w:r>
        <w:t>Debemos, por tanto, circunscribir nuestro examen a los recursos formulados contra el Real Decreto Legislativo 1/1992, de 26 de junio, que aprueba el Texto Refundido de la Ley sobre el Régimen del Suelo y Ordenación Urbana (RR.II. núms. 2.337, 2.341 y 2.342 de 1992). Mas, a fin de precisar con toda exactitud qué artículos del T.R.L.S. cabe considerar correctamente impugnados y, consiguientemente, incluidos en el análisis de los motivos de inconstitucionalidad que se ha de efectuar en esta Sentencia, nos ocuparemos seguidamente de las dos objeciones que el Abogado del Estado aduce al respecto.</w:t>
      </w:r>
    </w:p>
    <w:p w:rsidR="008107C7" w:rsidRDefault="008107C7" w:rsidP="008107C7">
      <w:pPr>
        <w:pStyle w:val="TextoNormal"/>
      </w:pPr>
      <w:r>
        <w:t>a) En opinión de la representación estatal, quien no haya recurrido en su día contra la Ley 8/1990 no puede aprovechar la publicación del Texto Refundido para impugnar los preceptos de aquella Ley que, sin alteración, aparecen en la norma refundidora.  Admitir otra cosa -afirma- entrañaría permitir el fraude del plazo de caducidad impuesto por el art. 33 LOTC, con daño a la seguridad jurídica. En este caso se encuentra, sobre todo, el recurso de la Comunidad Autónoma de las Islas Baleares.  El Consejo de Gobierno de las Islas Baleares no recurrió contra la Ley 8/1990 y ahora impugna preceptos del Texto Refundido de tenor idéntico a los de aquella Ley. También el recurso del Consejo Ejecutivo de la Generalidad de Cataluña incurre en idéntica omisión.  En cuanto al recurso promovido por la Diputación General de Aragón, nada hay que oponer a que se vuelvan a recurrir los preceptos del T.R.L.S. que reproducen los de la Ley 8/1990 impugnados en su día por el órgano ejecutivo de la Diputación General de Aragón. Otros, en cambio, no fueron recurridos, de modo que ahora, y por razón de extemporaneidad, no procede entrar a enjuiciar su inconstitucionalidad.</w:t>
      </w:r>
    </w:p>
    <w:p w:rsidR="008107C7" w:rsidRDefault="008107C7" w:rsidP="008107C7">
      <w:pPr>
        <w:pStyle w:val="TextoNormal"/>
      </w:pPr>
      <w:r>
        <w:t>Pero tal objeción carece de fundamento. Incluso si se produce una coincidencia parcial de los contenidos de ambas, la Ley 8/1990 y el T.R.L.S. de 1992, son dos textos normativos formalmente distintos, emanados además de órganos constitucionales diferentes. Ninguna restricción ha de pesar, pues, sobre la impugnación del segundo de dichos textos derivada de la no impugnación anterior del primero de ellos, restricción que la LOTC no contempla, dado que el objeto del proceso constitucional es, en principio, el texto legal y no la norma cuyo mandato ese texto expresa (STC 11/1981, fundamento jurídico 4º).</w:t>
      </w:r>
    </w:p>
    <w:p w:rsidR="008107C7" w:rsidRDefault="008107C7" w:rsidP="008107C7">
      <w:pPr>
        <w:pStyle w:val="TextoNormal"/>
      </w:pPr>
      <w:r>
        <w:t>b) La otra objeción del Abogado del Estado concierne al recurso presentado por la Diputación General de Aragón y debe tenerse, con arreglo a la doctrina de este Tribunal, por plenamente fundada. En efecto, el referido órgano autonómico adoptó, el 18 de agosto de 1992, y según consta en la certificación que acompaña al escrito de demanda, el acuerdo de interponer "recurso de inconstitucionalidad contra los artículos del Real Decreto Legislativo 1/1992, de 26 de junio, que reproducen aquéllos de la Ley 8/1990, de 25 de julio, que fueron objeto de impugnación ante dicho Tribunal, así como contra todos aquéllos que supongan una invasión de las competencias que en la materia ostenta la Comunidad Autónoma de Aragón", confiriendo su representación y defensa en el meritado recurso al Abogado luego comparecido en el presente proceso. Por tanto, y a tenor del Acuerdo transcrito, una parte de los preceptos recurridos aparece perfectamente identificada, mientras que la determinación de los demás que deban recurrirse en cuanto supongan una invasión del ámbito competencial autonómico se delega en el Letrado designado por la Diputación.</w:t>
      </w:r>
    </w:p>
    <w:p w:rsidR="008107C7" w:rsidRDefault="008107C7" w:rsidP="008107C7">
      <w:pPr>
        <w:pStyle w:val="TextoNormal"/>
      </w:pPr>
      <w:r>
        <w:lastRenderedPageBreak/>
        <w:t>Ahora bien, no es el mencionado Letrado quien, en virtud de los arts. 162.1 a) C.E. y 32.2 de la LOTC, dispone de legitimación para interponer recurso de inconstitucionalidad, sino el Gobierno aragonés mediante "Acuerdo adoptado al efecto".  Como se advierte en la STC 42/1985, "siendo la legitimación para la acción de inconstitucionalidad una potestad atribuida directamente por la Constitución a determinados órganos o miembros de órganos representativos y no una facultad que derive del derecho del que se es titular, es claro que no puede ser delegado ni transmitido el poder para ejercerla y que, en consecuencia, la decisión de impugnar no puede ser adoptada en términos genéricos..." (fundamento jurídico 2º). De ello se sigue la inviabilidad del apoderamiento conferido por el órgano recurrente a su representación en este proceso, por lo que atañe a la indeterminación de los preceptos del T.R.L.S.  que no sean reproducción de los contenidos en la Ley 8/1990, y, de otro lado, que no resulte procedente, pues, el examen de los motivos impugnatorios aducidos frente a los mismos por la Diputación General de Aragón.</w:t>
      </w:r>
    </w:p>
    <w:p w:rsidR="008107C7" w:rsidRDefault="008107C7" w:rsidP="008107C7">
      <w:pPr>
        <w:pStyle w:val="TextoNormal"/>
      </w:pPr>
      <w:r>
        <w:t>Sin perjuicio de lo que, en su momento, pueda indicarse al respecto, en este vicio incurren las impugnaciones de los artículos siguientes: de un lado, los arts. 27.4; 45; 59.1 y 2; 72.1; 104.1 y 3; 109.1; 113.2; 124; 132; 133; 134; 138.b; 166.1.a), c) y e); 167; 176; 183; 205; 227.1; 228.3 y 4; Disposición adicional cuarta; Disposiciones transitorias primera, cuarta, quinta, sexta, 4, y octava; y, de otro, los arts. 51.3, 54, 55, 56, 57, 58, 61, 160.3, 173, 254.1. Ha de tenerse en cuenta, con todo, que la mayor parte de estos preceptos han sido impugnados por otros recurrentes, lo que permitirá, como es obvio, su enjuiciamiento.</w:t>
      </w:r>
    </w:p>
    <w:p w:rsidR="008107C7" w:rsidRDefault="008107C7" w:rsidP="008107C7">
      <w:pPr>
        <w:pStyle w:val="TextoNormal"/>
      </w:pPr>
      <w:r>
        <w:t>B) LOS TÍTULOS COMPETENCIALES.</w:t>
      </w:r>
    </w:p>
    <w:p w:rsidR="008107C7" w:rsidRDefault="008107C7" w:rsidP="008107C7">
      <w:pPr>
        <w:pStyle w:val="TextoNormal"/>
      </w:pPr>
    </w:p>
    <w:p w:rsidR="008107C7" w:rsidRDefault="008107C7" w:rsidP="008107C7">
      <w:pPr>
        <w:pStyle w:val="TextoNormal"/>
      </w:pPr>
      <w:r w:rsidRPr="008107C7">
        <w:rPr>
          <w:rStyle w:val="NumeroAFNegritaCaracter"/>
        </w:rPr>
        <w:t>5</w:t>
      </w:r>
      <w:r>
        <w:t>. Del juego de los arts. 148 y 149 C.E. resulta que las Comunidades Autónomas pueden asumir competencia exclusiva en las materias de "ordenación del territorio, urbanismo y vivienda".  Conforme a estos preceptos constitucionales, las Comunidades Autónomas recurrentes (E.A.C., art. 9.9, E.A.A.R., art. 35.1.3 y E.A.I.B., art. 10.3) tienen atribuida, estatutariamente, competencia "exclusiva" en dichas materias, al igual que sucede en las restantes Comunidades Autónomas (si bien la de Madrid es atribuida por el art. 26.3 de su Estatuto en términos de "plenitud de la función legislativa", con idéntico alcance). Mas ha de señalarse que tal exclusividad competencial no autoriza a desconocer la que, con el mismo carácter, viene reservada al Estado por virtud del art. 149.1 C.E, tal como ha precisado la STC 56/1986 (fundamento jurídico 3º), referida al urbanismo, y la STC 149/1991 (fundamento jurídico 1º B), relativa a ordenación del territorio.  Procede, pues, afirmar que la competencia autonómica en materia de urbanismo ha de coexistir con aquéllas que el Estado ostenta en virtud del art.  149.1 C.E, cuyo ejercicio puede condicionar, lícitamente, la competencia de las Comunidades Autónomas sobre el mencionado sector material.</w:t>
      </w:r>
    </w:p>
    <w:p w:rsidR="008107C7" w:rsidRDefault="008107C7" w:rsidP="008107C7">
      <w:pPr>
        <w:pStyle w:val="TextoNormal"/>
      </w:pPr>
      <w:r>
        <w:t>Será preciso, pues, examinar los títulos invocados por el Estado como justificación de su intervención normativa en materia urbanística y verificar, mediante el examen de los preceptos enumerados en los dos primeros apartados de la Disposición final única del T.R.L.S., la corrección de la calificación otorgada por el legislador estatal respecto de su aplicabilidad. Ha de precisarse, a este respecto, que si bien las Comunidades Autónomas recurrentes admiten, en línea de principio, la concurrencia del título competencial del art. 149.1.1º C.E, entienden que en su ejercicio el legislador estatal se ha extralimitado en relación con determinados preceptos de la disposición impugnada reguladores de la propiedad urbana.</w:t>
      </w:r>
    </w:p>
    <w:p w:rsidR="008107C7" w:rsidRDefault="008107C7" w:rsidP="008107C7">
      <w:pPr>
        <w:pStyle w:val="TextoNormal"/>
      </w:pPr>
      <w:r>
        <w:t>Conviene, por lo expuesto, pronunciarse sobre el alcance del referido art.  149.1.1º C.E y su proyección sobre el derecho de propiedad del suelo, por cuanto constituye uno de los elementos esenciales para elucidar la calificación como básicos por el T.R.L.S. de buena parte de los preceptos impugnados.</w:t>
      </w:r>
    </w:p>
    <w:p w:rsidR="008107C7" w:rsidRDefault="008107C7" w:rsidP="008107C7">
      <w:pPr>
        <w:pStyle w:val="TextoNormal"/>
      </w:pPr>
      <w:r>
        <w:lastRenderedPageBreak/>
        <w:t>Otro tanto ha de decirse en relación con los diversos títulos competenciales invocados por la Disposición final única del T.R.L.S., y señaladamente el que se ampara en el art.  149.1.18º C.E en cuanto atribuye al Estado la competencia exclusiva sobre las bases del régimen jurídico de las Administraciones Públicas, el Procedimiento Administrativo Común, la Legislación sobre Expropiación Forzosa y el sistema de responsabilidad de todas las Administraciones Públicas.</w:t>
      </w:r>
    </w:p>
    <w:p w:rsidR="008107C7" w:rsidRDefault="008107C7" w:rsidP="008107C7">
      <w:pPr>
        <w:pStyle w:val="TextoNormal"/>
      </w:pPr>
      <w:r>
        <w:t>Procede, por ello, determinar en primer lugar el ámbito de la competencia sobre urbanismo asumidas por las Comunidades Autónomas en virtud de lo previsto en los arts. 148 y 149 C.E. y en los Estatutos de Autonomía para poder así discernir si en tal competencia exclusiva ha incidido, con injerencia no aceptable constitucionalmente, el Real Decreto Legislativo impugnado.</w:t>
      </w:r>
    </w:p>
    <w:p w:rsidR="008107C7" w:rsidRDefault="008107C7" w:rsidP="008107C7">
      <w:pPr>
        <w:pStyle w:val="TextoNormal"/>
      </w:pPr>
    </w:p>
    <w:p w:rsidR="008107C7" w:rsidRDefault="008107C7" w:rsidP="008107C7">
      <w:pPr>
        <w:pStyle w:val="TextoNormal"/>
      </w:pPr>
      <w:r w:rsidRPr="008107C7">
        <w:rPr>
          <w:rStyle w:val="NumeroAFNegritaCaracter"/>
        </w:rPr>
        <w:t>6</w:t>
      </w:r>
      <w:r>
        <w:t>. (La competencia sobre urbanismo).</w:t>
      </w:r>
    </w:p>
    <w:p w:rsidR="008107C7" w:rsidRDefault="008107C7" w:rsidP="008107C7">
      <w:pPr>
        <w:pStyle w:val="TextoNormal"/>
      </w:pPr>
      <w:r>
        <w:t>a) Sin perjuicio de ulteriores concreciones, el urbanismo, como sector material susceptible de atribución competencial, alude a la disciplina jurídica del hecho social o colectivo de los asentamientos de población en el espacio físico, lo que, en el plano jurídico, se traduce en la "ordenación urbanística", como objeto normativo de las leyes urbanísticas (recogida en la primera Ley del Suelo de 1956, art. 1). Sin propósito definitorio, el contenido del urbanismo se traduce en concretas potestades (en cuanto atribuidas a o controladas por Entes públicos), tales como las referidas al planeamiento, la gestión o ejecución de instrumentos planificadores y la intervención administrativa en las facultades dominicales sobre el uso del suelo y edificación, a cuyo servicio se arbitran técnicas jurídicas concretas; a lo que ha de añadirse la determinación, en lo pertinente, del régimen jurídico del suelo en tanto que soporte de la actividad transformadora que implica la urbanización y edificación.</w:t>
      </w:r>
    </w:p>
    <w:p w:rsidR="008107C7" w:rsidRDefault="008107C7" w:rsidP="008107C7">
      <w:pPr>
        <w:pStyle w:val="TextoNormal"/>
      </w:pPr>
      <w:r>
        <w:t>El contenido que acaba de enunciarse se traduce en la fijación de lo que pudiéramos llamar políticas de ordenación de la ciudad, en tanto en cuanto mediante ellas se viene a determinar el cómo, cuándo y dónde deben surgir o desarrollarse los asentamientos humanos, y a cuyo servicio se disponen las técnicas e instrumentos urbanísticos precisos para lograr tal objetivo.</w:t>
      </w:r>
    </w:p>
    <w:p w:rsidR="008107C7" w:rsidRDefault="008107C7" w:rsidP="008107C7">
      <w:pPr>
        <w:pStyle w:val="TextoNormal"/>
      </w:pPr>
      <w:r>
        <w:t>Ha de añadirse que, si bien la Constitución no define lo que haya de entenderse por urbanismo, sí proporciona, junto al derecho a disfrutar de una vivienda digna y adecuada (art. 47 C.E., párrafo primero), una serie de importantes principios rectores de la política, en este caso, urbanística, a las que han de atenerse en el ejercicio de sus respectivas competencias, los Entes públicos, a saber: la utilización del suelo de acuerdo con el interés general para impedir la especulación (art. 47 C.E., párrafo primero); y la participación de la comunidad en las plusvalías generadas por la acción urbanística de los Entes públicos (art. 47 C.E., párrafo segundo). Con arreglo a lo establecido en el art. 53.3, inciso primero, C.E., el reconocimiento, el respeto y la protección de tales contenidos del art. 47 C.E. "informarán la legislación positiva, la práctica judicial y la actuación de los poderes públicos" (SSTC 19/1982, fundamento jurídico 6º y 45/1989, fundamento jurídico 4º).</w:t>
      </w:r>
    </w:p>
    <w:p w:rsidR="008107C7" w:rsidRDefault="008107C7" w:rsidP="008107C7">
      <w:pPr>
        <w:pStyle w:val="TextoNormal"/>
      </w:pPr>
      <w:r>
        <w:t>b) El orden constitucional de distribución de competencias ha diseccionado ciertamente la concepción amplia del urbanismo que descansaba en la legislación anterior a la Constitución de 1978, pues no es posible desconocer, como se ha dicho, que junto a la atribución de la competencia urbanística a las Comunidades Autónomas, el art. 149.1 C.E.  reconoce al Estado la competencia, también exclusiva, sobre las condiciones básicas de ejercicio de los derechos constitucionales o la legislación sobre expropiación forzosa, o el sistema de responsabilidad o el procedimiento administrativo común, por citar algunos de los instrumentos de los que el urbanismo, con esa u otra nomenclatura, suele hacer uso.</w:t>
      </w:r>
    </w:p>
    <w:p w:rsidR="008107C7" w:rsidRDefault="008107C7" w:rsidP="008107C7">
      <w:pPr>
        <w:pStyle w:val="TextoNormal"/>
      </w:pPr>
      <w:r>
        <w:lastRenderedPageBreak/>
        <w:t>Pues bien, expuesto lo anterior, ha de afirmarse que la competencia autonómica exclusiva sobre urbanismo ha de integrarse sistemáticamente con aquéllas otras estatales que, si bien en modo alguno podrían legitimar una regulación general del entero régimen jurídico del suelo, pueden propiciar, sin embargo, que se afecte puntualmente a la materia urbanística (establecimiento de las condiciones básicas que garanticen la igualdad en el ejercicio del derecho de propiedad urbana, determinados aspectos de la expropiación forzosa o de la responsabilidad administrativa). Pero ha de añadirse, a renglón seguido, que no debe perderse de vista que en el reparto competencial efectuado por la C.E.  es a las Comunidades Autónomas a las que se ha atribuido la competencia exclusiva sobre el urbanismo, y por ende es a tales Entes públicos a los que compete emanar normas que afecten a la ordenación urbanística, en el sentido más arriba expuesto.</w:t>
      </w:r>
    </w:p>
    <w:p w:rsidR="008107C7" w:rsidRDefault="008107C7" w:rsidP="008107C7">
      <w:pPr>
        <w:pStyle w:val="TextoNormal"/>
      </w:pPr>
      <w:r>
        <w:t>Esta misma visión sistemática, unitaria y coherente, del bloque de la constitucionalidad fue recogida en el Preámbulo de la Ley 8/1990, sobre Reforma del Régimen Urbanístico y Valoraciones del Suelo, refundida en el T.R.L.S.: "La delimitación constitucional de competencias parece impedir que el Estado apruebe una nueva Ley sobre régimen del suelo y ordenación urbana con el mismo o similar contenido al del texto refundido actualmente vigente ..., ya que su regulación supondría una manifiesta invasión de las competencias autonómicas en materia de ordenación del territorio y urbanismo.  Pero tampoco las Comunidades Autónomas están facultadas para establecer una normativa urbanística de alcance y contenido tan amplio como el de la Ley vigente (preconstitucional), porque ello chocaría con las competencias que al Estado atribuye el propio texto constitucional." (cfr. núm. II). Concepción sistemática ésta que, como tal y en principio, comparten los recurrentes, aunque discuten la concreta plasmación que ha tenido en el T.R.L.S..</w:t>
      </w:r>
    </w:p>
    <w:p w:rsidR="008107C7" w:rsidRDefault="008107C7" w:rsidP="008107C7">
      <w:pPr>
        <w:pStyle w:val="TextoNormal"/>
      </w:pPr>
    </w:p>
    <w:p w:rsidR="008107C7" w:rsidRDefault="008107C7" w:rsidP="008107C7">
      <w:pPr>
        <w:pStyle w:val="TextoNormal"/>
      </w:pPr>
      <w:r w:rsidRPr="008107C7">
        <w:rPr>
          <w:rStyle w:val="NumeroAFNegritaCaracter"/>
        </w:rPr>
        <w:t>7</w:t>
      </w:r>
      <w:r>
        <w:t>. (Delimitación negativa y positiva de la competencia del art. 149.1.1º C.E.)</w:t>
      </w:r>
    </w:p>
    <w:p w:rsidR="008107C7" w:rsidRDefault="008107C7" w:rsidP="008107C7">
      <w:pPr>
        <w:pStyle w:val="TextoNormal"/>
      </w:pPr>
      <w:r>
        <w:t>Al objeto de situar el art. 149.1.1º C.E. en su debido contexto, deben hacerse algunas precisiones acerca de la naturaleza y alcance de la competencia estatal que aquí se considera para mejor determinar, desde una interpretación sistemática, cómo ha de articularse con la competencia autonómica sobre urbanismo.</w:t>
      </w:r>
    </w:p>
    <w:p w:rsidR="008107C7" w:rsidRDefault="008107C7" w:rsidP="008107C7">
      <w:pPr>
        <w:pStyle w:val="TextoNormal"/>
      </w:pPr>
      <w:r>
        <w:t>a) En primer lugar, importa delimitar por vía negativa el título competencial residenciado en el art. 149.1.1º C.E.  De una parte, no se puede identificar con el contenido derivado de otros preceptos constitucionales, tales como el art. 138.2 y 139.1, que son presupuestos o límites, pero no títulos competenciales; o el art. 139.2, en cuanto expresión de la unidad de mercado y del derecho a la libre circulación. De otra, el art.  149.1.1º C.E. no viene a ser un trasunto, en el plano competencial, del art.  14 C.E., que, por lo demás, vincula a todos los poderes públicos.  Este título estatal no representa, pues, una suerte de prohibición para el legislador autonómico de un trato divergente y desproporcionado respecto de la legislación estatal.</w:t>
      </w:r>
    </w:p>
    <w:p w:rsidR="008107C7" w:rsidRDefault="008107C7" w:rsidP="008107C7">
      <w:pPr>
        <w:pStyle w:val="TextoNormal"/>
      </w:pPr>
      <w:r>
        <w:t xml:space="preserve">Ha de añadirse que "condiciones básicas" no es sinónimo de "legislación básica", "bases" o "normas básicas". El art.  149.1.1º C.E., en efecto, no ha atribuido al Estado la fijación de las bases sobre los derechos y libertades constitucionales, sino sólo el establecimiento -eso sí, entero- de aquellas condiciones básicas que tiendan a garantizar la igualdad. Y si bien es cierto que su regulación no puede suponer una normación completa y acabada del derecho y deber de que se trate y, en consecuencia, es claro que las Comunidades Autónomas, en la medida en que tengan competencias sobre la materia, podrán siempre aprobar normas atinentes al régimen jurídico de ese derecho -como en el caso de la propiedad del suelo-, no lo es menos, sin embargo, que la competencia ex art 149.1.1º C.E. no se mueve en la lógica de las bases estatales-legislación autonómica de desarrollo. En otras palabras, el Estado tiene </w:t>
      </w:r>
      <w:r>
        <w:lastRenderedPageBreak/>
        <w:t>la competencia exclusiva para incidir sobre los derechos y deberes constitucionales desde una concreta perspectiva, la de la garantía de la igualdad en las posiciones jurídicas fundamentales, dimensión que no es, en rigor, susceptible de desarrollo como si de unas bases se tratara; será luego el legislador competente, estatal y autonómico, el que respetando tales condiciones básicas establezca su régimen jurídico, de acuerdo con el orden constitucional de competencias.</w:t>
      </w:r>
    </w:p>
    <w:p w:rsidR="008107C7" w:rsidRDefault="008107C7" w:rsidP="008107C7">
      <w:pPr>
        <w:pStyle w:val="TextoNormal"/>
      </w:pPr>
      <w:r>
        <w:t>Finalmente, las condiciones básicas no equivalen ni se identifican tampoco con el contenido esencial de los derechos (art. 53.1 C.E.), técnica cuyo objeto, como hemos reiterado desde la STC 11/1981, consiste en garantizar el derecho frente a los eventuales abusos o extralimitaciones de los poderes públicos, en particular y en primer término, del legislador, cualquiera que éste sea, en su tarea reguladora. El contenido esencial constituye, pues, una garantía constitucional en favor del individuo, algo a respetar por el legislador en cada caso competente, no para regular; no es, en definitiva, una técnica que permita determinar lo que al Estado o a las Comunidades Autónomas les corresponde. En términos positivos, pues, tanto el legislador estatal de las condiciones básicas, como el autonómico deben respetar el contenido esencial del derecho de propiedad (art. 53.1 C.E.).</w:t>
      </w:r>
    </w:p>
    <w:p w:rsidR="008107C7" w:rsidRDefault="008107C7" w:rsidP="008107C7">
      <w:pPr>
        <w:pStyle w:val="TextoNormal"/>
      </w:pPr>
      <w:r>
        <w:t>b) En segundo lugar, conviene recordar algunas notas que delimitan positivamente la competencia estatal ex art. 149.1.1º C.E. Así, en lo que hace a su ámbito material o alcance horizontal, es de advertir que la "materia" sobre la que recae o proyecta son los derechos constitucionales en sentido estricto, así como los deberes básicos. Ahora bien, las condiciones básicas que garanticen la igualdad se predican de los derechos y deberes constitucionales en sí mismos considerados, no de los sectores materiales en los que éstos se insertan y, en consecuencia, el art. 149.1.1º C.E. sólo presta cobertura a aquellas condiciones que guarden una estrecha relación, directa e inmediata, con los derechos que la Constitución reconoce. De lo contrario, dada la fuerza expansiva de los derechos y la función fundamentadora de todo el ordenamiento jurídico que éstos tienen atribuida (art.  10.1 C.E.), quedaría desbordado el ámbito y sentido del art.  149.1.1º C.E., que no puede operar como una especie de título horizontal, capaz de introducirse en cualquier materia o sector del ordenamiento por el mero hecho de que pudieran ser reconducibles, siquiera sea remotamente, hacia un derecho o deber constitucional.</w:t>
      </w:r>
    </w:p>
    <w:p w:rsidR="008107C7" w:rsidRDefault="008107C7" w:rsidP="008107C7">
      <w:pPr>
        <w:pStyle w:val="TextoNormal"/>
      </w:pPr>
      <w:r>
        <w:t>Por otra parte, tal como se ha indicado, constituye un título competencial autónomo, positivo o habilitante, constreñido al ámbito normativo, lo que permite al Estado una "regulación", aunque limitada a las condiciones básicas que garanticen la igualdad, que no el diseño completo y acabado de su régimen jurídico.</w:t>
      </w:r>
    </w:p>
    <w:p w:rsidR="008107C7" w:rsidRDefault="008107C7" w:rsidP="008107C7">
      <w:pPr>
        <w:pStyle w:val="TextoNormal"/>
      </w:pPr>
      <w:r>
        <w:t xml:space="preserve">En definitiva, y para recapitular, el art. 149.1.1º C.E. no debe ser entendido como una prohibición de divergencia autonómica, ni tampoco como un título residual, aunque la normación del derecho por virtud de esta competencia sea limitada, no ya sólo porque no se inscriba en la dinámica de las bases-desarrollo, en la que siempre ha de restar un espacio normativo para las Comunidades Autónomas, sino, más exactamente, como ha quedado razonado, porque las condiciones básicas que garanticen la igualdad, por definición, no pueden consistir en un régimen jurídico acabado y completo de los derechos y deberes constitucionales afectados. La regulación de esas condiciones básicas sí corresponde por entero y en exclusiva al Estado, pero con tal normación, como es evidente, no se determina ni se agota su entero régimen jurídico. En tal contexto, no debe olvidarse que la "igualdad de todos los españoles" representa el elemento teleológico o finalista del título competencial que aquí se considera, el único que justifica y ampara el ejercicio de la competencia estatal. En el ámbito urbanístico, es la intervención del legislador estatal ex art. 149.1.1 C.E. la que </w:t>
      </w:r>
      <w:r>
        <w:lastRenderedPageBreak/>
        <w:t>garantiza esa igualdad, máxime si se tiene en cuenta la inexcusable remisión al planeamiento y la disparidad de usos y contenidos susceptibles de apropiación que de ahí resulta.</w:t>
      </w:r>
    </w:p>
    <w:p w:rsidR="008107C7" w:rsidRDefault="008107C7" w:rsidP="008107C7">
      <w:pPr>
        <w:pStyle w:val="TextoNormal"/>
      </w:pPr>
    </w:p>
    <w:p w:rsidR="008107C7" w:rsidRDefault="008107C7" w:rsidP="008107C7">
      <w:pPr>
        <w:pStyle w:val="TextoNormal"/>
      </w:pPr>
      <w:r w:rsidRPr="008107C7">
        <w:rPr>
          <w:rStyle w:val="NumeroAFNegritaCaracter"/>
        </w:rPr>
        <w:t>8</w:t>
      </w:r>
      <w:r>
        <w:t>. (Contenido o significado de las "condiciones básicas").</w:t>
      </w:r>
    </w:p>
    <w:p w:rsidR="008107C7" w:rsidRDefault="008107C7" w:rsidP="008107C7">
      <w:pPr>
        <w:pStyle w:val="TextoNormal"/>
      </w:pPr>
      <w:r>
        <w:t>Una comprensión sistemática del entero orden competencial lleva a concluir, de acuerdo con nuestra jurisprudencia, que las "condiciones básicas" hacen referencia al contenido primario (STC 154/1988) del derecho, a las posiciones jurídicas fundamentales (facultades elementales, límites esenciales, deberes fundamentales, prestaciones básicas, ciertas premisas o presupuestos previos...). En todo caso, las condiciones básicas han de ser las imprescindibles o necesarias para garantizar esa igualdad, que no puede consistir en una igualdad formal absoluta.  Como hemos insistido, si por "condiciones básicas" hubiera de entenderse cualquier condición "material", obligado sería concluir que esa interpretación tan amplia habría de conducir a un solapamiento con otras competencias estatales explicitadas en el art. 149.1 C.E. o, lo que es peor, a una invasión de las competencias autonómicas. Si nos referimos al ámbito urbanístico y de la ordenación del territorio, bastaría con que el Estado invocara la regulación de las condiciones básicas de igualdad - sociales, económicas, políticas y jurídicas- para el ejercicio de la propiedad urbana y la libertad de empresa, por ejemplo, para que pudiera dictar una norma de una amplitud tal que poco les restaría a las Comunidades Autónomas de esta competencia exclusiva en materia de urbanismo.</w:t>
      </w:r>
    </w:p>
    <w:p w:rsidR="008107C7" w:rsidRDefault="008107C7" w:rsidP="008107C7">
      <w:pPr>
        <w:pStyle w:val="TextoNormal"/>
      </w:pPr>
      <w:r>
        <w:t>Dentro de esas "condiciones básicas" cabe entender incluidos asimismo aquellos criterios que guardan una relación necesaria e inmediata con aquéllas, tales como el objeto o ámbito material sobre el que recaen las facultades que integran el derecho (así, respecto de la propiedad privada la demanialización de toda una categoría de bienes definidos por sus características naturales: STC 227/1988, fundamento jurídico 14); los deberes, requisitos mínimos o condiciones básicas en que ha de ejercerse un derecho (STC 5/1981, fundamento jurídico 26; 37/1981, fundamento jurídico 2º); los requisitos indispensables o el marco organizativo que posibilitan el ejercicio mismo del derecho (como la inscripción censal para el derecho de sufragio; STC 154/1988, fundamento jurídico 3º); etc.</w:t>
      </w:r>
    </w:p>
    <w:p w:rsidR="008107C7" w:rsidRDefault="008107C7" w:rsidP="008107C7">
      <w:pPr>
        <w:pStyle w:val="TextoNormal"/>
      </w:pPr>
      <w:r>
        <w:t>De este modo las "condiciones básicas", y por lo que hace al caso planteado, una primera interpretación literal del art.  149.1.1º C.E. en relación con los preceptos enjuiciados permite entender que al Estado le compete regular las "condiciones básicas" que garanticen la "igualdad" de todos los propietarios del suelo en el ejercicio de su derecho de propiedad urbana, es decir, la "igualdad básica" en lo que se refiere a las valor aciones y al régimen urbanístico de la propiedad del suelo. Esta es, obviamente, la concepción de fondo que subyace al legislador estatal del suelo en el T.R.L.S.  y de la que los recurrentes, en algunas de sus manifestaciones, discrepan con mayor o menor amplitud, según los casos, como habrá ocasión de poner de relieve.</w:t>
      </w:r>
    </w:p>
    <w:p w:rsidR="008107C7" w:rsidRDefault="008107C7" w:rsidP="008107C7">
      <w:pPr>
        <w:pStyle w:val="TextoNormal"/>
      </w:pPr>
    </w:p>
    <w:p w:rsidR="008107C7" w:rsidRDefault="008107C7" w:rsidP="008107C7">
      <w:pPr>
        <w:pStyle w:val="TextoNormal"/>
      </w:pPr>
      <w:r w:rsidRPr="008107C7">
        <w:rPr>
          <w:rStyle w:val="NumeroAFNegritaCaracter"/>
        </w:rPr>
        <w:t>9</w:t>
      </w:r>
      <w:r>
        <w:t>. (Art. 149.1.1º C.E. en relación con el derecho de propiedad del suelo).</w:t>
      </w:r>
    </w:p>
    <w:p w:rsidR="008107C7" w:rsidRDefault="008107C7" w:rsidP="008107C7">
      <w:pPr>
        <w:pStyle w:val="TextoNormal"/>
      </w:pPr>
      <w:r>
        <w:t xml:space="preserve">a) Para analizar la proyección de la competencia atribuida al Estado por el art. 149.1.1º C.E.  sobre el derecho de propiedad y, señaladamente, sobre la propiedad urbana, conviene recordar, a título introductorio, nuestra doctrina, sintetizada en la STC 156/1995, según la cual, "en relación precisamente con el derecho a la propiedad que reconoce el art. 33 C.E., hemos señalado que el título del art. 149.1.1º C.E. no habilita para establecer una regulación uniforme de la propiedad privada y su función social, ni esa pretendida uniformidad puede servir de pretexto para anular las competencias legislativas que las Comunidades Autónomas tienen sobre todas aquellas materias en las que entre en juego la propiedad (STC </w:t>
      </w:r>
      <w:r>
        <w:lastRenderedPageBreak/>
        <w:t>37/1987, fundamento jurídico 9º).  Al Estado le corresponde ciertamente establecer la regulación del contenido básico y primario del derecho de propiedad, en la medida en que afecte a las condiciones básicas de su ejercicio, pero el referido título competencial no habilita por sí mismo para que el Estado pueda regular cualquier circunstancia que, de forma más o menos directa, pueda incidir sobre la igualdad en el ejercicio del derecho. El propio tenor literal del precepto deja claro que la igualdad que se persigue no es la identidad de las situaciones jurídicas de todos los ciudadanos en cualquier zona del territorio nacional (lo que por otra parte sería incompatible con la opción por un Estado organizado en la forma establecida en el Título VIII de la Constitución), sino la que queda garantizada con el establecimiento de las condiciones básicas, que, por tanto, establecen un mínimo común denominador y cuya regulación, ésta sí, es competencia del Estado" (fundamento jurídico 3º), como consecuencia de este título que tiene, sin duda, un carácter específico y autónomo, en cuanto que le atribuye al Estado ciertas facultades según el derecho constitucional de que se trate (SSTC 37/1987, fundamento jurídico 9º; 149/1991, fundamento jurídico 8º; 154/1988, fundamento jurídico 3º; 75 y 86/1990, fundamento jurídico 2º; 82/1986, fundamento jurídico 4º; 52/1988, fundamento jurídico 4º); 87/1985, fundamento jurídico 8º; etc).</w:t>
      </w:r>
    </w:p>
    <w:p w:rsidR="008107C7" w:rsidRDefault="008107C7" w:rsidP="008107C7">
      <w:pPr>
        <w:pStyle w:val="TextoNormal"/>
      </w:pPr>
      <w:r>
        <w:t>Este precepto, en efecto, autoriza al Estado para regular las condiciones básicas que garanticen una igualdad de trato - asimismo básica o esencial- de todos los españoles en el ejercicio de sus derechos de propiedad (STC 37/1987, fundamento jurídico 9º), lo que puede expresarse, por ejemplo, en la fijación de ciertas limitaciones y servidumbres a fin de evitar una proyección desigual sobre las facultades de los propietarios según las diversas situaciones urbanísticas de los terrenos e inmuebles de su titularidad (STC 149/1991, fundamento jurídico 8º; asimismo, para otras aplicaciones, fundamento jurídico 1.D, y STC 227/1988, fundamento jurídico 8º); etc.</w:t>
      </w:r>
    </w:p>
    <w:p w:rsidR="008107C7" w:rsidRDefault="008107C7" w:rsidP="008107C7">
      <w:pPr>
        <w:pStyle w:val="TextoNormal"/>
      </w:pPr>
      <w:r>
        <w:t>b) También es necesario recordar algunos de los criterios que hemos venido subrayando a fin de cohonestar esta competencia exclusiva del Estado, que, como se ha dicho, tiene un carácter específico y concreto -la regulación de las condiciones básicas-, con otras competencias autonómicas que, como el urbanismo, se refieren a todo un sector del ordenamiento jurídico. "La función que al Estado encomienda el art. 149.1.1º C.E. ha de desarrollarse sin desconocer el régimen competencial diseñado en el resto del precepto y en los Estatutos de Autonomía y sin que el Estado pueda asumir funciones que, más que garantizar condiciones básicas de igualdad, ampararían la infracción del orden constitucional de competencias" (cfr. SSTC 194/1994, fundamento jurídico 4º; 43/1996, fundamento jurídico 2º).</w:t>
      </w:r>
    </w:p>
    <w:p w:rsidR="008107C7" w:rsidRDefault="008107C7" w:rsidP="008107C7">
      <w:pPr>
        <w:pStyle w:val="TextoNormal"/>
      </w:pPr>
      <w:r>
        <w:t xml:space="preserve">En lo que aquí concierne, no puede desconocerse que se contempla el derecho de propiedad desde la perspectiva de la intervención pública para garantizar las condiciones de igualdad (regla 1ª del art. 149.1 C.E.)  y sólo sus condiciones básicas, óptica distinta, sin duda, que la que proporciona la competencia exclusiva del Estado sobre la legislación civil a que se refiere la regla 8ª del mismo precepto, como se verá en el fundamento jurídico 11. Ello significa, por lo que ahora interesa, que la legislación estatal dictada al amparo del art. 149.1.1º C.E. en relación con aquellas manifestaciones del dominio sobre las que las Comunidades Autónomas sí ostentan competencias no puede utilizarse para regular la política autonómica sectorial correspondiente, puesto que tal resultado supondría vaciar de todo contenido la competencia autonómica (cfr.  SSTC 194/1994, fundamento jurídico 4º; 43/1996, fundamento jurídico 2º, entre otras). Más en concreto, el indicado título competencial sólo tiene por objeto garantizar la igualdad en las condiciones de ejercicio del derecho de propiedad urbana y en el cumplimiento de los deberes inherentes a la función social, pero no, en cambio, la ordenación de la ciudad, el urbanismo entendido en sentido objetivo. </w:t>
      </w:r>
      <w:r>
        <w:lastRenderedPageBreak/>
        <w:t>A través de esas condiciones básicas, por tanto, no se puede configurar el modelo de urbanismo que la Comunidad Autónoma y la Administración local, en el ejercicio de sus respectivas competencias, pretendan diseñar, ni definir o predeterminar las técnicas o instrumentos urbanísticos al servicio de esas estrategias territoriales, aunque, como se verá, puedan condicionar indirectamente ambos extremos. Habrá que distinguir, pues, aquellas normas urbanísticas que guardan una directa e inmediata relación con el derecho de propiedad (ámbito al que se circunscribe el art.  149.1.1º C.E.)  y del que se predican las condiciones básicas, de aquellas otras que tienen por objeto o se refieren a la ordenación de la ciudad, esto es, las normas que, en sentido amplio, regulan la actividad de urbanización y edificación de los terrenos para la creación de ciudad.</w:t>
      </w:r>
    </w:p>
    <w:p w:rsidR="008107C7" w:rsidRDefault="008107C7" w:rsidP="008107C7">
      <w:pPr>
        <w:pStyle w:val="TextoNormal"/>
      </w:pPr>
    </w:p>
    <w:p w:rsidR="008107C7" w:rsidRDefault="008107C7" w:rsidP="008107C7">
      <w:pPr>
        <w:pStyle w:val="TextoNormal"/>
      </w:pPr>
      <w:r w:rsidRPr="008107C7">
        <w:rPr>
          <w:rStyle w:val="NumeroAFNegritaCaracter"/>
        </w:rPr>
        <w:t>10</w:t>
      </w:r>
      <w:r>
        <w:t>. (Consecuencias de esta competencia sobre el derecho de propiedad urbana y el urbanismo).</w:t>
      </w:r>
    </w:p>
    <w:p w:rsidR="008107C7" w:rsidRDefault="008107C7" w:rsidP="008107C7">
      <w:pPr>
        <w:pStyle w:val="TextoNormal"/>
      </w:pPr>
      <w:r>
        <w:t>Siendo ello así, y sin perjuicio de cuanto se indique en el enjuiciamiento de cada una de las concretas impugnaciones, cabe admitir que la adquisición del contenido urbanístico susceptible de apropiación privada, su valoración, o los presupuestos previos -o delimitación negativa- para que pueda nacer el derecho de propiedad urbana, por ejemplo, son elementos que, en principio, pueden considerarse amparados por la competencia estatal que se localiza en el art.  149.1.1º C.E., como ya se ha anticipado en el fundamento jurídico 8º, in fine.  Al mismo tiempo, el Estado tiene competencia para fijar las condiciones básicas que garanticen la igualdad en el cumplimiento de los deberes constitucionales y, en consecuencia, para regular los deberes básicos que sean inherentes a cada manifestación del dominio. En tal sentido, no debe olvidarse que la función social forma parte del contenido del derecho de propiedad y expresa y sintetiza los deberes que modulan su ejercicio (art. 33.2 C.E.), así como que la competencia estatal ex art. 149.1.1º C.E. se extiende a los deberes constitucionales (arts.  149.1.1º y 33.2 C.E.). De ahí que puedan encontrar cobijo bajo la competencia estatal las manifestaciones más elementales de la función social de la propiedad urbana, los deberes básicos que a su titular corresponde satisfacer, en cuanto sirvan para garantizar la igualdad a que se refiere el art. 149.1.1º C.E.  No es posible, pues, rechazar a priori o excluir a radice la competencia estatal para dictar normas sobre tales aspectos de la propiedad urbana y de su función social.</w:t>
      </w:r>
    </w:p>
    <w:p w:rsidR="008107C7" w:rsidRDefault="008107C7" w:rsidP="008107C7">
      <w:pPr>
        <w:pStyle w:val="TextoNormal"/>
      </w:pPr>
      <w:r>
        <w:t>Por otra parte, es claro que el art. 149.1.1º C.E. permite al legislador estatal opciones diversas y, a la postre, modelos diferentes de propiedad urbana, en sus condiciones básicas, claro está, pero cuya influencia sobre el entero estatuto legal de esta forma de propiedad tampoco cabe desconocer, puesto que habrán de ser respetadas y atendidas por la normativa autonómica, por más que el título estatal no ampare una legislación básica general o indiferenciada sobre la propiedad urbana bajo el perfil del Derecho público, sino sólo de aquellas normas que garanticen la igualdad básica en el ejercicio del derecho y en el cumplimiento de la función social que le es inherente.</w:t>
      </w:r>
    </w:p>
    <w:p w:rsidR="008107C7" w:rsidRDefault="008107C7" w:rsidP="008107C7">
      <w:pPr>
        <w:pStyle w:val="TextoNormal"/>
      </w:pPr>
      <w:r>
        <w:t xml:space="preserve">A resultas de esas condiciones básicas, por tanto, el Estado puede plasmar una determinada concepción del derecho de propiedad urbana, en sus líneas más fundamentales, como, por ejemplo y entre otras, la que disocia la propiedad del suelo del derecho a edificar, modelo éste que ha venido siendo tradicional en nuestro urbanismo. Las Comunidades Autónomas, desde la competencia urbanística que les reconocen la Constitución y los Estatutos de Autonomía, podrán dictar normas atinentes al derecho de propiedad urbana, con respeto, claro está, de esas condiciones básicas y de las demás competencias estatales que, en cada caso, sean de aplicación (como, v.gr., la que descansa en el art.  149.1.8º C.E., en relación </w:t>
      </w:r>
      <w:r>
        <w:lastRenderedPageBreak/>
        <w:t>con la dimensión jurídico-privada del dominio; o la relativa a las garantías expropiatorias ex art. 149.1.18º C.E., en los términos que más tarde se verán).</w:t>
      </w:r>
    </w:p>
    <w:p w:rsidR="008107C7" w:rsidRDefault="008107C7" w:rsidP="008107C7">
      <w:pPr>
        <w:pStyle w:val="TextoNormal"/>
      </w:pPr>
      <w:r>
        <w:t>Si se tiene en cuenta que la competencia estatal de regulación de las condiciones básicas para garantizar la igualdad no significa ni equivale a una competencia sobre la legislación básica en materia de derechos y deberes constitucionales, de un lado, y que las Comunidades Autónomas tienen competencias para dictar normas sobre la propiedad urbana, es evidente que, para articular esta confluencia de títulos competenciales, las normas estatales emanadas bajo la cobertura del art. 149.1.1º C.E.  pueden encontrar su mejor expresión a través de principios o reglas generales que, en definitiva, sirvan para garantizar la igualdad en las posiciones jurídicas fundamentales, sin menoscabo de la competencia urbanística de las Comunidades Autónomas y, en consecuencia, de la competencia de éstas para dictar también normas sobre la propiedad urbana.</w:t>
      </w:r>
    </w:p>
    <w:p w:rsidR="008107C7" w:rsidRDefault="008107C7" w:rsidP="008107C7">
      <w:pPr>
        <w:pStyle w:val="TextoNormal"/>
      </w:pPr>
    </w:p>
    <w:p w:rsidR="008107C7" w:rsidRDefault="008107C7" w:rsidP="008107C7">
      <w:pPr>
        <w:pStyle w:val="TextoNormal"/>
      </w:pPr>
      <w:r w:rsidRPr="008107C7">
        <w:rPr>
          <w:rStyle w:val="NumeroAFNegritaCaracter"/>
        </w:rPr>
        <w:t>11</w:t>
      </w:r>
      <w:r>
        <w:t>. (Competencias ex art. 149.1.8º y 149.1.18).</w:t>
      </w:r>
    </w:p>
    <w:p w:rsidR="008107C7" w:rsidRDefault="008107C7" w:rsidP="008107C7">
      <w:pPr>
        <w:pStyle w:val="TextoNormal"/>
      </w:pPr>
      <w:r>
        <w:t>Finalmente, entre los títulos competenciales en favor del Estado susceptibles de afectar al urbanismo, merecen ahora citarse los que consagran los arts.  149.1.8º y 18 C.E. Por virtud del primero, al Estado incumbe con carácter exclusivo la legislación civil, sin perjuicio de la conservación, modificación y desarrollo por las Comunidades Autónomas de los derechos civiles, forales o especiales allí donde existan, competencia cuya incidencia habrá que considerar cuando las normas impugnadas contengan efectivamente legislación civil. No obstante, y habida cuenta del escaso número de impugnaciones deducidas por la pretendida infracción competencial de este titulo, no es necesario hacer aquí una consideración especial y previa acerca de su significado, sobre el que, por otra parte, se ha producido ya una dilatada jurisprudencia (entre otras, SSTC 58/1982, 71/1982, 85/1984, 37/1987, 227/1988, 15/1989, 170/1989, 17/1990, 121/1992, 88/1993, 156/1993, 264/1993, 102/1995, 146/1996, etc).</w:t>
      </w:r>
    </w:p>
    <w:p w:rsidR="008107C7" w:rsidRDefault="008107C7" w:rsidP="008107C7">
      <w:pPr>
        <w:pStyle w:val="TextoNormal"/>
      </w:pPr>
      <w:r>
        <w:t>Por su parte, el art. 149.1.18 C.E. atribuye al Estado numerosas competencias, de diverso alcance y naturaleza, cuya proyección sobre el urbanismo habrá que examinar, también en cada caso: "las bases del régimen jurídico de las Administraciones públicas" que garantizarán a los administrados un tratamiento común ante ellas; "el procedimiento administrativo común"; y, sobre todo, "la legislación sobre expropiación forzosa" y el "sistema de responsabilidad de todas las Administraciones públicas". Como es evidente, el art. 149.1.18º C.E.  contiene en su conjunto un bloque de materias de mayor espectro que el que representa el art. 149.1.1º C.E., que sólo es susceptible de afectar a la intervención pública sobre los derechos en juego en el ámbito del urbanismo, señaladamente del derecho de propiedad.  Adelantando lo que, al enjuiciar las correspondientes impugnaciones, habrá que resolver, el problema capital reside en determinar si, y en qué medida, el Estado, a partir del art.  149.1.18º C.E.  (cuya heterogeneidad impide, sin embargo, un tratamiento unívoco), puede aprobar normas especiales, circunscritas a un sector específico, como el urbanismo, más allá de la legislación general de expropiación forzosa y de las garantías comunes del expropiado; o del sistema general de responsabilidad de todas las Administraciones públicas. Con todo, nuestro examen habrá de contraerse a las concretas impugnaciones formuladas respecto de determinados preceptos, sin que tampoco sea necesario elaborar una doctrina general sobre la indicada cuestión.</w:t>
      </w:r>
    </w:p>
    <w:p w:rsidR="008107C7" w:rsidRDefault="008107C7" w:rsidP="008107C7">
      <w:pPr>
        <w:pStyle w:val="TextoNormal"/>
      </w:pPr>
      <w:r>
        <w:t>C) LA DISPOSICIÓN FINAL ÚNICA DEL T.R.L.S..</w:t>
      </w:r>
    </w:p>
    <w:p w:rsidR="008107C7" w:rsidRDefault="008107C7" w:rsidP="008107C7">
      <w:pPr>
        <w:pStyle w:val="TextoNormal"/>
      </w:pPr>
    </w:p>
    <w:p w:rsidR="008107C7" w:rsidRDefault="008107C7" w:rsidP="008107C7">
      <w:pPr>
        <w:pStyle w:val="TextoNormal"/>
      </w:pPr>
      <w:r w:rsidRPr="008107C7">
        <w:rPr>
          <w:rStyle w:val="NumeroAFNegritaCaracter"/>
        </w:rPr>
        <w:t>12</w:t>
      </w:r>
      <w:r>
        <w:t xml:space="preserve">. Como ya se ha dicho, la Disposición final única del T.R.L.S. ha estructurado o dividido todos sus preceptos en torno a tres grupos: unos, de carácter básico, por virtud de las </w:t>
      </w:r>
      <w:r>
        <w:lastRenderedPageBreak/>
        <w:t>reglas 1ª, 8ª, 13ª, 18ª y 23ª del art.  149.1 C.E. (apartado 1 de la citada Disposición); otros, en cambio, son de "aplicación plena" en virtud de las reglas 8ª y 18ª del mismo art. 149.1 C.E.  (apartado 2º); y otros, finalmente, de "aplicación supletoria" (apartado 3º).</w:t>
      </w:r>
    </w:p>
    <w:p w:rsidR="008107C7" w:rsidRDefault="008107C7" w:rsidP="008107C7">
      <w:pPr>
        <w:pStyle w:val="TextoNormal"/>
      </w:pPr>
      <w:r>
        <w:t>Lo que los recurrentes impugnan del T.R.L.S. no es, propiamente, su articulado, sino la calificación otorgada por la Disposición final única de la Ley a los diversos preceptos de la misma, esto es, el tipo de título competencial (básico) y el régimen de aplicabilidad (plena y supletoria).</w:t>
      </w:r>
    </w:p>
    <w:p w:rsidR="008107C7" w:rsidRDefault="008107C7" w:rsidP="008107C7">
      <w:pPr>
        <w:pStyle w:val="TextoNormal"/>
      </w:pPr>
      <w:r>
        <w:t>a) Por lo que hace, en primer lugar, a la calificación como normas "de carácter básico", debe advertirse que, aunque el legislador ha incluido en esta categoría al art. 149.1.1º C.E.  como ya se ha puesto de manifiesto en el fundamento 7º de esta Sentencia, esta competencia tiene rasgos específicos que la hacen diferente de las competencias básicas que corresponden al Estado.  Tampoco las competencias ex art.  149.1.8º C.E. (salvo las relativas a las bases de las obligaciones contractuales) tienen en rigor carácter básico, sino exclusivo. Por lo demás, el Gobierno de la Nación viene obligado a calificar las normas que a su parecer tengan carácter básico por exigencia de la seguridad jurídica "y con mayor razón cuando haya de regular por Decreto Legislativo una determinada materia sobre la que el Estado tiene competencia para aprobar las normas básicas" (STC 179/1992, fundamento jurídico 2º; STC 385/1993, fundamento jurídico 3º), como es el presente caso, sin que, a este propósito, necesite el Gobierno una habilitación expresa para tal calificación que es, por tanto, posible en cualquiera de las modalidades legiferantes contenidas en el art. 82 C.E. (STC 385/1993, fundamento jurídico 3º). Cosa distinta será que todos los preceptos calificados como básicos por el legislador tengan efectivamente este carácter.</w:t>
      </w:r>
    </w:p>
    <w:p w:rsidR="008107C7" w:rsidRDefault="008107C7" w:rsidP="008107C7">
      <w:pPr>
        <w:pStyle w:val="TextoNormal"/>
      </w:pPr>
      <w:r>
        <w:t>b) En cuanto a las normas "de aplicación plena", es evidente que esta categoría no tiene correspondencia en el texto constitucional, a diferencia de lo que sucede con la legislación básica y la referencia a la supletoriedad del Derecho estatal (149.3 C.E.). Por lo que conviene recordar que si al usar de sus facultades legislativas sobre materias de su competencia tanto el Estado como las Comunidades Autónomas han de operar a partir de un determinado entendimiento interpretativo del bloque de la constitucionalidad (STC 214/1988, fundamento jurídico 5º), no es menos cierto que el legislador estatal no puede incidir, con carácter general, en el sistema de delimitación de competencias entre el Estado y las Comunidades Autónomas establecido por la Constitución y los Estatutos de Autonomía sin una expresa previsión constitucional o estatutaria (STC 197/96, fundamento jurídico 21, con cita de las SSTC 76/1983 y 29/1986), que no ha sido formulada en la materia de urbanismo.</w:t>
      </w:r>
    </w:p>
    <w:p w:rsidR="008107C7" w:rsidRDefault="008107C7" w:rsidP="008107C7">
      <w:pPr>
        <w:pStyle w:val="TextoNormal"/>
      </w:pPr>
      <w:r>
        <w:t>Por ello, habrá de estarse, sin fijar cuál sea el sentido y alcance que el legislador ha querido atribuir a las "normas de aplicación plena", a lo establecido en el orden constitucional de competencias. Y, de este modo, hemos de considerar en cada caso las competencias exclusivas invocadas por el propio T.R.L.S. (las reglas 8ª y 18ª del art.  149.1 C.E.)  para determinar, primero, si el precepto de que se trate encuentra o no cobertura en los citados títulos y, segundo, caso de haber sido cuestionado por los recurrentes, si ello impide o cierra toda posibilidad de desarrollo legislativo autonómico en esa materia, en correspondencia con el carácter exclusivo de la competencia estatal, que habilita un mayor grado de desarrollo o intensidad normativa que el que autorizaría una competencia para dictar normas básicas.</w:t>
      </w:r>
    </w:p>
    <w:p w:rsidR="008107C7" w:rsidRDefault="008107C7" w:rsidP="008107C7">
      <w:pPr>
        <w:pStyle w:val="TextoNormal"/>
      </w:pPr>
      <w:r>
        <w:t xml:space="preserve">c) Respecto de la calificación de "aplicación supletoria" a la que se refiere la Disposición final única apartado tercero, debe comenzarse por recordar que, como afirmamos en la STC 147/1991, es preciso "reducir el concepto de supletoriedad a sus correctos términos de función, cuya operatividad corresponde determinar a partir de la norma reguladora del ámbito material en el que se va a aplicar el Derecho supletorio y no desde éste, es decir, como </w:t>
      </w:r>
      <w:r>
        <w:lastRenderedPageBreak/>
        <w:t>función referida al conjunto del ordenamiento jurídico, cuyo valor supletorio debe obtenerse por el aplicador del Derecho a través de las reglas de interpretación pertinentes, incluida la vía analógica, y no ser impuesta directamente por el legislador desde normas especialmente aprobadas con tal exclusivo propósito, para incidir en la reglamentación jurídica de sectores materiales en los que el Estado carece de todo título competencial que justifique dicha reglamentación" (fundamento jurídico 7º).</w:t>
      </w:r>
    </w:p>
    <w:p w:rsidR="008107C7" w:rsidRDefault="008107C7" w:rsidP="008107C7">
      <w:pPr>
        <w:pStyle w:val="TextoNormal"/>
      </w:pPr>
      <w:r>
        <w:t>Ello condujo al Tribunal en aquella Sentencia a "considerar viciadas de incompetencia y, por ello, nulas las normas que el Estado dicte con el único propósito de crear Derecho supletorio del de las Comunidades Autónomas en materias que sean de la exclusiva competencia de éstas, lo cual no es constitucionalmente legítimo cuando todos los Estatutos de Autonomía atribuyen a las Comunidades Autónomas la competencia como exclusiva y en un mismo grado de homogeneidad" (cfr. STC 147/1991, fundamento jurídico 7º).</w:t>
      </w:r>
    </w:p>
    <w:p w:rsidR="008107C7" w:rsidRDefault="008107C7" w:rsidP="008107C7">
      <w:pPr>
        <w:pStyle w:val="TextoNormal"/>
      </w:pPr>
      <w:r>
        <w:t>En esta misma línea, en la STC 118/1996, el Tribunal declaró que: "Si para dictar cualesquiera normas precisa el Estado de un título competencial específico que las justifique, y la supletoriedad no lo es, esa conclusión ha de mantenerse en todo caso.  Por lo tanto, tampoco en las materias en las que el Estado ostenta competencias compartidas puede, excediendo el tenor de los títulos que se las atribuye y penetrando en el ámbito reservado por la Constitución y los Estatutos a las Comunidades Autónomas, producir normas jurídicas meramente supletorias, pues tales normas, al invocar el amparo de una cláusula como la supletoriedad que, por no ser título competencial, no puede dárselo, constituyen una vulneración del orden constitucional de competencias." (fundamento jurídico 6º).</w:t>
      </w:r>
    </w:p>
    <w:p w:rsidR="008107C7" w:rsidRDefault="008107C7" w:rsidP="008107C7">
      <w:pPr>
        <w:pStyle w:val="TextoNormal"/>
      </w:pPr>
      <w:r>
        <w:t>En consecuencia, la "supletoriedad del Derecho estatal ha de ser inferida por el aplicador del Derecho autonómico, mediante el uso de las reglas de interpretación pertinentes" (fundamento jurídico 6º). Por consiguiente, "la cláusula de supletoriedad no permite que el Derecho estatal colme, sin más, la falta de regulación autonómica en una materia. El presupuesto de aplicación de la supletoriedad que la Constitución establece no es la ausencia de regulación, sino la presencia de una laguna detectada como tal por el aplicador del derecho" (fundamento jurídico 8º).</w:t>
      </w:r>
    </w:p>
    <w:p w:rsidR="008107C7" w:rsidRDefault="008107C7" w:rsidP="008107C7">
      <w:pPr>
        <w:pStyle w:val="TextoNormal"/>
      </w:pPr>
      <w:r>
        <w:t>Así las cosas, dado que a partir de los arts. 148 y 149 C.E., todos los Estatutos de Autonomía atribuyen a las Comunidades Autónomas la competencia exclusiva sobre la materia de urbanismo, es evidente que el Estado no puede dictar normas supletorias al carecer de un título competencial específico que así lo legitime, sin que por otra parte el hecho de ostentar otros títulos competenciales susceptibles de incidir sobre la materia pueda justificar la invocación de la cláusula de supletoriedad del art.  149.3, in fine, C.E.</w:t>
      </w:r>
    </w:p>
    <w:p w:rsidR="008107C7" w:rsidRDefault="008107C7" w:rsidP="008107C7">
      <w:pPr>
        <w:pStyle w:val="TextoNormal"/>
      </w:pPr>
      <w:r>
        <w:t>La calificación como normas supletorias, pues, en coherencia con cuanto se ha dicho, es contraria al art. 149.3 C.E., in fine, y al orden constitucional de competencias. En consecuencia, han de ser declarados inconstitucionales tanto el apartado 3º de la Disposición final única como los preceptos así calificados, esto es, todos aquellos que, de conformidad con lo que establece la indicada Disposición, no tienen carácter de norma básica ni de aplicación plena.</w:t>
      </w:r>
    </w:p>
    <w:p w:rsidR="008107C7" w:rsidRDefault="008107C7" w:rsidP="008107C7">
      <w:pPr>
        <w:pStyle w:val="TextoNormal"/>
      </w:pPr>
      <w:r>
        <w:t>Es de apreciar, en fin, que la imposibilidad de dictar normas supletorias con tal exclusivo propósito allí donde el Estado carece de competencias sobre la materia, como en el caso del urbanismo, trae también como consecuencia que la refundición de textos legales no sea la técnica legislativa más adecuada en manos del legislador estatal, puesto que, a menos que tal refundición se circunscriba a aquellos textos legales o normas sobre las que el Estado sí ostente algún título, incurriría en vicio de incompetencia. En el caso del T.R.L.S., además, se ha perseguido llevar a cabo la refundición de textos legales anteriores a la Constitución -</w:t>
      </w:r>
      <w:r>
        <w:lastRenderedPageBreak/>
        <w:t>con una pretensión evidentemente codificadora merced a un entendimiento de la supletoriedad como título atributivo-, siendo así que tras su promulgación, la materia ha sido atribuida sustancialmente a las Comunidades Autónomas. Como es obvio, la delegación legislativa debe ser igualmente respetuosa con el orden constitucional de competencias.</w:t>
      </w:r>
    </w:p>
    <w:p w:rsidR="008107C7" w:rsidRDefault="008107C7" w:rsidP="008107C7">
      <w:pPr>
        <w:pStyle w:val="TextoNormal"/>
      </w:pPr>
      <w:r>
        <w:t>d) La declaración de inconstitucionalidad del apartado tercero de la Disposición final única, así como de las propias disposiciones por ella concernidas, en aplicación de nuestra doctrina sobre la cláusula de supletoriedad, debe conducir a la declaración de la inconstitucionalidad por consecuencia (art.  39.1 LOTC) del apartado primero de la Disposición derogatoria única.</w:t>
      </w:r>
    </w:p>
    <w:p w:rsidR="008107C7" w:rsidRDefault="008107C7" w:rsidP="008107C7">
      <w:pPr>
        <w:pStyle w:val="TextoNormal"/>
      </w:pPr>
      <w:r>
        <w:t>Si, como hemos señalado, la cláusula de supletoriedad no es una fuente atributiva, en positivo, de competencias estatales, ni aun con carácter supletorio, tampoco puede serlo en negativo; es decir, tampoco puede ser un título que le permita al Estado derogar el que era su propio Derecho, en este caso sobre urbanismo, pero que ya ha dejado de serlo o, más exactamente, que ya no se encuentra a su disposición, ya sea para alterarlo (aun con eficacia supletoria) o para derogarlo. De otro modo, si el legislador estatal suprimiese, mediante su derogación, el derecho sobre una materia cuya competencia ya no es suya, sino de las Comunidades Autónomas, vendría a quebrantar una de las finalidades básicas de la cláusula de supletoriedad, cual es la de que, con la constitución de los órganos de poder de las Comunidades Autónomas, y su correspondiente asunción de competencias normativas, no se origine un vacío parcial del ordenamiento, permitiendo y prescribiendo, con este propósito, la aplicación supletoria, potencialmente indefinida, del ordenamiento estatal.</w:t>
      </w:r>
    </w:p>
    <w:p w:rsidR="008107C7" w:rsidRDefault="008107C7" w:rsidP="008107C7">
      <w:pPr>
        <w:pStyle w:val="TextoNormal"/>
      </w:pPr>
      <w:r>
        <w:t>En el caso que nos ocupa, como se ha declarado, el T.R.L.S.  ha alterado el sentido propio de la cláusula de supletoriedad, habiendo venido a efectuarlo mediante dos operaciones, que sin embargo van inescindiblemente unidas: De una parte, alterando la legislación urbanística previa a la constitución de los órganos de poder de las Comunidades Autónomas, aun cuando fuera con eficacia supletoria, sobre la que ya carecía de competencia; de otra parte, derogando, no solo de forma tácita sino también de forma expresa (Disposición derogatoria única, apartado primero, T.R.L.S.), dicha legislación urbanística previa. La consecuencia de todo ello, a nuestros efectos, no es sino la de que, una vez declarada la ilegitimidad de la legislación supletoria sobre urbanismo llevada a cabo por el Estado con apoyo en una comprensión errada de la supletoriedad, debamos, al mismo tiempo, declarar nula y sin efecto la simultánea derogación expresa de la legislación urbanística previa a la constitución de los órganos de poder de todas las Comunidades Autónomas llevada a cabo por el legislador estatal. De no hacerlo así, es decir, si nos limitásemos a la declaración de nulidad del citado apartado tercero de la Disposición final única, vendríamos a ocasionar, por obra de nuestra propia Sentencia, un resultado contrario al señalado sentido de la cláusula de supletoriedad establecida en el inciso tercero del art. 149.3. C.E.</w:t>
      </w:r>
    </w:p>
    <w:p w:rsidR="008107C7" w:rsidRDefault="008107C7" w:rsidP="008107C7">
      <w:pPr>
        <w:pStyle w:val="TextoNormal"/>
      </w:pPr>
      <w:r>
        <w:t>De acuerdo, por tanto, con lo anterior, procede declarar la inconstitucionalidad por consecuencia del apartado primero de la Disposición derogatoria única, con la sola excepción del inciso final "y la Ley 8/1990, de 25 de julio, sobre Reforma del Régimen Urbanístico y Valoraciones del Suelo", en la medida en que dichas disposiciones no se extiendan a materias sobre las que el Estado no ostente competencias, y sin perjuicio del efecto derogatorio tácito que puedan desplegar las disposiciones del T.R.L.S. dictadas por el Estado en el marco de sus competencias.</w:t>
      </w:r>
    </w:p>
    <w:p w:rsidR="008107C7" w:rsidRDefault="008107C7" w:rsidP="008107C7">
      <w:pPr>
        <w:pStyle w:val="TextoNormal"/>
      </w:pPr>
    </w:p>
    <w:p w:rsidR="008107C7" w:rsidRDefault="008107C7" w:rsidP="008107C7">
      <w:pPr>
        <w:pStyle w:val="TextoNormal"/>
      </w:pPr>
      <w:r w:rsidRPr="008107C7">
        <w:rPr>
          <w:rStyle w:val="NumeroAFNegritaCaracter"/>
        </w:rPr>
        <w:t>13</w:t>
      </w:r>
      <w:r>
        <w:t xml:space="preserve">. Finalmente, antes de entrar en el enjuiciamiento de cada una de las impugnaciones, resulta oportuno hacer una precisión acerca de las alegaciones de los comparecientes. Como </w:t>
      </w:r>
      <w:r>
        <w:lastRenderedPageBreak/>
        <w:t>se desprende de la compleja materia regulada por el T.R.L.S., no es siempre posible diseccionar con claridad cuál sea la materia o materias que, a efectos competenciales, subyace a cada precepto impugnado -y es éste un tema debatido en ocasiones por los propios comparecientes-, máxime cuando la Disposición Final Única del T.R.L.S. no ha concretado el título que es de aplicación a cada precepto. No obstante lo cual, son los recurrentes los obligados a suplir la falta de concreción o, en su caso, de técnica legislativa, asumiendo la carga argumental de demostrar por qué el precepto impugnado no queda amparado por ninguno de los títulos competenciales del art.  149.1 C.E. invocados por el Estado.</w:t>
      </w:r>
    </w:p>
    <w:p w:rsidR="008107C7" w:rsidRDefault="008107C7" w:rsidP="008107C7">
      <w:pPr>
        <w:pStyle w:val="TextoNormal"/>
      </w:pPr>
      <w:r>
        <w:t>No bastaría, pues, con que el recurso se limitara a hacer afirmaciones de principio y de carácter abstracto sobre un conjunto de títulos competenciales para luego concluir que el o los preceptos en cuestión no responden a la tesis previamente sustentada, sin nexo argumental alguno. En tal hipótesis, podría tenerse incluso por no impugnado el precepto de que se trate.</w:t>
      </w:r>
    </w:p>
    <w:p w:rsidR="008107C7" w:rsidRDefault="008107C7" w:rsidP="008107C7">
      <w:pPr>
        <w:pStyle w:val="TextoNormal"/>
      </w:pPr>
      <w:r>
        <w:t>Ya tempranamente tuvimos ocasión de afirmar que la impugnación de una norma "debe hacerse aportando un análisis y una argumentación consistente.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susciten.  Es justo, pues, hablar... de una carga del recurrente y en los casos en que aquélla no se observe, de una falta de diligencia procesalmente exigible, que es la diligencia de ofrecer la fundamentación que razonablemente es de esperar" (STC 11/1981, fundamento jurídico 3º). Ello supone que "no debe estimarse una pretensión que sólo descansa en la mera aseveración genérica de la pretendida inconstitucionalidad" (STC 43/1996, fundamento jurídico 3º).</w:t>
      </w:r>
    </w:p>
    <w:p w:rsidR="008107C7" w:rsidRDefault="008107C7" w:rsidP="008107C7">
      <w:pPr>
        <w:pStyle w:val="TextoNormal"/>
      </w:pPr>
      <w:r>
        <w:t>Doctrina que también debe observarse, según reiterada jurisprudencia, en los recursos de inconstitucionalidad que encierran una controversia competencial, puesto que "no puede este Tribunal razonar en abstracto cuando el proceso constitucional atiende a controversias fundadas en una vindicatio potestatis porque entonces la carga del actor de pormenorizar el despojo competencial que denuncia es, si cabe, mayor que en otros procesos" (STC 43/1996, fundamento jurídico 3º). No obstante lo cual, y como añadíamos en la misma STC 11/1981 y es doctrina reiterada (SSTC 149/1991, fundamento jurídico 4º, b y h; 43/1996, fundamento jurídico 3º, entre otras), compete al Tribunal la función de depurar el ordenamiento jurídico y, por consiguiente, no rige de manera completa el principio dispositivo. La causa petendi de la acción de inconstitucionalidad es un título formal pero es también la argumentación a través de la cual el recurrente sostiene su razón. Por ello, el Tribunal cuando la fundamentación jurídica sea manifiestamente insuficiente para conocer la razón de la pretendida inconstitucionalidad, podrá rechazar la acción en aquello en que se encuentre insuficientemente fundada o para examinar el fondo del asunto si encuentra razones para ello (STC 11/1981, fundamento jurídico 3º). Y, más en concreto, en relación con las bases estatales, este Tribunal tiene declarado que "el juicio sobre el alcance de las bases tiene una naturaleza eminentemente jurídica, lo que impide descalificaciones globales imprecisas, exigiendo, por el contrario, la fundamentación concreta de por qué en cada caso debe entenderse vulnerado el bloque de la constitucionalidad" (STC 132/1989, fundamento jurídico 23).</w:t>
      </w:r>
    </w:p>
    <w:p w:rsidR="008107C7" w:rsidRDefault="008107C7" w:rsidP="008107C7">
      <w:pPr>
        <w:pStyle w:val="TextoNormal"/>
      </w:pPr>
      <w:r>
        <w:t>D) TÍTULO PRELIMINAR DEL T.R.L.S.:</w:t>
      </w:r>
    </w:p>
    <w:p w:rsidR="008107C7" w:rsidRDefault="008107C7" w:rsidP="008107C7">
      <w:pPr>
        <w:pStyle w:val="TextoNormal"/>
      </w:pPr>
      <w:r>
        <w:t>"Objeto y finalidades de la Ley"</w:t>
      </w:r>
    </w:p>
    <w:p w:rsidR="008107C7" w:rsidRDefault="008107C7" w:rsidP="008107C7">
      <w:pPr>
        <w:pStyle w:val="TextoNormal"/>
      </w:pPr>
    </w:p>
    <w:p w:rsidR="008107C7" w:rsidRDefault="008107C7" w:rsidP="008107C7">
      <w:pPr>
        <w:pStyle w:val="TextoNormal"/>
      </w:pPr>
      <w:r w:rsidRPr="008107C7">
        <w:rPr>
          <w:rStyle w:val="NumeroAFNegritaCaracter"/>
        </w:rPr>
        <w:t>14</w:t>
      </w:r>
      <w:r>
        <w:t>. [Arts. 3.1, 3.2.c) y 4.1.].</w:t>
      </w:r>
    </w:p>
    <w:p w:rsidR="008107C7" w:rsidRDefault="008107C7" w:rsidP="008107C7">
      <w:pPr>
        <w:pStyle w:val="TextoNormal"/>
      </w:pPr>
      <w:r>
        <w:lastRenderedPageBreak/>
        <w:t>La Generalidad de Cataluña impugna los arts. 3.1, 3.2 c) y 4.1 del Texto Refundido bajo el reproche común de regular materia que es propiamente urbanística y, por tanto de la competencia exclusiva de la Generalidad, así como por su directa conexión con los preceptos de la Ley 8/90 que se indican.  Con carácter genérico extiende a un numeroso grupo de preceptos del T.R.L.S.  [(3.1; 3.2 c); 4.1; 27.2 y 4; 31.1; 39; 59.1 y 2; 65.1, entre otros], de los que nos ocuparemos más adelante, la misma queja de que más que "incidir" sobre las materias que regulan desde los títulos competenciales estatales, "regulan" algo que pertenece a la exclusiva competencia urbanística, excediendo de la función propia de las bases, que es la de fijar un marco o unos principios orientadores para su posterior desarrollo normativo autonómico, e incurriendo además en una sustitución competencial al atraer hacia el Estado con carácter pleno o exclusivo una competencia que pertenece exclusivamente a las Comunidades Autónomas, resultado al que se llega por una interpretación extensiva de los títulos estatales invocados en detrimento de un título propio y más específico cual es el urbanismo. A ello se añade -según se afirma en las alegaciones- que el Estado parece confundir la invocación de principios constitucionales con la creación de títulos competenciales, de un lado, y las normas básicas con normas meramente declarativas, en blanco o imperativas, aunque mero trasunto de mandatos constitucionales dirigidos a todos los poderes públicos, de otro. Ha de notarse, sin embargo, que este reproche no ha sido siempre ulteriormente concretado frente a cada precepto impugnado o provisto de mayores razonamientos, lo que podría traer como consecuencia que, por falta de contenido argumental, se tuviera por no impugnado, como hemos dicho anteriormente.</w:t>
      </w:r>
    </w:p>
    <w:p w:rsidR="008107C7" w:rsidRDefault="008107C7" w:rsidP="008107C7">
      <w:pPr>
        <w:pStyle w:val="TextoNormal"/>
      </w:pPr>
      <w:r>
        <w:t>En particular, se imputa a los arts. 3.1 (que lleva por rúbrica "Finalidades y atribuciones de la acción urbanística"), 3.2 c) (sobre las facultades comprendidas en la competencia urbanística de planeamiento) y 4.1 T.R.L.S.  (sobre dirección de la gestión urbanística) que no pueden ser calificados como básicos ya que su finalidad es propiamente urbanística al igual que la materia en ellos regulada, con lo que se invade la competencia exclusiva de la Generalidad de Cataluña sobre ordenación del territorio, urbanismo y vivienda atribuida en el art. 9.9 E.A.C.</w:t>
      </w:r>
    </w:p>
    <w:p w:rsidR="008107C7" w:rsidRDefault="008107C7" w:rsidP="008107C7">
      <w:pPr>
        <w:pStyle w:val="TextoNormal"/>
      </w:pPr>
      <w:r>
        <w:t>a) Respecto del art. 3.1 del Texto Refundido, según el cual la acción urbanística sobre el régimen del suelo atenderá, entre otras, a las tres finalidades que reseña, el Abogado del Estado alega que éstas concretan cuanto disponen los arts. 33.2 y 47 C.E.  y se amparan en los arts. 149.1.1º y 18º C.E.</w:t>
      </w:r>
    </w:p>
    <w:p w:rsidR="008107C7" w:rsidRDefault="008107C7" w:rsidP="008107C7">
      <w:pPr>
        <w:pStyle w:val="TextoNormal"/>
      </w:pPr>
      <w:r>
        <w:t xml:space="preserve">El precepto impugnado, no obstante la literalidad de su título o rúbrica ("finalidades... de la acción urbanística"), no tiene como designio el de señalar concretos fines a cuya consecución deban enderezarse las políticas urbanísticas. El art.  3.1 T.R.L.S. no condiciona ni impone al legislador autonómico un determinado modelo territorial y urbanístico, operación ésta que no sería posible en términos competenciales. Su real contenido normativo no es otro que el de establecer los presupuestos o premisas desde los que pretende abordarse el primero de los objetos de la regulación legal - el régimen urbanístico de la propiedad del suelo- (el segundo es la actividad administrativa en materia de urbanismo o "acción urbanística"). Ha de añadirse que al plasmar tales presupuestos el T.R.L.S. tiene en cuenta los mandatos constitucionales que para el derecho de propiedad del suelo resultan de los arts. 33.2, 47, 128.1 de la C.E., mandatos sustantivos que obligan a todos los poderes públicos, siendo de notar que el art. 3.1b) T.R.L.S. ("Impedir la desigual atribución de los beneficios y cargas del planeamiento entre los propietarios afectados e imponer la justa distribución de los mismos"), atiende al elemento teleológico que inspira el art.  149.1.1º C.E., al establecer las condiciones básicas que garantizan la igualdad en el ejercicio de los derechos de los diversos propietarios de suelo frente a los diversos aprovechamientos urbanísticos que el </w:t>
      </w:r>
      <w:r>
        <w:lastRenderedPageBreak/>
        <w:t>planeamiento -en cuanto técnica a la que es inherente tal desigualdad- pueda asignar a los terrenos incluidos en el ámbito ordenado por aquél. El apartado c) del art. 3.1 T.R.L.S. ("asegurar la participación de la comunidad en las plusvalías que genere la acción urbanística de los entes públicos.") no hace sino reproducir, casi literalmente, lo que dispone el párrafo segundo del art. 47 C.E.  Por su parte, el apartado a) del art. 3.1 T.R.L.S. ("procurar que el suelo se utilice en congruencia con la utilidad pública y la función social de la propiedad, garantizando el cumplimiento de las obligaciones y cargas derivadas de la misma.") expresa la idea que subyace al art. 33.2 C.E. y al art. 128.1 C.E. El art.  149.1.1º C.E., único título competencial que aquí puede invocar válidamente el Estado, autoriza, a efectuar una regulación como la que se contiene en el art. 3.1 T.R.L.S. No puede, pues, en cuanto a este precepto, acogerse la impugnación formulada por la Generalidad de Cataluña.</w:t>
      </w:r>
    </w:p>
    <w:p w:rsidR="008107C7" w:rsidRDefault="008107C7" w:rsidP="008107C7">
      <w:pPr>
        <w:pStyle w:val="TextoNormal"/>
      </w:pPr>
      <w:r>
        <w:t>b) Al art. 3.2c) T.R.L.S., impugnado por la Generalidad de Cataluña y por la Comunidad Autónoma de las Islas Baleares, se le reprocha que su contenido material, en cuanto establece la división del territorio municipal en áreas de suelo urbano, urbanizable o, en su caso, apto para urbanizar, y no urbanizable, o clases equivalentes establecidas por la legislación autonómica, se encuadra perfectamente en la competencia de urbanismo y ordenación del territorio y su contenido no puede quedar salvado por la expresión final "o clases equivalentes establecidas por la legislación autonómica".</w:t>
      </w:r>
    </w:p>
    <w:p w:rsidR="008107C7" w:rsidRDefault="008107C7" w:rsidP="008107C7">
      <w:pPr>
        <w:pStyle w:val="TextoNormal"/>
      </w:pPr>
      <w:r>
        <w:t>El art. 3.2c) T.R.L.S. admite una diversa clasificación del suelo por parte del legislador autonómico, aunque exige equivalencia en las clasificaciones, dado que, como alega el Abogado del Estado, tal equivalencia es condición básica para la igualdad en los derechos y deberes inherentes a la propiedad urbanística (art. 149.1.1º C.E.). Lo que el precepto establece, en efecto, no es más que el presupuesto de la misma propiedad del suelo, fijando tres posibles clasificaciones, de las que se derivará un régimen jurídico también distinto. Sin esta clasificación previa que, como hemos afirmado, encaja en el art.  149.1.1º C.E., no sería posible regular condición básica alguna del ejercicio del derecho de propiedad urbana que aquel precepto reserva al Estado, puesto que constituye la premisa, a partir de la cual se fijan tales condiciones básicas.  Cabe añadir que la citada clasificación constituye también el presupuesto lógico- jurídico para la aplicación del entero sistema de valoraciones a efectos indemnizatorios, por lo que entronca con la determinación del presupuesto de hecho que permita el ejercicio de la competencia estatal en la materia (art. 149.1.18º C.E.). Ha de rechazarse, en consecuencia, la impugnación dirigida contra el art. 3.2c) T.R.L.S. en cuanto que esta clasificación no implica la prefiguración por el legislador estatal de modelo urbanístico alguno, pues el único contenido imperativo del precepto consiste en deferir al titular de la potestad de planeamiento la división del ámbito territorial municipal en todas o algunas de las siguientes hipótesis básicas: suelo consolidado urbanísticamente, suelo apto para el proceso urbanizador y suelo preservado de tal proceso; supuestos básicos a los solos efectos de anudar determinadas facultades dominicales y unos criterios de valoración a su vez básicos del derecho de propiedad urbana. Como luego habrá ocasión de explicitar respecto del art. 9.1 T.R.L.S., la referencia a tales categorías no puede implicar la predeterminación de un concreto modelo urbanístico y territorial.  En virtud de cuanto antecede, debe afirmarse que el precepto impugnado tiene su apoyo en el art. 149.1.1º C.E.</w:t>
      </w:r>
    </w:p>
    <w:p w:rsidR="008107C7" w:rsidRDefault="008107C7" w:rsidP="008107C7">
      <w:pPr>
        <w:pStyle w:val="TextoNormal"/>
      </w:pPr>
      <w:r>
        <w:t>c) El art. 4.1 establece que la dirección y control de la gestión urbanística corresponde, en todo caso, a la Administración urbanística competente.</w:t>
      </w:r>
    </w:p>
    <w:p w:rsidR="008107C7" w:rsidRDefault="008107C7" w:rsidP="008107C7">
      <w:pPr>
        <w:pStyle w:val="TextoNormal"/>
      </w:pPr>
      <w:r>
        <w:t>Aunque, en esta sede, no se ha proporcionado ningún argumento específico, debe señalarse que la expresión "Administración urbanística competente" que contiene el precepto entraña un reenvío a los respectivos criterios competenciales y, en tal sentido, no es suscep</w:t>
      </w:r>
      <w:r>
        <w:lastRenderedPageBreak/>
        <w:t>tible de incidir sobre el orden constitucional de competencias. Lo que, en cambio, cabe derivar del art. 4.1 con carácter imperativo es el principio de que la dirección y control de la gestión urbanística queda sustraido al mecanismo del mercado y corresponde, "en todo caso", a la Administración competente. La dirección y control de la ejecución -cuyo alcance y contenido no son definidos por el precepto- es siempre, pues, una actividad pública, dado que la transformación de suelo a través de la urbanización se configura como una obra pública, sin perjuicio de que, como establece el art.  4.2, dicha gestión pueda ser asumida directamente por la propia Administración o encomendada a la iniciativa privada o a entidades mixtas.</w:t>
      </w:r>
    </w:p>
    <w:p w:rsidR="008107C7" w:rsidRDefault="008107C7" w:rsidP="008107C7">
      <w:pPr>
        <w:pStyle w:val="TextoNormal"/>
      </w:pPr>
      <w:r>
        <w:t>Este principio básico por el que ha optado el legislador estatal conecta inmediatamente con el derecho de propiedad (art.  33 C.E.)  y la libertad de empresa (art. 38 C.E.), con sus respectivos ámbitos materiales (bienes susceptibles de apropiación y actividades que puedan ser explotadas económica o empresarialmente), sustrayendo la dirección y el control del proceso urbanizador de la iniciativa privada. Es obvia la estrecha relación que un principio así enunciado guarda con el derecho de propiedad urbana -que está subordinado a que se cumplan los presupuestos de la legislación urbanística- y con la libertad de empresa, en cuanto supone igualmente una limitación de su ámbito material, puesto que la última palabra sobre la gestión urbanística queda sustraída a la libre decisión del empresario. Entendido, pues, en el sentido de que la asignación de usos al suelo queda sustraída al mecanismo de mercado y a la decisión del propietario resulta evidente su cobertura bajo el título que descansa en el art.  149.1.1º C.E. Desde tal perspectiva, este principio conecta por otra parte con el mandato inexcusable derivado del art.  47 C.E. en cuya virtud corresponde a los poderes públicos, y sólo a ellos, la regulación o normación de la utilización del suelo de acuerdo con el interés general, a través de la ley y, por su remisión, al planeamiento.</w:t>
      </w:r>
    </w:p>
    <w:p w:rsidR="008107C7" w:rsidRDefault="008107C7" w:rsidP="008107C7">
      <w:pPr>
        <w:pStyle w:val="TextoNormal"/>
      </w:pPr>
      <w:r>
        <w:t>E) TÍTULO I DEL T.R.L.S.: "Régimen urbanístico de la propiedad del suelo"</w:t>
      </w:r>
    </w:p>
    <w:p w:rsidR="008107C7" w:rsidRDefault="008107C7" w:rsidP="008107C7">
      <w:pPr>
        <w:pStyle w:val="TextoNormal"/>
      </w:pPr>
    </w:p>
    <w:p w:rsidR="008107C7" w:rsidRDefault="008107C7" w:rsidP="008107C7">
      <w:pPr>
        <w:pStyle w:val="TextoNormal"/>
      </w:pPr>
      <w:r w:rsidRPr="008107C7">
        <w:rPr>
          <w:rStyle w:val="NumeroAFNegritaCaracter"/>
        </w:rPr>
        <w:t>15</w:t>
      </w:r>
      <w:r>
        <w:t>. (Capítulo Primero, "Disposiciones generales": arts. 9.1 y 11.4).</w:t>
      </w:r>
    </w:p>
    <w:p w:rsidR="008107C7" w:rsidRDefault="008107C7" w:rsidP="008107C7">
      <w:pPr>
        <w:pStyle w:val="TextoNormal"/>
      </w:pPr>
      <w:r>
        <w:t>a) El motivo de impugnación alegado contra el art. 9.1 por la Comunidad Autónoma de las Islas Baleares, al establecer la clasificación del suelo, no es más que un correlato de cuanto dispone el art. 3.2c), en cuya conexión ha sido impugnado, y ha de ser igualmente rechazado en virtud de los mismos argumentos allí expresados, siempre que se entienda que los conceptos son instrumentales y al servicio de las condiciones básicas del derecho de propiedad urbana, sin que de su tenor literal quepa inferir una concreta configuración o desarrollo de un modelo urbanístico específico. No ha de olvidarse, en efecto, que las condiciones básicas a que se refiere el art.  149.1.1º C.E.  expresan en última instancia una cierta concepción del derecho de propiedad que, por lo que aquí interesa, se resuelve en la determinación, con carácter meramente instrumental y como presupuesto mismo de la propiedad urbana, de las diversas clases de suelo. Bajo este perfil, el art. 9.1 T.R.L.S. dispone tan sólo la existencia de tres supuestos básicos por relación con el derecho de propiedad urbana, a fin de distinguir otros tantos regímenes jurídicos fundamentales: suelo en el que no puede darse esta forma de propiedad (delimitación negativa); suelo en el que sí puede establecerse y, por tanto, se encuentra abierto a un proceso de adquisición; y, en fin, suelo en el que ya se ha consolidado su existencia. Estas hipótesis, por lo demás, no son sino consecuencia necesaria del carácter artificial de esta manifestación del dominio, en cuanto producto histórico del hombre, con las peculiaridades que ello entraña. En efecto, el régimen jurídico de la propiedad del suelo, desde la perspectiva urbanizadora (exclusión; proceso de creación; régimen de consolidación), plantea problemas específicos, que pueden requerir un trata</w:t>
      </w:r>
      <w:r>
        <w:lastRenderedPageBreak/>
        <w:t>miento jurídico también propio, según el supuesto de que se trate. La mera distinción operada por el precepto es, pues, compatible con el orden constitucional de distribución de competencias.</w:t>
      </w:r>
    </w:p>
    <w:p w:rsidR="008107C7" w:rsidRDefault="008107C7" w:rsidP="008107C7">
      <w:pPr>
        <w:pStyle w:val="TextoNormal"/>
      </w:pPr>
      <w:r>
        <w:t>b) El art. 11.4 dispone que "en todo caso, a efectos de la valoración del suelo, supuestos expropiatorios y obtención de terrenos dotacionales, el suelo apto para urbanizar se equipara al suelo urbanizable programado". El Gobierno balear opone a este precepto dos motivos de inconstitucionalidad: el primero, que representa un exceso en el uso de la delegación, por cuanto al equiparar ambas clases de suelo lo hace con carácter de generalidad, excediendo con ello el alcance refundidor ordenado por la Disposición final segunda de la Ley 8/1990, si se tiene en cuenta que el párrafo segundo del apartado 3 de su Disposición adicional primera establece que en los municipios en que no se aplique la Ley 8/1990 con carácter general y sólo en éstos el suelo apto para urbanizar se asimilará al urbanizable programado y, aun en tal caso, únicamente a los efectos de lo establecido en los arts. 12 y 66 de la misma Ley, es decir, sólamente para la adquisición y ejercicio del derecho a urbanizar y para la valoración del suelo. El segundo, que el Estado carece de título competencial para otorgarle carácter básico.</w:t>
      </w:r>
    </w:p>
    <w:p w:rsidR="008107C7" w:rsidRDefault="008107C7" w:rsidP="008107C7">
      <w:pPr>
        <w:pStyle w:val="TextoNormal"/>
      </w:pPr>
      <w:r>
        <w:t>En cuanto al primer motivo de inconstitucionalidad, ha de acogerse la alegación de la representación estatal según la cual el art. 11.4 T.R.L.S. no ha sido impugnado autónomamente en punto al exceso de delegación, sino sólo la Disposición final única del Texto Refundido, que es la que atribuye a los preceptos legales carácter básico, de aplicación plena o supletoria, como así lo demuestra el petitum de la demanda. Por lo tanto, sólo cabe discutir si el art. 11.4 T.R.L.S. ha sido declarado básico con respeto del orden constitucional de competencias.</w:t>
      </w:r>
    </w:p>
    <w:p w:rsidR="008107C7" w:rsidRDefault="008107C7" w:rsidP="008107C7">
      <w:pPr>
        <w:pStyle w:val="TextoNormal"/>
      </w:pPr>
      <w:r>
        <w:t>Centrada así la cuestión, debe prosperar la impugnación deducida contra este precepto, puesto que, por contraste con lo establecido por el art. 9.1 T.R.L.S., el art. 11.4 T.R.L.S. no se limita a enunciar los grandes supuestos en que pueda encontrarse el suelo a efectos de anudarle, por referencia, unas condiciones básicas de ejercicio del derecho de propiedad, sino que, como se desprende de su tenor literal, determina una asimilación entre dos clases de suelo, el apto para urbanizar por normas subsidiarias y el urbanizable programado, en relación con las causas de expropiación, de valoración del suelo y de obtención de terrenos dotacionales. El presupuesto de hecho (las categorías mismas del suelo programado y los instrumentos del planeamiento utilizables) puede existir o no, de acuerdo con la libre decisión del legislador autonómico. A ello se añade que algunas de las consecuencias jurídicas a las que hace mención -obtención de terrenos dotacionales y supuestos expropiatorios, salvo los que se refieran al incumplimiento de las condiciones básicas- tampoco son de la competencia estatal.</w:t>
      </w:r>
    </w:p>
    <w:p w:rsidR="008107C7" w:rsidRDefault="008107C7" w:rsidP="008107C7">
      <w:pPr>
        <w:pStyle w:val="TextoNormal"/>
      </w:pPr>
      <w:r>
        <w:t xml:space="preserve">Clases de suelo e instrumentos de planeamiento -apto para urbanizar por normas subsidiarias, y urbanizable programado- que no son sino expresión de una mera opción de la política urbanística y para cuya configuración o enunciado carece de título competencial el Estado. De este modo y al mismo tiempo, prefigura, siquiera sea indirectamente, un concreto modelo urbanístico. Es cierto, desde luego, que el legislador estatal, por virtud de las competencias reconocidas en las reglas 1ª y 18ª del art.  149.1 C.E., puede determinar la aplicación y equiparación de ciertos criterios de valoración según el estado en que se encuentre el proceso de urbanización, pero, nótese bien, en sus líneas generales, sin pretensiones definitorias, y al simple objeto de fijar algunas de las consecuencias jurídicas que pueden llevar aparejados, como hace el art.  9.1 T.R.L.S.. Por lo demás, nuestra declaración de inconstitucionalidad en nada cambia por el hecho de que el art. 1.1 del Decreto-ley 5/1996, de 7 de junio, al que ya nos hemos referido en el fundamento jurídico 3º, haya suprimido la </w:t>
      </w:r>
      <w:r>
        <w:lastRenderedPageBreak/>
        <w:t>subdivisión entre suelo programado y no programado, refundiéndola en una sola clase de suelo urbanizable.</w:t>
      </w:r>
    </w:p>
    <w:p w:rsidR="008107C7" w:rsidRDefault="008107C7" w:rsidP="008107C7">
      <w:pPr>
        <w:pStyle w:val="TextoNormal"/>
      </w:pPr>
    </w:p>
    <w:p w:rsidR="008107C7" w:rsidRDefault="008107C7" w:rsidP="008107C7">
      <w:pPr>
        <w:pStyle w:val="TextoNormal"/>
      </w:pPr>
      <w:r w:rsidRPr="008107C7">
        <w:rPr>
          <w:rStyle w:val="NumeroAFNegritaCaracter"/>
        </w:rPr>
        <w:t>16</w:t>
      </w:r>
      <w:r>
        <w:t>. (Título I, Capítulo Segundo, "Régimen del suelo no urbanizable y urbanizable no programado": arts. 15, 16.1º y 2º, y 17).</w:t>
      </w:r>
    </w:p>
    <w:p w:rsidR="008107C7" w:rsidRDefault="008107C7" w:rsidP="008107C7">
      <w:pPr>
        <w:pStyle w:val="TextoNormal"/>
      </w:pPr>
      <w:r>
        <w:t>La Generalidad de Cataluña impugna los arts. 15, 16.2 y 17 del Texto Refundido; la Diputación de Aragón y la Comunidad Autónoma de las Islas Baleares impugnan esos mismos preceptos y además el art. 16.1, relativos todos ellos al régimen del suelo no urbanizable que, como acertadamente recuerdan los recurrentes, aparecen vinculados, en el Preámbulo de la Ley 8/1990 (en relación con los entonces arts. 5, 6 y 7, ahora reproducidos en los artículos indicados del Texto Refundido), al art. 149.1.23º C.E., lo que permite a los recurrentes centrar su argumentación en torno a la pretendida falta de cobertura de tales preceptos a la luz del citado título estatal. La Generalidad de Cataluña (recurso núm. 2.481/90) afirma que estas normas tienen por objeto determinar el régimen de utilización de cada tipo de suelo -en este caso, el no urbanizable-, lo cual constituye la facultad esencial que integra la competencia en materia de urbanismo, como afirmara la STC 77/1984, y supone un título más específico frente al que no debe prosperar el art. 149.1.23º C.E., precepto que permite al legislador estatal dictar normas de obligada aplicación que aseguren un mínimo de protección de los elementos naturales, pero que no puede ser utilizado para establecer el régimen de usos del suelo, por ser éste un aspecto propio de la legislación urbanística, argumentos en los que abundará la Comunidad Autónoma de las Islas Baleares. Por su parte, la Diputación General de Aragón entiende que no es posible equiparar "régimen del suelo no urbanizable" y "medio ambiente", salvo que se extralimite el sentido normativo del art. 149.1.23º C.E. Por el contrario, concluye, lo dispuesto en los artículos impugnados -el régimen del suelo no urbanizable- encaja plenamente en la ordenación del territorio, materia más amplia y comprensiva que el urbanismo y atribuida a la competencia exclusiva de las Comunidades Autónomas (art. 148.1.3º C.E.).</w:t>
      </w:r>
    </w:p>
    <w:p w:rsidR="008107C7" w:rsidRDefault="008107C7" w:rsidP="008107C7">
      <w:pPr>
        <w:pStyle w:val="TextoNormal"/>
      </w:pPr>
      <w:r>
        <w:t>Ha de notarse, en primer término, que los preceptos impugnados, relativos al régimen del suelo no urbanizable, no persiguen establecer directamente determinaciones de carácter material ni positivo en esa clase de suelo, es decir, y por utilizar las palabras, sin pretensiones dogmáticas de la STC 77/1984 (fundamento jurídico 2º) y que invocan los recurrentes, tales preceptos no tienen por objeto inmediato "la delimitación de los diversos usos a que pueda destinarse el suelo o espacio físico territorial", ni ejercer la competencia de ordenación del territorio (art. 148.1.3º C.E.), si bien es cierto que inciden en su configuración, señaladamente por vía negativa o de prohibición (arts. 15 y 16). Es claro que delimitar los diversos usos a que puede destinarse el suelo o espacio físico constituye uno de los aspectos básicos del urbanismo y, en términos más generales, de la ordenación del territorio, pero ello no puede significar, en el plano competencial, que cualquier norma que incida sobre el territorio, siquiera sea de forma mediata o negativa, tenga que quedar subsumida en la competencia autonómica sobre ordenación del territorio, puesto que ello supondría atribuirle un alcance tan amplio que desconocería el contenido específico de otros muchos títulos competenciales, no sólo del Estado, máxime si tenemos en cuenta que la mayor parte de las políticas sectoriales tienen una incidencia o dimensión espacial.</w:t>
      </w:r>
    </w:p>
    <w:p w:rsidR="008107C7" w:rsidRDefault="008107C7" w:rsidP="008107C7">
      <w:pPr>
        <w:pStyle w:val="TextoNormal"/>
      </w:pPr>
      <w:r>
        <w:t xml:space="preserve">La explícita invocación del art. 149.1.23º C.E. que realizara el Preámbulo de la Ley 8/1990, como hemos señalado, permite analizar directamente los preceptos impugnados a la luz del citado título competencial. En una primera aproximación, esa invocación resulta altamente imprecisa e insuficiente, puesto que no queda claro cómo la legislación básica </w:t>
      </w:r>
      <w:r>
        <w:lastRenderedPageBreak/>
        <w:t>sobre protección del medio ambiente puede amparar un conjunto de prohibiciones, las contenidas en los arts. 15 y 16, relativas al suelo no urbanizable común o general (diverso al de especial protección), esto es, a la mayor parte del territorio nacional, y cuya perspectiva excede en mucho de la estrictamente medioambiental que es la que únicamente puede amparar la regulación del suelo no urbanizable de especial protección (art. 17).</w:t>
      </w:r>
    </w:p>
    <w:p w:rsidR="008107C7" w:rsidRDefault="008107C7" w:rsidP="008107C7">
      <w:pPr>
        <w:pStyle w:val="TextoNormal"/>
      </w:pPr>
      <w:r>
        <w:t>Por ello, y sin necesidad de un examen más riguroso y concluyente acerca del alcance material del título del art.  149.1.23 C.E. (sobre el que hemos tenido ocasión de pronunciarnos en nuestra STC 102/1995) en relación con los concretos preceptos objeto de impugnación atinentes al suelo no apto para urbanizar, es obligado traer a colación el art.  149.1.1º C.E. a fin de determinar si es susceptible de prestarles la cobertura suficiente, habida cuenta de la estrecha relación que guarda con la propiedad urbana, aunque sólo sea para negar, en principio, su existencia en esta clase de suelo y, por tanto, para determinar el ámbito material del derecho en cuestión.</w:t>
      </w:r>
    </w:p>
    <w:p w:rsidR="008107C7" w:rsidRDefault="008107C7" w:rsidP="008107C7">
      <w:pPr>
        <w:pStyle w:val="TextoNormal"/>
      </w:pPr>
      <w:r>
        <w:t>a) El art. 15 se limita a sentar el criterio general según el cual el suelo no urbanizable o categoría equivalente en la legislación autonómica no podrá ser destinado a fines distintos que los naturales o conformes con la naturaleza, de acuerdo con la respectiva legislación sectorial que sea de aplicación o, en términos negativos, declara prohibido todo uso constructivo o edificatorio en suelo no urbanizable. Así formulado, el art.  15 está delimitando, por vía negativa, el ámbito o alcance de la propiedad urbana que, en consecuencia, queda excluida en el suelo no urbanizable, salvo en los supuestos excepcionales del art. 16.  La regla sentada por el art.15 no desborda, en conclusión, las condiciones básicas que garanticen el ejercicio en condiciones de igualdad del derecho de propiedad urbana de todos los españoles y, por tanto, encuentra cobertura en el art. 149.1.1º C.E., si se tiene en cuenta que no determina un concreto régimen positivo de usos en esta clase de suelos, sino que se remite a lo que disponga la legislación sectorial correspondiente, sea estatal o autonómica, y que será la que discipline el uso agrario, forestal, ganadero, cinegético, etc, del suelo no urbanizable o rústico en sentido amplio. La prohibición de edificar en suelo no urbanizable -o categoría análoga según la legislación autonómica- encaja, pues, dentro de las condiciones básicas de la propiedad urbana. En otras palabras, desde una interpretación sistemática, debe entenderse el art. 15 T.R.L.S. como una prohibición general de usos edificatorios -con la consecuente imposibilidad de adquirir propiedad urbana fuera de los terrenos previstos por los poderes públicos competentes-. No es un precepto, pues, que condicione las diversas competencias sectoriales autonómicas susceptibles de incidir sobre ese territorio y al que, desde una óptica estrictamente urbanística, el T.R.L.S.  califica de suelo no urbanizable.</w:t>
      </w:r>
    </w:p>
    <w:p w:rsidR="008107C7" w:rsidRDefault="008107C7" w:rsidP="008107C7">
      <w:pPr>
        <w:pStyle w:val="TextoNormal"/>
      </w:pPr>
      <w:r>
        <w:t>b) El art. 16.1 prohíbe los fraccionamientos de la propiedad en contra de lo dispuesto por la legislación agraria (unidades mímimas de cultivo o categorías equivalentes) u otra aplicable, para la consecución de sus respectivos fines.  El apartado 2º del mismo art. 16 establece la prohibición de las parcelaciones urbanísticas y su preservación del proceso de desarrollo urbano, sin perjuicio de lo que la legislación aplicable disponga sobre el régimen de los asentamientos o núcleos rurales en esta clase de suelo. Desde la perspectiva del dominio, el art. 16.1 T.R.L.S.  supone una limitación general sobre la facultad de disposición de la propiedad del suelo congruente con su destino y un complemento necesario y coherente con el principio general de la no edificabilidad en el suelo no urbanizable. Por lo demás, el precepto se muestra respetuoso con la legislación sectorial que a las Comunidades Autonómicas pueda corresponder.</w:t>
      </w:r>
    </w:p>
    <w:p w:rsidR="008107C7" w:rsidRDefault="008107C7" w:rsidP="008107C7">
      <w:pPr>
        <w:pStyle w:val="TextoNormal"/>
      </w:pPr>
      <w:r>
        <w:t xml:space="preserve">Ha de admitirse, como alega el Abogado del Estado, que el art. 16.1 T.R.L.S.  entra en el ámbito de la legislación civil (art. 149.1.8º C.E.), al prohibir que a resultas del tráfico jurídico privado puedan producirse fraccionamientos en el suelo no urbanizable en contra </w:t>
      </w:r>
      <w:r>
        <w:lastRenderedPageBreak/>
        <w:t>de lo establecido por la legislación agraria respectiva en punto a las extensiones mínimas. No es, en efecto, la perspectiva de la intervención pública sobre el dominio para asegurar la igualdad la que aquí impera (art.  149.1.1º C.E.), sino, más bien, la dimensión horizontal, esto es, la de las relaciones jurídico-privadas (art.  149.1.8º C.E.). Lo que hace el art. 16.1 T.R.L.S. no es sino refrendar la prohibición que eventualmente pueda establecer la legislación sectorial correspondiente, dictada de acuerdo con el orden constitucional de competencias, en relación con la facultad de enajenar que es inherente al derecho de propiedad. En otras palabras, la facultad de disposición puede quedar delimitada en aras de la función social (arts. 33.2 C.E. y 149.1.8º C.E.), impidiendo que se produzcan actos contrarios a la legislación sectorial. Por otra parte, el art. 16.2 T.R.L.S. no es más que un correlato de lo que dispone el art. 15, cuya interpretación hemos estimado conforme con la Constitución, sin que de su contenido quepa inferir invasión alguna de la competencia urbanística.</w:t>
      </w:r>
    </w:p>
    <w:p w:rsidR="008107C7" w:rsidRDefault="008107C7" w:rsidP="008107C7">
      <w:pPr>
        <w:pStyle w:val="TextoNormal"/>
      </w:pPr>
      <w:r>
        <w:t>c) El art. 17 T.R.L.S., por último, se refiere a uno de los posibles destinos del suelo no urbanizable -las áreas de especial protección- y circunscribe su alcance a la declaración de que el planeamiento territorial y urbanístico podrá delimitar áreas de especial protección en las que estará prohibida cualquier utilización que sea contraria con su destino o naturaleza, lesione el valor específico que se quiera proteger o infrinja el concreto régimen limitativo establecido por aquél, sin que, por ello, se prejuzguen las competencias autonómicas sobre la materia. En el examen de su constitucionalidad, de una parte, hay que poner en conexión este precepto con el art.  149.1.23º C.E. y, de otra, con el art. 149.1.1º C.E.</w:t>
      </w:r>
    </w:p>
    <w:p w:rsidR="008107C7" w:rsidRDefault="008107C7" w:rsidP="008107C7">
      <w:pPr>
        <w:pStyle w:val="TextoNormal"/>
      </w:pPr>
      <w:r>
        <w:t>En virtud del primero, no puede negarse la competencia estatal para hacer posible -a través del planeamiento que corresponda a la Administración competente- la declaración de áreas de especial protección y las prohibiciones generales de usos incompatibles con aquéllas. De acuerdo con la doctrina sentada en la STC 102/1995 (fundamento jurídico 13) y desde una perspectiva distinta, en la STC 28/1997 (fundamento jurídico 6º) y en los términos allí indicados, tanto la potestad para llevar a cabo la planificación de los recursos naturales, como los efectos prohibitivos y su prevalencia sobre los usos constructivos del suelo se acomodan sin esfuerzo alguno al concepto de lo básico, calificación que por otra parte no supone atribuirle al Estado competencia específica en materia de urbanismo. Encaja igualmente en el concepto de norma básica el principio que se infiere del art. 17 T.R.L.S., según el cual ha de prevalecer la finalidad protectora que a cada área pueda atribuirle la Administración competente en cada caso frente a los usos del suelo que le sean contrarios.</w:t>
      </w:r>
    </w:p>
    <w:p w:rsidR="008107C7" w:rsidRDefault="008107C7" w:rsidP="008107C7">
      <w:pPr>
        <w:pStyle w:val="TextoNormal"/>
      </w:pPr>
      <w:r>
        <w:t>De otro lado, el precepto impugnado guarda también relación con las condiciones básicas de ejercicio de la propiedad del suelo en la medida en que fija un límite general consistente en prohibir todo ejercicio del derecho contrario a lo que el área pretende precisamente preservar. Pero el art. 17 no establece cuál haya de ser ese concreto régimen, ni cuestiona las competencias que las Comunidades Autónomas, a este respecto, puedan tener asumidas y ni siquiera cabe entender que determina las causas que autorizarían a declarar una zona o área como de especial protección, puesto que el propio art. 12 del mismo Texto Refundido tan sólo enumera algunas de las especies de suelo no urbanizable de especial protección, esto es, se limita a deferir al planeamiento determinados valores medioambientales tutelables a través de esta específica clasificación de suelo. En este sentido, parece evidente que el precepto impugnado no pretende en modo alguno atribuir al Estado competencias que corresponden a las Comunidades Autónomas, por lo que la impugnación debe rechazarse.</w:t>
      </w:r>
    </w:p>
    <w:p w:rsidR="008107C7" w:rsidRDefault="008107C7" w:rsidP="008107C7">
      <w:pPr>
        <w:pStyle w:val="TextoNormal"/>
      </w:pPr>
    </w:p>
    <w:p w:rsidR="008107C7" w:rsidRDefault="008107C7" w:rsidP="008107C7">
      <w:pPr>
        <w:pStyle w:val="TextoNormal"/>
      </w:pPr>
      <w:r w:rsidRPr="008107C7">
        <w:rPr>
          <w:rStyle w:val="NumeroAFNegritaCaracter"/>
        </w:rPr>
        <w:t>17</w:t>
      </w:r>
      <w:r>
        <w:t>. (Título I, "Régimen del suelo urbano y urbanizable".  Capítulo Tercero: arts. 19; 20; 27.1, 2 y 4; 28.5; 29.1; 30.1 y 3; 31.1. y 2; 32; 34; 35.1 y 2; 36; 38; 39; 40; 41; 42.1, 2 y 3; 43).</w:t>
      </w:r>
    </w:p>
    <w:p w:rsidR="008107C7" w:rsidRDefault="008107C7" w:rsidP="008107C7">
      <w:pPr>
        <w:pStyle w:val="TextoNormal"/>
      </w:pPr>
      <w:r>
        <w:lastRenderedPageBreak/>
        <w:t>Los recurrentes coinciden sustancialmente en los preceptos impugnados del Capítulo Tercero del Título I, relativos al régimen del suelo urbano y urbanizable. La Disposición final única, primera, le ha atribuido a estos preceptos carácter básico, a tenor de las reglas 1ª, 8ª, 13ª, 18ª y 23ª del art.  149.1 C.E.</w:t>
      </w:r>
    </w:p>
    <w:p w:rsidR="008107C7" w:rsidRDefault="008107C7" w:rsidP="008107C7">
      <w:pPr>
        <w:pStyle w:val="TextoNormal"/>
      </w:pPr>
      <w:r>
        <w:t>Con carácter general, la Generalidad de Cataluña hace notar que el régimen del suelo urbano y urbanizable constituye el contenido nuclear de la ordenación urbanística y añade que en estos preceptos se regula y delimita también el contenido urbanístico de la propiedad inmobiliaria, lo cual entraría legítimamente dentro de la competencia estatal sólo en la medida en que estableciera las condiciones básicas que garanticen la igualdad en el ejercicio de los derechos y del cumplimiento de los deberes de los propietarios urbanísticos (art. 149.1.1º C.E.). Sus alegatos se dirigen a intentar demostrar que los preceptos impugnados exceden de esas condiciones básicas que el citado título estatal autoriza. La cuestión, por tanto, se contrae a determinar si los preceptos impugnados, en cuanto regulan el contenido urbanístico de la propiedad del suelo constituyen o no condiciones básicas (art. 149.1.1º C.E.), competencia que ha de interpretarse en forma sistemática con la urbanística que a las Comunidades Autónomas corresponde (art.  148.1.3º C.E.). También con carácter general y previo, el Gobierno balear afirma que de las ocho secciones que contiene el Capítulo Tercero del Título I, en las que se regula el régimen del suelo urbano y urbanizable, en principio tan sólo la Sección 1ª y 8ª encontrarían cobertura en los arts.  149.1.1º y 18º C.E., en tanto que la mayor parte de los preceptos contenidos en las Secciones 2ª a 7ª invadirían la competencia urbanística al regular, en concreto, la configuración y desarrollo del derecho de propiedad urbanística como de progresiva adquisición en función del cumplimiento de las cargas y deberes urbanísticos con expresa indicación de cuantías, reducciones e incluso plazos. En realidad, también este genérico reproche acerca del grado de detalle con que los preceptos impugnados en las Secciones 2ª a 7ª regulan el derecho de propiedad ha de ser examinado a la luz del art.  149.1.1º C.E. al objeto de determinar si autoriza o no ese grado o nivel de desarrollo normativo. Estas consideraciones formuladas por los recurrentes han de ser tenidas en cuenta al enjuiciar cada uno de los preceptos impugnados.</w:t>
      </w:r>
    </w:p>
    <w:p w:rsidR="008107C7" w:rsidRDefault="008107C7" w:rsidP="008107C7">
      <w:pPr>
        <w:pStyle w:val="TextoNormal"/>
      </w:pPr>
      <w:r>
        <w:t>a) (Art. 19, "Incorporación al proceso urbanizador y edificatorio").</w:t>
      </w:r>
    </w:p>
    <w:p w:rsidR="008107C7" w:rsidRDefault="008107C7" w:rsidP="008107C7">
      <w:pPr>
        <w:pStyle w:val="TextoNormal"/>
      </w:pPr>
      <w:r>
        <w:t>El art. 19 T.R.L.S. es impugnado porque, a juicio de la Generalidad de Cataluña (recurso núm. 2.481/90) y de la Diputación General de Aragón (recursos núms. 2.486/90 y 2.341/92), el inciso último del artículo -"conforme a lo establecido en esta Ley"- resulta inconstitucional en la medida en que, en su autosuficiente redacción, excluye que el deber de incorporarse al proceso urbanizador o edificatorio pueda ser regulado por las Comunidades Autónomas, más allá de establecer condiciones y plazos, produciéndose, en consecuencia, una monolítica regulación de un deber urbanístico que, por otra parte, no tiene carácter de deber constitucional.</w:t>
      </w:r>
    </w:p>
    <w:p w:rsidR="008107C7" w:rsidRDefault="008107C7" w:rsidP="008107C7">
      <w:pPr>
        <w:pStyle w:val="TextoNormal"/>
      </w:pPr>
      <w:r>
        <w:t xml:space="preserve">Importa rechazar en primer término esta última calificación que hace sólo la representación de la Generalidad de Cataluña respecto del deber de incorporación al proceso urbanístico que resulta del art. 19 T.R.L.S. como un deber que carecería de la cobertura que proporciona el art. 149.1.1º C.E. al no tratarse de un "deber constitucional", puesto que, por el contrario, estamos ante la manifestación más típica de la función social de la propiedad urbana, cual es el deber de edificar y construir, entendido en sentido amplio, y en los términos que la legalidad ordinaria determine y, por su remisión, el planeamiento. Siendo, pues, la propiedad privada un derecho constitucional (art.  33 C.E.)  y su función social (art. 33.2 C.E.)  la expresión de los deberes que le son inherentes -respecto de cada forma de dominio- no resulta aceptable la tesis de que "el deber de los propietarios afectados de incorporarse al proceso urbanizador y al edificatorio" (art. 19) no sería un "deber constitucional" a los </w:t>
      </w:r>
      <w:r>
        <w:lastRenderedPageBreak/>
        <w:t>efectos del art. 149.1.1º C.E. puesto que es ya la propia expresión "derechos constitucionales" a la que se refiere el citado título estatal la que ampara la regulación de los deberes básicos en sentido amplio o, si se quiere, de sus límites. No sería, en efecto, pensable la regulación de las condiciones básicas de un derecho como el de propiedad que sólo pudiera contener "facultades absolutas", sin límite o deber de ningún género, siquiera fuera, como afirma el art. 149.1.1º C.E., para regular las "condiciones básicas" de su ejercicio y cumplimiento.  Cuestión distinta, claro está, es que el título competencial del art. 149.1.1º C.E. sólo autoriza una limitada regulación a cargo del Estado, según ha quedado reiterado.</w:t>
      </w:r>
    </w:p>
    <w:p w:rsidR="008107C7" w:rsidRDefault="008107C7" w:rsidP="008107C7">
      <w:pPr>
        <w:pStyle w:val="TextoNormal"/>
      </w:pPr>
      <w:r>
        <w:t>Por lo que al inciso último del art. 19 T.R.L.S. se refiere, y al que, en realidad, se contrae la impugnación, estamos ante un problema de interpretación de lo que esa remisión ("conforme a lo establecido en esta Ley") haya de significar. En este sentido, ha de acogerse la tesis del Abogado del Estado cuando afirma que este precepto no excluye que las Comunidades Autónomas, dentro de su competencia, regulen el deber que los propietarios tienen de incorporarse al proceso urbanizador o edificatorio, incluso yendo más allá de fijar condiciones y plazos, puesto que el objeto de este inciso no es otro que el de reenviar al resto del texto legal el citado deber que pesa sobre los propietarios. La remisión o reenvío no es, por sí misma, contraria al orden constitucional de competencias. Habrá que estar al enjuiciamiento de cada uno de los preceptos remitidos, para decidir, en su caso, su conformidad constitucional. En consecuencia, no puede prosperar la impugnación deducida contra el art. 19 T.R.L.S..  Es evidente, pues, que la remisión que realiza este precepto habrá de correr la misma suerte que la norma remitida.</w:t>
      </w:r>
    </w:p>
    <w:p w:rsidR="008107C7" w:rsidRDefault="008107C7" w:rsidP="008107C7">
      <w:pPr>
        <w:pStyle w:val="TextoNormal"/>
      </w:pPr>
      <w:r>
        <w:t>b) (Art. 20, "Deberes legales para la adquisición gradual de facultades").</w:t>
      </w:r>
    </w:p>
    <w:p w:rsidR="008107C7" w:rsidRDefault="008107C7" w:rsidP="008107C7">
      <w:pPr>
        <w:pStyle w:val="TextoNormal"/>
      </w:pPr>
      <w:r>
        <w:t>Este precepto, que regula los deberes legales para la adquisición gradual de facultades, sólo ha sido impugnado por la Generalidad de Cataluña (recurso núm. 2.342/92, no así en el 2481/90), bajo el rótulo genérico en el que incluye a otros preceptos del Texto Refundido de "impugnaciones por regular materias propiamente urbanísticas y, por tanto, de la competencia exclusiva de la Generalidad, así como por su directa conexión con los preceptos de la Ley 8/1990 que se indican", y cuya argumentación ya hemos recogido al enjuiciar las impugnaciones dirigidas contra los artículos que se localizan en el Título Preliminar de la Ley [arts. 3.1, 3.2c) y 4.1].</w:t>
      </w:r>
    </w:p>
    <w:p w:rsidR="008107C7" w:rsidRDefault="008107C7" w:rsidP="008107C7">
      <w:pPr>
        <w:pStyle w:val="TextoNormal"/>
      </w:pPr>
      <w:r>
        <w:t>Hemos de centrar nuestro enjuiciamiento en el art. 20 T.R.L.S. que establece los deberes legales para la adquisición gradual de facultades. En efecto, el apartado 1º afirma que la ejecución del planeamiento garantizará la distribución equitativa de los beneficios y cargas e implicará el cumplimiento de los siguientes deberes legales: ceder los terrenos destinados a dotaciones públicas; ceder los terrenos en que se localice el aprovechamiento correspondiente a los Ayuntamientos; costear y, en su caso, ejecutar la urbanización en los plazos previstos; solicitar la licencia de edificación; y, en fin, edificar los solares. Por su parte, el apartado 2º dispone que el cumplimiento de estos deberes determina la gradual adquisición de las facultades urbanísticas que se definen y regulan en la Sección siguiente.</w:t>
      </w:r>
    </w:p>
    <w:p w:rsidR="008107C7" w:rsidRDefault="008107C7" w:rsidP="008107C7">
      <w:pPr>
        <w:pStyle w:val="TextoNormal"/>
      </w:pPr>
      <w:r>
        <w:t xml:space="preserve">La relación de los deberes urbanísticos básicos que contiene el precepto (art.  20.1) y el principio de la adquisición gradual de facultades urbanísticas (art. 20.2) ponen de manifiesto su encaje material dentro de las "condiciones básicas" de ejercicio del derecho de propiedad urbana (art. 149.1.1º C.E.). Es más, lo que hace este precepto no es sino fijar la arquitectura más elemental del derecho, los deberes primarios cuyo cumplimiento determinará la gradual adquisición de unas facultades -un contenido urbanístico, en suma- que es fruto de la decisión de los poderes públicos. El recurso no añade nada a las consideraciones de principio ya señaladas, sin que esos reproches genéricos sirvan para invalidar el acomodo que el precepto encuentra en el título competencial del Estado (art.149.1.1º C.E.), ni quepa apreciar, a falta </w:t>
      </w:r>
      <w:r>
        <w:lastRenderedPageBreak/>
        <w:t>de mayor argumentación, invasión en la competencia sobre urbanismo, tal como la hemos interpretado desde un punto de vista sistemático.</w:t>
      </w:r>
    </w:p>
    <w:p w:rsidR="008107C7" w:rsidRDefault="008107C7" w:rsidP="008107C7">
      <w:pPr>
        <w:pStyle w:val="TextoNormal"/>
      </w:pPr>
      <w:r>
        <w:t>Lo que, sin embargo, especifica el recurrente en esta sede es únicamente que el art. 20.1b) T.R.L.S. establece la cesión de terrenos a favor de los Ayuntamientos exclusivamente, mientras que tanto en la Ley 8/1990 como en el Texto Refundido de la Ley del Suelo de 1976 se hacía en favor de la Administración actuante, que puede ser distinta de la municipal. Ciertamente, el art. 20.1b) T.R.L.S. concreta, con carácter básico, lo que disponía el art.  9.1b) de la Ley 8/1990, en el que, sin hacer mención al Ayuntamiento, se disponía el deber legal de ceder el porcentaje de aprovechamiento que en cada caso corresponda. Sin embargo, como alega el Abogado del Estado, para la redacción del art. 20.1b) T.R.L.S. ha debido tenerse en cuenta el art. 98 de la Ley 8/1990, relativo al Patrimonio Municipal del Suelo, y el hecho de que el Ayuntamiento sea de ordinario la Administración actuante. Nada se opondría en el contexto del precepto impugnado, añade la representación pública, a que la referencia hecha a los Ayuntamientos sea entendida con carácter indicativo, puesto que ni la pretendida exclusividad de los Ayuntamientos se desprende del tenor literal del artículo, ni constituye la razón de ser ni el centro del mismo, lo que, por lo demás, avalan otros preceptos del Texto Refundido, más específicos, que hablan de "Administración actuante" [art. 151.1, 197 b)], "Administración correspondiente" [art. 167 a)], etc.</w:t>
      </w:r>
    </w:p>
    <w:p w:rsidR="008107C7" w:rsidRDefault="008107C7" w:rsidP="008107C7">
      <w:pPr>
        <w:pStyle w:val="TextoNormal"/>
      </w:pPr>
      <w:r>
        <w:t>No obstante, no es posible un fallo interpretativo en tal sentido, pues a ello se opone el tenor literal del precepto que habla de "Ayuntamientos", siendo la Comunidad Autónoma la que aquí ha de decidir cuál sea la Administración actuante. El inciso "a los Ayuntamientos" del art. 20.1b) T.R.L.S. debe ser declarado inconstitucional por invasión competencial.</w:t>
      </w:r>
    </w:p>
    <w:p w:rsidR="008107C7" w:rsidRDefault="008107C7" w:rsidP="008107C7">
      <w:pPr>
        <w:pStyle w:val="TextoNormal"/>
      </w:pPr>
      <w:r>
        <w:t>A ello debe añadirse que, desde la competencia ex art.  149.1.1º C.E., no es posible definir o predeterminar las técnicas urbanísticas que al legislador autonómico corresponde libremente arbitrar en el marco de las condiciones básicas. El Estado, en lo que a este punto concierne, puede establecer las condiciones básicas del cumplimiento de los deberes que garanticen la igualdad (art. 149.1.1º C.E.), sin que a su través le sea permitido configurar el modelo urbanístico y territorial. De ahí que las referencias hechas en el art.  20 T.R.L.S. a "dotaciones públicas" [20.1 a)], "licencia de edificación" [art.  20.1 d)] y "solares" [art. 20.1 e)] deban ser interpretadas como términos puramente instrumentales, de los que se predican unos determinados deberes básicos entendidos como criterios generales (deberes de cesión, de edificación en plazo, etc). En definitiva, pues, la competencia del Estado para establecer unos deberes básicos no puede llegar a fijar el régimen jurídico de las dotaciones públicas, de los solares o de las licencias de edificación. Hecha esta salvedad, deben rechazarse las impugnaciones deducidas contra este precepto.</w:t>
      </w:r>
    </w:p>
    <w:p w:rsidR="008107C7" w:rsidRDefault="008107C7" w:rsidP="008107C7">
      <w:pPr>
        <w:pStyle w:val="TextoNormal"/>
      </w:pPr>
      <w:r>
        <w:t>c) (Art. 27.1, 2 y 4, "Aprovechamiento urbanístico susceptible de apropiación").</w:t>
      </w:r>
    </w:p>
    <w:p w:rsidR="008107C7" w:rsidRDefault="008107C7" w:rsidP="008107C7">
      <w:pPr>
        <w:pStyle w:val="TextoNormal"/>
      </w:pPr>
      <w:r>
        <w:t xml:space="preserve">Este precepto, por el que se regula el aprovechamiento urbanístico susceptible de apropiación, ha sido recurrido por la Generalidad de Cataluña (recursos núm. 2.481/90: 27.1 y 2; y núm.  2.342/92: arts. 27.2 y 4 por su conexión con la Ley 8/1990), la Diputación General de Aragón (recursos núms. 2.486/90 y 2.341/92 cfr. fundamento jurídico 4º) y el Gobierno balear. La Generalidad de Cataluña impugna el art. 27.1 del Texto Refundido (remitiéndose de nuevo a lo alegado en 1990 respecto del art.  16.1 de la Ley 8/1990, del que aquél es reproducción) por cuanto no se limita a establecer las condiciones de ejercicio del derecho o las posibilidades expropiatorias por incumplimiento de los deberes inherentes a esta forma de propiedad, sino que determina y concreta las cargas y cesiones que debe soportar en concreción del art. 47.2 C.E., lo que no puede ser entendido como una limitación del derecho de propiedad, como pretende el Texto Refundido. Esta limitación, añade, no encuentra otra </w:t>
      </w:r>
      <w:r>
        <w:lastRenderedPageBreak/>
        <w:t>justificación que la participación del propietario en los beneficios que le otorga el planeamiento urbanístico, por lo que, concluye, si los beneficios le llegan al propietario sólo a partir del planeamiento urbanístico, tan sólo del mismo lugar le han de poder llegar las cargas. Los demás recurrentes reiteran, más sucintamente, igual reproche con análogos argumentos. La Generalidad de Cataluña recurre asimismo por idénticos motivos los apartados 2º y 4º del mismo art. 27 del T.R.L.S. (el apartado 2º en el recurso núm.  2.481/90, frente al entonces art. 37.2 de la Ley 8/1990, al que ahora se remite, y en el recurso 2.342/92 por su conexión con los arts. 16.1 y 37.2 de la Ley 8/1990; el apartado 4º, en el recurso 2.342/92, por su relación igualmente con los arts. 16.1 y 37.2 de la Ley 8/1990). Respecto de estas impugnaciones de los dos apartados del art. 27 T.R.L.S. -que sitúa en el recurso 2.342/92 bajo el mismo reproche genérico que lleva por título "impugnaciones por regular materia estrictamente urbanística y, por tanto, de la competencia exclusiva de la Generalidad, así como por su directa conexión con los preceptos de la Ley 8/1990 que se indican", y cuya argumentación ya hemos recogido al examinar los arts. 3.1, 3.2c) y 4.1 del Texto Refundido- agrega en su recurso 2.342/92 que en unos casos establece el aprovechamiento urbanístico como igualitario (apartado 2º) y en otros "como mínimo" (apartado 4), por lo que no puede entenderse como una regulación que tiene por objeto garantizar una supuesta igualdad.  En su recurso 2.481/90 añadía específicamente, respecto del art. 37.2 de la Ley 8/1990, hoy 27.2 del T.R.L.S., y aunque la argumentación no se separe en exceso alega en relación con el art. 27.1 del T.R.L.S., que éste y otros preceptos, bajo la apariencia de regular unas limitaciones al derecho de propiedad urbana y con la expresión "aprovechamiento urbanístico susceptible de apropiación" no se está haciendo otra cosa que establecer lo que siempre se han llamado "cargas urbanísticas" y que, hasta el presente, ocupaban una regulación reglamentaria en el régimen del suelo. Es lo mismo decir, sostiene, que el propietario puede apropiarse del 85 por 100 del aprovechamiento tipo del área de reparto en que esté situado el terreno, que afirmar que debe ceder gratuitamente el 15 por 100 de tal aprovechamiento, porque son las dos caras de una misma moneda. Si a ello se suma el hecho, concluye, de que son varias las Comunidades Autónomas que, en uso de su competencia, han dictado normas sobre esta cuestión, y a través de las cuales se ha venido a delimitar el contenido del derecho, de acuerdo con la función social que debe cumplir en cada circunstancia y lugar, el resultado es que la legislación estatal, por su carácter uniforme, pormenorizado e injustificado, invade la competencia autonómica. El recurso de la Comunidad Autónoma de las Islas Baleares alega además que el art. 149.1.1º C.E. podrá habilitar al Estado para establecer el principio general de que la obtención de los beneficios urbanísticos debe ser correlativa al cumplimiento de los deberes y cargas que aquél impone, pero no puede extender sus efectos a determinar y concretar cuáles serán estas cargas y cesiones ya que ello corresponde directamente al titular de la competencia de urbanismo, si no quiere dejarse ésta sin contenido alguno o, al menos, sin el contenido recognoscible que tuvo a la vista el constituyente de 1978. En nada altera esta conclusión el art. 47 C.E. que obliga a todos los poderes públicos y no constituye título competencial alguno.</w:t>
      </w:r>
    </w:p>
    <w:p w:rsidR="008107C7" w:rsidRDefault="008107C7" w:rsidP="008107C7">
      <w:pPr>
        <w:pStyle w:val="TextoNormal"/>
      </w:pPr>
      <w:r>
        <w:t xml:space="preserve">En rigor, lo que los recurrentes parecen reprochar a estos preceptos y, en realidad, a otros por conexión, no es más que el grado de desarrollo que contienen. Esto es, la concreta forma de configuración legal del aprovechamiento urbanístico susceptible de apropiación. Y es ésta la cuestión central. Por ello, resulta rechazable, a este propósito, afirmar que el aprovechamiento urbanístico susceptible de apropiación (el 85 por 100 del aprovechamiento tipo o medio, del que hablan los apartados 1º, 2º y 4º del art. 27) no puede ser entendido como una limitación o, mejor, delimitación del contenido de la propiedad urbana, cuando no es sino una de las reglas más básicas y fundamentales de su alcance y contenido en el ámbito </w:t>
      </w:r>
      <w:r>
        <w:lastRenderedPageBreak/>
        <w:t>urbanístico (art. 33.2 C.E.), por más que esa delimitación del contenido dominical traiga su causa del mandato del art. 47 C.E.  que no es, en efecto, título competencial alguno, sino principio rector que obliga a todos los poderes públicos.</w:t>
      </w:r>
    </w:p>
    <w:p w:rsidR="008107C7" w:rsidRDefault="008107C7" w:rsidP="008107C7">
      <w:pPr>
        <w:pStyle w:val="TextoNormal"/>
      </w:pPr>
      <w:r>
        <w:t>En el vigente esquema legal, es el planeamiento urbanístico el que concreta, para cada clase de suelo, el aprovechamiento urbanístico, pero de ahí no cabe derivar que las cargas, igual que los beneficios, hayan de traer su origen último del planeamiento y, en suma, según parece inferirse de ese razonamiento, de la competencia urbanística en el sentido dado a esa expresión por algunas de las alegaciones vertidas en los recursos. Pues si bien es cierto que puede ser el planeamiento el que determine para cada porción del territorio su aptitud para urbanizar y los concretos usos edificatorios que eventualmente le correspondan, con sus cargas y beneficios, no lo es menos que habrá de ser la Ley -estatal o autonómica, de acuerdo con el orden constitucional de distribución de competencias- la que establezca los criterios generales del sistema de la propiedad urbana por imperativos de la reserva de ley y del principio de legalidad (art. 33.2, 53.1 C.E. y 103.1 C.E.). En ese sentido, tampoco puede compartirse la alegación de que el establecimiento del aprovechamiento susceptible de apropiación no forma parte de la delimitación del derecho de propiedad (art. 33.2 C.E.). Lejos de ser algo ajeno al derecho, es evidente que la regulación del ius aedificandi representa el eje mismo de esta manifestación del dominio.</w:t>
      </w:r>
    </w:p>
    <w:p w:rsidR="008107C7" w:rsidRDefault="008107C7" w:rsidP="008107C7">
      <w:pPr>
        <w:pStyle w:val="TextoNormal"/>
      </w:pPr>
      <w:r>
        <w:t>Tampoco cabe acoger el argumento, en cierto modo nominalista a estos efectos, de que la fijación del aprovechamiento es una mera "carga urbanística" y no una limitación del derecho de propiedad urbana, puesto que una u otra calificación son fácilmente reconducibles al concepto de derecho constitucional que contiene el art. 149.1.1º C.E. -del que hemos dicho que su regulación no puede detenerse en configurar facultades absolutas, sin límites o deberes de ningún género- y, más precisamente, a la función social de la propiedad (art. 33.2 C.E.), como los propios recurrentes ponen de manifiesto, explícita o implícitamente, cuando, por ejemplo, la Generalidad de Cataluña afirma que estas cuestiones han sido reguladas por algunas Comunidades Autónomas "a través de las cuales han venido a configurar el contenido del derecho de la propiedad urbanística, de acuerdo con la función social que debe cumplir en cada circunstancia y lugar", o cuando el Gobierno Balear, con más precisión, reconoce que el art.  149.1.1º C.E., tal vez, habilite al Estado para establecer el principio general de que la obtención de los beneficios urbanísticos debe ser correlativo al cumplimiento de los deberes y cargas que aquél impone, pero no puede extender sus efectos a determinar y concretar cuáles sean estas cargas y cesiones. Por último, no es posible admitir la concepción, que también late en algunas de las alegaciones, según la cual los preceptos legales que guardan relación con el art. 47 C.E., en cuanto determinan que la comunidad participe en las plusvalías generadas por la acción urbanística de los entes públicos, no estarían delimitando el contenido del derecho de acuerdo con su función social (art.  33.2 C.E.), puesto que, al determinarse en la ejecución del planeamiento, no serían más que una carga derivada de la ejecución urbanística.  Obviamente, el hecho de que la "carga", "límite" o "deber" urbanístico se haga efectivo en la fase de ejecución del planeamiento no significa que, en términos sustantivos y a nuestro limitado propósito, la ley que lo establece no esté regulando por definición las condiciones básicas del derecho de propiedad urbana, con todo lo que ello pueda suponer a efectos competenciales (arts. 33.2 y 149.1.1º C.E.).</w:t>
      </w:r>
    </w:p>
    <w:p w:rsidR="008107C7" w:rsidRDefault="008107C7" w:rsidP="008107C7">
      <w:pPr>
        <w:pStyle w:val="TextoNormal"/>
      </w:pPr>
      <w:r>
        <w:t xml:space="preserve">El problema que aquí interesa, sin embargo, reside más bien en determinar por qué, a juicio de los recurrentes, el art. 27 T.R.L.S. no podría quedar a cubierto por el art. 149.1.1º C.E., no tanto por la materia en sí misma regulada (aprovechamiento urbanístico susceptible de apropiación, eje de la propiedad urbana), cuanto, más exactamente, por la concreta normación del citado precepto (esto es, por su encaje con la noción de condiciones básicas).  </w:t>
      </w:r>
      <w:r>
        <w:lastRenderedPageBreak/>
        <w:t>Para el recurso de la Comunidad Autónoma de las Islas Baleares, el Estado debiera haberse limitado a fijar el principio general de que la obtención de los beneficios ha de ser correlativa al cumplimiento de las cargas.</w:t>
      </w:r>
    </w:p>
    <w:p w:rsidR="008107C7" w:rsidRDefault="008107C7" w:rsidP="008107C7">
      <w:pPr>
        <w:pStyle w:val="TextoNormal"/>
      </w:pPr>
      <w:r>
        <w:t>La cuestión se contrae, pues, a enjuiciar si el concreto aprovechamiento urbanístico que los distintos apartados del art.  27 (1, 2 y 4) establecen, puede o no tener "carácter básico" (en el sentido en que utiliza esta expresión la Disposición final única) por su compatibilidad con las condiciones básicas a que se refiere el art. 149.1.1º C.E.  Para el T.R.L.S. es obvio que esta configuración del aprovechamiento urbanístico susceptible de apropiación entra en la esfera del art. 149.1.1º C.E., como se desprende tanto del propio art. 27, apartados 1, 2 y 4, y preceptos concordantes, a los que la Disposición final única apartado 1º del mismo Texto Refundido les atribuye carácter básico, cuanto de la Exposición de Motivos de la Ley 8/1990 (núms.  II, III y, señaladamente, IV, último párrafo). Según se desprende de este Preámbulo, en efecto, para el legislador estatal, las técnicas que contempla el art. 27 (aprovechamiento tipo y medio) y la concreta fijación homogénea del aprovechamiento susceptible de apropiación (85 por 100) responden a la necesidad de "garantizar una mínima uniformidad en el trascendental aspecto de la incidencia de la ordenación urbanística -cualquiera que sea ésta- en el derecho de propiedad inmobiliaria". De la entera concepción legal del Texto Refundido, y no sólo del art. 27 impugnado, se infiere que son dos los derechos cuya regulación se pretende: la propiedad urbana -una de cuyas facultades elementales [art. 23.1b) y 26 a 32, entre otros, del T.R.L.S.] es el derecho al aprovechamiento urbanístico, de un lado, y el derecho a la igualdad, encarnado en materia urbanística en el principio de justo reparto de cargas y beneficios, de otro. Los recurrentes no han argumentado, sin embargo, por qué el art. 149.1.1º C.E.  habría de limitarse, por imperativo constitucional y de forma manifiesta, a enumerar aquella facultad dominical y el derecho a la igualdad, sin que le sea permitido al Estado establecer cualquier otra concreción mínima acerca de lo que sus titulares pueden patrimonializar.</w:t>
      </w:r>
    </w:p>
    <w:p w:rsidR="008107C7" w:rsidRDefault="008107C7" w:rsidP="008107C7">
      <w:pPr>
        <w:pStyle w:val="TextoNormal"/>
      </w:pPr>
      <w:r>
        <w:t>A la luz de la específica dimensión de la distribución de competencias que aquí interesa, ha de admitirse que el art.  149.1.1º C.E., tal como ha sido interpretado, puede comprender asimismo el establecimiento -en pro de las condiciones básicas que garanticen la igualdad en el ejercicio del derecho de propiedad- de un mínimo del aprovechamiento urbanístico objeto de apropiación, esto es, el contenido básico o elemental del derecho de propiedad urbana (bien sea por referencia a algunos criterios básicos o principios generales que hayan de observarse en todo el territorio nacional, bien sea acudiendo incluso a alguna fórmula abstracta que permita una cuantificación, siempre que en uno y otro caso no exceda de las condiciones básicas, ni se invada por esta vía la competencia urbanística). También puede el Estado fijar un criterio mínimo en punto a la recuperación por la comunidad de las plusvalías generadas por la acción de los entes públicos (art. 47 C.E.), en caso de que opte por un modelo de devolución a través de la determinación del aprovechamiento urbanístico susceptible de apropiación. En todo caso, esta regulación estatal ha de dejar un margen dentro del cual las Comunidades Autónomas puedan ejercer sus competencias.</w:t>
      </w:r>
    </w:p>
    <w:p w:rsidR="008107C7" w:rsidRDefault="008107C7" w:rsidP="008107C7">
      <w:pPr>
        <w:pStyle w:val="TextoNormal"/>
      </w:pPr>
      <w:r>
        <w:t>Este título competencial no permite, pues, la delimitación completa y acabada del aprovechamiento urbanístico (como de cualquier otra facultad dominical en el ámbito urbanístico), pues ello excedería por definición de lo que son condiciones básicas de ejercicio, único título que, desde la óptica del Derecho público, le permita al Estado intervenir en los términos ya conocidos sobre esta concreta forma de dominio, cual es la propiedad urbana.</w:t>
      </w:r>
    </w:p>
    <w:p w:rsidR="008107C7" w:rsidRDefault="008107C7" w:rsidP="008107C7">
      <w:pPr>
        <w:pStyle w:val="TextoNormal"/>
      </w:pPr>
      <w:r>
        <w:t xml:space="preserve">A ello hay que añadir que la competencia exclusiva de las Comunidades Autónomas en materia de urbanismo excluye cualquier sistema cuyo cálculo o realización sólo sea posible a través de la predeterminación legal de todo un conjunto de figuras y técnicas urbanísticas </w:t>
      </w:r>
      <w:r>
        <w:lastRenderedPageBreak/>
        <w:t>que permitan hacerlo operativo. No es válido, pues, optar por criterios o fórmulas inescindiblemente unidas a toda una cadena de instrumentos estrictamente urbanísticos, que a la postre no sólo cierren por completo el estatuto de la propiedad -más allá de sus condiciones básicas-, sino que, además, terminen por prefigurar un modelo urbanístico.</w:t>
      </w:r>
    </w:p>
    <w:p w:rsidR="008107C7" w:rsidRDefault="008107C7" w:rsidP="008107C7">
      <w:pPr>
        <w:pStyle w:val="TextoNormal"/>
      </w:pPr>
      <w:r>
        <w:t>Admitidas estas premisas, el problema nuclear consiste en indagar si la concreta regulación del art. 27 T.R.L.S. supone una invasión de la competencia urbanística que las Comunidades Autónomas tienen atribuida. Pues bien, no cabe sino concluir que la regulación del art. 27 T.R.L.S. es contraria al orden constitucional de distribución de competencias, en primer lugar, por el carácter fijo y no mínimo tanto de la determinación del aprovechamiento urbanístico susceptible de apropiación por los propietarios, como implícitamente de la recuperación por la comunidad de las plusvalías urbanísticas; en segundo lugar, porque tal determinación la establece acudiendo a un complejo entramado de concretas técnicas urbanísticas (áreas de reparto, aprovechamiento tipo), que pertenecen a la competencia exclusiva en materia de urbanismo de las Comunidades Autónomas (art.  148.1.3º C.E.).</w:t>
      </w:r>
    </w:p>
    <w:p w:rsidR="008107C7" w:rsidRDefault="008107C7" w:rsidP="008107C7">
      <w:pPr>
        <w:pStyle w:val="TextoNormal"/>
      </w:pPr>
      <w:r>
        <w:t>En virtud tan sólo de esta última consideración ha de apreciarse que también vulnera la Constitución el apartado 4 del art. 27 T.R.L.S., referido al suelo urbano en el que no se apliquen las áreas de reparto y el aprovechamiento tipo, habida cuenta de la expresa referencia a concretas y detalladas técnicas urbanísticas, tal como el aprovechamiento medio de la unidad de ejecución o del permitido por el planeamiento.</w:t>
      </w:r>
    </w:p>
    <w:p w:rsidR="008107C7" w:rsidRDefault="008107C7" w:rsidP="008107C7">
      <w:pPr>
        <w:pStyle w:val="TextoNormal"/>
      </w:pPr>
      <w:r>
        <w:t>Por lo demás, no modifica en nada la conclusión alcanzada la circunstancia de que se haya sustituido el indicado porcentaje a que se refiere el art. 27.4 T.R.L.S. por el art. 2.1 del Decreto- ley 5/1996, de 7 de junio, puesto que, al margen de que se trate de una mera sustitución, la derogación del art. 27.4 T.R.L.S. no afecta a nuestro enjuiciamiento, como ya ha quedado razonado (fundamento jurídico 3º).</w:t>
      </w:r>
    </w:p>
    <w:p w:rsidR="008107C7" w:rsidRDefault="008107C7" w:rsidP="008107C7">
      <w:pPr>
        <w:pStyle w:val="TextoNormal"/>
      </w:pPr>
      <w:r>
        <w:t>d) (Art. 28.5, "Derecho al aprovechamiento en actuaciones sistemáticas").</w:t>
      </w:r>
    </w:p>
    <w:p w:rsidR="008107C7" w:rsidRDefault="008107C7" w:rsidP="008107C7">
      <w:pPr>
        <w:pStyle w:val="TextoNormal"/>
      </w:pPr>
      <w:r>
        <w:t>El art. 28.5 T.R.L.S., relativo al derecho de aprovechamiento en actuaciones sistemáticas, establece que, cuando la ejecución de la unidad deba producirse por el sistema de cooperación u otro equivalente, los propietarios adquirirán el derecho al aprovechamiento urbanístico correspondiente por el cumplimiento de los deberes y cargas inherentes al sistema. El recurso de la Generalidad de Cataluña (2.481/90, deducido entonces contra el art. 40.4 de la Ley 8/1990 y ahora reproducido frente al 28.5 en el recurso núm. 2.342/92) alega que éste y otros preceptos regulan cuestiones típicas de la gestión urbanística, como las referentes a la gestión de los aprovechamientos urbanísticos. Y en concreto este artículo, al aplicar el principio de la distribución equitativa de los beneficios y cargas entre los afectados, que el recurrente no cuestiona, al supuesto de que la unidad de ejecución deba producirse por el sistema de cooperación, entra en el ámbito que a las Comunidades Autónomas corresponde concretar, por lo que no cabe considerar este precepto como norma básica.</w:t>
      </w:r>
    </w:p>
    <w:p w:rsidR="008107C7" w:rsidRDefault="008107C7" w:rsidP="008107C7">
      <w:pPr>
        <w:pStyle w:val="TextoNormal"/>
      </w:pPr>
      <w:r>
        <w:t>Realmente la cuestión no es, como bien alega el Abogado del Estado, si este precepto contiene una regulación típica y manifiestamente urbanística, sino si el art. 28.5 puede o no considerarse amparado en alguna norma constitucional que reserve ciertas competencias al Estado, pues si así ocurriera este precepto no infringiría el orden competencial.</w:t>
      </w:r>
    </w:p>
    <w:p w:rsidR="008107C7" w:rsidRDefault="008107C7" w:rsidP="008107C7">
      <w:pPr>
        <w:pStyle w:val="TextoNormal"/>
      </w:pPr>
      <w:r>
        <w:t xml:space="preserve">Y es ahí donde el recurrente no proporciona una carga argumental suficiente, puesto que su razonamiento se detiene en la declaración de que se trata de una materia urbanística, sin demostrar por qué no puede quedar a cubierto por los títulos competenciales invocados por el Estado en la Disposición final única, apartado 1, del T.R.L.S..  En todo caso, no cabe compartir el argumento del recurrente según el cual este precepto regula con carácter básico la gestión del aprovechamiento urbanístico, puesto que del mismo tenor literal del art.  28.5 T.R.L.S. se desprende que el carácter básico se refiere exclusivamente a que los propietarios </w:t>
      </w:r>
      <w:r>
        <w:lastRenderedPageBreak/>
        <w:t>adquirirán, en el supuesto que contempla (que, en definitiva, corresponde determinar a la legislación urbanística autonómica), el aprovechamiento urbanístico correspondiente mediante el cumplimiento de los deberes y cargas inherentes al sistema, lo que conecta, garantizándolo, con el estatuto básico del derecho de propiedad urbana y, por los mismos argumentos que hasta ahora hemos sostenido, encuentra su cobertura en el art. 149.1.1º C.E. Son atendibles, en este sentido, las alegaciones del Abogado del Estado cuando afirma que con este precepto no se pretende imponer un determinado sistema de actuación -las palabras "u otro equivalente" suponen un reconocimiento de la competencia autonómica para modelar aquellos sistemas-, sino garantizar a los propietarios la adquisición del derecho al aprovechamiento urbanístico adaptando -a las peculiaridades del sistema de cooperación o equivalentes- la prescripción general del art. 26 T.R.L.S.  (antes 15.1 de la Ley 8/1990), no impugnado, y conforme a la cual el derecho al aprovechamiento urbanístico se adquiere por el cumplimiento de los deberes de cesión, equidistribución y urbanización, peculiaridades que, por otra parte, son innegables, habida cuenta de que en estos sistemas de ejecución no puede hablarse en rigor, por ejemplo, de un deber de urbanizar, sino del deber de sufragar el coste de la urbanización (así, en los arts. 162 del Texto Refundido, ó 131 y 132 del Texto Refundido de la Ley sobre Régimen del Suelo y Ordenación Urbana de 9 de abril de 1976, hoy derogado). Por todo lo cual, ha de rechazarse la impugnación del art.  28.5 T.R.L.S..</w:t>
      </w:r>
    </w:p>
    <w:p w:rsidR="008107C7" w:rsidRDefault="008107C7" w:rsidP="008107C7">
      <w:pPr>
        <w:pStyle w:val="TextoNormal"/>
      </w:pPr>
      <w:r>
        <w:t>e) (Art. 29.1, "Concreción del aprovechamiento urbanístico").</w:t>
      </w:r>
    </w:p>
    <w:p w:rsidR="008107C7" w:rsidRDefault="008107C7" w:rsidP="008107C7">
      <w:pPr>
        <w:pStyle w:val="TextoNormal"/>
      </w:pPr>
      <w:r>
        <w:t>El recurso de la Generalidad de Cataluña (núm. 2.481/90 frente al art. 17.1 de la Ley 8/1990, ahora reproducido contra el art. 29.1 del T.R.L.S.)  impugna este precepto argumentando (en conexión con lo alegado frente al art. 27.1, antes 16 de la Ley 8/1990, alegaciones ya recogidas al enjuiciar aquél) que no sólo se definen nuevas y básicas cargas urbanísticas, sino que incluso se determina cómo han de obtenerse concretando los criterios técnicos de reparto de beneficios y cargas, lo cual supone además un contrasentido puesto que lo que venía regulado hasta ahora a nivel reglamentario se convierte en legislación básica estatal, y más aún cuando el Estado no tiene competencia alguna en esta materia. El recurso de la Diputación General de Aragón (núm.  2.486/90) se limita a reprocharle, a éste y otros preceptos por conexión, que regulan materias propias del régimen urbanístico en sentido estricto, habiéndose producido una extralimitación en el ejercicio de los títulos competenciales estatales, por las razones genéricas expuestas al examinar en abstracto aquellos títulos competenciales, sin que ahora, por lo demás, ofrezca nexo argumental alguno que explicite por qué el precepto impugnado no puede quedar amparado en el marco de las competencias estatales.  Sin embargo, el recurso núm. 2.341/92 agrega que este precepto desborda las condiciones básicas del derecho de propiedad y determina las cargas y cesiones que ha de soportar, función que debiera reservarse a la legislación urbanística, esto es, la determinación de cómo ha de participar la comunidad en las plusvalías generadas por la acción urbanística de los entes públicos, sin que tampoco sea de recibo la concreción que hace el legislador estatal de los criterios técnicos de reparto de beneficios y cargas. El recurso de la Comunidad Autónoma de las Islas Baleares, por su parte, considera que el art. 29.1 va más allá de la determinación de nuevas cesiones básicas en materia de urbanismo para concretar -término que el propio art. 29.1, en su inciso final, emplea- las técnicas y modalidades para hacer efectivos los procesos redistributivos de cargas y beneficios, lo que pertenece al ámbito material de la competencia de urbanismo, sin que exista título habilitante alguno que le permita al Estado acometer tal tarea.</w:t>
      </w:r>
    </w:p>
    <w:p w:rsidR="008107C7" w:rsidRDefault="008107C7" w:rsidP="008107C7">
      <w:pPr>
        <w:pStyle w:val="TextoNormal"/>
      </w:pPr>
      <w:r>
        <w:t>Así pues, para determinar el concreto alcance imperativo del art. 29.1 T.R.L.S. que, como argumenta el Abogado del Estado, resulta bien escaso, preciso es proceder a su interpreta</w:t>
      </w:r>
      <w:r>
        <w:lastRenderedPageBreak/>
        <w:t>ción. El citado precepto dispone, en primer término, diversas modalidades para hacer efectivo el aprovechamiento urbanístico, distinguiendo según se trate de actuaciones sistemáticas (terrenos incluidos en una unidad de ejecución) o de actuaciones asistemáticas (sin unidades de ejecución) en suelo urbano (reguladas en el Título IV, Capítulo Tercero, arts. 185-198 del Texto Refundido). En segundo término, es de advertir también que el art. 29.1, como sostiene acertadamente el Abogado del Estado, no concreta ningún criterio técnico de reparto de beneficios y cargas, en contra de lo que afirma el recurso de la Generalidad (núm.  2.481/90), sino que se limita a enumerar formas posibles de "concreción" del derecho al aprovechamiento urbanístico, cuya efectiva determinación y precisión se remite bien sea a los "correspondientes procesos redistributivos de beneficios y cargas" [art. 29.1 a)], o bien a la "legislación urbanística aplicable" [art. 29.1 b)], que podrá ser autonómica. El carácter preceptivo del art.  29.1, pues, se circunscribe a determinar que el aprovechamiento urbanístico se realice en las actuaciones sistemáticas, bien in natura, bien por equivalente económico y, en las actuaciones asistemáticas en suelo urbano, sobre la propia parcela del titular del derecho al aprovechamiento o sobre otras parcelas lucrativas incluidas en el mismo área de reparto (en caso de estar afecta al uso público la del titular del aprovechamiento), siempre, en uno y otro caso, "en la forma prevista en la legislación urbanística aplicable". El art. 29.2, por su parte, respecto del apartado 1b) del mismo precepto, se remite a los arts. 151.2, 187 a 191 y 194 a 196 en defecto de la legislación urbanística aplicable a la que se refiere el art.  29.1b).</w:t>
      </w:r>
    </w:p>
    <w:p w:rsidR="008107C7" w:rsidRDefault="008107C7" w:rsidP="008107C7">
      <w:pPr>
        <w:pStyle w:val="TextoNormal"/>
      </w:pPr>
      <w:r>
        <w:t>Esta enumeración de los modos de concretar el derecho al aprovechamiento urbanístico resulta, en efecto, notablemente genérica y es susceptible de abarcar modalidades diversas que las Comunidades Autónomas podrán desarrollar.  El Abogado del Estado añade que no debe interpretarse como una lista exhaustiva que impida a las Comunidades Autónomas prever otras maneras de concretar el derecho al aprovechamiento urbanístico, siempre que no constituyan desviaciones irrazonables de lo previsto en el art.  29.1.  Esta tesis, sin embargo, no puede admitirse, pues no se compadece con la literalidad del precepto en cuyo apartado 1º, letra a), se dice en términos taxativos que el derecho al aprovechamiento urbanístico se concretará "bajo alguna de las siguientes modalidades", lo que, en rigor, impide entender la enumeración como meramente indicativa.  Distinto es, con todo, el apartado 1º, letra b), en el que no se contiene una expresión análoga y, en consecuencia, sí sería posible hacer una interpretación en tal sentido.</w:t>
      </w:r>
    </w:p>
    <w:p w:rsidR="008107C7" w:rsidRDefault="008107C7" w:rsidP="008107C7">
      <w:pPr>
        <w:pStyle w:val="TextoNormal"/>
      </w:pPr>
      <w:r>
        <w:t>El problema de fondo que aquí importa, sin embargo, consiste en resolver si la imposibilidad de que las Comunidades Autónomas puedan establecer otras modalidades en los terrenos incluidos en una unidad de ejecución, según parece desprenderse del art.  29.1a) T.R.L.S., contraría el orden constitucional de distribución de competencias y, antes aún, si el Estado puede esgrimir válidamente a tal propósito la reserva competencial del art.  149.1.1º C.E., único título que, por su conexión material con el derecho de propiedad -aquí, la facultad de aprovechamiento urbanístico-, hay que considerar para su análisis. Desde este punto de vista, la respuesta no ha de ser sino negativa, lo que conduce directamente a la declaración de inconstitucionalidad de su pretendido carácter básico.</w:t>
      </w:r>
    </w:p>
    <w:p w:rsidR="008107C7" w:rsidRDefault="008107C7" w:rsidP="008107C7">
      <w:pPr>
        <w:pStyle w:val="TextoNormal"/>
      </w:pPr>
      <w:r>
        <w:t xml:space="preserve">En efecto, aunque el art. 29.1a) T.R.L.S. disponga tan sólo dos posibilidades, la compensación in natura y la compensación económica sustitutiva, géneros que, sin duda, admiten numerosas especies, no encuentra, sin embargo, cobertura al abrigo del art.  149.1.1º C.E., de acuerdo con los argumentos ya expuestos en sede del art. 27 T.R.L.S.. Es más, el entero art. 29.1 T.R.L.S., lejos de sentar un principio o criterio general en punto a la concreción del aprovechamiento urbanístico -operación para la que sí estaría legitimado el Estado ex art. 149.1.1º C.E.-, establece todo un catálogo de supuestos -estrictamente urbanísticos-, a </w:t>
      </w:r>
      <w:r>
        <w:lastRenderedPageBreak/>
        <w:t>los que anuda un específico régimen jurídico, según se trate, efectivamente, de terrenos incluídos en una unidad de ejecución (hipótesis para la que fija una taxativa consecuencia jurídica), o en suelo urbano, cuando no se actúe mediante unidades de ejecución (presupuesto de hecho al que liga igualmente una densa reglamentación). No es, pues, la materia de fondo -pautas o criterios acerca de la concreción del aprovechamiento urbanístico-, sino su concreta y extensa regulación legal, tanto del presupuesto de hecho como de sus efectos jurídicos, consecuencia de la refundición, la que no se ajusta al orden constitucional de competencias.</w:t>
      </w:r>
    </w:p>
    <w:p w:rsidR="008107C7" w:rsidRDefault="008107C7" w:rsidP="008107C7">
      <w:pPr>
        <w:pStyle w:val="TextoNormal"/>
      </w:pPr>
      <w:r>
        <w:t>En resumen, estas formas de concreción del aprovechamiento urbanístico no pueden quedar a cubierto por las condiciones básicas a que se refiere el art.  149.1.1º C.E. La consecuencia que de ello se deriva no es otra que la inconstitucionalidad del art.  29.1 T.R.L.S. en su totalidad.</w:t>
      </w:r>
    </w:p>
    <w:p w:rsidR="008107C7" w:rsidRDefault="008107C7" w:rsidP="008107C7">
      <w:pPr>
        <w:pStyle w:val="TextoNormal"/>
      </w:pPr>
      <w:r>
        <w:t>f) (Art. 30.1 y 3, "Reducción del aprovechamiento urbanístico en actuaciones sistemáticas").</w:t>
      </w:r>
    </w:p>
    <w:p w:rsidR="008107C7" w:rsidRDefault="008107C7" w:rsidP="008107C7">
      <w:pPr>
        <w:pStyle w:val="TextoNormal"/>
      </w:pPr>
      <w:r>
        <w:t>La Generalidad de Cataluña (recurso núm. 2.481/90 deducido contra los arts.  18.1 y 3 de la Ley 8/1990) impugna el art. 30.1 y 3 T.R.L.S. por cuanto, a su juicio, regula claramente una sanción urbanística que se impone en el caso de incumplimiento del deber urbanístico de solicitar la licencia de edificación dentro del plazo, establece alguna norma procedimental al respecto y obliga, finalmente, a la Administración actuante o bien a expropiar los terrenos o a proceder a su venta forzosa, extremos todos éstos para los que carece el Estado de competencia alguna puesto que se trata de materias típicamente urbanísticas, sin perjuicio, en otro orden de cosas, de su dudosa compatibilidad, en cuanto a la expropiación-sanción se refiere, con las garantías que establece el art. 25 C.E. El recurso de la Diputación General de Aragón (núm. 2.486/90) reitera el carácter urbanístico de tales materias, sin que en su recurso núm.  2.341/92 añada otro razonamiento a su impugnación por lo que al precepto se refiere que no sea afirmar la incompetencia del Estado para su regulación. Por último, la Comunidad Autónoma de las Islas Baleares alega que no es posible configurar la reducción del aprovechamiento urbanístico que como sanción establece el precepto como una limitación legal del derecho de propiedad, sino que constituye una medida de fomento (por la vía de imponer una sanción en caso de incumplimiento). Al apartado 3 del art.  30 le reprocha además que al imponerles a los Ayuntamientos que resuelvan acerca del incumplimiento del plazo y decidan sobre la expropiación o la venta forzosa el Estado se extralimita en sus competencias y vulnera los principios de autonomía local y autonómica (art.  137 y 140 C.E.).  Por el contrario, para el Abogado del Estado el art. 30.1 en cuanto prescribe que el derecho al aprovechamiento urbanístico -a diferencia de otras facultades- no se extingue sino que sólo se reduce a la mitad por incumplimiento del deber de solicitar licencia es precepto básico que se ampara en el art.  149.1.1º C.E. Además, el inciso final del mismo artículo -del que resulta que las bases del concurso deberán fijar los plazos tratándose de suelo urbanizable no programado, cuyo Programa de Actuación Urbanística fuera formulado de aquel modo- encuentra su cobertura en el art. 149.1.18º C.E. en la medida en que atribuye al Estado las bases del régimen jurídico-administrativo que garanticen un tratamiento común del administrado.  Igual apoyo tiene, a su juicio, el art. 30.3 puesto que regula la declaración administrativa de incumplimiento, la audiencia previa y el contenido necesario de la resolución administrativa que declare el incumplimiento. Por lo demás, la denominada "expropiación- sanción" es una calificación doctrinal de la que no se sigue que se trate de una decisión con finalidad punitiva por infracción de normas penales o sancionadoras de inexcusable observancia.</w:t>
      </w:r>
    </w:p>
    <w:p w:rsidR="008107C7" w:rsidRDefault="008107C7" w:rsidP="008107C7">
      <w:pPr>
        <w:pStyle w:val="TextoNormal"/>
      </w:pPr>
      <w:r>
        <w:lastRenderedPageBreak/>
        <w:t>Desde una perspectiva material, este precepto determina en primer lugar los efectos del incumplimiento de un deber básico del propietario, consistente en solicitar la licencia de edificación en los plazos fijados [art. 20.1d) T.R.L.S.]. Dos son los efectos en caso de incumplimiento: la reducción del aprovechamiento urbanístico en un 50 por 100 y la expropiación o venta forzosa, cuyo valor se determinará en todo caso con arreglo a la señalada reducción (art. 30.3) y que, por lo demás, constituye la reacción que con carácter general ha establecido el Texto Refundido en caso de incumplimiento de los deberes urbanísticos (art. 227). Para el propio Texto Refundido se trata, en definitiva, de una expropiación por incumplimiento de la función social de la propiedad [arts. 206.1f), 207a), 227, 30.3, entre otros], finalidad a la que responde igualmente el régimen de venta forzosa. En otros términos, el art. 30.1 -del que traen causa los restantes apartados del precepto- establece un deber básico a cargo del propietario -la solicitud de licencia de edificación en el plazo fijado- y la reducción del aprovechamiento a efectos de valoración en caso de incumplimiento. Los títulos competenciales del Estado que hay que enjuiciar al objeto de determinar su licitud son, pues, las reglas 1ª y 18ª del art. 149.1 C.E.</w:t>
      </w:r>
    </w:p>
    <w:p w:rsidR="008107C7" w:rsidRDefault="008107C7" w:rsidP="008107C7">
      <w:pPr>
        <w:pStyle w:val="TextoNormal"/>
      </w:pPr>
      <w:r>
        <w:t>Delimitada así la cuestión en lo que a los efectos previstos (art. 30.1 y 3) en caso de incumplimiento concierne, ha de rechazarse la alegación formulada en el recurso de la Generalidad de Cataluña que pone en duda la constitucionalidad de la medida porque la, a su juicio, expropiación-sanción no respetaría las garantías del art. 25 C.E. El problema no reside en que se trate de una "expropiación-sanción" que no respete las garantías del art. 25 C.E., como aduce la Generalidad de Cataluña. No son asimilables las sanciones administrativas y las expropiaciones dirigidas a garantizar el cumplimiento de la función social de la propiedad, sustituyendo al propietario incumplidor por la Administración expropiante o el particular subrogado como beneficiario de la operación expropiatoria, asimilación negada por la STC 42/1989 y el ATC 657/1987. Del concepto doctrinal de "expropiación-sanción" no cabe inferir "que se trate de una decisión con finalidad punitiva imputable a la ´culpabilidad´ del infractor, sino de las consecuencias objetivas derivadas del estado de explotación insuficiente o nula de una finca que, por ser incompatible con la función social de la propiedad agrícola, se hace necesario remediar en atención a esa prioritaria finalidad". Igual conclusión cabe extraer respecto del incumplimiento de la función social de la propiedad urbana, en la que, además, concurren especiales circunstancias en contraste con otras formas de propiedad, habida cuenta de la plusvalía generada como consecuencia de la acción urbanística de los entes públicos y de que el eventual incumplimiento de los deberes urbanísticos, señaladamente el de los plazos fijados, puede repercutir de ordinario en el encarecimiento de la vivienda y en la especulación, en contra de los fines marcados por el art. 47 C.E.</w:t>
      </w:r>
    </w:p>
    <w:p w:rsidR="008107C7" w:rsidRDefault="008107C7" w:rsidP="008107C7">
      <w:pPr>
        <w:pStyle w:val="TextoNormal"/>
      </w:pPr>
      <w:r>
        <w:t>En definitiva, el procedimiento expropiatorio, o el de venta forzosa, no constituyen procedimientos sancionadores stricto sensu, ni estas medidas tienen una finalidad sancionadora a los efectos del art. 25 C.E. que, en consecuencia, no ha podido ser vulnerado, lo que tampoco excluye, claro está, la necesidad de establecer las garantías procedimentales que aseguren su correcta aplicación y la posibilidad de que el propietario pueda alegar cuanto a su derecho convenga, extremo este que el propio art. 30.3 T.R.L.S.  establece con carácter básico exigiendo que la resolución administrativa por la que se declare el incumplimiento se dicte previa audiencia del interesado, y que ya la Ley de Expropiación Forzosa, de 16 de diciembre de 1954, entre otras garantías, contemplaba [art. 75 a)].</w:t>
      </w:r>
    </w:p>
    <w:p w:rsidR="008107C7" w:rsidRDefault="008107C7" w:rsidP="008107C7">
      <w:pPr>
        <w:pStyle w:val="TextoNormal"/>
      </w:pPr>
      <w:r>
        <w:t xml:space="preserve">Problema distinto es el de determinar si, a efectos estrictamente competenciales, al Estado le es lícito establecer la expropiación por incumplimiento de la función social de la propiedad o la venta forzosa en materia urbanística, sea por virtud del art.  149.1.1º ó del </w:t>
      </w:r>
      <w:r>
        <w:lastRenderedPageBreak/>
        <w:t>18º C.E. o, por el contrario, se trata de una medida que ha de caer necesariamente en la órbita de la competencia sobre el urbanismo (art. 148.1.3º C.E.). La reserva constitucional en favor del Estado sobre la legislación de expropiación forzosa no excluye que "por Ley autonómica puedan establecerse, en el ámbito de sus propias competencias, los casos o supuestos en que procede aplicar la expropiación forzosa determinando las causas de expropiar y los fines de interés público a que aquélla debe servir" (SSTC 37/1987, fundamento jurídico 6º; 17/1990, fundamento jurídico 10). Cabe concluir, pues, que será el Estado o la Comunidad Autónoma, de acuerdo con la titularidad de la competencia material, los que podrán, en su caso, definir una causa expropriandi, lo que, aplicado al tema que nos ocupa, permite sostener que al Estado le es lícito definir legalmente como causa expropriandi el incumplimiento de la función social de la propiedad, cuando se trate del incumplimiento de aquellos deberes básicos cuya regulación compete al amparo del art. 149.1.1º C.E., en tanto que a las Comunidades Autónomas les incumbe definir, en su caso, otras posibles causas de expropiar como técnica al servicio, entre otras materias, del cumplimiento de los deberes dominicales que con respeto de las condiciones básicas cumpla a las Comunidades Autónomas establecer en virtud del art.  148.1.3º C.E. y de sus respectivos Estatutos de Autonomía.</w:t>
      </w:r>
    </w:p>
    <w:p w:rsidR="008107C7" w:rsidRDefault="008107C7" w:rsidP="008107C7">
      <w:pPr>
        <w:pStyle w:val="TextoNormal"/>
      </w:pPr>
      <w:r>
        <w:t>De cuanto antecede, se infiere que el Estado, por virtud del art. 149.1.18º C.E., no puede definir con carácter básico todos los supuestos en que cabe hacer uso de la técnica expropiatoria mediante la declaración de la causa expropriandi necesaria en cada caso, habida cuenta de que la legislación sectorial sobre el urbanismo es de la competencia de las Comunidades Autónomas.  Pero, como hemos dicho, ello no empece a que, por virtud del art.  149.1.1º C.E., el legislador estatal pueda definir como causa expropriandi el incumplimiento de la función social, justamente por la inobservancia de esos deberes básicos que al Estado compete regular por virtud del referido precepto.</w:t>
      </w:r>
    </w:p>
    <w:p w:rsidR="008107C7" w:rsidRDefault="008107C7" w:rsidP="008107C7">
      <w:pPr>
        <w:pStyle w:val="TextoNormal"/>
      </w:pPr>
      <w:r>
        <w:t>Sentadas estas premisas, procede comenzar nuestro examen por el art. 30.3 T.R.L.S., relativo a la expropiación. El primer inciso del art. 30.3 no suscita especiales dificultades, pues se limita a establecer la garantía procedimental para declarar producido el incumplimiento del deber de solicitud de licencia de edificación dentro de plazo, procedimiento que culminará con la resolución administrativa oportuna, que, en caso de declarar el incumplimiento, acarreará los efectos jurídicos que el precepto señala.  Encuentra, pues, su cobertura en el art. 149.1.18º C.E.  en cuanto reserva al Estado la legislación sobre expropiación forzosa, y del que se infiere, entre otros extremos, que al Estado le compete la "regulación uniforme de la institución como garantía de los particulares afectados", tal como hemos declarado en reiterada jurisprudencia (SSTC 37/1987, fundamento jurídico 6º; 17/1990, fundamento jurídico 10). Ha de rechazarse, pues, el reproche del recurrente según el cual se establece una norma procedimental que no compete regular al Estado.</w:t>
      </w:r>
    </w:p>
    <w:p w:rsidR="008107C7" w:rsidRDefault="008107C7" w:rsidP="008107C7">
      <w:pPr>
        <w:pStyle w:val="TextoNormal"/>
      </w:pPr>
      <w:r>
        <w:t xml:space="preserve">Hemos de examinar ahora si respeta el orden competencial el segundo inciso de este art.  30.3, calificado de básico, cuando dispone que "el Ayuntamiento decidirá sobre la expropiación o sujeción al régimen de venta forzosa de los correspondientes terrenos, cuyo valor se determinará, en todo caso, con arreglo a la señalada reducción del aprovechamiento urbanístico". Pues bien, una cosa es que el Estado, por el juego recíproco de las reglas 1ª y 18ª del art. 149.1 C.E., pueda definir legalmente la causa expropriandi en caso de incumplimiento de los deberes básicos del propietario, y otra muy distinta que dicha habilitación competencial, y singularmente la regulación de las condiciones básicas del art. 149.1.1º, le faculte legítimamente para imponer como única reacción jurídica posible frente a tales incumplimientos la expropiación o venta forzosa, ejercitada de manera necesaria y sin alternativa posible por los Municipios o, en su defecto - y si fuera admisible la técnica de la </w:t>
      </w:r>
      <w:r>
        <w:lastRenderedPageBreak/>
        <w:t>sustitución- por la Comunidades Autónomas, configurando de tal modo una potestad expropiatoria de ejercicio obligatorio y a cargo de los Entes públicos territoriales gestores de urbanismo.</w:t>
      </w:r>
    </w:p>
    <w:p w:rsidR="008107C7" w:rsidRDefault="008107C7" w:rsidP="008107C7">
      <w:pPr>
        <w:pStyle w:val="TextoNormal"/>
      </w:pPr>
      <w:r>
        <w:t>En tanto en cuanto el logro de la finalidad esencial e inspiradora de toda la regulación del estatuto de la propiedad urbana (conforme al título competencial del art. 149.1.1º) de incorporar a los propietarios de suelo al proceso urbanizador y al subsiguiente edificatorio, pueda obtenerse por diversas vías de reacción jurídica, no cabe que el Estado opte con carácter exclusivo por una de las posibles, la medida expropiatoria (o la alternativa de la venta forzosa), imponiéndola como la única procedente al legislador autonómico y a las Administraciones urbanísticas actuantes, que no pueden sino apartar, constatado el incumplimiento, a los propietarios de su incorporación al proceso de urbanización o de edificación, para ser sustituidos por la Administración gestora o por beneficiarios particulares, con la consiguiente doble carga de complejidad técnica y de onerosidad financiera.</w:t>
      </w:r>
    </w:p>
    <w:p w:rsidR="008107C7" w:rsidRDefault="008107C7" w:rsidP="008107C7">
      <w:pPr>
        <w:pStyle w:val="TextoNormal"/>
      </w:pPr>
      <w:r>
        <w:t>En conclusión, al imponer como única la reacción jurídica de la potestad expropiatoria, al menos para determinados ámbitos territoriales, se impide que el legislador autonómico pueda, en ejercicio de su competencia exclusiva sobre urbanismo, y ponderando las circunstancias y factores diversos de toda índole, acudir a eventuales técnicas urbanísticas diversas (multas coercitivas, ad exemplum), por lo que se invade esta competencia exclusiva, más allá del título competencial de regulación de las condiciones básicas (art. 149.1.1º) y de la legislación sobre expropiación forzosa (art. 149.1.18º C.E).</w:t>
      </w:r>
    </w:p>
    <w:p w:rsidR="008107C7" w:rsidRDefault="008107C7" w:rsidP="008107C7">
      <w:pPr>
        <w:pStyle w:val="TextoNormal"/>
      </w:pPr>
      <w:r>
        <w:t>Ha de añadirse, por otra parte, que la regulación de las condiciones básicas ex art. 149.1.1 C.E. no puede por sí misma llegar a imponer conductas determinadas a otros Entes públicos, habida cuenta que el destinatario de dicho título competencial es exclusivamente el ciudadano, en cuanto titular de derechos y deberes constitucionales; siendo de notar también que la reacción frente al incumplimiento, ha de ser remitida a los medios de ejecución forzosa que pueda establecer la legislación autonómica aplicable, tal como determina, para el incumplimiento del deber- derecho de urbanizar por los propietarios de suelo en actuaciones sistemáticas, el art. 149.3 T.R.L.S..</w:t>
      </w:r>
    </w:p>
    <w:p w:rsidR="008107C7" w:rsidRDefault="008107C7" w:rsidP="008107C7">
      <w:pPr>
        <w:pStyle w:val="TextoNormal"/>
      </w:pPr>
      <w:r>
        <w:t>Por último, en lo que concierne al art. 30.1 T.R.L.S., debe concluirse que la reducción al 50 por 100 del aprovechamiento urbanístico que dispone el precepto, en la medida en que utiliza una técnica ya declarada inconstitucional, como hemos dicho al enjuiciar el art. 27.1 y 2, debe correr la misma suerte que esta última norma, dado que no se efectúa mediante la fijación de criterios mínimos, que en este caso consistirían en la determinación de un tope máximo de tal reducción, de tal modo que permitiese a las Comunidades Autónomas la determinación del porcentaje de disminución que estimasen adecuado, para respetar así el ejercicio de la competencia en materia de urbanismo que aquellos Entes públicos tienen constitucionalmente atribuída.</w:t>
      </w:r>
    </w:p>
    <w:p w:rsidR="008107C7" w:rsidRDefault="008107C7" w:rsidP="008107C7">
      <w:pPr>
        <w:pStyle w:val="TextoNormal"/>
      </w:pPr>
      <w:r>
        <w:t>Por consiguiente, el art. 30.1 y 3, en su segundo inciso, "El Ayuntamiento decidirá sobre la expropiación o sujeción al régimen de venta forzosa...", es contrario al orden constitucional de competencias.</w:t>
      </w:r>
    </w:p>
    <w:p w:rsidR="008107C7" w:rsidRDefault="008107C7" w:rsidP="008107C7">
      <w:pPr>
        <w:pStyle w:val="TextoNormal"/>
      </w:pPr>
      <w:r>
        <w:t xml:space="preserve">Finalmente, en otro orden de consideraciones, ha de destacarse, para la cabal comprensión del precepto y por lo que atañe al deber de solicitar la licencia de edificación en plazo, que no existe invasión de la competencia autonómica sobre urbanismo por esta sujeción a plazo del deber de solicitar el acto autorizatorio. Esta dimensión temporal de la propiedad urbana y de su ejercicio mediante la materialización del aprovechamiento urbanístico, es decir, del derecho a edificar, tiene su respaldo en el mandato del constituyente de regular la utilización del suelo de acuerdo con el interés general para impedir la especulación, en conexión con el derecho de todos los españoles al disfrute de una vivienda digna y adecuada </w:t>
      </w:r>
      <w:r>
        <w:lastRenderedPageBreak/>
        <w:t>(art. 47 C.E.), directrices constitucionales éstas que quedarían desatendidas si la incorporación de los propietarios al proceso urbanizador y edificatorio quedase deferida a su libre y omnímoda decisión, desde una perspectiva temporal. Si bien la fijación de plazos, su prorrogabilidad o no, el instrumento en que deban establecerse y otras concreciones de la dimensión temporal de la propiedad urbana deban ser remitidas al legislador autonómico, como pertenecientes al ámbito de las concretas técnicas urbanísticas, es decir, de la ordenación urbana (art. 148.1.3ª C.E.). No ha de olvidarse, dicho en otros términos, que de las condiciones básicas de la propiedad urbana establecidas por el legislador estatal se infiere que la dimensión temporal -el proceso de progresiva adquisición y patrimonialización de las facultades dominicales- constituye un elemento esencial. Bajo este perfil, parece asimismo evidente que la referencia al tiempo o a la existencia y cumplimiento de plazos no sea sino uno de los elementos integrantes de tales condiciones básicas.</w:t>
      </w:r>
    </w:p>
    <w:p w:rsidR="008107C7" w:rsidRDefault="008107C7" w:rsidP="008107C7">
      <w:pPr>
        <w:pStyle w:val="TextoNormal"/>
      </w:pPr>
      <w:r>
        <w:t>g) (Art. 31.1. y 2., "Reducción del aprovechamiento en actuaciones asistemáticas").</w:t>
      </w:r>
    </w:p>
    <w:p w:rsidR="008107C7" w:rsidRDefault="008107C7" w:rsidP="008107C7">
      <w:pPr>
        <w:pStyle w:val="TextoNormal"/>
      </w:pPr>
      <w:r>
        <w:t>Ambos apartados del art. 31 T.R.L.S. han sido impugnados por la Generalidad de Cataluña (recursos núms. 2.342/92 y 2.481/90).  El apartado 2 por idénticas razones a las esgrimidas frente al art. 30.1 y 3, y el apartado 1 del art. 31 T.R.L.S. con los mismos argumentos que se expusieron contra los arts. 3.1, 3.2c) y 4.1 del T.R.L.S., razonamientos todos a los que ya hemos hecho referencia al enjuiciar tales preceptos. Con análogos argumentos combate la Diputación de Aragón (recurso núm. 2.341/92) el art.  31.2 T.R.L.S., ya recogidos en la impugnación del art. 30.1 y 3 T.R.L.S., en tanto que los argumentos del recurso núm. 2.486/90 (deducido contra el entonces art. 19.2 de la Ley 8/1990) se encuentran recogidos en el núm. 10.A de los antecedentes.  El recurso de la Comunidad Autónoma de las Islas Baleares impugna el art. 31.2 T.R.L.S. por su conexión con el art. 30.3 T.R.L.S., al que se remite.</w:t>
      </w:r>
    </w:p>
    <w:p w:rsidR="008107C7" w:rsidRDefault="008107C7" w:rsidP="008107C7">
      <w:pPr>
        <w:pStyle w:val="TextoNormal"/>
      </w:pPr>
      <w:r>
        <w:t>El art. 31.2 T.R.L.S. no es más que un correlato del art.  30.1, aunque a diferencia de éste, referido a actuaciones urbanísticas asistemáticas, por lo que le es aplicable enteramente lo dicho antes respecto a este último. Pero es que además el art.  31.2, en su segundo inciso, vincula el deber de solicitud de licencia de edificación al levantamiento por el titular de la parcela de una carga urbanística previa, -la conversión de la parcela en solar o el compromiso garantizado de asumir simultáneamente la urbanización y la edificación proyectada- introduciendo de tal modo en el precepto enjuiciado requisitos afectantes a técnicas urbanísticas concretas, propios de la competencia sectorial sobre el urbanismo y no aptos, por tanto, para ser considerados como condiciones básicas cuya regulación compete al Estado en virtud del título competencial contenido en la regla 1ª del art. 149.1 C.E.</w:t>
      </w:r>
    </w:p>
    <w:p w:rsidR="008107C7" w:rsidRDefault="008107C7" w:rsidP="008107C7">
      <w:pPr>
        <w:pStyle w:val="TextoNormal"/>
      </w:pPr>
      <w:r>
        <w:t>Igual conclusión de inconstitucionalidad se alcanza respecto del art. 31.1 T.R.L.S.. Debe tenerse en cuenta, a nuestros efectos, que el art. 31.1 impone o establece la presunción de que en las actuaciones asistemáticas en suelo urbano (actuando aisladamente o al margen de unidades de ejecución) el derecho al aprovechamiento urbanístico se entiende adquirido sin necesidad de cumplir ningún deber o carga urbanística previos, sino pura y simplemente por la aprobación del planeamiento preciso en cada caso. Se trata de una excepción al régimen general que el legislador señala para que tal facultad (el aprovechamiento urbanístico) se incorpore al patrimonio del titular del terreno, lo que tan sólo se producirá, como prescribe el art. 26 T.R.L.S., por la acreditación de que se han cumplido los deberes de cesión, equidistribución y urbanización dentro de los plazos correspondientes.</w:t>
      </w:r>
    </w:p>
    <w:p w:rsidR="008107C7" w:rsidRDefault="008107C7" w:rsidP="008107C7">
      <w:pPr>
        <w:pStyle w:val="TextoNormal"/>
      </w:pPr>
      <w:r>
        <w:t xml:space="preserve">Pues bien, la no exigibilidad de tales deberes urbanísticos previos sólo podrá declararse cuando la parcela haya adquirido la condición de solar (pues si es así, pueden entenderse cumplidos los deberes de la fase de urbanización, y atribuido al propietario un aprovechamiento urbanístico susceptible de ser materializado mediante la obtención de la licencia de </w:t>
      </w:r>
      <w:r>
        <w:lastRenderedPageBreak/>
        <w:t>edificación); pero no es equiparable este supuesto al de parcelas que por no tener urbanización o tenerla incompleta precisan del cumplimiento de este deber previo, como viene a poner de manifiesto la regulación contenida en el apartado 2 del precepto.  No nos encontramos, pues, ante una consecuencia obligada o necesaria del diseño de adquisición gradual de facultades urbanísticas, tal como ha configurado el legislador estatal el estatuto básico de la propiedad urbana, sino ante un criterio que se impone al legislador autonómico, sin respetar las opciones de éste propias de su competencia exclusiva sobre urbanismo, afectando a técnicas urbanísticas concretas, lo que determina la conclusión de que el art. 31.1 vulnera el orden constitucional de distribución de competencias.</w:t>
      </w:r>
    </w:p>
    <w:p w:rsidR="008107C7" w:rsidRDefault="008107C7" w:rsidP="008107C7">
      <w:pPr>
        <w:pStyle w:val="TextoNormal"/>
      </w:pPr>
      <w:r>
        <w:t>Importa subrayar que la declaración de inconstitucionalidad del art. 31.1 T.R.L.S. no obedece, por tanto, a que no quepa concebir, entre las condiciones básicas a que se refiere el art.  149.1.1º C.E., el momento a partir del cual se obtiene el aprovechamiento urbanístico, sino, más bien, a que, en este concreto supuesto, excede de la competencia estatal, por cuanto, en suma, hace depender un efecto jurídico -la adquisición del aprovechamiento- de un presupuesto de hecho que pertenece a la disposición de la competencia legislativa de las Comunidades Autónomas (la categoría de suelo urbano; el concepto de actuaciones asistemáticas; la previa aprobación de un instrumento de planeamiento). La determinación, con carácter de norma básica, de un supuesto de hecho que indirectamente tiende a prefigurar el modelo urbanístico constituye un recurso que, como venimos reiterando, invade la competencia sobre urbanismo. En línea con lo que se ha razonado respecto del art. 19 T.R.L.S., si el Estado se hubiera limitado a determinar que la adquisición se condiciona al previo cumplimiento de los deberes (para cuya definición ostenta competencias), descansen éstos en la ley o en el planeamiento, el precepto en cuestión habría podido ser declarado conforme con la Constitución. En ese sentido, y por contraste con la regulación del art. 31.1 T.R.L.S., es evidente que el art. 26 T.R.L.S., no impugnado, se mueve en el marco de la competencia estatal ex art. 149.1.1º C.E. Procede, por tanto, declarar inconstitucional el art. 31.1 y 2 T.R.L.S..</w:t>
      </w:r>
    </w:p>
    <w:p w:rsidR="008107C7" w:rsidRDefault="008107C7" w:rsidP="008107C7">
      <w:pPr>
        <w:pStyle w:val="TextoNormal"/>
      </w:pPr>
      <w:r>
        <w:t>h) (Art. 32, "Aprovechamiento atribuible en expropiaciones no motivadas por incumplimiento de deberes urbanísticos").</w:t>
      </w:r>
    </w:p>
    <w:p w:rsidR="008107C7" w:rsidRDefault="008107C7" w:rsidP="008107C7">
      <w:pPr>
        <w:pStyle w:val="TextoNormal"/>
      </w:pPr>
      <w:r>
        <w:t xml:space="preserve">Ha de tenerse en cuenta, en primer término, al objeto de identificar correctamente la alegaciones de los recurrentes, formuladas en los recursos deducidos en 1990 y 1992, que el art.  32 del vigente Texto Refundido o bien conecta o bien es mera reproducción de los arts. 16.2, 38.1 y 2 y 39 de la Ley 8/1990.  Así, la Generalidad de Cataluña impugna este precepto (recurso núm.  2.481/90 frente a los arts. 16, 38 y 39 de la Ley 8/1990) con los mismos argumentos utilizados para atacar el art. 27 del Texto Refundido, subrayando la extralimitación que supone una regulación pormenorizada e injustificada de las cargas urbanísticas por parte del Estado. La Diputación General de Aragón (recurso núm. 2.486/90 contra los arts. 38 y 39 de la Ley 8/1990) considera igualmente que se trata de una regulación detallada propia del régimen urbanístico, siendo así que el urbanismo es competencia exclusiva autonómica, por lo que sólo en ámbitos muy reducidos pueden residenciarse, excepcionalmente, campos de normación de la competencia estatal, alegaciones que reitera en su recurso núm. 2.341/92 en los términos expuestos ante los arts. 27, 29.1, 30.1 y 3 y 31.2 del T.R.L.S.. La Comunidad Autónoma de las Islas Baleares reproduce sus alegaciones formuladas frente al art. 27 del T.R.L.S., añadiendo además que impone unas cargas y cesiones que son sustancialmente superiores (75 por 100 y 50 por 100 en lugar de 85 por 100), sin justa distribución de cargas y beneficios y por la sola circunstancia externa al titular de los terrenos de estar destinada a sistemas generales o a dotaciones públicas de carácter local o estar incluidas en unidades de ejecución a desarrollar por el sistema de expropiación. En </w:t>
      </w:r>
      <w:r>
        <w:lastRenderedPageBreak/>
        <w:t>tales términos, concluye, resulta patente que el art.  149.1.1º C.E. no puede ser título habilitante para el Estado. El Abogado del Estado, por su parte, se remite a las alegaciones hechas respecto del art. 16 de la Ley 8/1990 ya recogidas al enjuiciar el art. 27 T.R.L.S., al entender que el art. 32 en cuestión y su carácter básico se apoya en idénticas razones a las ofrecidas en relación con el art. 27, también del T.R.L.S.. Considera que la uniformidad del porcentaje de cesión es un elemento de primer orden para garantizar la unidad del contenido del derecho al aprovechamiento urbanístico y, por ende, de la propiedad del suelo, y hace constitucionalmente legítima la intervención del Estado de conformidad con el art. 149.1.1º C.E. y, en su caso, con el art.  149.1.18º C.E. Por tanto, debe determinarse si, en efecto, los arts. 149.1.1º y 18º C.E. le ofrecen la cobertura suficiente al Estado para regular con carácter básico, y con ese grado de detalle, las materias que el art. 32 T.R.L.S.  contiene. Desde una perspectiva competencial, este precepto regula, de modo inescindiblemente unido, el derecho al aprovechamiento atribuible a los terrenos con unas características especiales y su valoración a efectos expropiatorios, esto es, y como el propio título del precepto indica, "el aprovechamiento atribuible en expropiaciones no motivadas por incumplimiento de deberes urbanísticos". Dos son, pues, los títulos competenciales que por parte del Estado pueden incidir sobre tales materias, la regla 1ª y la 18ª del art. 149.1 C.E.</w:t>
      </w:r>
    </w:p>
    <w:p w:rsidR="008107C7" w:rsidRDefault="008107C7" w:rsidP="008107C7">
      <w:pPr>
        <w:pStyle w:val="TextoNormal"/>
      </w:pPr>
      <w:r>
        <w:t>Con carácter previo, procede analizar un problema distinto, planteado por el recurso de la Comunidad Autónoma de las Islas Baleares, y que, en rigor, se reconduce al principio de igualdad en la ley (art. 14 C.E.), por cuanto reprocha al art. 32 T.R.L.S. la vulneración de la justa distribución de cargas y beneficios por una circunstancia en todo ajena al titular, bien sea por estar los terrenos destinados a sistemas generales o a dotaciones públicas de carácter local (75 por 100) o estar incluidas en unidades de ejecución a desarrollar por el sistema de expropiación (50 por 100). En virtud de la doctrina de este Tribunal [así, en nuestra STC 76/1990, fundamento jurídico 9º A)] habría que indagar si la diferenciación normativa, en lo que a la cuantía del aprovechamiento se refiere y a su consiguiente valoración a efectos expropiatorios, responde o no a una justificación objetiva y razonable, de acuerdo con criterios y juicios de valor generalmente admitidos, cuya exigencia debe aplicarse en relación con la finalidad y efectos de la medida considerada, debiendo guardar, por ello, una razonable relación de proporcionalidad entre los medios empleados y la finalidad perseguida.  Las diversificaciones normativas son conformes a la igualdad, en definitiva, cuando cabe discernir en ellas una finalidad no contradictoria con la Constitución y cuando, además, las normas de las que la diferencia nace muestran una estructura coherente, en términos de razonable proporcionalidad, con el fin perseguido.</w:t>
      </w:r>
    </w:p>
    <w:p w:rsidR="008107C7" w:rsidRDefault="008107C7" w:rsidP="008107C7">
      <w:pPr>
        <w:pStyle w:val="TextoNormal"/>
      </w:pPr>
      <w:r>
        <w:t xml:space="preserve">Así pues, y por lo que al precepto enjuiciado concierne, el legislador le atribuye al titular dominical una cuantía o un porcentaje de aprovechamiento distinto (75 ó 50 por 100) al que rige con carácter general en el art. 27 (85 por 100), y ello, además, por circunstancias no imputables al propietario. Con todo, el art. 32 contempla, como es obvio, unos supuestos distintos y excepcionales respecto de la regla general del art.  27 y que, para el legislador estatal, son suficientes para justificar de forma objetiva y razonable un tratamiento diferenciado. Para su enjuiciamiento, lo primero que hay que determinar, por consiguiente, es la finalidad perseguida por la norma y ulteriormente si el medio arbitrado -una valoración inferior- guarda una relación razonable de proporcionalidad, conforme a la doctrina anteriormente expuesta. En tal sentido, no es fácil identificar la finalidad o finalidades objetivas que la norma persigue en el complejo entramado normativo en el que se inserta, aunque el propio título que encabeza el precepto permite entender que sus fines se resuelven en determinar la cuantía del aprovechamiento urbanístico cuando se obtiene por expropiación no motivada </w:t>
      </w:r>
      <w:r>
        <w:lastRenderedPageBreak/>
        <w:t>por el incumplimiento de los deberes dominicales y concurran determinadas circunstancias, finalidad que así entendida no puede tacharse en sí misma de arbitraria.</w:t>
      </w:r>
    </w:p>
    <w:p w:rsidR="008107C7" w:rsidRDefault="008107C7" w:rsidP="008107C7">
      <w:pPr>
        <w:pStyle w:val="TextoNormal"/>
      </w:pPr>
      <w:r>
        <w:t>El Preámbulo de la Ley 8/1990 (apartado IV) intenta desvelar la ratio de este y otros preceptos, cuando afirma que por razones de coherencia, la valoración de los bienes expropiados o sujetos a venta forzosa (por incumplimiento de la función social de la propiedad) debe hacerse en función de las facultades urbanísticas efectivamente adquiridas, teniendo en cuenta la pérdida o reducción de dichas facultades que puedan derivarse del incumplimiento. Y con mayor razón, añade, en los supuestos en que la expropiación no sea la respuesta a un incumplimiento, el justiprecio deberá fijarse en función del aprovechamiento urbanístico correspondiente, ya que aquí no hay incumplimiento alguno imputable al expropiado, "teniendo en cuenta la inexistencia de carga alguna de gestión para éste". Se trata, pues, de casos en los que el planeamiento prevé la realización de actuaciones urbanísticas por la vía expropiatoria y en los que los propietarios quedan al margen del proceso de urbanización, sin soportar, por tanto, las cargas propias del mismo. No se puede sostener, pues, desde una perspectiva constitucional que la consecuente asignación de porcentajes inferiores carezca manifiestamente de toda justificación objetiva y razonable.</w:t>
      </w:r>
    </w:p>
    <w:p w:rsidR="008107C7" w:rsidRDefault="008107C7" w:rsidP="008107C7">
      <w:pPr>
        <w:pStyle w:val="TextoNormal"/>
      </w:pPr>
      <w:r>
        <w:t>Sin embargo, para que la diferenciación resulte constitucionalmente lícita no basta con que lo sea el fin que con ella se persigue. Es indispensable, además, que las consecuencias jurídicas que de la distinción de los supuestos fácticos se derivan sean adecuadas a aquel fin y proporcionadas a las diferencias mismas a las que se viene a dotar así de trascendencia para el Derecho [STC 76/1990, fundamento jurídico 9º A)]. En tal sentido, resulta irrelevante, a efectos constitucionales, el hecho de que la aplicación del régimen previsto en el art. 32 T.R.L.S. no sea imputable al propietario; lo decisivo es más bien determinar si las consecuencias o efectos -un aprovechamiento inferior a la regla general- son coherentes e idóneos para alcanzar el fin propuesto y proporcionadas a tales diferencias. Desde esta perspectiva, el enjuiciamiento abstracto de la norma en cuestión no permite concluir que exista una absoluta y patente falta de proporcionalidad de la medida -única perspectiva que aquí cabe considerar (SSTC 66/1995, 55/1996 y 207/1996)-, habida cuenta de las diversas circunstancias concurrentes en cada supuesto, según resulta de cuanto disponen los tres apartados del art. 30 en relación con la regla general fijada en el art. 27 T.R.L.S..</w:t>
      </w:r>
    </w:p>
    <w:p w:rsidR="008107C7" w:rsidRDefault="008107C7" w:rsidP="008107C7">
      <w:pPr>
        <w:pStyle w:val="TextoNormal"/>
      </w:pPr>
      <w:r>
        <w:t>Pues bien, desestimada esa primera alegación, y en punto a la cuestión competencial suscitada, ha de advertirse que ya ha quedado resuelta al enjuiciar el art. 27.1 y 2 T.R.L.S..  De ahí que, en coherencia con lo que allí se ha razonado, y por los mismos argumentos, deba concluirse en la inconstitucionalidad del art. 32 T.R.L.S., no tanto porque el Estado carezca de toda competencia sobre la materia, cuanto por la concreta forma de ejercerla.</w:t>
      </w:r>
    </w:p>
    <w:p w:rsidR="008107C7" w:rsidRDefault="008107C7" w:rsidP="008107C7">
      <w:pPr>
        <w:pStyle w:val="TextoNormal"/>
      </w:pPr>
      <w:r>
        <w:t>i) (Art. 34, "No adquisición del derecho a edificar" y art.  36, "Efectos de la extinción del derecho a edificar").</w:t>
      </w:r>
    </w:p>
    <w:p w:rsidR="008107C7" w:rsidRDefault="008107C7" w:rsidP="008107C7">
      <w:pPr>
        <w:pStyle w:val="TextoNormal"/>
      </w:pPr>
      <w:r>
        <w:t xml:space="preserve">Estos preceptos, atinentes al derecho a edificar como facultad inherente al derecho de propiedad urbana, contienen una regulación que responde a la misma lógica de los arts. 27, 30 y 31 relativos al derecho al aprovechamiento urbanístico, y a los que ya nos hemos referido.  La Generalidad de Cataluña (recurso núm. 2.481/90 deducido frente a los arts. 22 y 24 de la Ley 8/1990) impugna los arts. 34 y 36 T.R.L.S. por cuanto establecen imperativamente que la Administración competente expropie o acuerde la venta forzosa, lo que infringiría el principio de autonomía (arts. 137 y 140 C.E.). La Diputación General de Aragón (recurso núm. 2.486/90) les reprocha que regulan materia propiamente urbanística en virtud de otros argumentos generales ya expuestos (núm.  10.A de los antecedentes) y, además (recurso núm. 2.341/92), insiste igualmente en que obligan a las Administraciones públicas a realizar unas concretas actuaciones con independencia de sus propios criterios atacando el </w:t>
      </w:r>
      <w:r>
        <w:lastRenderedPageBreak/>
        <w:t>principio de autonomía y la posibilidad de diseñar una política urbanística propia. El recurso de la Comunidad Autónoma de las Islas Baleares reitera sus alegaciones sobre su contenido sancionador, ya formuladas frente a los arts.  30 y 31 T.R.L.S., y coincide también en apreciar la vulneración del principio de autonomía, sin perjuicio, asimismo, de que la causa expropriandi tampoco se encuentra amparada en el art. 148.1.18º C.E.  El Abogado del Estado, por el contrario, alega que el art. 34 T.R.L.S. tiene su cobertura en el art.  149.1.1º C.E. y, habida cuenta el evidente nexo entre este precepto y el art.  30 T.R.L.S., ha de serle extensiva la misma justificación competencial. El art. 36 T.R.L.S. encajaría además en la regla del art. 149.1.18 C.E.</w:t>
      </w:r>
    </w:p>
    <w:p w:rsidR="008107C7" w:rsidRDefault="008107C7" w:rsidP="008107C7">
      <w:pPr>
        <w:pStyle w:val="TextoNormal"/>
      </w:pPr>
      <w:r>
        <w:t>Ciertamente, la materia regulada en los arts. 34 y 36.2 T.R.L.S. podría encontrar su cobertura, en lo que hace a la valoración o indemnización expropiatoria, en la regla 18ª del art. 149.1 C.E. que atribuye a la competencia exclusiva del Estado la legislación de expropiación forzosa, lo que, a nuestros efectos, comprende obviamente la valoración de los terrenos y las obras ya ejecutadas (art. 36.2 T.R.L.S.). De otro, tiene su asiento en el art. 149.1.1º C.E. en punto a legitimar que el Estado defina como causa expropriandi el incumplimiento de una de las facultades básicas que integran la propiedad del suelo -en este caso, el derecho a edificar (Sección 5ª: arts.  33-36 T.R.L.S.)-, puesto que, como hemos reiterado, quien ostente la competencia material, el Estado o las Comunidades Autónomas, podrá configurar una causa expropriandi (cfr.STC 37/1987, fundamento jurídico 6º), siendo así que, en esta sede, es el Estado el que tiene atribuida la competencia material o sustantiva para establecer las condiciones básicas. Por otra parte, el art.  34 T.R.L.S. -por contraste o comparación con el art. 30.1- sale al paso de una situación diversa pero con idénticos efectos, a saber: solicitud de licencia dentro de plazo pero disconforme con el ordenamiento urbanístico, con el propósito de eludir el incumplimiento formal de la sujeción a plazo pero presentando un proyecto constructivo no ajustado al planeamiento o legislación urbanística, lo que conduce igualmente a la no adquisición del derecho a edificar al no obtener la licencia, que es cabalmente la que determina la adquisición de tal derecho (art. 33.1 T.R.L.S.).</w:t>
      </w:r>
    </w:p>
    <w:p w:rsidR="008107C7" w:rsidRDefault="008107C7" w:rsidP="008107C7">
      <w:pPr>
        <w:pStyle w:val="TextoNormal"/>
      </w:pPr>
      <w:r>
        <w:t>Ahora bien, el art. 34 ("... determinará su expropiación o venta forzosa... ") y el art. 36.2 T.R.L.S. ("La Administración expropiará los correspondientes terrenos con las obras ya ejecutadas o acordará su venta forzosa") no se limitan a configurar una genérica causa expropriandi, sino que, por el contrario, le otorgan a esta técnica un carácter imperativo y exclusivo, obligando a la Administración urbanística competente a proceder a la expropiación o venta forzosa. Como ya ha quedado razonado al enjuiciar el art.  30.3 T.R.L.S., ello supone una evidente extralimitación competencial.</w:t>
      </w:r>
    </w:p>
    <w:p w:rsidR="008107C7" w:rsidRDefault="008107C7" w:rsidP="008107C7">
      <w:pPr>
        <w:pStyle w:val="TextoNormal"/>
      </w:pPr>
      <w:r>
        <w:t>En su conjunto e interpretados sistemáticamente, los arts.  34 y 36.2 T.R.L.S.  van más allá de unos criterios generales en punto a la no adquisición del derecho a edificar (art. 34) y de sus efectos (art. 36), materias sobre la que, en principio, el Estado podría invocar legítimamente las reglas 1ª y 18ª del art.  149.1 C.E. Conviene, por ello, hacer alguna precisión. El segundo inciso del art. 34 T.R.L.S. ("con aplicación de la reducción del aprovechamiento señalada en los arts. 30.1 y 31.2, respectivamente") y del art. 36.2 T.R.L.S. ("valorándose aquéllos conforme al 50 por 100 del aprovechamiento urbanístico") conectan directamente o reproducen lo que disponen los arts.  30 y 31 T.R.L.S., por lo que, es obligado remitirse a lo dicho respecto a ellos.</w:t>
      </w:r>
    </w:p>
    <w:p w:rsidR="008107C7" w:rsidRDefault="008107C7" w:rsidP="008107C7">
      <w:pPr>
        <w:pStyle w:val="TextoNormal"/>
      </w:pPr>
      <w:r>
        <w:t xml:space="preserve">El contenido del art. 34 T.R.L.S. no admite una interpretación conforme a la Constitución, una vez declarada inconstitucional la imposición de una concreta conducta a la Administración competente -la expropiación o venta forzosa-, razón de ser del precepto mismo. El legislador estatal hubiera podido, lo que no hizo, fijar en abstracto y como mera habilitación la causa de expropiar en caso de no adquisición del derecho a edificar por causa </w:t>
      </w:r>
      <w:r>
        <w:lastRenderedPageBreak/>
        <w:t>imputable al titular, en los términos ya razonados respecto del art. 30.1 T.R.L.S., con pleno respeto del orden constitucional de competencias. Lo mismo cabe decir del art.  36.2 T.R.L.S.. En consecuencia, los arts. 34 y 36.2 T.R.L.S., en su totalidad, han de ser declarados contrarios a la Constitución.</w:t>
      </w:r>
    </w:p>
    <w:p w:rsidR="008107C7" w:rsidRDefault="008107C7" w:rsidP="008107C7">
      <w:pPr>
        <w:pStyle w:val="TextoNormal"/>
      </w:pPr>
      <w:r>
        <w:t>El art. 36.1 T.R.L.S., sin embargo, permite ser entendido como un precepto cuyo mandato se circunscribe a la prohibición de edificar, si el derecho ha quedado extinguido; por lo que respeta los criterios a los que hemos hecho referencia y ha de rechazarse su impugnación.</w:t>
      </w:r>
    </w:p>
    <w:p w:rsidR="008107C7" w:rsidRDefault="008107C7" w:rsidP="008107C7">
      <w:pPr>
        <w:pStyle w:val="TextoNormal"/>
      </w:pPr>
      <w:r>
        <w:t>j) (Art. 35, "Plazos para la edificación").</w:t>
      </w:r>
    </w:p>
    <w:p w:rsidR="008107C7" w:rsidRDefault="008107C7" w:rsidP="008107C7">
      <w:pPr>
        <w:pStyle w:val="TextoNormal"/>
      </w:pPr>
      <w:r>
        <w:t>La Diputación General de Aragón extiende su impugnación al art. 35.2 con igual razonamiento que el esgrimido contra los arts. 34 y 36. La Comunidad Autónoma de las Islas Baleares impugna el art. 35.1 porque, a su juicio, no puede tener carácter básico su contenido. El otorgamiento municipal de la licencia de edificación invade el "núcleo duro" de la competencia de ejecución urbanística y vulnera la autonomía municipal, sin que el Estado pueda invocar título competencial alguno.  El Abogado del Estado, sin embargo, alega que el art. 35 ha sido dictado en virtud de la competencia del art. 149.1.18º C.E. El apartado 1, continúa, pretende fijar un contenido tipo de la licencia, aunque acaba por remitir una vez más a la "normativa aplicable" (autonómica o local, en su caso). El apartado 2 regula, a su juicio, la extinción del derecho a edificar, por lo que se ampara en los arts. 149.1.1º y 18º C.E. conforme a lo alegado al tratar del art. 30.1 y 3.</w:t>
      </w:r>
    </w:p>
    <w:p w:rsidR="008107C7" w:rsidRDefault="008107C7" w:rsidP="008107C7">
      <w:pPr>
        <w:pStyle w:val="TextoNormal"/>
      </w:pPr>
      <w:r>
        <w:t>Antes de proceder al examen de las concretas impugnaciones deducidas, y abstracción hecha de la específica regulación legal que luce en el art. 35.2 T.R.L.S., preciso es reconocer que la ratio que anima al precepto combatido no se opone al art.  149.1.1º C.E. En efecto, la configuración de una facultad básica -aquí el derecho a edificar (arts. 33 y ss. T.R.L.S.)- como un derecho-deber de carácter temporal, sometido a plazo, y en el que la dimensión del tiempo constituye un elemento determinante al servicio, en última instancia, según afirma el Preámbulo de la Ley 8/1990, de la utilización del suelo de acuerdo con el interés general y de la lucha contra la especulación, encaja en las condiciones básicas a que se refiere el art. 149.1.1º C.E.  Una tal concepción del derecho de propiedad urbana y de su función social constituye una de las opciones posibles que al legislador estatal le es lícito establecer al amparo de aquel título competencial.</w:t>
      </w:r>
    </w:p>
    <w:p w:rsidR="008107C7" w:rsidRDefault="008107C7" w:rsidP="008107C7">
      <w:pPr>
        <w:pStyle w:val="TextoNormal"/>
      </w:pPr>
      <w:r>
        <w:t xml:space="preserve">Cuestión distinta es si la específica regulación operada por el art. 35 T.R.L.S. puede merecer algún reproche por la aducida invasión competencial, a la luz de la doctrina sentada. Desde esta perspectiva, es evidente que el primer apartado del art. 35 T.R.L.S. excede de lo que desde el art. 149.1.1º C.E., sistemática y coherentemente interpretado con el art. 148.1.3º C.E., le corresponde al Estado, tal y como ya hemos reiterado. Si el Estado, en el marco de la concepción de la propiedad del suelo a que responde el T.R.L.S., se hubiera limitado a sentar que la edificación estará sometida a plazo no merecería tacha alguna, bajo el perfil competencial. Sin embargo, y como es notorio, el art. 35.1 T.R.L.S. ha resuelto que sea precisamente en el acto del otorgamiento de la licencia cuando habrán de fijarse los plazos de iniciación, interrupción máxima y finalización de las obras, entrando así -a través de esa concreta configuración- en la competencia urbanística que a las Comunidades Autónomas les está reservada. En su pretensión, por tanto, de anudar a un acto -cuya normación, en su caso, entra en la esfera de la competencia urbanística- el plazo a quo para ejercer el derecho a edificar, su interrupción máxima y su finalización, desciende del terreno de las condiciones básicas, de los criterios más fundamentales para el ejercicio del derecho y el cumplimiento del deber, para optar por un concreto modelo urbanístico y unas técnicas determinadas que, en modo alguno, le corresponden. En suma, pues, la pretendida naturaleza </w:t>
      </w:r>
      <w:r>
        <w:lastRenderedPageBreak/>
        <w:t>básica del art. 35.1 T.R.L.S. es contraria al orden constitucional de distribución de competencias.</w:t>
      </w:r>
    </w:p>
    <w:p w:rsidR="008107C7" w:rsidRDefault="008107C7" w:rsidP="008107C7">
      <w:pPr>
        <w:pStyle w:val="TextoNormal"/>
      </w:pPr>
      <w:r>
        <w:t>Distinto es el juicio que cabe hacer del apartado 2º del mismo precepto, cuyo entronque directo, en primer término, con las condiciones básicas a que se refiere el art. 149.1.1º C.E.  resulta claro. Por contraste con el apartado 1º del art. 35 T.R.L.S., el contenido imperativo del apartado 2º se resuelve en establecer, a modo de criterio general, que "el derecho a edificar se extingue por incumplimiento de los plazos fijados", sin introducirse en la competencia urbanística con una normación específica.  Es evidente, como ya ha quedado también razonado, que las condiciones básicas de ejercicio pueden cubrir tanto las reglas mínimas de adquisición del derecho como su pérdida, máxime, como es el caso de la concepción que inspira el T.R.L.S., cuando la pérdida, o la no adquisición, está íntimamente ligada a la valoración de la facultad de que se trate a efectos expropiatorios, operación que, desde la estricta perspectiva competencial, se ve fortalecida por el art. 149.1.18º C.E. en punto a expropiación forzosa, y en los términos ya recordados.</w:t>
      </w:r>
    </w:p>
    <w:p w:rsidR="008107C7" w:rsidRDefault="008107C7" w:rsidP="008107C7">
      <w:pPr>
        <w:pStyle w:val="TextoNormal"/>
      </w:pPr>
      <w:r>
        <w:t>Por lo demás, la referencia final que hace el art. 35.2 T.R.L.S. a que la extinción del derecho por incumplimiento del plazo requiere una "declaración formal, en expediente tramitado con audiencia del interesado" encuentra cobertura constitucional en el art. 149.1.18º C.E., que también reserva al Estado la competencia sobre el procedimiento administrativo común.</w:t>
      </w:r>
    </w:p>
    <w:p w:rsidR="008107C7" w:rsidRDefault="008107C7" w:rsidP="008107C7">
      <w:pPr>
        <w:pStyle w:val="TextoNormal"/>
      </w:pPr>
      <w:r>
        <w:t>k) (Art. 38, "Edificación sin licencia e incompatible con el planeamiento"; art. 39, "Edificación sin licencia compatible con el planeamiento"; art. 40, "Licencia ilegal y expropiación o venta forzosa"; art. 41, "Edificación con exceso de aprovechamiento").</w:t>
      </w:r>
    </w:p>
    <w:p w:rsidR="008107C7" w:rsidRDefault="008107C7" w:rsidP="008107C7">
      <w:pPr>
        <w:pStyle w:val="TextoNormal"/>
      </w:pPr>
      <w:r>
        <w:t>La Generalidad de Cataluña (recursos núm. 2.481/90 contra los arts. 26; 27.1, 2 y 3; y 28.1 Ley 8/1990, impugnaciones reproducidas frente a los arts. 38; 40.1, 2 y 3; y 41.1; y núm.  2342/92 contra el art. 39) alega que los preceptos objeto de impugnación regulan materia de disciplina urbanística en relación con la licencia y su finalidad reside en el restablecimiento de la legalidad urbanística, por lo que, en consecuencia, corresponde dictarlas a las Comunidades Autónomas que son las competentes en materia de urbanismo. La Diputación General de Aragón en su recurso núm. 2.486/90 les imputa a tales preceptos - y también al 41.2- una clara invasión competencial en iguales términos a los ya expuestos al tratar de los arts. 34 y 36, subrayando en su recurso núm. 2.341/92 idénticos argumentos a los del recurso de la Generalidad de Cataluña (núm. 2.481/90). Por su parte, el recurso de la Comunidad Autónoma de las Islas Baleares - que se dirige contra los mismos preceptos también impugnados por la Diputación General de Aragón y además contra el entero art.  40, esto es, también a su apartado 4- alega asimismo que se trata de materia de disciplina urbanística sobre la que ya tiene una Ley promulgada que no puede verse desplazada por una pretendida normativa básica dictada por el Estado sin fundamento constitucional alguno.  El Abogado del Estado alega, por el contrario, cuanto se ha recogido en el apartado núm. 22.H de los Antecedentes en relación con los arts. 26 y ss. de la Ley 8/1990, argumentos que, en síntesis, se resuelven en afirmar que del carácter de disciplina urbanística que, sin duda, poseen esos preceptos, no se deriva la incompetencia del legislador nacional, sea por el art. 149.1.1º C.E. en cuanto regulan el estatuto jurídico básico de lo edificado -igual para toda España-, o por el art. 149.1.18º C.E. en la medida en que establecen un régimen básico que garantice el tratamiento común del administrado en supuestos que pueden afectar gravemente a propiedades privadas. A ello añade el título competencial que descansa en el art.  149.1.8º C.E. para justificar el carácter básico del actual art.  41.2 (antes 28.2 Ley 8/1990), únicamente impugnado por la Comunidad Autónoma de las Islas Baleares, por cuanto prescribe la inoponibilidad de la obligación a terceros hipotecarios.</w:t>
      </w:r>
    </w:p>
    <w:p w:rsidR="008107C7" w:rsidRDefault="008107C7" w:rsidP="008107C7">
      <w:pPr>
        <w:pStyle w:val="TextoNormal"/>
      </w:pPr>
      <w:r>
        <w:lastRenderedPageBreak/>
        <w:t>Es bien cierto, en efecto, que del hecho de que se trate de típicas normas de disciplina urbanística no se sigue, sin más, que el Estado carezca de toda competencia. Por encima de la calificación formal que la legislación o la doctrina le hayan atribuido, debe indagarse, a efectos competenciales, cuál es la materia o materias que esos preceptos encierran y si existen títulos en favor del Estado que, en su caso, puedan justificar tal normación.</w:t>
      </w:r>
    </w:p>
    <w:p w:rsidR="008107C7" w:rsidRDefault="008107C7" w:rsidP="008107C7">
      <w:pPr>
        <w:pStyle w:val="TextoNormal"/>
      </w:pPr>
      <w:r>
        <w:t>En este sentido, preciso es reconocer que los preceptos impugnados guardan una relación material inmediata con el derecho a la edificación (art. 37) cuya regulación encabeza la sección 6ª del Capítulo Tercero. En virtud del art. 37, "el derecho a la edificación se adquiere por la conclusión de las obras al amparo de licencia no caducada o conforme con la ordenación urbanística". Por su parte, el art. 23.1d), tampoco impugnado, define el contenido de la facultad urbanística a la edificación, integrante del derecho de propiedad urbana, como el derecho "consistente en la facultad de incorporar al patrimonio la edificación ejecutada y concluida con sujeción a la licencia urbanística otorgada, siempre que ésta fuera conforme con la ordenación urbanística aplicable".</w:t>
      </w:r>
    </w:p>
    <w:p w:rsidR="008107C7" w:rsidRDefault="008107C7" w:rsidP="008107C7">
      <w:pPr>
        <w:pStyle w:val="TextoNormal"/>
      </w:pPr>
      <w:r>
        <w:t>Fácil es comprender que los arts. 38 a 41 impugnados no hacen sino concretar los distintos supuestos y las subsiguientes consecuencias jurídicas anudadas en que puede encontrarse la edificación del propietario en relación con la licencia, que se convierte así en el punto de referencia obligado (edificación sin licencia e incompatible con el planeamiento; sin licencia, pero compatible con el planeamiento; conforme a licencia que luego se declare ilegal; conforme a licencia y ordenación urbanística, pero excediendo del correspondiente aprovechamiento urbanístico).  Significa ello que la licitud de la licencia y su conformidad con la legalidad urbanística (art. 23.1.d) se erigen en el instrumento para medir la incorporación misma de la edificación en el patrimonio del titular dominical, puesto que el derecho a la edificación se adquiere una vez concluida la construcción al amparo de una licencia no caducada y conforme con la ordenación urbanística.</w:t>
      </w:r>
    </w:p>
    <w:p w:rsidR="008107C7" w:rsidRDefault="008107C7" w:rsidP="008107C7">
      <w:pPr>
        <w:pStyle w:val="TextoNormal"/>
      </w:pPr>
      <w:r>
        <w:t>Lo que está en juego, en otros términos, son las condiciones para poder materializar el ius aedificandi del propietario del suelo, la obra realizada.  Desde esta perspectiva, cabe concluir que la materia aquí regulada es, en primer término, el derecho de propiedad urbana y, más en concreto, una de sus facultades básicas o elementales, y no la regulación de la licencia en sí misma. En línea de principio, pues, ha de admitirse que aquel que ostente la competencia material para regular este derecho básico podrá establecer también las condiciones de su adquisición o pérdida. La cuestión, con todo, reside en determinar el grado de detalle de esas condiciones y de las técnicas de reacción ante el eventual incumplimiento. En ese sentido, si la competencia material del Estado tan sólo comprende la regulación de las condiciones básicas de ejercicio y de cumplimiento de los deberes (art. 149.1.1º C.E.), lógico es concluir que al Estado únicamente le compete establecer, paralelamente, las condiciones, también básicas, de su adquisición o pérdida.  Seguidamente, y a la luz de los indicados criterios y sin perjuicio del examen de otros títulos competenciales, ha de procederse al análisis de cada uno de los preceptos impugnados.</w:t>
      </w:r>
    </w:p>
    <w:p w:rsidR="008107C7" w:rsidRDefault="008107C7" w:rsidP="008107C7">
      <w:pPr>
        <w:pStyle w:val="TextoNormal"/>
      </w:pPr>
      <w:r>
        <w:t>Con carácter previo, deben situarse estos preceptos en el contexto del entero texto normativo.  La edificación puede no estar legitimada por licencia y, a su vez, cabe que sea incompatible con el planeamiento (art. 38) o compatible con éste (art. 39).  En segundo lugar, en la edificación legitimada por licencia cabe distinguir dos supuestos: que la licencia no fuese conforme con el ordenamiento urbanístico (arts. 40 y 240) o que fuese conforme a aquél [art.  23.1 d)]. De otra parte, para que la edificación se incorpore al patrimonio del titular es necesario que la licencia no esté caducada (en caso contrario, habrá de estarse a lo dispuesto por los arts. 35 y 36) y que sea conforme al ordenamiento (y si no es así serán de aplicación los arts. 38 a 40).</w:t>
      </w:r>
    </w:p>
    <w:p w:rsidR="008107C7" w:rsidRDefault="008107C7" w:rsidP="008107C7">
      <w:pPr>
        <w:pStyle w:val="TextoNormal"/>
      </w:pPr>
      <w:r>
        <w:lastRenderedPageBreak/>
        <w:t>No pueden compartirse, en primer término, los argumentos que se han hecho valer frente al art. 38.1 T.R.L.S., atinente a las edificaciones sin licencia que sean incompatibles con el planeamiento, en cuyo caso se dispone la demolición sin indemnización, previa la instrucción del preceptivo expediente, conforme a lo establecido en la legislación urbanística aplicable (apartado 1), por cuanto en sí mismo se muestra respetuoso con el bloque de la constitucionalidad a la luz de la doctrina expuesta.  En efecto, el art. 38.1 T.R.L.S. se limita, de una parte, a impedir la patrimonialización de una edificación que ha incumplido ese doble requisito, y, de otra, a establecer una garantía de procedimiento encaminada a verificar el efectivo incumplimiento, lo que también tiene su apoyo en el mismo art.  149.1.18 C.E.</w:t>
      </w:r>
    </w:p>
    <w:p w:rsidR="008107C7" w:rsidRDefault="008107C7" w:rsidP="008107C7">
      <w:pPr>
        <w:pStyle w:val="TextoNormal"/>
      </w:pPr>
      <w:r>
        <w:t>Sin embargo, los apartados 2 y 3 del art. 38 T.R.L.S., aunque regulan materias que, sin duda, guardan una estrecha relación con otras facultades urbanísticas básicas -el derecho al aprovechamiento y a edificar-, y con la indemnización expropiatoria, y conectan, por tanto, con claras competencias estatales, en su concreta expresión normativa exceden de la competencia estatal e invaden la urbanística, máxime si situamos estos apartados en el entero contexto del Texto Refundido y de los preceptos a que explícita o implícitamente se refieren. El criterio general y mínimo que deriva del art. 38.1 T.R.L.S. -la no adquisición de la edificación sin licencia e incompatible con el planeamiento- queda a cubierto con toda evidencia por las condiciones básicas ex art. 149.1.1º C.E. Tampoco es contrario al orden constitucional de distribución de competencias que se puedan anudar ciertas consecuencias mínimas al factor tiempo, como pretenden los apartados 2 y 3 del art 38 T.R.L.S.. La cuestión radica en que, en conexión con los respectivos preceptos del T.R.L.S., establecen, no ya sólo unos principios o criterios mínimos -unas condiciones básicas-, sino un régimen jurídico que por su complitud rompe el adecuado equilibrio con la competencia urbanística de las Comunidades Autónomas. A mayor abundamiento, el art. 38.3 T.R.L.S., en cuanto alude a la obligada expropiación o venta forzosa, incurre en el mismo motivo de inconstitucionalidad a que se ha hecho referencia al enjuiciar los arts. 30.3, 34 y 36.2 T.R.L.S..</w:t>
      </w:r>
    </w:p>
    <w:p w:rsidR="008107C7" w:rsidRDefault="008107C7" w:rsidP="008107C7">
      <w:pPr>
        <w:pStyle w:val="TextoNormal"/>
      </w:pPr>
      <w:r>
        <w:t>El art. 39 T.R.L.S., relativo a la edificación sin licencia (o sin ajustarse a sus condiciones) pero compatible con el planeamiento, permite su legalización y, con ello, la patrimonialización del derecho. Es evidente que esta previsión del precepto tiene cobertura en el art. 149.1.1º C.E. Sin embargo, el art. 39 T.R.L.S. no se detiene ahí sino que, además, concreta que la legalización se haga "mediante solicitud de la correspondiente licencia en el plazo que establezca la legislación urbanística aplicable, o, en su defecto, en el de dos meses a contar desde el oportuno requerimiento, si ya se hubiese adquirido el derecho al aprovechamiento urbanístico", a lo que añade que "si faltase sólo para la adquisición del mencionado derecho la realización de la urbanización, la legalización exigirá también el cumplimiento de dicho deber".  De su lectura se infiere, en efecto, que, lejos de optar por una regulación más general o principial, el art. 39 T.R.L.S. concreta cómo ha de llevarse a cabo la legalización ("mediante la solicitud de la correspondiente licencia"); el plazo por defecto (dos meses); o el momento a partir del cual ha de contarse; así como las hipótesis posibles (si faltase o no la realización de la urbanización). De ahí que, en virtud de la doctrina mantenida y en coherencia con cuanto antecede, sea necesario declarar la inconstitucionalidad del precepto a partir de la expresión "mediante la solicitud de la correspondiente licencia..." hasta el final del art. 39 T.R.L.S..</w:t>
      </w:r>
    </w:p>
    <w:p w:rsidR="008107C7" w:rsidRDefault="008107C7" w:rsidP="008107C7">
      <w:pPr>
        <w:pStyle w:val="TextoNormal"/>
      </w:pPr>
      <w:r>
        <w:t xml:space="preserve">Dada, pues, la redacción del precepto, dentro de la específica opción del legislador estatal, sólo puede ser entendido conforme con la Constitución el primer inciso: "la edificación realizada sin licencia o sin ajustarse a sus condiciones pero compatible con el planeamiento puede ser objeto de legalización". Debe observarse que aquí la mención de la licencia es puramente instrumental para referirse a la elusión formal del acto de control o fiscalización, </w:t>
      </w:r>
      <w:r>
        <w:lastRenderedPageBreak/>
        <w:t>en su caso, de la Administración competente, sin que el art. 39 T.R.L.S., como es bien claro, pretenda en modo alguno establecer su régimen jurídico o su misma existencia.</w:t>
      </w:r>
    </w:p>
    <w:p w:rsidR="008107C7" w:rsidRDefault="008107C7" w:rsidP="008107C7">
      <w:pPr>
        <w:pStyle w:val="TextoNormal"/>
      </w:pPr>
      <w:r>
        <w:t>No puede prosperar la impugnación deducida frente al art.  40, en sus apartados 1 y 2, que regula los distintos supuestos en que puede encontrarse el propietario cuando realiza una edificación al amparo de una licencia posteriormente declarada ilegal y su no incorporación al patrimonio del titular, extremo éste en estrecha relación con la responsabilidad administrativa (art. 240, no impugnado); y la valoración del terreno a todos los efectos de conformidad con facultades adquiridas, lo que conecta además con otros preceptos calificados por la Ley de "aplicación plena" (arts. 48 a 57). En todo caso, resulta evidente que la regulación de carácter general o principial que realizan los dos primeros apartados del art 40 T.R.L.S. no ha desbordado las competencias estatales.</w:t>
      </w:r>
    </w:p>
    <w:p w:rsidR="008107C7" w:rsidRDefault="008107C7" w:rsidP="008107C7">
      <w:pPr>
        <w:pStyle w:val="TextoNormal"/>
      </w:pPr>
      <w:r>
        <w:t>Conclusión distinta merece, sin embargo, la concreta redacción del apartado 3 del art. 40 T.R.L.S.. En efecto, aunque la materia que a él subyace también tiene apoyo en la competencia estatal -la expropiación o venta forzosa si no se hubiere adquirido el derecho al aprovechamiento urbanístico cuando solicitó la licencia anulada- su contenido se ha extralimitado por la vía de fijar un complejo presupuesto de hecho al que anuda ciertos efectos que incumbe a las Comunidades Autónomas determinar, tal como ya hemos razonado. Todo ello sin perjuicio de que el carácter imperativo de la expropiación o venta forzosa deba igualmente ser declarado inconstitucional, en coherencia con cuanto se ha señalado en los arts. 30.3, 34, 36.2 y 38.3 T.R.L.S..</w:t>
      </w:r>
    </w:p>
    <w:p w:rsidR="008107C7" w:rsidRDefault="008107C7" w:rsidP="008107C7">
      <w:pPr>
        <w:pStyle w:val="TextoNormal"/>
      </w:pPr>
      <w:r>
        <w:t>Por lo demás, no es atendible la impugnación del recurso de la Comunidad Autónoma de las Islas Baleares del apartado 4 del art. 40, habida cuenta de que del suplico de la demanda se deduce que la impugnación se contrae a su condición de norma básica, siendo así que con arreglo a la Disposición final única del T.R.L.S. dicho precepto tiene carácter supletorio.</w:t>
      </w:r>
    </w:p>
    <w:p w:rsidR="008107C7" w:rsidRDefault="008107C7" w:rsidP="008107C7">
      <w:pPr>
        <w:pStyle w:val="TextoNormal"/>
      </w:pPr>
      <w:r>
        <w:t>Finalmente, ha de rechazarse la impugnación del art. 41 cuyo primer apartado se limita a establecer el deber de abonar a la Administración el valor urbanístico del exceso de aprovechamiento urbanístico que le correspondía al propietario -pues ello encaja igualmente en el art. 149.1.1º C.E.-, en tanto que el segundo exceptúa de ese deber a los terceros adquirentes de buena fe amparados por la protección registral, norma que encuentra perfecta cobertura en el art. 149.1.8º C.E.</w:t>
      </w:r>
    </w:p>
    <w:p w:rsidR="008107C7" w:rsidRDefault="008107C7" w:rsidP="008107C7">
      <w:pPr>
        <w:pStyle w:val="TextoNormal"/>
      </w:pPr>
      <w:r>
        <w:t>En suma, pues, son inconstitucionales los arts. 38.2 y 3; el art. 39 (a partir de la expresión "mediante solicitud de la correspondiente licencia..." hasta el final) y el art. 40.3.</w:t>
      </w:r>
    </w:p>
    <w:p w:rsidR="008107C7" w:rsidRDefault="008107C7" w:rsidP="008107C7">
      <w:pPr>
        <w:pStyle w:val="TextoNormal"/>
      </w:pPr>
      <w:r>
        <w:t>l) (Art. 42.1, 2 y 3, "Consecuencias de la inactividad de la Administración ante el incumplimiento").</w:t>
      </w:r>
    </w:p>
    <w:p w:rsidR="008107C7" w:rsidRDefault="008107C7" w:rsidP="008107C7">
      <w:pPr>
        <w:pStyle w:val="TextoNormal"/>
      </w:pPr>
      <w:r>
        <w:t>La Generalidad de Cataluña (recurso núm. 2.481/90 contra el art. 77 Ley 8/1990) alega que la concreción y aplicación urbanística de las bases estatales sobre el régimen local sólo pueden hacerlas las Comunidades Autónomas de acuerdo con su competencia exclusiva. El precepto resultaría inconstitucional, en consecuencia, porque no cabe desde la legislación urbanística establecer "bases sobre las bases" del Régimen de la Administración local (Antecedente núm. 7.N). La Comunidad Autónoma de las Islas Baleares alega la vulneración de los arts.  137 y 140 C.E., por un lado, y las competencias urbanísticas autonómicas, de otro. Las alegaciones del Abogado del Estado - recogidas en el Antecedente núm. 22.H en relación al art.  77 Ley 8/1990- se resumen en negar que el art. 42 establezca "bases sobre bases" en el caso concreto, esquema argumental que, por otra parte, habría rechazado la STC 132/1989 (fundamento jurídico 23), admitiendo la legitimidad constitucional de bases específicas junto con bases genéricas o comunes.</w:t>
      </w:r>
    </w:p>
    <w:p w:rsidR="008107C7" w:rsidRDefault="008107C7" w:rsidP="008107C7">
      <w:pPr>
        <w:pStyle w:val="TextoNormal"/>
      </w:pPr>
      <w:r>
        <w:t xml:space="preserve">En efecto, y como ya afirmara la citada STC 132/1989, la fijación de bases no puede excluir, por sí misma, que en un determinado momento se modifiquen o completen esas </w:t>
      </w:r>
      <w:r>
        <w:lastRenderedPageBreak/>
        <w:t>bases, siempre que efectivamente se permanezca dentro de la determinación de elementos comunes tendentes a garantizar la uniformidad impuesta por la Constitución en ciertas materias (fundamento jurídico 23).  La cuestión estriba, más bien, en determinar si el Estado ostenta título competencial para dictar la norma impugnada con carácter básico.</w:t>
      </w:r>
    </w:p>
    <w:p w:rsidR="008107C7" w:rsidRDefault="008107C7" w:rsidP="008107C7">
      <w:pPr>
        <w:pStyle w:val="TextoNormal"/>
      </w:pPr>
      <w:r>
        <w:t>Interesa subrayar que el art. 42 T.R.L.S. pretende cerrar el sistema de expropiación o venta forzosa por incumplimiento del propietario, atribuyendo a los Ayuntamientos la obligación de ejercer la potestad expropiatoria en el plazo máximo de cuatro años (art. 42.2 T.R.L.S.), de un lado y, de otro, en caso de inactividad del Ayuntamiento, permitiendo la subrogación de las Comunidades Autónomas, una vez transcurrido el plazo de un año a que se refiere el art. 42.1 T.R.L.S.. El precepto en cuestión, pues, no se limita a establecer unos deberes urbanísticos de carácter básico, ni a atribuir a los Ayuntamientos la obligación de reaccionar ante su eventual incumplimiento con la expropiación o la venta forzosa, sino que, además, prevé la posibilidad de que no actúen. Ha de notarse, en primer término, que el art. 149.1.1º C.E., como ha quedado dicho, no autoriza a regular el ejercicio de la potestad expropiatoria (subrogación; comunicación; Administración expropiante), puesto que, por su virtud y en relación con el art. 149.1.18º C.E., no puede ir más allá del establecimiento de una causa expropriandi por incumplimiento de un deber básico. En consecuencia, los apartados 1 y 2 del art. 42 T.R.L.S. no pueden tener carácter básico y, por consiguiente, tal calificación es contraria al orden constitucional de distribución de competencias, en aplicación de la doctrina ya reiterada.</w:t>
      </w:r>
    </w:p>
    <w:p w:rsidR="008107C7" w:rsidRDefault="008107C7" w:rsidP="008107C7">
      <w:pPr>
        <w:pStyle w:val="TextoNormal"/>
      </w:pPr>
      <w:r>
        <w:t>El art. 42.3 T.R.L.S., por el contrario, entronca con las condiciones básicas de ejercicio del derecho de propiedad urbana en la medida en que determina la posibilidad de que los propietarios puedan iniciar o proseguir el proceso de urbanización, edificatorio y de adquisición de facultades urbanísticas correspondientes en tanto no se les notifique la iniciación del expediente declarativo del incumplimiento de deberes urbanísticos.  No obstante lo cual, es evidente que su formulación normativa excede ya de las condiciones básicas, puesto que lejos de fijar una regla genérica, como la que pudiera consistir en que la simple incoación puede no impedir el ejercicio del derecho en los términos de la legislación urbanística, determina unos supuestos en el marco del procedimiento que, en modo alguno, le corresponde al Estado determinar.</w:t>
      </w:r>
    </w:p>
    <w:p w:rsidR="008107C7" w:rsidRDefault="008107C7" w:rsidP="008107C7">
      <w:pPr>
        <w:pStyle w:val="TextoNormal"/>
      </w:pPr>
      <w:r>
        <w:t>Por su parte, el segundo inciso del art. 42.3 T.R.L.S.  -relativo a la reducción del 50 por 100 del aprovechamiento cuando no se hubiere adquirido en el momento de notificarse el incumplimiento- se inserta en un momento procedimental concreto, cual es la notificación del incumplimiento y, en suma, en un contexto legal, el que proporciona el entero art. 42, que impide una interpretación conforme.  Ciertamente, la materia aquí regulada - valoración del derecho a efectos expropiatorios por incumplimiento- se apoya en las reglas 1ª y 18ª del art. 149.1 C.E., según hemos insistido, pero su concreta expresión legal desborda ese marco e invade la competencia urbanística. En consecuencia, es también contrario a la Constitución el último inciso del art.  42.3 T.R.L.S.: "con la particularidad de que el aprovechamiento susceptible de apropiación se reducirá en un 50 por 100, cuando no se hubiera adquirido ese derecho en el momento de la notificación del incumplimiento."</w:t>
      </w:r>
    </w:p>
    <w:p w:rsidR="008107C7" w:rsidRDefault="008107C7" w:rsidP="008107C7">
      <w:pPr>
        <w:pStyle w:val="TextoNormal"/>
      </w:pPr>
      <w:r>
        <w:t>m) (Art. 43.3, "Consulta urbanística").</w:t>
      </w:r>
    </w:p>
    <w:p w:rsidR="008107C7" w:rsidRDefault="008107C7" w:rsidP="008107C7">
      <w:pPr>
        <w:pStyle w:val="TextoNormal"/>
      </w:pPr>
      <w:r>
        <w:t>El recurso de la Diputación General de Aragón impugna este precepto -calificado "de aplicación plena" por la Disposición Final Única del T.R.L.S.  en virtud del art. 149.1.8º y 18º C.E.- porque, a pesar de las apariencias, no estaría regulando la ordenación de los registros e instrumentos públicos, sino una obligación administrativa de remisión de datos al Registro de la Propiedad, que no encontraría cobertura en el art.  149.1.8º C.E.</w:t>
      </w:r>
    </w:p>
    <w:p w:rsidR="008107C7" w:rsidRDefault="008107C7" w:rsidP="008107C7">
      <w:pPr>
        <w:pStyle w:val="TextoNormal"/>
      </w:pPr>
      <w:r>
        <w:lastRenderedPageBreak/>
        <w:t>No es posible, sin embargo, compartir el argumento del recurrente, puesto que, como razona la representación estatal, se trata de una norma registral inmobiliaria que se ampara en el art.  149.1.8º C.E. cuando impone a los Ayuntamientos un deber de colaborar en la integridad y exactitud registrales y convierte un documento administrativo (certificación) en base para la práctica de un asiento registral (nota marginal), que puede tener efectos de publicidad material respecto a terceros. Como tendremos ocasión de abundar más adelante, al Estado le compete establecer qué actos son inscribibles en el Registro de la Propiedad, operación que es la que el art. 43.3 T.R.L.S. contempla.</w:t>
      </w:r>
    </w:p>
    <w:p w:rsidR="008107C7" w:rsidRDefault="008107C7" w:rsidP="008107C7">
      <w:pPr>
        <w:pStyle w:val="TextoNormal"/>
      </w:pPr>
      <w:r>
        <w:t>F) TÍTULO II DEL T.R.L.S.: "Valoraciones"</w:t>
      </w:r>
    </w:p>
    <w:p w:rsidR="008107C7" w:rsidRDefault="008107C7" w:rsidP="008107C7">
      <w:pPr>
        <w:pStyle w:val="TextoNormal"/>
      </w:pPr>
    </w:p>
    <w:p w:rsidR="008107C7" w:rsidRDefault="008107C7" w:rsidP="008107C7">
      <w:pPr>
        <w:pStyle w:val="TextoNormal"/>
      </w:pPr>
      <w:r w:rsidRPr="008107C7">
        <w:rPr>
          <w:rStyle w:val="NumeroAFNegritaCaracter"/>
        </w:rPr>
        <w:t>18</w:t>
      </w:r>
      <w:r>
        <w:t>. (Título II, "Valoraciones". Arts. 46 a 57, "Disposiciones generales" y "Valoración de terrenos").</w:t>
      </w:r>
    </w:p>
    <w:p w:rsidR="008107C7" w:rsidRDefault="008107C7" w:rsidP="008107C7">
      <w:pPr>
        <w:pStyle w:val="TextoNormal"/>
      </w:pPr>
      <w:r>
        <w:t>Estos artículos son "de aplicación plena", según se establece en la Disposición final única del T.R.L.S., en virtud del art. 149.1.8º y 18º C.E.</w:t>
      </w:r>
    </w:p>
    <w:p w:rsidR="008107C7" w:rsidRDefault="008107C7" w:rsidP="008107C7">
      <w:pPr>
        <w:pStyle w:val="TextoNormal"/>
      </w:pPr>
      <w:r>
        <w:t>Tan sólo el órgano de gobierno de la Diputación General de Aragón ha impugnado los arts.  46 a 57 T.R.L.S., mientras que los demás recurrentes pretenden la declaración de inconstitucionalidad del art. 47b) T.R.L.S.. El recurso de la Comunidad Autónoma de las Islas Baleares impugna asimismo el art.  48.2 T.R.L.S..</w:t>
      </w:r>
    </w:p>
    <w:p w:rsidR="008107C7" w:rsidRDefault="008107C7" w:rsidP="008107C7">
      <w:pPr>
        <w:pStyle w:val="TextoNormal"/>
      </w:pPr>
      <w:r>
        <w:t>Lo que cuestiona la Diputación General de Aragón no es la concreta regulación de los arts.  46 a 57 T.R.L.S., sino la posibilidad misma de que el Estado pueda establecer una normativa sobre valoraciones, sea ésta plena o básica, y a esa cuestión habrá de circunscribirse el objeto de nuestro análisis, puesto que, en palabras del recurrente, las valoraciones no son de la competencia estatal.</w:t>
      </w:r>
    </w:p>
    <w:p w:rsidR="008107C7" w:rsidRDefault="008107C7" w:rsidP="008107C7">
      <w:pPr>
        <w:pStyle w:val="TextoNormal"/>
      </w:pPr>
      <w:r>
        <w:t>Centrada así la cuestión, importa sintetizar cuáles sean los motivos de impugnación alegados (Antecedentes núms. 10.B,in fine, 10.D y 28.D, en relación con los recursos del Gobierno aragonés, y núms. 22.I y 35.E, en lo que hace a las alegaciones del Abogado del Estado). Ha de notarse, sin embargo, que las alegaciones de las partes se encuentran referidas básicamente a lo dispuesto en la Ley 8/1990, sin que hayan sido actualizadas convenientemente en relación con el T.R.L.S. de 1992, siendo así que la sistemática y contenido de sus preceptos no resultan ya del todo coincidentes.</w:t>
      </w:r>
    </w:p>
    <w:p w:rsidR="008107C7" w:rsidRDefault="008107C7" w:rsidP="008107C7">
      <w:pPr>
        <w:pStyle w:val="TextoNormal"/>
      </w:pPr>
      <w:r>
        <w:t>Aplicando por extensión la doctrina de la STC 37/1987 según la cual a la ley autonómica le es lícito establecer, en el ámbito de sus respectivas competencias, los casos o supuestos en que procede aplicar la expropiación forzosa, el Gobierno aragonés sostiene que tampoco las valoraciones, como figura susceptible de regulación autónoma, son de la competencia estatal, en atención al carácter instrumental de la expropiación forzosa. El recurrente considera, en efecto, que el régimen de valoraciones completa el estatuto jurídico de la propiedad del suelo, habida cuenta de que las valoraciones urbanas o urbanísticas no tienen por razón de ser la determinación cuantitativa del justiprecio indemnizatorio, sino que vienen a ser un elemento más de la estructura esencial del derecho de la propiedad urbana, al servicio precisamente de su función social -cuya definición corresponde al legislador autonómico-. Simplemente por razones de congruencia jurídica el quantum indemnizatorio ha de coincidir con el valor así incorporado al derecho de propiedad de que se trate. En definitiva, pues, la valoración urbanística de los terrenos habría de entenderse atribuida, como competencia exclusiva, a las Comunidades Autónomas, pues ni siquiera la competencia estatal para la legislación sobre expropiación forzosa resulta título suficiente para atraer dicha materia, ya que se trata de competencias de diferente naturaleza, por lo que necesariamente han de tener un distinto objeto jurídico.</w:t>
      </w:r>
    </w:p>
    <w:p w:rsidR="008107C7" w:rsidRDefault="008107C7" w:rsidP="008107C7">
      <w:pPr>
        <w:pStyle w:val="TextoNormal"/>
      </w:pPr>
      <w:r>
        <w:lastRenderedPageBreak/>
        <w:t>No se puede compartir, planteado en esos términos, la argumentación del recurrente, sin perjuicio de que sostenga tesis diversas en sus escritos de recurso 2.486/90 y 2.341/92, ya que la base de su razonamiento descansa en la pretendida disociación entre la "valoración urbanística" como parte del derecho de propiedad -que correspondería exclusivamente a las Comunidades Autónomas en el bien entendido de que a ellas compete, también en exclusiva, la regulación de la propiedad urbana, extremo éste que tampoco es aceptable- y la "determinación del justiprecio" como elemento de la legislación sobre expropiación forzosa que sí correspondería al Estado. Es éste justamente el razonamiento que le lleva, como reconoce de forma explícita, a no impugnar las normas de "determinación del justiprecio" que contenía la Ley 8/1990 (arts. 81 a 85) -que aparecían, en 1990, no en 1992, sistemáticamente separadas de las normas reguladoras de la valoración urbanística- por entender que es al Estado al que le compete establecerlas en virtud del art. 149.1.18 C.E.</w:t>
      </w:r>
    </w:p>
    <w:p w:rsidR="008107C7" w:rsidRDefault="008107C7" w:rsidP="008107C7">
      <w:pPr>
        <w:pStyle w:val="TextoNormal"/>
      </w:pPr>
      <w:r>
        <w:t>Esta lógica, sin embargo, quiebra en su ulterior recurso: aunque mantenga la misma tesis de fondo en el recurso 2.341/92 deducido contra el T.R.L.S. de 1992, ahora se impugnan también las normas reguladoras de la "determinación del justiprecio", esto es, aquellos preceptos que no fueron recurridos en 1990 por reconocer expresamente que la competencia correspondía al Estado (en concreto: 51.3, 54, 55, 56, 57, 58 y 61 T.R.L.S., trasunto de los arts. 81 a 85 Ley 8/1990), lo que pone de relieve, por otra parte, la dificultad, a efectos competenciales, de hacer una distinción tan tajante (que incluso le llevó a impugnar el art.  68 de la Ley 8/1990, hoy 50 T.R.L.S., y no el 81.1 Ley 8/1990, habiendo en éste último una remisión evidente a los arts. 66 a 72, 68 incluido, de la misma Ley). Ello supone, desde otro orden de consideraciones, que el recurso 2.341/92 impugna todos los preceptos que son expresión de los arts. 81 a 85 de la Ley 8/1990, lo que implica que, como consecuencia del reiterado defecto de apoderamiento en el que se ha incurrido, no es posible entrar al análisis del recurso de la Diputación General de Aragón deducido contra los referidos artículos 51.3, 54, 55, 56, 57, 58 y 61 T.R.L.S..</w:t>
      </w:r>
    </w:p>
    <w:p w:rsidR="008107C7" w:rsidRDefault="008107C7" w:rsidP="008107C7">
      <w:pPr>
        <w:pStyle w:val="TextoNormal"/>
      </w:pPr>
      <w:r>
        <w:t>No obstante, hemos de enjuiciar, de un lado, las afirmaciones generales vertidas por el indicado recurso en torno a la pretendida competencia exclusiva autonómica para fijar las valoraciones urbanísticas en relación con los restantes preceptos (arts.  46, 47, 48, 49, 50, 51.1 y 2, 52 y 53 T.R.L.S.)  y, de otro, la impugnación de los recursos de la Generalidad de Cataluña y de la Comunidad Autónoma de las Islas Baleares frente al art.  47b) y 48.2 T.R.L.S..</w:t>
      </w:r>
    </w:p>
    <w:p w:rsidR="008107C7" w:rsidRDefault="008107C7" w:rsidP="008107C7">
      <w:pPr>
        <w:pStyle w:val="TextoNormal"/>
      </w:pPr>
    </w:p>
    <w:p w:rsidR="008107C7" w:rsidRDefault="008107C7" w:rsidP="008107C7">
      <w:pPr>
        <w:pStyle w:val="TextoNormal"/>
      </w:pPr>
      <w:r w:rsidRPr="008107C7">
        <w:rPr>
          <w:rStyle w:val="NumeroAFNegritaCaracter"/>
        </w:rPr>
        <w:t>19</w:t>
      </w:r>
      <w:r>
        <w:t xml:space="preserve">. Si bien es cierto que las denominadas "valoraciones" están desconectadas en el T.R.L.S., en ciertos supuestos, de la operación expropiatoria y, en consecuencia, de la misma determinación del justiprecio (transferencias de aprovechamientos urbanísticos; indemnización por alteración del planeamiento; etc), ello no obsta, como a continuación veremos, para que a efectos competenciales sean reconducibles a los mismos títulos.  No cabe compartir, como hemos adelantado, la única tesis de la que ahora hemos de ocuparnos, esto es, que la valoración es de la exclusiva competencia de las Comunidades Autónomas, ya que tal alegato olvida que la valoración urbanística entronca con el art.  149.1.18º C.E. que, como hemos reiterado en jurisprudencia constante y en esta Sentencia, es al Estado al que compete determinar, pues caen dentro del art. 149.1.18º C.E. la fijación de los criterios de determinación del justiprecio para impedir que los bienes puedan ser evaluados con criterios diferentes en unas y otras partes del territorio nacional (STC 37/1987, fundamento jurídico 6). A mayor abundamiento, la valoración se halla estrechamente emparentada, desde un punto de vista material, con el contenido del derecho de propiedad, cuyas condiciones básicas corresponde regular al Estado en los términos del art. 149.1.1º C.E., aunque es el art.  </w:t>
      </w:r>
      <w:r>
        <w:lastRenderedPageBreak/>
        <w:t>149.1.18 C.E.  el que tiene aquí una mayor relevancia. Ha de rechazarse, por consecuencia, tal impugnación, sin necesidad de enjuiciar si los referidos preceptos exceden de lo que el art. 149.1.18º C.E.  autoriza, cuestión ésta que no ha sido planteada.</w:t>
      </w:r>
    </w:p>
    <w:p w:rsidR="008107C7" w:rsidRDefault="008107C7" w:rsidP="008107C7">
      <w:pPr>
        <w:pStyle w:val="TextoNormal"/>
      </w:pPr>
      <w:r>
        <w:t>Por último, las representaciones de la Generalidad de Cataluña y de la Comunidad Autónoma de las Islas Baleares pretenden la declaración de inconstitucionalidad del art. 47b) T.R.L.S.  por su conexión con los arts. 237 a 241 T.R.L.S. al que aquél se remite, y cuyo carácter básico también impugnaron. El recurso de la Comunidad Autónoma de las Islas Baleares añade que nada habría que objetarle al artículo 47b) T.R.L.S. si se suprimiera la referencia a los citados preceptos. En rigor, pues, se cuestiona la coherencia formal de la calificación de norma "de aplicación plena" cuando lo que dispone no es sino su remisión a normas básicas.</w:t>
      </w:r>
    </w:p>
    <w:p w:rsidR="008107C7" w:rsidRDefault="008107C7" w:rsidP="008107C7">
      <w:pPr>
        <w:pStyle w:val="TextoNormal"/>
      </w:pPr>
      <w:r>
        <w:t>En cuanto al primer punto, hemos de remitirnos al enjuiciamiento de los arts.  237 a 241 T.R.L.S., de los que más adelante nos ocuparemos, no sin adelantar que encuentran cobijo en el art. 149.1.18º C.E.  De ahí que no quepa hacer reproche alguno al artículo en cuestión en lo que a este punto concierne.  Por otra parte, el art. 47.b T.R.L.S.  introduce un elemento innovador respecto de los preceptos de referencia, que es además su propia razón de ser: el momento al que habrá de referirse la valoración. No es incoherente, desde un punto de vista formal, que su verdadero contenido normativo se apoye en una competencia exclusiva del Estado -la valoración se entenderá referida al momento de la publicación de la aprobación definitiva del nuevo planeamiento- y que los supuestos en los que se aplica sean los recogidos en normas de carácter básico ex art. 149.1.18º C.E.  (arts. 237 a 241), puesto que mientras esos supuestos indemnizatorios tienen carácter mínimo y, por consiguiente, susceptible de desarrollo diverso, la regulación del momento al que ha de referirse la valoración se agota en sí misma.  Circunscrito nuestro examen a esta cuestión formal, nada más cabe decir de su contenido y, por tanto, ha de declararse en la conformidad del art.  47b) T.R.L.S. con el bloque de la constitucionalidad.</w:t>
      </w:r>
    </w:p>
    <w:p w:rsidR="008107C7" w:rsidRDefault="008107C7" w:rsidP="008107C7">
      <w:pPr>
        <w:pStyle w:val="TextoNormal"/>
      </w:pPr>
      <w:r>
        <w:t>Por lo que al art. 48.2 T.R.L.S. se refiere, el reproche del Letrado de la Comunidad Autónoma de las Islas Baleares se centra en cuestiones de técnica legislativa -eventual contradicción con otros preceptos del mismo T.R.L.S.- o de oportunidad -si conlleva o no un plus valorativo en relación con el valor inicial derivado de la mera clasificación urbanística-, pero ni lo uno ni lo otro es relevante para declarar su inconstitucionalidad. Por lo demás, del hecho de que se haga depender su valoración de la calificación urbanística -y, en consecuencia, del grado de adquisición de los derechos urbanísticos, extremo éste que silencia el recurrente- no enerva la competencia estatal para fijar normas de valoración urbanística a efectos expropiatorios, conforme a lo razonado.</w:t>
      </w:r>
    </w:p>
    <w:p w:rsidR="008107C7" w:rsidRDefault="008107C7" w:rsidP="008107C7">
      <w:pPr>
        <w:pStyle w:val="TextoNormal"/>
      </w:pPr>
    </w:p>
    <w:p w:rsidR="008107C7" w:rsidRDefault="008107C7" w:rsidP="008107C7">
      <w:pPr>
        <w:pStyle w:val="TextoNormal"/>
      </w:pPr>
      <w:r w:rsidRPr="008107C7">
        <w:rPr>
          <w:rStyle w:val="NumeroAFNegritaCaracter"/>
        </w:rPr>
        <w:t>20</w:t>
      </w:r>
      <w:r>
        <w:t>. (Título II, "Valoraciones": arts. 59.1 y 2; 62).</w:t>
      </w:r>
    </w:p>
    <w:p w:rsidR="008107C7" w:rsidRDefault="008107C7" w:rsidP="008107C7">
      <w:pPr>
        <w:pStyle w:val="TextoNormal"/>
      </w:pPr>
      <w:r>
        <w:t>a) (Art. 59.1 y 2, "Suelo urbano").</w:t>
      </w:r>
    </w:p>
    <w:p w:rsidR="008107C7" w:rsidRDefault="008107C7" w:rsidP="008107C7">
      <w:pPr>
        <w:pStyle w:val="TextoNormal"/>
      </w:pPr>
      <w:r>
        <w:t xml:space="preserve">La Generalidad de Cataluña (recurso núm. 2.342/92) impugna este precepto por regular materia propiamente urbanística, conforme a la argumentación ya expuesta (art. 3.1 y ss.  T.R.L.S.). La Comunidad Autónoma de las Islas Baleares reitera frente al art.  59.1 y 2 los mismos motivos de impugnación que ante los arts. 27 y 32 ya examinados, a pesar del distinto objeto regulado.  Añade finalmente que esta pormenorizada regulación del artículo en cuestión vulnera el concepto de bases al impedir a las Comunidades Autónomas cualquier posibilidad de desarrollo normativo. La Diputación de Aragón entiende que el precepto agota la normación de la materia, de tal modo que no se compadece con el concepto de norma básica. El Abogado del Estado se remite a sus alegaciones en relación con el art. 38 </w:t>
      </w:r>
      <w:r>
        <w:lastRenderedPageBreak/>
        <w:t>de la Ley 8/1990 por entender que el precepto aquí impugnado recoge en realidad el contenido del citado art. 32.</w:t>
      </w:r>
    </w:p>
    <w:p w:rsidR="008107C7" w:rsidRDefault="008107C7" w:rsidP="008107C7">
      <w:pPr>
        <w:pStyle w:val="TextoNormal"/>
      </w:pPr>
      <w:r>
        <w:t>Para el debido enjuiciamiento de este precepto ha de tenerse en cuenta que no es sino una mera consecuencia, a nuestro limitado propósito, de lo dispuesto por el art. 32 T.R.L.S..  Igualmente, no debe olvidarse, con carácter preliminar, que también en el entramado del T.R.L.S. el aprovechamiento urbanístico susceptible de apropiación y su valoración constituyen en cierto modo las dos caras de una misma moneda, no fácilmente escindibles, sin que, en consecuencia, puedan tampoco disociarse en todo caso los títulos de los arts.  149.1.1º y 18º C.E. al analizar cada uno de los preceptos impugnados, sin perjuicio de que, en determinados supuestos, tenga una mayor relevancia o peso específico un título sobre otro.</w:t>
      </w:r>
    </w:p>
    <w:p w:rsidR="008107C7" w:rsidRDefault="008107C7" w:rsidP="008107C7">
      <w:pPr>
        <w:pStyle w:val="TextoNormal"/>
      </w:pPr>
      <w:r>
        <w:t>Procede, en todo caso, remitirnos a cuanto ya hemos declarado en torno al art.  32 T.R.L.S., con la salvedad de que en el art. 59 T.R.L.S. es la óptica de la valoración de los terrenos a expropiar la que predomina y de que, por tanto, sea el art.  149.1.18º C.E. (legislación de expropiación forzosa) el que entre en juego. De ahí que, en coherencia con lo razonado en relación con el art. 32 T.R.L.S. (y 27.1 y 2 T.R.L.S.), y por los mismos argumentos, deba concluirse en la inconstitucionalidad del art.  59.1 y 2 T.R.L.S., no tanto porque el Estado carezca de toda competencia sobre la materia, cuanto por la concreta -y detallada- forma de ejercerla.</w:t>
      </w:r>
    </w:p>
    <w:p w:rsidR="008107C7" w:rsidRDefault="008107C7" w:rsidP="008107C7">
      <w:pPr>
        <w:pStyle w:val="TextoNormal"/>
      </w:pPr>
      <w:r>
        <w:t>b) (Art. 62, "Valoración del suelo urbano sin aprovechamiento tipo").</w:t>
      </w:r>
    </w:p>
    <w:p w:rsidR="008107C7" w:rsidRDefault="008107C7" w:rsidP="008107C7">
      <w:pPr>
        <w:pStyle w:val="TextoNormal"/>
      </w:pPr>
      <w:r>
        <w:t xml:space="preserve">La Generalidad de Cataluña (recurso núm. 2.481/90 contra la Disp. adic. Sexta Ley 8/1990) alega que este precepto es de contenido marcadamente urbanístico, de manera que no cabe su imposición como regulación básica, sin que el Estado disponga de título competencial alguno para una nueva determinación de dicho aprovechamiento. Considera además que no se compadece bien una norma básica con el carácter supletorio de sus prescripciones respecto del planeamiento. La Diputación de Aragón (recurso núm.  2.486/90) afirma que el Estado carece de competencia urbanística, por lo que, en consecuencia, no puede modificar un texto preconstitucional (el art. 105 del Texto Refundido de la Ley del Suelo de 1976) que ahora reforma el artículo 62 impugnado. En su recurso núm.  2.341/92 se remite a la argumentación esgrimida ante el art. 27.4. Por último, la Comunidad Autónoma de las Islas Baleares reproduce los mismos motivos de inconstitucionalidad formulados respecto de los arts. 27, 32 y 59.1 y 2. El Abogado del Estado justifica esta regulación en la competencia exclusiva del Estado para determinar la valoración de los bienes objeto de expropiación en virtud del art. 149.1.18 C.E. en los términos ya recogidos (antecedente núm.  22.G, H e I).  Particularmente insiste, en lo que hace al precepto impugnado, en que el Texto Refundido no puede ser considerado competencialmente homogéneo, es decir, un texto que pueda ser adscrito exclusivamente a la materia "ordenación del territorio y urbanismo" del art.  148.1.3º C.E., sino que, por el contrario, muchos de sus artículos pueden quedar comprendidos dentro de esferas de competencia reservadas al Estado, lo que sucede muy en particular en el ámbito expropiatorio. Por lo demás, la razón de que este precepto tenga carácter de norma básica, en tanto que el régimen legal de valoraciones que contiene el Texto Refundido es de aplicación plena, obedece al estrecho vínculo existente entre la valoración a la que se refiere el precepto en cuestión (valoraciones del suelo urbano sin aprovechamiento tipo) y el aprovechamiento tipo cuyos aspectos esenciales han sido declarados básicos. No en vano, concluye, el Texto Refundido no sólo reforma el régimen urbanístico -y una de sus reformas esenciales es precisamente el derecho al aprovechamiento urbanístico-, sino que es en cierto modo una Ley de valoraciones. En suma, ostenta carácter básico por las mismas razones que los preceptos con los que guarda una relación necesaria (arts. </w:t>
      </w:r>
      <w:r>
        <w:lastRenderedPageBreak/>
        <w:t>27, 31 y 95 y ss.).  Subraya, en fin, que el estándar de un metro cuadrado construible por cada metro de suelo tiene carácter dispositivo, para el caso de que no haya plan o éste no atribuya aprovechamiento lucrativo a un terreno no incluido en una unidad de ejecución.</w:t>
      </w:r>
    </w:p>
    <w:p w:rsidR="008107C7" w:rsidRDefault="008107C7" w:rsidP="008107C7">
      <w:pPr>
        <w:pStyle w:val="TextoNormal"/>
      </w:pPr>
      <w:r>
        <w:t>Antes de entrar en el examen del tema central, conviene salir al paso de la pretendida contradicción en que se dice incurre el sistema, por atribuirle la Disposición final única del T.R.L.S. al art. 62 T.R.L.S. carácter básico en lugar de la "plena aplicabilidad", como se predica de otros preceptos que también se refieren al régimen de valoración. En este extremo, por su paralelismo con el aprovechamiento tipo, ha de estimarse que también es de competencia estatal. Ha de tenerse en cuenta, en efecto, que el aprovechamiento urbanístico susceptible de apropiación, como ya hemos declarado (art. 27, entre otros), constituye un elemento capital de la propiedad urbana y, en consecuencia, el Estado puede establecer las condiciones básicas que garanticen la igualdad en el ejercicio del derecho de propiedad, así como, en forma paralela, su valoración.</w:t>
      </w:r>
    </w:p>
    <w:p w:rsidR="008107C7" w:rsidRDefault="008107C7" w:rsidP="008107C7">
      <w:pPr>
        <w:pStyle w:val="TextoNormal"/>
      </w:pPr>
      <w:r>
        <w:t>Cuestión distinta es la planteada por el recurso de la Generalidad de Cataluña en punto a que difícilmente puede encajar con el concepto de norma básica la supletoriedad que de su contenido predica el segundo párrafo del art. 62.1 ("en defecto de planeamiento o cuando éste no atribuya aprovechamiento lucrativo alguno"). Esta conclusión, sin embargo, no puede ser atendida, si se hace una adecuada interpretación del precepto.  Ha de notarse que en rigor no se trata de una "norma básica supletoria" en el sentido a que se refiere el art. 149.3 C.E., puesto que su propósito no es otro que el de garantizar a los solos efectos de su valoración -en ausencia del planeamiento o ante el silencio de éste- un aprovechamiento mínimo en todo caso (el de un metro cuadrado construible por cada metro de suelo), carácter mínimo que sí se compadece con el concepto de norma básica. Así entendido, y no como mera norma supletoria por definición desplazable por la aplicación de otras normas preferentes, resulta ajustada al concepto formal de norma básica y, por consiguiente, conforme con la Constitución.</w:t>
      </w:r>
    </w:p>
    <w:p w:rsidR="008107C7" w:rsidRDefault="008107C7" w:rsidP="008107C7">
      <w:pPr>
        <w:pStyle w:val="TextoNormal"/>
      </w:pPr>
      <w:r>
        <w:t>Importa tener en cuenta que el precepto impugnado, como las alegaciones han puesto de manifiesto, no constituye sino otro supuesto de valoración (del suelo urbano sin aprovechamiento tipo) en íntima conexión con otros artículos que ya han sido enjuiciados (arts. 27.4, 30 a 32, 36, 38, 59) y a los que el propio art. 62 se remite, y sin que, por lo demás, exista razón alguna para que no sea de aplicación la doctrina ya expuesta en relación con aquéllos.</w:t>
      </w:r>
    </w:p>
    <w:p w:rsidR="008107C7" w:rsidRDefault="008107C7" w:rsidP="008107C7">
      <w:pPr>
        <w:pStyle w:val="TextoNormal"/>
      </w:pPr>
      <w:r>
        <w:t>En consecuencia, aunque la materia regulada entronque con evidentes competencias estatales, la mayor parte de la regulación del art. 62 T.R.L.S.  ha de tenerse por contraria al orden constitucional de competencias. La remisión que hacen tanto el primer párrafo del apartado 1º como el apartado 2º en su integridad a otros preceptos del Texto Refundido ya analizados excusan de cualquier otro razonamiento. Sin embargo, la regla que sienta el párrafo 2º del art. 62.1 T.R.L.S. a efectos de valoración -un metro cuadrado construible por cada metro de suelo- merece una consideración más detenida.</w:t>
      </w:r>
    </w:p>
    <w:p w:rsidR="008107C7" w:rsidRDefault="008107C7" w:rsidP="008107C7">
      <w:pPr>
        <w:pStyle w:val="TextoNormal"/>
      </w:pPr>
      <w:r>
        <w:t>Como ya advertíamos (cfr. art. 27 T.R.L.S.), el legislador estatal bien podría fijar un contenido mínimo del derecho de propiedad urbana como lo hace en la regla que por defecto establece el art. 62.1 T.R.L.S.. Si bien es cierto que tal criterio, como es obvio, no constituye una regla aislada, ni siquiera en el seno del mismo precepto, no lo es menos que, declarada la inconstitucionalidad del primer párrafo del art.  62.1 y del entero 62.2 T.R.L.S., podría pensarse que el párrafo segundo del art. 62.1 T.R.L.S. admite una interpretación conforme.</w:t>
      </w:r>
    </w:p>
    <w:p w:rsidR="008107C7" w:rsidRDefault="008107C7" w:rsidP="008107C7">
      <w:pPr>
        <w:pStyle w:val="TextoNormal"/>
      </w:pPr>
      <w:r>
        <w:t xml:space="preserve">No obstante, una lectura atenta del citado párrafo impide obtener una conclusión tal, toda vez que la regla del metro cuadrado construible por cada metro de suelo se inscribe en una relación insalvable de figuras urbanísticas cuya regulación excede de la competencia estatal: la hipótesis misma de "planeamiento que no atribuye aprovechamiento lucrativo alguno al </w:t>
      </w:r>
      <w:r>
        <w:lastRenderedPageBreak/>
        <w:t>terreno no incluido en unidad de ejecución" y la referencia al "uso predominante en el polígono fiscal en el que resulte incluido". Lejos de establecer un supuesto genérico al que anudarle unas consecuencias o efectos valorativos, el párrafo segundo del art. 62.1 T.R.L.S., coherente con el encabezamiento que lo intitula ("valoración del suelo urbano sin aprovechamiento tipo") y con el resto del precepto y el entero Texto Refundido, pretende cerrar el sistema, y su consecuencia no es sino la predeterminación de un concreto modelo urbanístico.</w:t>
      </w:r>
    </w:p>
    <w:p w:rsidR="008107C7" w:rsidRDefault="008107C7" w:rsidP="008107C7">
      <w:pPr>
        <w:pStyle w:val="TextoNormal"/>
      </w:pPr>
      <w:r>
        <w:t>En suma, pues, el art. 62 T.R.L.S. es contrario al sistema constitucional de distribución de competencias.</w:t>
      </w:r>
    </w:p>
    <w:p w:rsidR="008107C7" w:rsidRDefault="008107C7" w:rsidP="008107C7">
      <w:pPr>
        <w:pStyle w:val="TextoNormal"/>
      </w:pPr>
    </w:p>
    <w:p w:rsidR="008107C7" w:rsidRDefault="008107C7" w:rsidP="008107C7">
      <w:pPr>
        <w:pStyle w:val="TextoNormal"/>
      </w:pPr>
      <w:r w:rsidRPr="008107C7">
        <w:rPr>
          <w:rStyle w:val="NumeroAFNegritaCaracter"/>
        </w:rPr>
        <w:t>21</w:t>
      </w:r>
      <w:r>
        <w:t>. (Arts. 60, "Suelo urbanizable programado" y 61, "Terrenos destinados al Patrimonio Municipal del Suelo y otros fines de interés social").</w:t>
      </w:r>
    </w:p>
    <w:p w:rsidR="008107C7" w:rsidRDefault="008107C7" w:rsidP="008107C7">
      <w:pPr>
        <w:pStyle w:val="TextoNormal"/>
      </w:pPr>
      <w:r>
        <w:t>Los arts. 60 y 61 T.R.L.S., a juicio de la Comunidad Autónoma de las Islas Baleares, por conexión con lo alegado al examinar los arts. 32.3, 59.1 y 2, y 278.1 T.R.L.S., no pueden tener carácter de aplicación plena en la medida en que reiteran el contenido de los artículos citados; en consecuencia, carece el Estado de competencia para establecer la valoración a efectos expropiatorios en estos supuestos.</w:t>
      </w:r>
    </w:p>
    <w:p w:rsidR="008107C7" w:rsidRDefault="008107C7" w:rsidP="008107C7">
      <w:pPr>
        <w:pStyle w:val="TextoNormal"/>
      </w:pPr>
      <w:r>
        <w:t>La primera cuestión que se nos plantea directamente es la relativa a la "aplicabilidad plena" de los arts. 60 y 61 T.R.L.S.. Es cierto que, como hemos declarado, el art. 149.1.18 C.E. reserva al Estado en exclusiva la legislación sobre expropiación y no simplemente, como en otras materias, la competencia para establecer las bases o la legislación básica (STC 37/1987, fundamento jurídico 6º). Pero tampoco ello supone que ostente la competencia exclusiva para regular cualquier especie expropiatoria, esto es, para regular por completo, más allá de la legislación general de expropiación forzosa, toda expropiación especial por razón de la materia, al margen de que ostente o no competencias sobre el sector material de que se trate.</w:t>
      </w:r>
    </w:p>
    <w:p w:rsidR="008107C7" w:rsidRDefault="008107C7" w:rsidP="008107C7">
      <w:pPr>
        <w:pStyle w:val="TextoNormal"/>
      </w:pPr>
      <w:r>
        <w:t>En el presente caso, dada la naturaleza artificial de la propiedad urbana, parece claro que la legislación del Estado no puede predeterminar el modelo urbanístico por la vía de introducir especies o supuestos -estrictamente urbanísticos- a los que anudar determinadas consecuencias jurídicas, incluyendo las técnicas de calificación y clasificación, los instrumentos de planeamiento, etc, porque tal interpretación de la competencia estatal vaciaría de contenido, al menos potencialmente, la competencia urbanística autonómica (art. 148.1.3º C.E.). Y ello es lo que sucede en el supuesto enjuiciado, en el que, so pretexto de establecer la valoración de los terrenos a obtener por expropiación, en concreto del suelo urbanizable programado y de terrenos destinados al Patrimonio Municipal del Suelo y otros fines de interés social, se fijan con carácter "pleno" tanto el porcentaje correspondiente, como, a su través, referencias a clases de suelo y técnicas de ejecución, que no compete al Estado establecer.  En consecuencia, y en coherencia con lo que hemos afirmado respecto de los arts. 27 y siguientes del T.R.L.S., ha de declararse la inconstitucionalidad de los arts. 60 y 61 T.R.L.S..</w:t>
      </w:r>
    </w:p>
    <w:p w:rsidR="008107C7" w:rsidRDefault="008107C7" w:rsidP="008107C7">
      <w:pPr>
        <w:pStyle w:val="TextoNormal"/>
      </w:pPr>
      <w:r>
        <w:t>G) TÍTULO III DEL T.R.L.S.: "Planeamiento urbanístico del territorio"</w:t>
      </w:r>
    </w:p>
    <w:p w:rsidR="008107C7" w:rsidRDefault="008107C7" w:rsidP="008107C7">
      <w:pPr>
        <w:pStyle w:val="TextoNormal"/>
      </w:pPr>
    </w:p>
    <w:p w:rsidR="008107C7" w:rsidRDefault="008107C7" w:rsidP="008107C7">
      <w:pPr>
        <w:pStyle w:val="TextoNormal"/>
      </w:pPr>
      <w:r w:rsidRPr="008107C7">
        <w:rPr>
          <w:rStyle w:val="NumeroAFNegritaCaracter"/>
        </w:rPr>
        <w:t>22</w:t>
      </w:r>
      <w:r>
        <w:t>. (Título III, "Planeamiento Urbanístico del Territorio": Plan Nacional de Ordenación. Arts.  65, 66, 67, 107, 112, 118.1 y 126.1).</w:t>
      </w:r>
    </w:p>
    <w:p w:rsidR="008107C7" w:rsidRDefault="008107C7" w:rsidP="008107C7">
      <w:pPr>
        <w:pStyle w:val="TextoNormal"/>
      </w:pPr>
      <w:r>
        <w:t>El denominado "Plan Nacional de Ordenación" se inserta, sistemáticamente, en el Título III del T.R.L.S., que lleva por rúbrica "Planeamiento Urbanístico del Territorio", y aparece regulado dentro del Capítulo en el que se contienen las diversas clases de planes o instrumentos de ordenación.</w:t>
      </w:r>
    </w:p>
    <w:p w:rsidR="008107C7" w:rsidRDefault="008107C7" w:rsidP="008107C7">
      <w:pPr>
        <w:pStyle w:val="TextoNormal"/>
      </w:pPr>
      <w:r>
        <w:lastRenderedPageBreak/>
        <w:t>No es sólo esta perspectiva sistemática la que permite el encuadramiento del Plan Nacional en la tipología de los instrumentos de planeamiento de ordenación del territorio en sentido estricto y de urbanismo, sino que es el propio contenido material que le atribuye el art. 66 T.R.L.S. el que determina su calificación como un virtual Plan de Ordenación territorial y urbanismo.</w:t>
      </w:r>
    </w:p>
    <w:p w:rsidR="008107C7" w:rsidRDefault="008107C7" w:rsidP="008107C7">
      <w:pPr>
        <w:pStyle w:val="TextoNormal"/>
      </w:pPr>
      <w:r>
        <w:t>En efecto, el objeto o contenido material del Plan Nacional de Ordenación -que trae causa de la formulación contenida en los arts. 6 y 7 del T.R. de la L.S.  de 9 de abril de 1976- participa de las características esenciales de los planes de ordenación del territorio, en cuanto asigna usos al suelo o terreno a través de las directrices territoriales, se dirige al reequilibrio regional en el ámbito económico y tiene en cuenta los aspectos medioambientales para lograr la calidad de vida y el bienestar social, incidiendo también en el ámbito supranacional en cuanto al espacio europeo.</w:t>
      </w:r>
    </w:p>
    <w:p w:rsidR="008107C7" w:rsidRDefault="008107C7" w:rsidP="008107C7">
      <w:pPr>
        <w:pStyle w:val="TextoNormal"/>
      </w:pPr>
      <w:r>
        <w:t>Si a las referidas notas o elementos característicos del Plan Nacional, añadimos la vinculación de sus directrices para las actividades con incidencia territorial de las demás Administraciones públicas, que establece el art. 67 T.R.L.S., ha de concluirse en que nos hallamos ante un Plan de ordenación del territorio y urbanismo que viene a superponerse -en la escala jerárquica del planeamiento- a los Planes Directores Territoriales de Coordinación, de competencia de las Comunidades Autónomas, vinculando así las decisiones sobre planificación territorial que estos Entes públicos pueden adoptar en ejercicio de su competencia sobre ordenación del territorio y urbanismo.</w:t>
      </w:r>
    </w:p>
    <w:p w:rsidR="008107C7" w:rsidRDefault="008107C7" w:rsidP="008107C7">
      <w:pPr>
        <w:pStyle w:val="TextoNormal"/>
      </w:pPr>
      <w:r>
        <w:t>A la luz de lo expuesto, el Plan Nacional de Ordenación, así configurado, invade la referida competencia exclusiva de las Comunidades Autónomas, pues en virtud de la eficacia vinculante que a dicho Plan atribuye el art. 67 T.R.L.S., las políticas territoriales de las Comunidades Autónomas quedan condicionadas desde el mismo Plan Nacional y por su propia eficacia, así como por las eventuales actualizaciones o revisiones de que sea susceptible el instrumento de planeamiento que ahora enjuiciamos.</w:t>
      </w:r>
    </w:p>
    <w:p w:rsidR="008107C7" w:rsidRDefault="008107C7" w:rsidP="008107C7">
      <w:pPr>
        <w:pStyle w:val="TextoNormal"/>
      </w:pPr>
      <w:r>
        <w:t>No empece a lo anterior el que tanto el art. 65.1 como el art. 66, in fine, especifiquen que la ordenación realizada por el Plan nacional se contrae al ejercicio de las competencias estatales, pues una tal cláusula, por sí misma, no es suficiente para amparar en títulos competenciales atribuidos al Estado por el orden constitucional de competencias regulaciones que por su contenido material se encuadran en competencias atribuidas con carácter exclusivo a las Comunidades Autónomas, como es el caso de la ordenación del territorio stricto sensu y urbanismo [art.  148.1.3 C.E. y los correspondientes Estatutos de Autonomía, STC 149/1991, fundamento jurídico 4º B) d)]. Hemos de recordar, a este propósito, que los vicios o defectos en que incurra el legislador, por incompatibilidad con el Texto constitucional, no resultan sanados por ulteriores declaraciones de respeto al orden de competencias (STC 118/1996).</w:t>
      </w:r>
    </w:p>
    <w:p w:rsidR="008107C7" w:rsidRDefault="008107C7" w:rsidP="008107C7">
      <w:pPr>
        <w:pStyle w:val="TextoNormal"/>
      </w:pPr>
      <w:r>
        <w:t>No obstante, ha de afirmarse que el Estado tiene constitucionalmente atribuidas una pluralidad de competencias dotadas de una clara dimensión espacial, en tanto que proyectadas de forma inmediata sobre el espacio físico, y que, en consecuencia, su ejercicio incide en la ordenación del territorio (vgr. arts. 149.1, 4, 13, 19, 20, 21, 22, 23, 24, 25 y 28 C.E.).</w:t>
      </w:r>
    </w:p>
    <w:p w:rsidR="008107C7" w:rsidRDefault="008107C7" w:rsidP="008107C7">
      <w:pPr>
        <w:pStyle w:val="TextoNormal"/>
      </w:pPr>
      <w:r>
        <w:t xml:space="preserve">No cabe, pues, negar la legitimidad de que el Estado planifique territorialmente el ejercicio de sus competencias sectoriales haciendo uso de los instrumentos que estime idóneos (como, ad exemplum, el denominado Plan Director de Infraestructuras); así como que igualmente pueda, al amparo del título competencial del art. 149.1.13ª C.E., establecer las adecuadas fórmulas de coordinación, con la ineludible consecuencia de que las decisiones de </w:t>
      </w:r>
      <w:r>
        <w:lastRenderedPageBreak/>
        <w:t>la Administración estatal con incidencia territorial, adoptadas en el ejercicio de tales competencias, condicionen la estrategia territorial que las Comunidades Autónomas pretendan llevar a cabo (STC 149/1991 y 36/1994).</w:t>
      </w:r>
    </w:p>
    <w:p w:rsidR="008107C7" w:rsidRDefault="008107C7" w:rsidP="008107C7">
      <w:pPr>
        <w:pStyle w:val="TextoNormal"/>
      </w:pPr>
      <w:r>
        <w:t>Ha de declararse así la inconstitucionalidad por vulneración del orden constitucional de distribución de competencias, de los arts. 65, 66 y 67 T.R.L.S., y demás preceptos concordantes. En concreto, deben declararse igualmente inconstitucionales por su conexión los arts. 107 T.R.L.S. (por el que se regula la formulación del Plan); 112 T.R.L.S.  (relativo a su tramitación y remisión a las Cortes); 118.1 T.R.L.S. (que atribuye la competencia de aprobación a las Cortes Generales); y el art.  126.1 T.R.L.S.  (sobre su revisión y suspensión).</w:t>
      </w:r>
    </w:p>
    <w:p w:rsidR="008107C7" w:rsidRDefault="008107C7" w:rsidP="008107C7">
      <w:pPr>
        <w:pStyle w:val="TextoNormal"/>
      </w:pPr>
    </w:p>
    <w:p w:rsidR="008107C7" w:rsidRDefault="008107C7" w:rsidP="008107C7">
      <w:pPr>
        <w:pStyle w:val="TextoNormal"/>
      </w:pPr>
      <w:r w:rsidRPr="008107C7">
        <w:rPr>
          <w:rStyle w:val="NumeroAFNegritaCaracter"/>
        </w:rPr>
        <w:t>23</w:t>
      </w:r>
      <w:r>
        <w:t>. (Título III, "Planeamiento Urbanístico del Territorio".  Arts. 72.1 y 3.A; 78.2).</w:t>
      </w:r>
    </w:p>
    <w:p w:rsidR="008107C7" w:rsidRDefault="008107C7" w:rsidP="008107C7">
      <w:pPr>
        <w:pStyle w:val="TextoNormal"/>
      </w:pPr>
      <w:r>
        <w:t>a) (Art. 72.1 y 3.A, "Determinaciones del Plan General").</w:t>
      </w:r>
    </w:p>
    <w:p w:rsidR="008107C7" w:rsidRDefault="008107C7" w:rsidP="008107C7">
      <w:pPr>
        <w:pStyle w:val="TextoNormal"/>
      </w:pPr>
      <w:r>
        <w:t>En idénticos términos, impugna la Generalidad de Cataluña el art. 72.1; en cambio, al art.  72.3.A.b) es objeto de impugnación, aunque no sea básico, porque se corresponde con el art.  33.5 de la Ley 8/1990 que sí lo es. La Diputación General de Aragón no impugna, sin embargo, este último precepto, a pesar de que en su recurso núm. 2.486/90 sí se dirigió contra el art. 33.5 de la Ley 8/1990.  En la argumentación del recurso de la Comunidad Autónoma de las Islas Baleares subyace la idea de que una cuestión es que la normativa básica a la que se refiere el precepto (valoraciones y régimen urbanístico de la propiedad) deba ser atendida y otra, muy distinta, es que deba serlo justamente a través del planeamiento, imponiéndole concretas determinaciones, puesto que se trata de una competencia urbanística autonómica. Para la representación estatal, el art.  72.1 no es más que un mero recordatorio de que las determinaciones del Texto Refundido de la Ley del Suelo deben hacerse efectivas en lo que hace al régimen urbanístico de la propiedad y al de las valoraciones, según su respectiva naturaleza (normas básicas, supletorias o de "aplicación plena"), siendo un precepto puramente remisivo y, por consiguiente, competencialmente inocuo. Alega, en fin, que si este Tribunal privara a alguno de aquellos preceptos de su carácter básico o de aplicación plena, ello repercutiría en la fuerza vinculante que hubiera de tener sobre el planeamiento general, pero en nada afectaría al art. 72.1 T.R.L.S..</w:t>
      </w:r>
    </w:p>
    <w:p w:rsidR="008107C7" w:rsidRDefault="008107C7" w:rsidP="008107C7">
      <w:pPr>
        <w:pStyle w:val="TextoNormal"/>
      </w:pPr>
      <w:r>
        <w:t xml:space="preserve">Este último argumento no puede ser enteramente compartido, puesto que el citado art. 72.1 T.R.L.S. sí tiene un concreto contenido normativo adicional de carácter formal respecto de las normas que se refieren tanto al régimen urbanístico de la propiedad del suelo cuanto al sistema de valoraciones, que consiste precisamente en que sea el Plan General Municipal de Ordenación o instrumento de planeamiento análogo y no otro el que sirva de vehículo para recoger las determinaciones necesarias que hagan efectivas aquellas normas. Ha de darse la razón, por tanto, al recurso de la Comunidad Autónoma de las Islas Baleares, puesto que el art. 72.1 T.R.L.S. implica que el legislador estatal impondría cuál habría de ser el instrumento urbanístico a través del cual deban encontrar aplicación unas normas básicas o de "aplicación plena", y sin que tal concreción pueda quedar al abrigo de los títulos competenciales estatales, ni en el concepto de norma básica, siendo así que las Comunidades Autónomas han asumido la competencia en materia de urbanismo. Tampoco en el caso de que la expresión legal "instrumentos de planeamiento análogos que puedan prever las Comunidades Autónomas" se entendiera con tal amplitud que fuera susceptible de albergar cualquier instrumento urbanístico podría concluirse en la constitucionalidad del carácter básico del art. 72.1 T.R.L.S..  Y ello porque, al margen de que una inteligencia tan amplia del precepto se compadece mal con su literalidad, el Estado no puede decidir la forma en que </w:t>
      </w:r>
      <w:r>
        <w:lastRenderedPageBreak/>
        <w:t>haya de llevarse a cabo, cuando ello no es una consecuencia necesaria u obligada, que se desprenda de forma inequívoca del núcleo de la competencia estatal (art.  149.1.1º C.E.).</w:t>
      </w:r>
    </w:p>
    <w:p w:rsidR="008107C7" w:rsidRDefault="008107C7" w:rsidP="008107C7">
      <w:pPr>
        <w:pStyle w:val="TextoNormal"/>
      </w:pPr>
      <w:r>
        <w:t>En suma, pues, las Comunidades Autónomas habrán de respetar la legislación materialmente básica a la que se refiere el precepto impugnado, pero la elección de los instrumentos cae bajo su competencia, criterio éste, por otra parte, escrupulosamente respetado en otros preceptos del mismo Texto Refundido, como en el caso del art. 24 en el que se establece el contenido elemental del derecho a urbanizar, indicando que se adquiere con la aprobación del planeamiento preciso en cada clase de suelo (apartado 1). Ha de declararse, por tanto, que el art. 72.1 es contrario al orden constitucional de competencias.</w:t>
      </w:r>
    </w:p>
    <w:p w:rsidR="008107C7" w:rsidRDefault="008107C7" w:rsidP="008107C7">
      <w:pPr>
        <w:pStyle w:val="TextoNormal"/>
      </w:pPr>
      <w:r>
        <w:t>Por lo demás, debe rechazarse la impugnación del art.  72.3.A.b) T.R.L.S.  puesto que, como el mismo recurrente admite, no se trata de una norma básica, único motivo de impugnación recogido en el suplico de la demanda.</w:t>
      </w:r>
    </w:p>
    <w:p w:rsidR="008107C7" w:rsidRDefault="008107C7" w:rsidP="008107C7">
      <w:pPr>
        <w:pStyle w:val="TextoNormal"/>
      </w:pPr>
      <w:r>
        <w:t>b) (Art. 78.2, "Normas Subsidiarias Municipales.  Determinación").</w:t>
      </w:r>
    </w:p>
    <w:p w:rsidR="008107C7" w:rsidRDefault="008107C7" w:rsidP="008107C7">
      <w:pPr>
        <w:pStyle w:val="TextoNormal"/>
      </w:pPr>
      <w:r>
        <w:t>La Generalidad de Cataluña impugna este artículo por los mismos motivos que los alegados contra el art. 65 T.R.L.S.. Con relación a este precepto la Diputación General de Aragón incurre en un defecto de apoderamiento [fundamento jurídico 3º B)]. La Comunidad Autónoma de las Islas Baleares reproduce los mismos argumentos recogidos en el apartado anterior, si bien haciendo constar que en este caso se refieren a las determinaciones que deben contener las Normas Subsidiarias Municipales en cuanto a la delimitación de áreas de reparto y fijación de aprovechamiento tipo. Para la representación estatal, este artículo tiene una justificación similar a la del art. 72.1 T.R.L.S. y no es más que un mero recordatorio de la procedente aplicación de la normativa que el Texto Refundido contiene.</w:t>
      </w:r>
    </w:p>
    <w:p w:rsidR="008107C7" w:rsidRDefault="008107C7" w:rsidP="008107C7">
      <w:pPr>
        <w:pStyle w:val="TextoNormal"/>
      </w:pPr>
      <w:r>
        <w:t>Las impugnaciones de los recurrentes han de tenerse por plenamente fundadas a la luz de la doctrina expuesta ya que el Estado carece de todo título competencial para fijar cuál haya de ser el instrumento urbanístico que deba hacer efectivas las normas básicas del Texto Refundido, por lo que el apartado 2 del art. 78 es contrario al orden constitucional de distribución de competencias.</w:t>
      </w:r>
    </w:p>
    <w:p w:rsidR="008107C7" w:rsidRDefault="008107C7" w:rsidP="008107C7">
      <w:pPr>
        <w:pStyle w:val="TextoNormal"/>
      </w:pPr>
    </w:p>
    <w:p w:rsidR="008107C7" w:rsidRDefault="008107C7" w:rsidP="008107C7">
      <w:pPr>
        <w:pStyle w:val="TextoNormal"/>
      </w:pPr>
      <w:r w:rsidRPr="008107C7">
        <w:rPr>
          <w:rStyle w:val="NumeroAFNegritaCaracter"/>
        </w:rPr>
        <w:t>24</w:t>
      </w:r>
      <w:r>
        <w:t>. (Título III, "Planeamiento Urbanístico del Territorio".  Capítulo Segundo, "Areas de reparto y aprovechamiento tipo".  Arts.: 94.1 y 2; 95; 96.1 y 3; 97.1; 98; 99.1 y 2; 100).</w:t>
      </w:r>
    </w:p>
    <w:p w:rsidR="008107C7" w:rsidRDefault="008107C7" w:rsidP="008107C7">
      <w:pPr>
        <w:pStyle w:val="TextoNormal"/>
      </w:pPr>
      <w:r>
        <w:t>a) (Art. 94.1 y 2, "Delimitación de áreas de reparto").</w:t>
      </w:r>
    </w:p>
    <w:p w:rsidR="008107C7" w:rsidRDefault="008107C7" w:rsidP="008107C7">
      <w:pPr>
        <w:pStyle w:val="TextoNormal"/>
      </w:pPr>
      <w:r>
        <w:t xml:space="preserve">La Generalidad de Cataluña reproduce en su recurso núm.  2.342/92 los motivos de alegación formulados contra los arts.  30.1 y 2 de la Ley 8/1990, si bien advirtiendo que en el nuevo art. 94 del Texto Refundido de la Ley del Suelo de 1992 se añade el suelo calificado por las Normas Subsidiarias como apto para urbanizar, extremo éste no previsto en la Ley 8/1990. Frente al citado art.  30.1 y 2 alega que, pese a la inocuidad de sus afirmaciones, el Estado carece de competencias sobre la materia.  Finalmente, considera incompatible con el concepto de base el grado de aplicación que ha previsto la Disposición adicional primera; pero es ésta una impugnación que habrá de enjuiciarse más adelante, al analizar aquella Disposición. La Diputación General de Aragón (recurso núm. 2.486/90) aduce la invasión de la competencia en materia de urbanismo, por entender que las Comunidades Autónomas, si bien con respeto del principio básico de distribución equitativa de cargas y beneficios, podrán optar por otros instrumentos para su cumplimiento, como expresión de su propia política urbanística. En su recurso 2.341/92 argumenta asimismo que tal regulación repele absolutamente el calificativo de normas básicas, dado su carácter instrumental y su grado de detalle, que, por entero, debe corresponder al legislador autonómico. En términos análogos, se pronuncia la Comunidad Autónoma de las Islas Baleares. Subraya, sin embargo, -y es éste un reproche que dirige al entero Capítulo Segundo- que la delimitación de áreas y el </w:t>
      </w:r>
      <w:r>
        <w:lastRenderedPageBreak/>
        <w:t>cálculo del aprovechamiento tipo constituyen las piezas fundamentales de la gestión urbanística que corresponde a las Comunidades Autónomas y no desvirtúan la argumentación las remisiones que se realizan a la legislación urbanística aplicable puesto que ésta terminaría por someterse a una pretendida normativa básica que regula con total concreción la materia, determinando incluso la técnica y el modo de cálculo del aprovechamiento tipo.  Las alegaciones del Abogado del Estado (Antecedente núm.  22.H) se sintetizan en dos consideraciones: de una parte, pone el acento en el escaso contenido imperativo del precepto impugnado, que -a su juicio- se circunscribe a prever la existencia de áreas de reparto en suelo urbano y urbanizable y a definir las unidades de ejecución; de otra, subraya la íntima y necesaria conexión que guardan las áreas de reparto para el aprovechamiento urbanístico, y las unidades de ejecución para el cumplimiento de los deberes que permiten la adquisición de aquél.  En cuanto que las áreas y las unidades son técnicas para hacer efectivos deberes y derechos básicos del propietario quedan amparados por el título competencial del art. 149.1.1º C.E. Y en su calidad de técnicas administrativas que garantizan un tratamiento común del administrado en la fijación del aprovechamiento tipo -que es la magnitud esencial de contenido económico de la propiedad- o en el cumplimiento de los deberes básicos, cabría también invocar el art. 149.1.18º C.E.</w:t>
      </w:r>
    </w:p>
    <w:p w:rsidR="008107C7" w:rsidRDefault="008107C7" w:rsidP="008107C7">
      <w:pPr>
        <w:pStyle w:val="TextoNormal"/>
      </w:pPr>
      <w:r>
        <w:t>Para la resolución de estas impugnaciones preciso es distinguir los diversos aspectos que el art. 94.1 y 2, a nuestros efectos, plantea. En primer término, por lo que hace a la figura del planeamiento a que se refiere el art. 94, el Texto Refundido de la Ley del Suelo de 1992 contiene una redacción más respetuosa con la competencia autonómica -"instrumentos de planeamiento general"- que la del art. 30 de la Ley 8/1990 -"los Planes Generales delimitarán..."-. Pese a ello, y en aplicación de la doctrina ya expuesta (art. 72.1 T.R.L.S.), ha de concluirse que una previsión semejante, por más que pudiera calificarse de inocua, como el propio recurso del Consejo Ejecutivo de la Generalidad de Cataluña admite, no encuentra justificación en ningún título competencial del Estado. Por consiguiente, la expresión "los instrumentos de planeamiento general" resulta contraria al orden constitucional de distribución de competencias.</w:t>
      </w:r>
    </w:p>
    <w:p w:rsidR="008107C7" w:rsidRDefault="008107C7" w:rsidP="008107C7">
      <w:pPr>
        <w:pStyle w:val="TextoNormal"/>
      </w:pPr>
      <w:r>
        <w:t>No puede prosperar, sin embargo, el pretendido exceso de delegación en que, a juicio del representante de la Generalidad, habría incurrido el art. 94.1 y 2 T.R.L.S. respecto de los arts.  30.1 y 2 de la Ley 8/1990, puesto que, en contra de lo que afirma el recurrente, el citado art. 94.1 y 2 T.R.L.S. no contiene ninguna referencia explícita a las Normas Subsidiarias, si bien es cierto -pero ello es una cuestión distinta- que implícitamente y por virtud de una interpretación sistemática del Texto Refundido haya de tenerse en cuenta cuanto dispone el art. 78.2, precepto del que ya ha quedado desvinculado, puesto que lo hemos declarado inconstitucional.</w:t>
      </w:r>
    </w:p>
    <w:p w:rsidR="008107C7" w:rsidRDefault="008107C7" w:rsidP="008107C7">
      <w:pPr>
        <w:pStyle w:val="TextoNormal"/>
      </w:pPr>
      <w:r>
        <w:t>El contenido imperativo del precepto enjuiciado se contrae a la obligación de delimitar áreas de reparto de cargas y beneficios en suelo urbano y en los terrenos clasificados en suelo urbanizable y los afectos a sistemas generales adscritos, estableciendo su indisponibilidad para la totalidad del suelo urbano y urbanizable. La finalidad última del art. 94 T.R.L.S.  estriba en hacer efectivo en el orden urbanístico el principio de igualdad que la Constitución reconoce en el art. 14 o, en otros términos, la distribución equitativa de cargas y beneficios. A este objetivo responden tanto la técnica de las áreas de reparto (art. 94) cuanto la del aprovechamiento tipo (art.  95).  Ciertamente, estas técnicas -estrictamente urbanísticas- guardan una evidente relación instrumental con materias sobre las que el Estado sí ostenta ciertas competencias, en los términos ya analizados, como el aprovechamiento urbanístico susceptible de apropiación o los deberes básicos que le son inherentes.</w:t>
      </w:r>
    </w:p>
    <w:p w:rsidR="008107C7" w:rsidRDefault="008107C7" w:rsidP="008107C7">
      <w:pPr>
        <w:pStyle w:val="TextoNormal"/>
      </w:pPr>
      <w:r>
        <w:lastRenderedPageBreak/>
        <w:t>No obstante, y en coherencia con cuanto se ha venido afirmando, ha de subrayarse que el Estado no puede imponer los medios o instrumentos urbanísticos en que puedan articularse las condiciones básicas de ejercicio del derecho y del cumplimiento del deber a que se refiere el art. 149.1.1º C.E (áreas de reparto; sistemas generales adscritos; carácter indisponible de las áreas; etc). Medios o instrumentos que pertenecen a la libre opción del legislador autonómico en materia urbanística, por más que, en determinados supuestos, puedan considerarse como una consecuencia casi necesaria de la concepción del derecho de propiedad subyacente a aquellas condiciones básicas, como el establecimiento de zonas o áreas de reparto en las que hacer realidad la equidistribución y los deberes básicos. Pero la definición del régimen jurídico de tales técnicas e instrumentos que, desde luego admite configuraciones diversas, forma parte, pues, de la competencia autonómica en materia urbanística.</w:t>
      </w:r>
    </w:p>
    <w:p w:rsidR="008107C7" w:rsidRDefault="008107C7" w:rsidP="008107C7">
      <w:pPr>
        <w:pStyle w:val="TextoNormal"/>
      </w:pPr>
      <w:r>
        <w:t>El Estado, como hemos venido admitiendo, y dadas las características peculiares del régimen jurídico de la propiedad del suelo, puede tomar ciertos puntos de referencia para fijar las condiciones básicas del aprovechamiento urbanístico, en cuanto derecho-deber, tales como los grandes supuestos o tipos de suelo bajo el perfil de la inexistencia, progresiva adquisición o consolidación del derecho de propiedad urbana. Lo que no puede hacer, sin embargo, como aquí sucede, es imponer una concreta técnica o definir el régimen jurídico de los instrumentos urbanísticos a su servicio, pues de aceptarse una interpretación tan expansiva del art. 149.1.1º C.E. en relación con las competencias autonómicas en materia de urbanismo, restaría a las Comunidades Autónomas una competencia meramente residual, de desarrollo menor, que no se compadece con el orden constitucional de distribución de competencias.</w:t>
      </w:r>
    </w:p>
    <w:p w:rsidR="008107C7" w:rsidRDefault="008107C7" w:rsidP="008107C7">
      <w:pPr>
        <w:pStyle w:val="TextoNormal"/>
      </w:pPr>
      <w:r>
        <w:t>Debe notarse, en efecto, que el art. 94 T.R.L.S., aun desconectado del anulado art. 27 T.R.L.S. con el que guarda una estrecha relación, persigue, como su mismo título reconoce, imponer una determinada técnica y, a la postre, la configuración del régimen de delimitación de las áreas de reparto. Areas de reparto que, por consiguiente, no aparecen ya como una simple referencia, esto es, el Estado no se ha limitado a señalar que el aprovechamiento urbanístico deba plasmarse en instrumentos, como las áreas o zonas, en las que, cualquiera que fuere su concreto régimen jurídico, se garantice la efectividad de los deberes básicos que al Estado le corresponde establecer. Por consiguiente, el art. 94.1 y 2 T.R.L.S. es inconstitucional.</w:t>
      </w:r>
    </w:p>
    <w:p w:rsidR="008107C7" w:rsidRDefault="008107C7" w:rsidP="008107C7">
      <w:pPr>
        <w:pStyle w:val="TextoNormal"/>
      </w:pPr>
      <w:r>
        <w:t>b) (Art. 95, "Aprovechamiento tipo").</w:t>
      </w:r>
    </w:p>
    <w:p w:rsidR="008107C7" w:rsidRDefault="008107C7" w:rsidP="008107C7">
      <w:pPr>
        <w:pStyle w:val="TextoNormal"/>
      </w:pPr>
      <w:r>
        <w:t>Por las mismas razones que acaban de explicitarse y en virtud de la doctrina sentada en relación con el art. 72.1 y 27 T.R.L.S., a la que hemos de remitirnos, debe concluirse que el precepto impugnado invade la competencia urbanística de las Comunidades Autónomas. Como se ha dicho, el Estado tampoco ostenta título competencial alguno que le permita determinar cuáles son los instrumentos urbanísticos a través de los que es obligado cumplir las normas de contenido básico.</w:t>
      </w:r>
    </w:p>
    <w:p w:rsidR="008107C7" w:rsidRDefault="008107C7" w:rsidP="008107C7">
      <w:pPr>
        <w:pStyle w:val="TextoNormal"/>
      </w:pPr>
      <w:r>
        <w:t>c) (Art. 96, "Cálculo del aprovechamiento tipo en suelo urbano"; art. 97, "Cálculo del aprovechamiento tipo en suelo urbanizable").</w:t>
      </w:r>
    </w:p>
    <w:p w:rsidR="008107C7" w:rsidRDefault="008107C7" w:rsidP="008107C7">
      <w:pPr>
        <w:pStyle w:val="TextoNormal"/>
      </w:pPr>
      <w:r>
        <w:t xml:space="preserve">La Generalidad de Cataluña (recurso núm. 2.481/90) razona que con estos preceptos se regula el régimen de uso, tipología y gestión del suelo urbano y urbanizable, materia urbanística por antonomasia, sin que la invasión competencial se neutralice por el hecho de que estos artículos se remitan a la legislación urbanística aplicable. Con mayor precisión, la Diputación General de Aragón (recurso núm. 2.486/90) motiva su impugnación en que el Estado carece de competencias para regular el aprovechamiento tipo, ya que en esta materia destaca su carácter instrumental y de detalle que ha de corresponder por entero a la legislación autonómica, motivación que reproduce en su recurso núm. 2.341/92.  El recurso de la </w:t>
      </w:r>
      <w:r>
        <w:lastRenderedPageBreak/>
        <w:t>Comunidad Autónoma de las Islas Baleares reitera los motivos de impugnación formulados ante el art. 94 T.R.L.S..  El Abogado del Estado cuestiona la consistencia argumental de las impugnaciones deducidas en el sentido de que, aunque el aprovechamiento tipo sea una técnica típicamente urbanística, no por ello cabe concluir sin más que estos preceptos no puedan resultar amparados en las normas constitucionales de competencia estatal. En síntesis, la alegación de la representación estatal (Antecedente núm. 22.H, arts. 32 y ss.)  se resuelve en afirmar que la regulación básica del aprovechamiento tipo (la superficie construible de uso característico por metro cuadrado de suelo de un área de reparto) contiene poco más que un armazón conceptual o enumeración de los elementos fundamentales de cálculo, que es lo único que se pretende imponer con carácter uniforme para asegurar la igualdad básica en el aprovechamiento urbanístico (art.  149.1.1º C.E.)  y el tratamiento común de los administrados (art.  149.1.18º C.E.), dado además su evidente nexo con el régimen de valoraciones.</w:t>
      </w:r>
    </w:p>
    <w:p w:rsidR="008107C7" w:rsidRDefault="008107C7" w:rsidP="008107C7">
      <w:pPr>
        <w:pStyle w:val="TextoNormal"/>
      </w:pPr>
      <w:r>
        <w:t>No cabe compartir el argumento del Abogado del Estado, según el cual los artículos en cuestión tan sólo fijan el "armazón conceptual" para el cálculo del aprovechamiento tipo. Por el contrario, los arts. 96 y 97 T.R.L.S. exceden la competencia estatal, de acuerdo con la doctrina sentada en relación con el art. 27 T.R.L.S. y concordantes, y del que estos preceptos no son sino su coronación. Nótese, en efecto, que en sí mismos considerados los arts. 96 y 97 T.R.L.S. no admiten una interpretación conforme, aunque se entiendan desvinculados del anulado art. 27 T.R.L.S., toda vez que establecen una fórmula cerrada y concreta, no abstracta, que sólo puede hacerse efectiva a través de toda una cadena de técnicas estrictamente urbanísticas sobre las que el Estado carece de competencia en los términos ya indicados (aprovechamiento tipo; areas de reparto; la concreta configuración de la división del aprovechamiento lucrativo por su superficie total; etc) e imponiendo además de forma vinculante determinadas operaciones (inclusiones o exclusiones del dotacional; coeficientes de ponderación; etc), como salta a la vista de la mera lectura de los artículos impugnados. Esta conclusión no se desvirtúa por el hecho de que, por relación a ciertos extremos colaterales, los arts. 96 y 97 T.R.L.S. se remitan a la legislación urbanística aplicable (arts.  96.2 para el cálculo del aprovechamiento lucrativo; 97.4 respecto del instrumento que ha de fijar el aprovechamiento tipo y las ponderaciones de los usos pormenorizados, por ejemplo).</w:t>
      </w:r>
    </w:p>
    <w:p w:rsidR="008107C7" w:rsidRDefault="008107C7" w:rsidP="008107C7">
      <w:pPr>
        <w:pStyle w:val="TextoNormal"/>
      </w:pPr>
      <w:r>
        <w:t>Tampoco pueden encontrar los artículos impugnados su cobertura en el art.  149.1.18º C.E.  (tratamiento común de los administrados), como argumenta la representación estatal, puesto que nos encontramos ante un supuesto de hecho bien diverso, cual es la regulación de un derecho, y no ante las relaciones del particular administrado con la Administración pública.</w:t>
      </w:r>
    </w:p>
    <w:p w:rsidR="008107C7" w:rsidRDefault="008107C7" w:rsidP="008107C7">
      <w:pPr>
        <w:pStyle w:val="TextoNormal"/>
      </w:pPr>
      <w:r>
        <w:t>En consecuencia, la entera regulación del cálculo del aprovechamiento tipo que los arts. 96.1 y 3 y 97 T.R.L.S.  realizan resulta contraria a la Constitución (igual conclusión merece el apartado 2 del art. 96 por su pretendido carácter supletorio).  Finalmente, y a mayor abundamiento, es obligado recordar que las prescripciones que el art.  97 T.R.L.S. contiene respecto de los concretos instrumentos del planeamiento urbanístico, en virtud de la doctrina expresada en el art. 72.1 T.R.L.S., tampoco encuentran apoyo en la competencia estatal.  De ahí que, en suma, la calificación como básica del art. 97 T.R.L.S. sea en su integridad contraria al bloque de la constitucionalidad.</w:t>
      </w:r>
    </w:p>
    <w:p w:rsidR="008107C7" w:rsidRDefault="008107C7" w:rsidP="008107C7">
      <w:pPr>
        <w:pStyle w:val="TextoNormal"/>
      </w:pPr>
      <w:r>
        <w:t>d) (Arts. 98, "Otras determinaciones"; 99.1 y 2, "Aplicación del aprovechamiento tipo y de las transferencias de aprovechamiento"; 100, "Inaplicación del aprovechamiento tipo").</w:t>
      </w:r>
    </w:p>
    <w:p w:rsidR="008107C7" w:rsidRDefault="008107C7" w:rsidP="008107C7">
      <w:pPr>
        <w:pStyle w:val="TextoNormal"/>
      </w:pPr>
      <w:r>
        <w:t xml:space="preserve">En términos similares a los recogidos en el epígrafe anterior se expresan los recurrentes contra los artículos citados en el encabezamiento. El Abogado del Estado ha esgrimido, sin embargo, otros títulos competenciales para la defensa de los preceptos impugnados. Así, </w:t>
      </w:r>
      <w:r>
        <w:lastRenderedPageBreak/>
        <w:t>respecto del art. 98.3 T.R.L.S. (antes 35.3 Ley 8/1990) argumenta que podría ampararse, según la doctrina de la STC 152/1988, en el art. 149.1.13º C.E., ya que su objeto es favorecer las viviendas de protección pública al permitir un aprovechamiento patrimonializable superior que compense las limitaciones inherentes a aquel régimen, como los precios máximos de venta y renta. En relación con el art.  99.2 T.R.L.S.  (antes 36.1 Ley 8/1990), sostiene que se limita a definir qué se entiende por "sustitución de la edificación" y prescribe que se sujeten al régimen propio de ésta las rehabilitaciones no obligatorias que tengan características y alcance equivalentes a la citada sustitución. El apartado 2º del art. 99 T.R.L.S.  enlaza con el 1º -que condiciona la aplicación efectiva del aprovechamiento tipo en terrenos edificados a la sustitución de la edificación- y en cierta forma lo completa.</w:t>
      </w:r>
    </w:p>
    <w:p w:rsidR="008107C7" w:rsidRDefault="008107C7" w:rsidP="008107C7">
      <w:pPr>
        <w:pStyle w:val="TextoNormal"/>
      </w:pPr>
      <w:r>
        <w:t>Por lo que hace, en primer término, a los apartados 1 y 2 del art. 98 T.R.L.S., que no hacen sino precisar -y desarrollar- el cálculo del aprovechamiento tipo establecido en los arts. 96 y 97 (98.1: determinación del uso característico; 98.2: terrenos destinados por el planeamiento a edificaciones o instalaciones de uso o servicio público), forzoso es concluir, con mayor razón si cabe, en la inconstitucionalidad de su calificación como básico por todo lo dicho respecto de tales preceptos, en relación con los citados arts. 96 y 97 T.R.L.S..</w:t>
      </w:r>
    </w:p>
    <w:p w:rsidR="008107C7" w:rsidRDefault="008107C7" w:rsidP="008107C7">
      <w:pPr>
        <w:pStyle w:val="TextoNormal"/>
      </w:pPr>
      <w:r>
        <w:t>Ciertamente, el art. 98.3 T.R.L.S., por otro lado, incide sobre el sector de la vivienda y la actividad promocional y una y otra pueden enmarcarse dentro de las facultades de dirección general de la economía que al Estado atañen en virtud del art.  149.1.13º C.E. (STC 152/1988), como recuerda la representación del Estado. Sin embargo, y como también hemos declarado en la misma STC 152/1988 (fundamento jurídico 2º), el art.  47 C.E. no constituye por sí mismo un título competencial autónomo en favor del Estado, sino un mandato o directriz que ha de informar la actuación de todos los poderes públicos (art. 53.3 C.E.), de modo que su consecución ha de instrumentarse "a través de", no "a pesar de" los sistemas de distribución de competencias.</w:t>
      </w:r>
    </w:p>
    <w:p w:rsidR="008107C7" w:rsidRDefault="008107C7" w:rsidP="008107C7">
      <w:pPr>
        <w:pStyle w:val="TextoNormal"/>
      </w:pPr>
      <w:r>
        <w:t>La cuestión se contrae, pues, a determinar si el art.  149.1.13º C.E. puede dar cobertura a la previsión del art. 98.3.  En este sentido, conviene tener en cuenta que la doctrina de la STC 152/1988 (fundamentos jurídicos 2º y 4º) se refiere a un supuesto distinto -la regulación directa de ciertos instrumentos de financiación de actuaciones protegibles en materia de vivienda- al aquí contemplado. En efecto, como se dijo en aquella ocasión, la conexión del sector vivienda y la actividad promocional con la política económica general puede quedar suficientemente acreditada "en razón de la incidencia que el impulso de la construcción tiene como factor económico y, en especial, como instrumento generador de empleo" (fundamento jurídico 2º), encontrándose, por tanto, justificada la regulación estatal de los correspondientes instrumentos de financiación cuando se trate con ello de "asegurar el mantenimiento de unas inversiones fundamentales desde el punto de vista de la política económica general que, en otro caso, se revelaría difícilmente viable" (fundamento jurídico 4º). Doctrina reiterada en la STC 59/1995.</w:t>
      </w:r>
    </w:p>
    <w:p w:rsidR="008107C7" w:rsidRDefault="008107C7" w:rsidP="008107C7">
      <w:pPr>
        <w:pStyle w:val="TextoNormal"/>
      </w:pPr>
      <w:r>
        <w:t>En nuestro caso no se pretende, sin embargo, canalizar determinados fondos estatales para la promoción de viviendas de protección pública, ni tampoco regular de forma directa o inmediata tal promoción. Muy al contrario, el objeto directo del art. 98.3 T.R.L.S. es la regulación de uno de los elementos del aprovechamiento tipo, sin que su clara conexión con la promoción indirecta y mediata de viviendas de protección pública pueda tener la virtualidad de atraer hacia el art. 149.1.13º C.E. la regulación con carácter básico de la materia, máxime cuando las Comunidades Autónomas han asumido competencias sobre la ordenación del territorio, urbanismo y vivienda, título más directamente implicado que, en el presente caso, ha de prevalecer. Es evidente, además, que el art. 98.3 T.R.L.S.  establece deter</w:t>
      </w:r>
      <w:r>
        <w:lastRenderedPageBreak/>
        <w:t>minadas prescripciones estrictamente urbanísticas (calificación de uso específico; asignación de un coeficiente de ponderación y sus reglas), con lo que invade la competencia urbanística que corresponde a las Comunidades Autónomas. De ahí que respecto del art. 98.3 T.R.L.S. haya que concluir en igual sentido a como hemos hecho con el resto del precepto y, en consecuencia, debamos declararlo contrario al orden constitucional de competencias.</w:t>
      </w:r>
    </w:p>
    <w:p w:rsidR="008107C7" w:rsidRDefault="008107C7" w:rsidP="008107C7">
      <w:pPr>
        <w:pStyle w:val="TextoNormal"/>
      </w:pPr>
      <w:r>
        <w:t>Tampoco pueden compartirse las alegaciones del Abogado del Estado en punto al art. 99 (apartados 1 y 2), pues no son susceptibles de desvirtuar la doctrina sentada en relación con el cálculo del aprovechamiento tipo (arts. 96 y 97), máxime cuando aquí no se hace sino un desarrollo aún más pormenorizado.</w:t>
      </w:r>
    </w:p>
    <w:p w:rsidR="008107C7" w:rsidRDefault="008107C7" w:rsidP="008107C7">
      <w:pPr>
        <w:pStyle w:val="TextoNormal"/>
      </w:pPr>
      <w:r>
        <w:t>Por otra parte, el art. 100 T.R.L.S. carece de contenido material específico y, por consiguiente, no lesiona a estos efectos el orden constitucional de competencias. La Disposición adicional primera a la que se refiere habrá de ser enjuiciada más adelante en el fundamento jurídico 41 A).</w:t>
      </w:r>
    </w:p>
    <w:p w:rsidR="008107C7" w:rsidRDefault="008107C7" w:rsidP="008107C7">
      <w:pPr>
        <w:pStyle w:val="TextoNormal"/>
      </w:pPr>
    </w:p>
    <w:p w:rsidR="008107C7" w:rsidRDefault="008107C7" w:rsidP="008107C7">
      <w:pPr>
        <w:pStyle w:val="TextoNormal"/>
      </w:pPr>
      <w:r w:rsidRPr="008107C7">
        <w:rPr>
          <w:rStyle w:val="NumeroAFNegritaCaracter"/>
        </w:rPr>
        <w:t>25</w:t>
      </w:r>
      <w:r>
        <w:t>. (Capítulo Tercero, "Elaboración y aprobación de los Planes": Arts. 104.1 y 3; 109.1; 113.2; 124).</w:t>
      </w:r>
    </w:p>
    <w:p w:rsidR="008107C7" w:rsidRDefault="008107C7" w:rsidP="008107C7">
      <w:pPr>
        <w:pStyle w:val="TextoNormal"/>
      </w:pPr>
      <w:r>
        <w:t>a) (Art. 104.1 y 3, "Planes de iniciativa particular")</w:t>
      </w:r>
    </w:p>
    <w:p w:rsidR="008107C7" w:rsidRDefault="008107C7" w:rsidP="008107C7">
      <w:pPr>
        <w:pStyle w:val="TextoNormal"/>
      </w:pPr>
      <w:r>
        <w:t>La Generalidad de Cataluña (recurso núm. 2.481/90 contra el entonces art. 13.1 Ley 8/1990) basa su impugnación contra el art.  104.1 en un doble orden de motivos: de un lado, en que el Estado carece de todo título competencial para su regulación y, de otro, porque al ser una materia urbanística no puede tener carácter básico. Frente al art.  104.3 T.R.L.S. (recurso núm. 2.342/92) reproduce la misma motivación que la esgrimida contra el art. 3.1 y ss.  T.R.L.S..  Las alegaciones del Abogado del Estado (Antecedentes núm. 22.H, art. 13.1 Ley 8/1990, y núm. 35.D, art.  104.1 y 3 T.R.L.S.)  se resuelven en afirmar la titularidad estatal por virtud del art. 149.1.18º C.E., tanto en la regla de las bases del régimen jurídico de las Administraciones públicas que garanticen un tratamiento común a los administrados, cuanto, en lo que hace al último inciso del art. 104.3 T.R.L.S., en la legislación de expropiación forzosa. En suma, para la representación estatal se trata de normas básicas del régimen jurídico-administrativo del urbanismo que encuentran su justificación constitucional, en cuanto normas de carácter básico, en el reconocimiento genérico de la iniciativa privada y pública, pero distinta de la Administración urbanística, y en la necesidad de establecer el régimen general de los instrumentos precisos para dotar de efectividad a ese reconocimiento.</w:t>
      </w:r>
    </w:p>
    <w:p w:rsidR="008107C7" w:rsidRDefault="008107C7" w:rsidP="008107C7">
      <w:pPr>
        <w:pStyle w:val="TextoNormal"/>
      </w:pPr>
      <w:r>
        <w:t>El apartado 1 del precepto impugnado permite que en la función pública urbanística colabore la iniciativa privada, pudiendo de tal forma los particulares, sean o no propietarios de terrenos sujetos a ordenación, intervenir en el procedimiento de elaboración de Planes para que el derecho a urbanizar, cuya adquisición se condiciona a la aprobación del planeamiento preciso en cada clase de suelo (art. 24.1 del T.R.L.S.), no quede por entero a merced de la iniciativa de la Administración urbanística en el ejercicio de su potestad planificadora.</w:t>
      </w:r>
    </w:p>
    <w:p w:rsidR="008107C7" w:rsidRDefault="008107C7" w:rsidP="008107C7">
      <w:pPr>
        <w:pStyle w:val="TextoNormal"/>
      </w:pPr>
      <w:r>
        <w:t xml:space="preserve">Se configura como facultad -a diferencia del apartado 2 que impone a los propietarios el deber de presentar los instrumentos de planeamiento cuando así lo disponga la legislación urbanística aplicable- de Entidades públicas y particulares la de redactar y someter a trámite de elaboración concretos y determinados instrumentos de planeamiento, tales como "los instrumentos de desarrollo del planeamiento general" que determine la legislación aplicable.  Se acota el ámbito de la iniciativa privada en su función de colaboración a la formación de los Planes urbanísticos, en cuanto aquella se constriñe a concretos instrumentos de planeamiento, excluyendo cualesquiera otros que la legislación autonómica pudiera incorporar, pues tan sólo los instrumentos de desarrollo del planeamiento general, es decir, los planes que en relación de subordinación desarrollan tanto Planes Generales Municipales como </w:t>
      </w:r>
      <w:r>
        <w:lastRenderedPageBreak/>
        <w:t>Normas Subsidiarias (art. 65.4 y 5 T.R.L.S.)  quedan abiertos a la iniciativa privada. Viene así el precepto enjuiciado a zanjar la polémica en torno a si los particulares pueden o no redactar instrumentos de planeamiento general, plasmando en la regulación legal la solución negativa e imponiéndola, por el carácter básico que a la norma se asigna, a la legislación autonómica.</w:t>
      </w:r>
    </w:p>
    <w:p w:rsidR="008107C7" w:rsidRDefault="008107C7" w:rsidP="008107C7">
      <w:pPr>
        <w:pStyle w:val="TextoNormal"/>
      </w:pPr>
      <w:r>
        <w:t>Pues bien, si la regulación de los Planes de ordenación urbana se inserta con naturalidad en la competencia material sobre urbanismo y ésta es exclusiva de las Comunidades Autónomas, ha de concluirse que se vulnera el orden competencial cuando el legislador estatal dispone no una llamada genérica a la iniciativa privada para colaborar en la formación de los instrumentos de planeamiento, sino qué concretos tipos de Plan son los que pueden ser objeto de redacción por los particulares, excluyendo de tal modo eventuales regulaciones autonómicas que respondieran a una más amplia o más restringida participación de la iniciativa privada en la formulación del planeamiento. El art.  104.1 es, pues, contrario a la Constitución.</w:t>
      </w:r>
    </w:p>
    <w:p w:rsidR="008107C7" w:rsidRDefault="008107C7" w:rsidP="008107C7">
      <w:pPr>
        <w:pStyle w:val="TextoNormal"/>
      </w:pPr>
      <w:r>
        <w:t>Juicio diferente merece, por el contrario, el apartado 3 del art. 104 T.R.L.S., que contiene ciertos criterios o principios procedimentales en sentido amplio, enderezados a hacer efectiva la participación de los particulares en la redacción de instrumentos de planeamiento, tales como la autorización administrativa previa y sus efectos - acceso a la información y las ocupaciones temporales que pudieran ser necesarias-, lo que constituye mero trasunto de la regulación contenida en el art.  108.1 de la L.E.F., a cuya normativa se remite el precepto enjuiciado. Ha de añadirse que estas garantías -aunque no pertenezcan a la regulación directa del derecho de propiedad ni de los deberes que le son inherentes- son conexas al derecho de urbanizar, materia sobre la que el Estado puede legítimamente invocar su título competencial ex art.  149.1.1º C.E. En virtud de la indicada doctrina debe declararse la conformidad con la Constitución del art. 104.3.</w:t>
      </w:r>
    </w:p>
    <w:p w:rsidR="008107C7" w:rsidRDefault="008107C7" w:rsidP="008107C7">
      <w:pPr>
        <w:pStyle w:val="TextoNormal"/>
      </w:pPr>
      <w:r>
        <w:t>b) (Art. 109.1, "Formulación del planeamiento general").</w:t>
      </w:r>
    </w:p>
    <w:p w:rsidR="008107C7" w:rsidRDefault="008107C7" w:rsidP="008107C7">
      <w:pPr>
        <w:pStyle w:val="TextoNormal"/>
      </w:pPr>
      <w:r>
        <w:t>La Generalidad de Cataluña entiende que este precepto invade su competencia en materia de urbanismo (cfr. arts. 3.1 y ss.T.R.L.S.)  porque obliga a los Ayuntamientos a formular los Planes Generales y las Normas Subsidiarias, incurriendo además en contradicción con el apartado 2 del art. 109 T.R.L.S., no básico, en el que se permite que los Ayuntamientos soliciten su formulación a la Comunidad Autónoma o a la Diputación.  Para la representación del Estado, por el contrario, el art. 109.1 T.R.L.S.  se ampara igualmente en las bases del régimen jurídico de la Administración pública y constituye además una garantía de la autonomía municipal en materia urbanística (art. 140 C.E.), enlazando con el art. 25.2d) de la Ley de Bases de Régimen Local.</w:t>
      </w:r>
    </w:p>
    <w:p w:rsidR="008107C7" w:rsidRDefault="008107C7" w:rsidP="008107C7">
      <w:pPr>
        <w:pStyle w:val="TextoNormal"/>
      </w:pPr>
      <w:r>
        <w:t xml:space="preserve">La impugnación de los recurrentes del art. 109.1 T.R.L.S., en cuanto impone con carácter básico que sean los Ayuntamientos los que deban formular los Planes Generales y las Normas Subsidiarias -o los instrumentos que sustituyan a aquéllos según la legislación autonómica aplicable-, ha de tenerse por plenamente fundada. Es cierto, como alega la representación estatal, que el art. 25.2d) de la Ley de Bases de Régimen Local establece que el Municipio ejercerá competencias en las materias de ordenación, gestión y disciplina urbanística. Y también lo es que, como tenemos declarado en nuestra interpretación del art.  2.2. de la misma Ley (STC 214/1989, fundamento jurídico 3º), "las leyes básicas deberán decir qué competencias corresponden en una materia compartida a las Entidades locales por ser ello necesario para garantizarles su autonomía (arts. 137 y 140 C.E.)". Pero no lo es menos, como afirmábamos seguidamente en aquella Sentencia, que ello no asegura por sí mismo que la ley básica estatal y sectorial -como en el presente caso- que tal cosa disponga, sea, sin más, constitucional, porque si excede de lo necesario para garantizar la autonomía local </w:t>
      </w:r>
      <w:r>
        <w:lastRenderedPageBreak/>
        <w:t>habrá invadido competencias autonómicas y será, por ello, inconstitucional (ibidem).  Y, más en concreto, por lo que ahora interesa, hemos reiterado que es plenamente conforme con la Constitución el criterio básico adoptado por el art. 2 de aquella Ley de remitir tal determinación al legislador sectorialmente competente por razón de la materia (STC 214/1989, fundamento jurídico 4º). Como ya se ha visto, la competencia en materia de urbanismo pertenece sustancialmente a las Comunidades Autónomas (art.  148.1.3º C.E.), sin que en este supuesto pueda el Estado invocar título competencial alguno que le permita determinar qué instrumentos de planeamiento han de formular los Ayuntamientos. Por tanto, el carácter básico del art.  109.1 T.R.L.S. debe considerarse inconstitucional.</w:t>
      </w:r>
    </w:p>
    <w:p w:rsidR="008107C7" w:rsidRDefault="008107C7" w:rsidP="008107C7">
      <w:pPr>
        <w:pStyle w:val="TextoNormal"/>
      </w:pPr>
      <w:r>
        <w:t>c) (Art. 113.2, "Tramitación de los Planes Directores Territoriales de Coordinación").</w:t>
      </w:r>
    </w:p>
    <w:p w:rsidR="008107C7" w:rsidRDefault="008107C7" w:rsidP="008107C7">
      <w:pPr>
        <w:pStyle w:val="TextoNormal"/>
      </w:pPr>
      <w:r>
        <w:t>El art. 113.2 T.R.L.S. que establece el trámite de información pública y de audiencia a la Administración del Estado en aquellos asuntos que sean de su competencia, y a las Entidades locales afectadas, ha sido impugnado por la Generalidad de Cataluña por entender que impone trámites que, aunque lógicos, deben ser decididos desde la competencia urbanística. El Abogado del Estado defiende la constitucionalidad de este artículo en virtud del art. 149.1.18º C.E., pues a su juicio impone la indeclinable observancia de ciertas garantías procedimentales en la tramitación de los Planes Directores.  Alega además que la información pública se asienta en el art. 105a) C.E., dada la inequívoca naturaleza normativa de los citados planes.</w:t>
      </w:r>
    </w:p>
    <w:p w:rsidR="008107C7" w:rsidRDefault="008107C7" w:rsidP="008107C7">
      <w:pPr>
        <w:pStyle w:val="TextoNormal"/>
      </w:pPr>
      <w:r>
        <w:t>El art. 113.2 T.R.L.S. contiene una doble determinación: la información pública (se entiende que a los ciudadanos) y la audiencia a la Administración del Estado y a las Entidades locales afectadas. En punto a la información pública de los ciudadanos el art. 113.2 T.R.L.S. constituye una reproducción expresa de lo que ya dispone el art. 105a) C.E., aunque éste no determina en modo alguno cómo ha de satisfacerse tal garantía ni cuál sea la Administración que haya de asegurarla. En todo caso, y ello es lo relevante, el Estado ostenta competencias exclusivas para dictar normas de procedimiento administrativo común (art.  149.1.18º C.E.), entre las que se incluyen aquellas garantías o derechos procedimentales que hayan de respetarse para la formulación de las disposiciones administrativas que afecten a los ciudadanos.  Aunque el legislador estatal podría haber dispuesto con carácter general y respecto de toda forma de planeamiento urbanístico la obligatoriedad de la garantía de la información pública al amparo del art. 149.1.18º C.E., y no en relación con un concreto instrumento (el Plan Director) -cuya misma existencia depende de cada Comunidad Autónoma-, parece claro que la regulación que lleva a cabo el art. 113.2 T.R.L.S.  se enmarca en la competencia estatal ex art.  149.1.18º C.E. y es respetuosa con la materia urbanística, cuando no hace sino asegurar la existencia del trámite de información pública.</w:t>
      </w:r>
    </w:p>
    <w:p w:rsidR="008107C7" w:rsidRDefault="008107C7" w:rsidP="008107C7">
      <w:pPr>
        <w:pStyle w:val="TextoNormal"/>
      </w:pPr>
      <w:r>
        <w:t xml:space="preserve">Igual conclusión cabe alcanzar, por otra parte, respecto de la garantía de la audiencia a la Administración del Estado en aquellos aspectos que sean de su competencia, pues resulta evidente que, por sí mismo, ello no supone extralimitación alguna desde el punto de vista del orden constitucional de competencias.  Antes al contrario, del establecimiento de tal garantía no se deriva más que una participación de la Administración del Estado en la tramitación de un Plan Director que, nótese bien, puede incidir sobre competencias sectoriales del Estado con dimensión espacial o territorial, sobre funciones y servicios estatales. De este modo, no podrá aprobarse ningún Plan Director Territorial de Coordinación sin que el Estado pueda invocar las posibles invasiones de su esfera competencial o el menoscabo del principio de coordinación (art.  103.1 C.E.). Lo mismo es posible concluir, finalmente, respecto de las Entidades locales afectadas a las que se refiere el art. 113.2 T.R.L.S. en su último inciso.  No se puede olvidar que el art. 2.1 de la Ley de Bases de Régimen local reconoce el derecho del municipio a la intervención en cuantos asuntos afecten directamente </w:t>
      </w:r>
      <w:r>
        <w:lastRenderedPageBreak/>
        <w:t>al círculo de sus intereses, como manifestación de la autonomía garantizada por el art.  137 C.E., como, por lo demás, ya ha tenido ocasión de expresar nuestra jurisprudencia en otros supuestos análogos (STC 149/1991, fundamento jurídico 7º D).</w:t>
      </w:r>
    </w:p>
    <w:p w:rsidR="008107C7" w:rsidRDefault="008107C7" w:rsidP="008107C7">
      <w:pPr>
        <w:pStyle w:val="TextoNormal"/>
      </w:pPr>
      <w:r>
        <w:t>d) (Art. 124, "Publicación")</w:t>
      </w:r>
    </w:p>
    <w:p w:rsidR="008107C7" w:rsidRDefault="008107C7" w:rsidP="008107C7">
      <w:pPr>
        <w:pStyle w:val="TextoNormal"/>
      </w:pPr>
      <w:r>
        <w:t>La Generalidad de Cataluña reprocha al art. 124 T.R.L.S. una clara invasión de la competencia urbanística autonómica (cfr.  supra arts. 3.1 y ss. T.R.L.S.), señalando además que el apartado 2 otorga a los órganos con competencias urbanísticas facultades no previstas en la legislación anterior. El Abogado del Estado considera que el art. 124 T.R.L.S. enlaza con el art. 70.2 de la Ley de Bases de Régimen Local y queda claramente amparado en el art. 149.1.18º C.E. -como base del régimen jurídico administrativo que garantiza un tratamiento común a todos los administrados- en relación con el art. 9.3 C.E.  (principio de publicidad de las normas), dada la naturaleza normativa de los planes de urbanismo.</w:t>
      </w:r>
    </w:p>
    <w:p w:rsidR="008107C7" w:rsidRDefault="008107C7" w:rsidP="008107C7">
      <w:pPr>
        <w:pStyle w:val="TextoNormal"/>
      </w:pPr>
      <w:r>
        <w:t>Ha de advertirse que en la argumentación del recurso de la Generalidad de Cataluña, por su carácter genérico, no es posible discernir cómo juegan las someras consideraciones impugnatorias que encabezan el listado de preceptos entre los que el aquí impugnado se encuentra y que se resuelven en un pretendido uso incorrecto del concepto de bases- en cada caso concreto (cfr.  supra arts. 3.1 y ss. T.R.L.S.).</w:t>
      </w:r>
    </w:p>
    <w:p w:rsidR="008107C7" w:rsidRDefault="008107C7" w:rsidP="008107C7">
      <w:pPr>
        <w:pStyle w:val="TextoNormal"/>
      </w:pPr>
      <w:r>
        <w:t>En el apartado 1º del precepto impugnado se consideran los instrumentos de planeamiento desde la perspectiva formal del acto final que culmina el procedimiento de elaboración de aquéllos, en tanto que disposiciones administrativas, estableciendo la publicación de tales actos, es decir, de los acuerdos de aprobación definitiva de los planes urbanísticos, requisito -el de la publicación- de eficacia, en los términos establecidos por el art. 131 del propio T.R.L.S.. Esta exigencia de publicación tiene como respaldo el título competencial atribuido al Estado por el art. 149.1.18º C.E., en relación con el principio constitucional de publicidad de las normas del art. 9.3 C.E., de tal manera que nada se opone a la correcta atribución de carácter básico que al art. 124.1 efectúa la Disposición final única, 1, del Real Decreto Legislativo 1/1992.</w:t>
      </w:r>
    </w:p>
    <w:p w:rsidR="008107C7" w:rsidRDefault="008107C7" w:rsidP="008107C7">
      <w:pPr>
        <w:pStyle w:val="TextoNormal"/>
      </w:pPr>
      <w:r>
        <w:t>Por su parte, el apartado 3 del precepto, se sitúa en la más sustancial perspectiva de su contenido normativo propiamente tal, es decir, en lo que atañe a las normas urbanísticas y ordenanzas que han de incorporar tales instrumentos urbanísticos, remitiendo en cuanto a la publicación de las mismas al régimen de la legislación aplicable, que al menos en parte se halla en la actualidad constituido por la regulación efectuada por el art.  70.2 de la LBRL, en la redacción dada al precepto por Ley 39/1994, de 30 de diciembre, inspirada en un propósito de incrementar las garantías de los ciudadanos en orden al más completo y efectivo conocimiento de los instrumentos de planeamiento. Conecta esta regulación también con el título competencial del art.  149.1.18º C.E. y, por consiguiente, su carácter básico respeta el bloque de la constitucionalidad.</w:t>
      </w:r>
    </w:p>
    <w:p w:rsidR="008107C7" w:rsidRDefault="008107C7" w:rsidP="008107C7">
      <w:pPr>
        <w:pStyle w:val="TextoNormal"/>
      </w:pPr>
      <w:r>
        <w:t>No puede, en cambio, atribuirse carácter básico al apartado 2 del precepto enjuiciado. En primer término, ha de observarse que si los preceptos por los que se regula, en el T.R.L.S., el silencio administrativo positivo, en cuanto modalidad de aprobación definitiva de los planes urbanísticos -arts. 114.3 y concordantes- no ostentan, en la terminología de la Ley, carácter básico, ni tampoco "de aplicación plena", no resulta coherente que se asigne carácter básico al aspecto instrumental de qué Entes públicos ostentan la facultad de publicar el plan aprobado mediante la técnica jurídico- administrativa del acto presunto. Es ésta una decisión que se incardina en la regulación del régimen de elaboración y aprobación de Planes, materia propia de la competencia que, como exclusiva, atribuyen en materia de ordenación del territorio y urbanismo, el art. 148.1.3º y los correspondientes Estatutos de Autonomía a las Comunidades Autónomas.</w:t>
      </w:r>
    </w:p>
    <w:p w:rsidR="008107C7" w:rsidRDefault="008107C7" w:rsidP="008107C7">
      <w:pPr>
        <w:pStyle w:val="TextoNormal"/>
      </w:pPr>
      <w:r>
        <w:lastRenderedPageBreak/>
        <w:t>Para rechazar la calificación como norma básica de este apartado 2 procede añadir, siguiera sea a mayor abundamiento,que el legislador estatal incorpora aquí una determinada concepción sobre la naturaleza jurídica de los planes de ordenación a cuya aprobación concurren diversas Administraciones públicas, interviniendo en fases decisorias diferenciadas a través de unos actos de aprobación inicial y provisional, de un lado, y una resolución de aprobación definitiva, por otro, entendiendo implícitamente que ésta realiza un control de fiscalización o tutela sobre aquellas aprobaciones, normalmente atribuidas a Entes locales, concepción ésta sobre la que no cabe construir la determinación de los Entes públicos a los que incumbe la publicación, cuando ésta se produce mediante silencio administrativo positivo. Procede, en consecuencia, concluir que el art. 124.2 del T.R.L.S. vulnera el orden constitucional de competencias.</w:t>
      </w:r>
    </w:p>
    <w:p w:rsidR="008107C7" w:rsidRDefault="008107C7" w:rsidP="008107C7">
      <w:pPr>
        <w:pStyle w:val="TextoNormal"/>
      </w:pPr>
    </w:p>
    <w:p w:rsidR="008107C7" w:rsidRDefault="008107C7" w:rsidP="008107C7">
      <w:pPr>
        <w:pStyle w:val="TextoNormal"/>
      </w:pPr>
      <w:r w:rsidRPr="008107C7">
        <w:rPr>
          <w:rStyle w:val="NumeroAFNegritaCaracter"/>
        </w:rPr>
        <w:t>26</w:t>
      </w:r>
      <w:r>
        <w:t>. (Título III, "Planeamiento Urbanístico del Territorio".  Capítulo Cuarto, "Efectos de la aprobación de los Planes". Arts.  132, 133, 134, 135 y 137.5).</w:t>
      </w:r>
    </w:p>
    <w:p w:rsidR="008107C7" w:rsidRDefault="008107C7" w:rsidP="008107C7">
      <w:pPr>
        <w:pStyle w:val="TextoNormal"/>
      </w:pPr>
      <w:r>
        <w:t>Con carácter previo, ha de advertirse que no es posible entrar en el enjuiciamiento de los arts.  132, 133, 134, sólo recurridos por la Diputación General de Aragón cuya impugnación incurre en el defecto de apoderamiento ya señalado. Nuestro análisis se circunscribe, pues, a los arts. 135 y 137.5 impugnados por la Generalidad de Cataluña.</w:t>
      </w:r>
    </w:p>
    <w:p w:rsidR="008107C7" w:rsidRDefault="008107C7" w:rsidP="008107C7">
      <w:pPr>
        <w:pStyle w:val="TextoNormal"/>
      </w:pPr>
      <w:r>
        <w:t>a) (Art. 135, "Deber de información").</w:t>
      </w:r>
    </w:p>
    <w:p w:rsidR="008107C7" w:rsidRDefault="008107C7" w:rsidP="008107C7">
      <w:pPr>
        <w:pStyle w:val="TextoNormal"/>
      </w:pPr>
      <w:r>
        <w:t>Para el recurrente, el deber de informar por parte de los Ayuntamientos a la Administración central invade la competencia urbanística y hace un uso incorrecto del concepto de bases, en los términos ya expuestos (cfr. supra arts. 3.1 y ss. T.R.L.S.).  Su constitucionalidad es defendida por el Abogado del Estado aduciendo que el artículo impugnado se asienta en el principio general de cooperación y coordinación que ha de presidir la acción administrativa, inherente a la estructura misma del Estado compuesto (SSTC 18/1982, fundamento jurídico 14; 91/1992, fundamento jurídico 2º; entre tantas) y, competencialmente, encuentra su acomodo en el art. 149.1.18º C.E.</w:t>
      </w:r>
    </w:p>
    <w:p w:rsidR="008107C7" w:rsidRDefault="008107C7" w:rsidP="008107C7">
      <w:pPr>
        <w:pStyle w:val="TextoNormal"/>
      </w:pPr>
      <w:r>
        <w:t xml:space="preserve">Bajo la genérica rúbrica de "deber de información", el impugnado art. 135 T.R.L.S. alberga dos proposiciones normativas de diverso significado. En efecto, el apartado 1 se inscribe en el ámbito de las relaciones interadministrativas, al imponer a los Ayuntamientos el deber de suministrar información al Estado sobre los Planes Generales de Ordenación Urbana definitivamente aprobados y una vez efectuada la publicación de las resoluciones aprobatorias, deber que se articula mediante la remisión al Ministerio de Obras Públicas y Transportes, de un ejemplar de cada Plan General aprobado.  El designio inspirador de la norma no es otro sino el de asegurar los principios de coordinación y eficacia en la actuación de las Administraciones públicas, conforme al art. 103.1 C.E., y que implica, "la fijación de medios y de sistemas de relación que hagan posible la información recíproca" (STC 27/1987 y STC 227/1988). No existe, pues, respecto al precepto enjuiciado lesión del orden de competencias establecido por el texto constitucional y los Estatutos de Autonomía, pues el título competencial sobre las bases del régimen jurídico de las Administraciones públicas, del art.  149.1.18º C.E., proporciona respaldo suficiente al legislador estatal para la imposición, con carácter materialmente básico, de un deber de información en los términos con que es configurado por la norma, plenamente justificado por la incidencia que las concretas previsiones urbanísticas contenidas en los Planes Generales de Ordenación urbana pueden tener sobre las competencias estatales de carácter sectorial en el mismo territorio objeto de ordenación a través de dicho instrumento urbanístico. Con todo, debe advertirse que la referencia al Plan General de Ordenación Urbana es meramente instrumental, esto es, ha de ser interpretada no como de obligada existencia ni como un intento de definición de su régimen </w:t>
      </w:r>
      <w:r>
        <w:lastRenderedPageBreak/>
        <w:t>jurídico, sino como un mero mandato de remisión de una copia del planeamiento general de municipio a la Administración del Estado. Ha de mantenerse, en consecuencia, el carácter de norma básica que al art.  135.1 asigna la Disposición final única, 1, del T.R.L.S..</w:t>
      </w:r>
    </w:p>
    <w:p w:rsidR="008107C7" w:rsidRDefault="008107C7" w:rsidP="008107C7">
      <w:pPr>
        <w:pStyle w:val="TextoNormal"/>
      </w:pPr>
      <w:r>
        <w:t>Por lo que hace al apartado segundo del citado art. 135 T.R.L.S., debe admitirse por los mismos argumentos que la obligación de notificar es, en sí misma, plenamente respetuosa con el orden constitucional de competencias, en cuanto expresión de los principios que presiden las relaciones entre las Administraciones públicas y, en particular, del deber de facilitar a las demás Administraciones públicas la información que precisen sobre la actividad que desarrollen en el ejercicio de sus propias competencias así como del deber de prestar la cooperación y asistencia activa que las otras Administraciones pudieran recabar para el eficaz ejercicio de sus competencias (art. 4.1, letras c y d, de la Ley 30/1992, de Régimen Jurídico de las Administraciones Públicas y del Procedimiento Administrativo Común). La materia que subyace al art.  135.2 T.R.L.S. se asienta, pues, en la competencia exclusiva del Estado sobre las bases del régimen jurídico de las Administraciones Públicas (art.  149.1.18º C.E.), competencia que no tiene por qué agotarse necesariamente en la fijación de unas bases expresadas de una vez por todas en una sola ley, sino que admite, sin desbordar por ello el concepto de lo básico, la determinación de bases relativas a un sector específico como es el urbanismo, sin que, por tanto, sea óbice al ejercicio de la competencia estatal el hecho de que los arts.  56.1 y 64 de la Ley de Bases de Régimen Local hayan establecido ya un deber genérico de comunicación de todos sus actos y acuerdos a la Administración estatal.</w:t>
      </w:r>
    </w:p>
    <w:p w:rsidR="008107C7" w:rsidRDefault="008107C7" w:rsidP="008107C7">
      <w:pPr>
        <w:pStyle w:val="TextoNormal"/>
      </w:pPr>
      <w:r>
        <w:t>La redacción dada al art. 135.2 T.R.L.S. merece el reproche de inconstitucionalidad, si se tiene en cuenta que no se ha limitado a establecer el deber de notificar la revisión o reforma del planeamiento al objeto de permitir, en su caso, el ejercicio de las competencias estatales que puedan verse afectadas, sino que, a través de ello, ha fijado reglas de procedimiento para las que carece de título competencial específico. En efecto, el art.  135.2 T.R.L.S. impone a la Administración competente que le notifique a la del Estado la "iniciación del procedimiento", "en el plazo de un mes desde la adopción del correspondiente acuerdo por el Ayuntamiento", extremos éstos que, además de no ser necesarios en todo caso para garantizar la efectividad del deber de notificar y la eventual comparecencia de la Administración del Estado, no quedan a cubierto de título competencial alguno. Ha de concluirse, pues, por las razones antedichas, la inconstitucionalidad del art. 135.2 T.R.L.S..</w:t>
      </w:r>
    </w:p>
    <w:p w:rsidR="008107C7" w:rsidRDefault="008107C7" w:rsidP="008107C7">
      <w:pPr>
        <w:pStyle w:val="TextoNormal"/>
      </w:pPr>
      <w:r>
        <w:t>b) (Art. 137.5, "Edificios fuera de ordenación").</w:t>
      </w:r>
    </w:p>
    <w:p w:rsidR="008107C7" w:rsidRDefault="008107C7" w:rsidP="008107C7">
      <w:pPr>
        <w:pStyle w:val="TextoNormal"/>
      </w:pPr>
      <w:r>
        <w:t>Idéntico reproche dirige el representante de la Generalidad al art. 137.5 T.R.L.S. en el que se establece el derecho de retorno de los arrendatarios cuando el propietario decida demoler el edificio y reconstruirlo por no ser disconforme con el planeamiento la nueva edificación en el mismo solar (art.  137.4 T.R.L.S.).</w:t>
      </w:r>
    </w:p>
    <w:p w:rsidR="008107C7" w:rsidRDefault="008107C7" w:rsidP="008107C7">
      <w:pPr>
        <w:pStyle w:val="TextoNormal"/>
      </w:pPr>
      <w:r>
        <w:t>No pueden prosperar los motivos de impugnación por cuanto el art. 137.5 T.R.L.S., como la Disposición adicional cuarta 3 T.R.L.S. a la que se remite, contiene una norma que se inserta en el régimen de la relación arrendaticia urbana (un derecho del arrendatario frente al propietario) y encuentra, por consiguiente, su cobertura en el art.  149.1.8º C.E. ("legislación civil"; "bases de las obligaciones contractuales"), como sostiene acertadamente la representación estatal.</w:t>
      </w:r>
    </w:p>
    <w:p w:rsidR="008107C7" w:rsidRDefault="008107C7" w:rsidP="008107C7">
      <w:pPr>
        <w:pStyle w:val="TextoNormal"/>
      </w:pPr>
      <w:r>
        <w:t>Por otra parte, y aunque el art. 136, desde un criterio meramente numérico, debiera enjuiciarse aquí, no parece tener sentido hacerlo así, pues conecta con un grupo de preceptos relativos al derecho de superficie, que tienen su regulación sustantiva más adelante. Por ello, como además el art. 136 sólo aborda incidentalmente la cuestión, parece lógico incluir su examen en el bloque de preceptos en los que se establece su régimen general (arts.  287-289).</w:t>
      </w:r>
    </w:p>
    <w:p w:rsidR="008107C7" w:rsidRDefault="008107C7" w:rsidP="008107C7">
      <w:pPr>
        <w:pStyle w:val="TextoNormal"/>
      </w:pPr>
      <w:r>
        <w:lastRenderedPageBreak/>
        <w:t>H) TÍTULO IV DEL T.R.L.S.: "Ejecución del planeamiento".</w:t>
      </w:r>
    </w:p>
    <w:p w:rsidR="008107C7" w:rsidRDefault="008107C7" w:rsidP="008107C7">
      <w:pPr>
        <w:pStyle w:val="TextoNormal"/>
      </w:pPr>
    </w:p>
    <w:p w:rsidR="008107C7" w:rsidRDefault="008107C7" w:rsidP="008107C7">
      <w:pPr>
        <w:pStyle w:val="TextoNormal"/>
      </w:pPr>
      <w:r w:rsidRPr="008107C7">
        <w:rPr>
          <w:rStyle w:val="NumeroAFNegritaCaracter"/>
        </w:rPr>
        <w:t>27</w:t>
      </w:r>
      <w:r>
        <w:t>. (Título IV, "Ejecución del planeamiento". Capítulo Primero, "Disposiciones generales".  Arts. 141, 143 y 144).</w:t>
      </w:r>
    </w:p>
    <w:p w:rsidR="008107C7" w:rsidRDefault="008107C7" w:rsidP="008107C7">
      <w:pPr>
        <w:pStyle w:val="TextoNormal"/>
      </w:pPr>
      <w:r>
        <w:t>a) (Art. 141, "Competencias").</w:t>
      </w:r>
    </w:p>
    <w:p w:rsidR="008107C7" w:rsidRDefault="008107C7" w:rsidP="008107C7">
      <w:pPr>
        <w:pStyle w:val="TextoNormal"/>
      </w:pPr>
      <w:r>
        <w:t>Contra este artículo, reitera la Generalidad de Cataluña el reproche de que el legislador estatal ha hecho una utilización errónea del concepto de bases.  Además de autoasignarse el Estado competencias en materia de urbanismo, afirma, el precepto impugnado no contiene nada que pueda considerarse básico para las Comunidades Autónomas, ni se justifica por ninguno de los títulos competenciales que el Texto Refundido invoca en su Disposición final. Las alegaciones del Abogado del Estado (Antecedente núm.  35.D) se condensan en la afirmación de que su carácter materialmente básico descansa en el art.  149.1.18º C.E., por cuanto, al margen de su perfección técnica, el art. 141 T.R.L.S.  establece que ninguna Administración tiene el monopolio de la ejecución urbanística y asegura la participación de los particulares, dejando a salvo la competencia de los órganos específicos.</w:t>
      </w:r>
    </w:p>
    <w:p w:rsidR="008107C7" w:rsidRDefault="008107C7" w:rsidP="008107C7">
      <w:pPr>
        <w:pStyle w:val="TextoNormal"/>
      </w:pPr>
      <w:r>
        <w:t>El referido artículo dispone, en efecto, que la ejecución de los planes de ordenación corresponde al Estado, a las Comunidades Autónomas y a las Entidades locales "en sus respectivas esferas de actuación", "sin perjuicio de la atribución de competencias a órganos específicos" y con independencia también de la participación de los particulares en dicha ejecución "en los términos establecidos por la legislación aplicable". Puede decirse, por tanto, que el art. 141 T.R.L.S. no realiza reordenación competencial alguna entre las diversas Administraciones implicadas, ni tampoco establece prescripciones materiales acerca de la forma en que deba hacerse efectiva la participación de los particulares, puesto que se remite a la legislación que sea en cada caso de aplicación. Desde esa perspectiva, se compadece con el concepto de bases, por lo que no cabe hacerle reproche alguno.</w:t>
      </w:r>
    </w:p>
    <w:p w:rsidR="008107C7" w:rsidRDefault="008107C7" w:rsidP="008107C7">
      <w:pPr>
        <w:pStyle w:val="TextoNormal"/>
      </w:pPr>
      <w:r>
        <w:t>Desde una interpretación sistemática, ha de partirse del dato de que el precepto alude a la ejecución de planes de ordenación urbanística. Así las cosas debe negarse la competencia del Estado para dictar una norma tal, ya que se trata de una determinación que compete establecer al legislador autonómico, habida cuenta de que, en rigor, estamos ante la ejecución urbanística del planeamiento que se inserta sin dificultad en el ámbito material del urbanismo. Debe concluirse, por tanto, que es inconstitucional el art. 141 T.R.L.S..</w:t>
      </w:r>
    </w:p>
    <w:p w:rsidR="008107C7" w:rsidRDefault="008107C7" w:rsidP="008107C7">
      <w:pPr>
        <w:pStyle w:val="TextoNormal"/>
      </w:pPr>
      <w:r>
        <w:t>Ello no empece, sin embargo, a que el Estado, en el ámbito de sus competencias, pueda esgrimir un título sectorial específico y distinto que le atribuya competencias de ejecución sobre otras materias que puedan resultar afectadas por el plan de ordenación, hipótesis por otra parte plausible habida cuenta del amplio alcance que los instrumentos de ordenación urbanística pueden albergar, al menos potencialmente, en relación con el uso del suelo, que excede, no sin frecuencia, de la ordenación de la ciudad en sentido estricto, para incidir sobre otras políticas sectoriales territoriales de la competencia exclusiva del Estado en virtud del art. 149.1 C.E. (grandes obras públicas; ciertas infraestructuras; defensa y seguridad; etc).</w:t>
      </w:r>
    </w:p>
    <w:p w:rsidR="008107C7" w:rsidRDefault="008107C7" w:rsidP="008107C7">
      <w:pPr>
        <w:pStyle w:val="TextoNormal"/>
      </w:pPr>
      <w:r>
        <w:t>b) (Art. 143, "Excepciones a la actuación mediante unidades de ejecución").</w:t>
      </w:r>
    </w:p>
    <w:p w:rsidR="008107C7" w:rsidRDefault="008107C7" w:rsidP="008107C7">
      <w:pPr>
        <w:pStyle w:val="TextoNormal"/>
      </w:pPr>
      <w:r>
        <w:t>Con los mismos argumentos impugna la Generalidad de Cataluña el art. 143 T.R.L.S. por entender que es a las Comunidades Autónomas a las que corresponde fijar cuándo procede o no la actuación mediante unidades de ejecución del planeamiento. La representación estatal alega, por el contrario, que este precepto no es sino una anticipación o resumen de la sistemática del Título IV del T.R.L.S. y tiene su cobertura en el art. 149.1.18º C.E., siendo, por lo demás, competencialmente inocuo.</w:t>
      </w:r>
    </w:p>
    <w:p w:rsidR="008107C7" w:rsidRDefault="008107C7" w:rsidP="008107C7">
      <w:pPr>
        <w:pStyle w:val="TextoNormal"/>
      </w:pPr>
      <w:r>
        <w:lastRenderedPageBreak/>
        <w:t>Ha de admitirse la impugnación, por cuanto el Estado carece aquí de todo título competencial para prescribir que la ejecución se realice mediante unidades de ejecución y, menos aún, cuándo procede la actuación a través de esta técnica urbanística. El legislador estatal puede, como hace el art. 140 T.R.L.S. no impugnado, establecer que la ejecución del planeamiento garantice la distribución equitativa de los beneficios y cargas entre los afectados, así como el cumplimiento de los deberes de cesión correspondientes y costeamiento de la obra urbanizadora, en la medida en que ello entronca con el estatuto básico de la propiedad urbana amparado en el art. 149.1.1º C.E. en los términos ya expuestos. Pero no le incumbe determinar el instrumento, el procedimiento o la forma en que ha de llevarse a cabo la ejecución del planeamiento, cuestiones estas que corresponden a la competencia urbanística autonómica, sin perjuicio de que, como hemos dicho (art. 94 T.R.L.S.), pueda tomar como punto de referencia, sin sentar su régimen jurídico, las áreas de reparto o las unidades de ejecución para regular las condiciones básicas de las facultades y deberes urbanísticos que garanticen la igualdad. Desde esta perspectiva, en efecto, el art. 140 T.R.L.S.  conecta con lo que ya ha dispuesto el art. 19 T.R.L.S., entre otros, que encabeza la regulación de los derechos y deberes básicos de los propietarios, esto es, que la aprobación del planeamiento preciso según la clase de suelo determina el deber de los propietarios afectados de incorporarse al proceso urbanizador y edificatorio, en las condiciones y plazos previstos en el planeamiento o legislación urbanística aplicable. Desde ese momento los afectados quedan vinculados a los deberes urbanísticos básicos, cuyo cumplimiento les permitirá la sucesiva adquisición de las facultades urbanísticas (arts. 20 y 23 T.R.L.S., entre otros). Pero el art. 143 T.R.L.S. impugnado excede de la regulación de las condiciones básicas que garanticen la igualdad en el ejercicio de la propiedad urbana y en el cumplimiento de los deberes, también básicos, ex art.  149.1.1º C.E., cuando determina los supuestos en los que cabe establecer excepciones, sin que, para tal previsión normativa con pretensiones de norma básica, sean de aplicación los restantes títulos competenciales que invoca el Estado en la misma Disposición Final Unica del T.R.L.S..</w:t>
      </w:r>
    </w:p>
    <w:p w:rsidR="008107C7" w:rsidRDefault="008107C7" w:rsidP="008107C7">
      <w:pPr>
        <w:pStyle w:val="TextoNormal"/>
      </w:pPr>
      <w:r>
        <w:t>En otros términos, la ejecución del planeamiento pertenece a la competencia en materia de urbanismo siempre que sobre aquélla no incida un título competencial del Estado. En ese sentido, resulta lícito, en aras de una mínima coherencia interna en lo que hace a la arquitectura básica de la propiedad urbana y como consecuencia de la peculiar naturaleza convencional de ésta, que el Estado tome como punto de referencia, como ha quedado dicho, las unidades de ejecución como fórmula para hacer efectivas las facultades y deberes urbanísticos y los principios básicos que la impregnan, pero no su concreta regulación, como hace el art. 143 T.R.L.S. que, en consecuencia, resulta contrario al orden constitucional de distribución de competencias.</w:t>
      </w:r>
    </w:p>
    <w:p w:rsidR="008107C7" w:rsidRDefault="008107C7" w:rsidP="008107C7">
      <w:pPr>
        <w:pStyle w:val="TextoNormal"/>
      </w:pPr>
      <w:r>
        <w:t>c) (Art. 144.1, "Unidades de ejecución").</w:t>
      </w:r>
    </w:p>
    <w:p w:rsidR="008107C7" w:rsidRDefault="008107C7" w:rsidP="008107C7">
      <w:pPr>
        <w:pStyle w:val="TextoNormal"/>
      </w:pPr>
      <w:r>
        <w:t>El recurso de la Generalidad de Cataluña (núm. 2.481/90, art. 31.1 Ley 8/1990) impugna el art. 144 T.R.L.S. por los mismos motivos que el art. 94.1 y 2 T.R.L.S. ya examinado, al igual que el recurso de la Diputación General de Aragón (núms. 2.486/90 y 2.341/92).</w:t>
      </w:r>
    </w:p>
    <w:p w:rsidR="008107C7" w:rsidRDefault="008107C7" w:rsidP="008107C7">
      <w:pPr>
        <w:pStyle w:val="TextoNormal"/>
      </w:pPr>
      <w:r>
        <w:t xml:space="preserve">En principio, debe admitirse que el art. 144.1 T.R.L.S.  adolece del mismo exceso en su regulación que el art. 94 T.R.L.S.. La previsión del art. 144.1 T.R.L.S. no determina la forma en que haya de llevarse a cabo la ejecución del planeamiento, ni define las unidades de ejecución, lo cual puede ser regulado por las Comunidades Autónomas, sino que su contenido fundamental se resuelve en establecer que su concreta delimitación debe permitir el cumplimiento conjunto de los deberes urbanísticos básicos de cesión, equidistribución y urbanización de la totalidad de su superficie. Para la delimitación de las unidades de ejecución, en el esquema legal que inspira el T.R.L.S., parece importante que tengan la entidad </w:t>
      </w:r>
      <w:r>
        <w:lastRenderedPageBreak/>
        <w:t>suficiente para justificar la autonomía de su actuación, esto es, que en virtud de las cesiones obligatorias sea realmente posible la distribución equitativa de las cargas y beneficios que la urbanización trae consigo. Desde esta perspectiva, la materia tiene la cobertura competencial que al Estado otorga el art.  149.1.1 C.E.</w:t>
      </w:r>
    </w:p>
    <w:p w:rsidR="008107C7" w:rsidRDefault="008107C7" w:rsidP="008107C7">
      <w:pPr>
        <w:pStyle w:val="TextoNormal"/>
      </w:pPr>
      <w:r>
        <w:t>No obstante, para alcanzar tal conclusión habría de interpretarse la referencia hecha a las unidades de ejecución en un sentido puramente instrumental y accesorio, y, por consiguiente, perfectamente sustituible por las Comunidades Autónomas no sólo en cuanto a su denominación concreta o a la forma de delimitación de tales unidades, sino también a su existencia misma.  El hecho de que al Estado le competa regular las condiciones básicas que garanticen la igualdad en el ejercicio del derecho de propiedad urbana (art.  149.1.1º C.E.)  no le legitima para prefigurar el modelo o sistema de ejecución urbanística. De ahí que hayan de entenderse las referencias hechas a las áreas de reparto (art.  94 T.R.L.S.)  y a las unidades de ejecución (art.  144.1 T.R.L.S.)  en el sentido más amplio posible, con carácter instrumental o, si se quiere, principial, en conexión con el art. 140 T.R.L.S., que es el que condensa o expresa el principio de la garantía de la distribución equitativa de cargas y beneficios.  Las Comunidades Autónomas pueden establecer su propio sistema de ejecución del planeamiento urbanístico, respetando los principios y normas básicas que dimanan de los títulos competenciales del Estado (señaladamente, del art. 149.1.1º C.E.), como postula el art. 140 T.R.L.S.. El problema radica en que la literalidad del art. 144.1 T.R.L.S.  aquí impugnado mal se compadece con un entendimiento tan amplio, y, en consecuencia, no es susceptible de una interpretación conforme mediante un fallo interpretativo, por lo que ha de ser declarado contrario al bloque de la constitucionalidad el carácter básico que le asigna la Ley.</w:t>
      </w:r>
    </w:p>
    <w:p w:rsidR="008107C7" w:rsidRDefault="008107C7" w:rsidP="008107C7">
      <w:pPr>
        <w:pStyle w:val="TextoNormal"/>
      </w:pPr>
    </w:p>
    <w:p w:rsidR="008107C7" w:rsidRDefault="008107C7" w:rsidP="008107C7">
      <w:pPr>
        <w:pStyle w:val="TextoNormal"/>
      </w:pPr>
      <w:r w:rsidRPr="008107C7">
        <w:rPr>
          <w:rStyle w:val="NumeroAFNegritaCaracter"/>
        </w:rPr>
        <w:t>28</w:t>
      </w:r>
      <w:r>
        <w:t>. ("Ejecución del planeamiento", Capítulo Segundo "Actuaciones mediante unidades de ejecución". Arts.: 149.3; 150; 151.1 y 3; 154.2; 166.1.a), c) y e); 167; 176; 184.2).</w:t>
      </w:r>
    </w:p>
    <w:p w:rsidR="008107C7" w:rsidRDefault="008107C7" w:rsidP="008107C7">
      <w:pPr>
        <w:pStyle w:val="TextoNormal"/>
      </w:pPr>
      <w:r>
        <w:t>a) (Art. 149.3 "Elección del sistema de actuación").</w:t>
      </w:r>
    </w:p>
    <w:p w:rsidR="008107C7" w:rsidRDefault="008107C7" w:rsidP="008107C7">
      <w:pPr>
        <w:pStyle w:val="TextoNormal"/>
      </w:pPr>
      <w:r>
        <w:t>Para los recurrentes (recursos núms. 2.481/90 y 2.486/90) este precepto no regula las condiciones básicas que garanticen la igualdad en el ejercicio del derecho de propiedad, sino que la garantía que establece se refiere a las relaciones entre los propietarios integrados en una unidad de ejecución, en la que el incumplimiento de unos no debe perjudicar a los otros, extremo que corresponde regular a la legislación urbanística autonómica.</w:t>
      </w:r>
    </w:p>
    <w:p w:rsidR="008107C7" w:rsidRDefault="008107C7" w:rsidP="008107C7">
      <w:pPr>
        <w:pStyle w:val="TextoNormal"/>
      </w:pPr>
      <w:r>
        <w:t>Con todo, conviene notar que el art. 149.3 T.R.L.S. es, en primer término, un precepto que establece unos contenidos mínimos que, como afirma expresamente, habrá de desarrollar y garantizar la legislación urbanística correspondiente.  En segundo lugar, su contenido imperativo se resuelve en determinar, de un lado, que los plazos deben computarse desde la delimitación de la correspondiente unidad de ejecución y, de otro, que habrán de garantizarse a los propietarios no responsables del incumplimiento los derechos vinculados a la ejecución del planeamiento o a la valoración urbanística establecida en esta Ley para los supuestos de expropiación como sistema de actuación.  Por consiguiente, debe analizarse si el contenido básico del art.  149.3 T.R.L.S.  se ampara en las reglas 1 y 18 del art. 149.1 C.E.</w:t>
      </w:r>
    </w:p>
    <w:p w:rsidR="008107C7" w:rsidRDefault="008107C7" w:rsidP="008107C7">
      <w:pPr>
        <w:pStyle w:val="TextoNormal"/>
      </w:pPr>
      <w:r>
        <w:t xml:space="preserve">Por lo que hace a la primera cuestión, si bien es cierto, como razona la representación del Estado, que la norma del cómputo es relevante para determinar la extinción o adquisición de importantes facultades -norma que conecta con el art. 28.2 T.R.L.S.  amparada en el art. 149.1.1º C.E.-, no lo es menos que carece el Estado de toda competencia para disciplinar las técnicas de ejecución urbanística y, por consecuencia, no tiene cobertura para fijar un plazo a contar desde el establecimiento de una técnica concreta de la que puede prescindir </w:t>
      </w:r>
      <w:r>
        <w:lastRenderedPageBreak/>
        <w:t>la legislación autonómica, sin que, en este punto, sea posible realizar una interpretación conforme. Por consiguiente, la regulación del plazo y la referencia a la unidad de ejecución no puede tener carácter básico.</w:t>
      </w:r>
    </w:p>
    <w:p w:rsidR="008107C7" w:rsidRDefault="008107C7" w:rsidP="008107C7">
      <w:pPr>
        <w:pStyle w:val="TextoNormal"/>
      </w:pPr>
      <w:r>
        <w:t>En segundo término, la regla de la indemnidad de los propietarios que cumplan los deberes urbanísticos, pretende preservar el contenido económico apropiable del derecho al aprovechamiento urbanístico. Abstractamente considerada y desconectada del precepto en el que se encuentra inserta podría encontrar cobertura, en caso de expropiación como sistema de actuación, en el art.  149.1.18º C.E. al establecer para el cálculo de la indemnización el sistema de valoración de la misma Ley. No debe olvidarse, sin embargo, que en el contexto del art.  149.3 T.R.L.S. y preceptos concordantes no es posible admitir una interpretación conforme sin forzar su tenor literal, puesto que define, como es obvio, el concreto instrumento en que esa regla ha de hacerse efectiva, esto es, las consecuencia o efectos de la expropiación como sistema de actuación urbanística, institución sobre la que, por lo demás, el Estado carece de competencias. Ha de declararse, pues, la inconstitucionalidad del art. 149.3 T.R.L.S..</w:t>
      </w:r>
    </w:p>
    <w:p w:rsidR="008107C7" w:rsidRDefault="008107C7" w:rsidP="008107C7">
      <w:pPr>
        <w:pStyle w:val="TextoNormal"/>
      </w:pPr>
      <w:r>
        <w:t>b) (Art. 150, "Falta de ejecución imputable a la Administración").</w:t>
      </w:r>
    </w:p>
    <w:p w:rsidR="008107C7" w:rsidRDefault="008107C7" w:rsidP="008107C7">
      <w:pPr>
        <w:pStyle w:val="TextoNormal"/>
      </w:pPr>
      <w:r>
        <w:t>Para el recurrente (recurso núm. 2.486/90) se trata de una materia de detalle típicamente urbanística, sin que el Estado ostente competencia alguna para su regulación.</w:t>
      </w:r>
    </w:p>
    <w:p w:rsidR="008107C7" w:rsidRDefault="008107C7" w:rsidP="008107C7">
      <w:pPr>
        <w:pStyle w:val="TextoNormal"/>
      </w:pPr>
      <w:r>
        <w:t>Ha de rechazarse, sin embargo, tal impugnación, puesto que del mismo modo que el Estado, en virtud de la competencia exclusiva para regular las condiciones básicas de ejercicio del derecho de propiedad y del cumplimiento de los deberes dominicales, ha establecido la pérdida o no adquisición de determinadas facultades por incumplimiento de los deberes básicos, también puede lícitamente indicar que los propietarios conservarán sus derechos a iniciar o proseguir el proceso urbanizador y edificador -en cuyo curso se produce la progresiva adquisición de facultades- cuando el incumplimiento sea imputable a la Administración. En este sentido, evidentemente, se completa el estatuto básico del régimen jurídico de la propiedad urbana y el precepto impugnado encuentra su cobertura en el art. 149.1.1º C.E.</w:t>
      </w:r>
    </w:p>
    <w:p w:rsidR="008107C7" w:rsidRDefault="008107C7" w:rsidP="008107C7">
      <w:pPr>
        <w:pStyle w:val="TextoNormal"/>
      </w:pPr>
      <w:r>
        <w:t>c) (Art. 151.1 y 3, "Unidades de ejecución con exceso de aprovechamiento real").</w:t>
      </w:r>
    </w:p>
    <w:p w:rsidR="008107C7" w:rsidRDefault="008107C7" w:rsidP="008107C7">
      <w:pPr>
        <w:pStyle w:val="TextoNormal"/>
      </w:pPr>
      <w:r>
        <w:t>Ha de aceptarse la impugnación de los recurrentes cuando sostienen que, sin perjuicio de que la materia regulada en el art. 151.1 y 3 T.R.L.S. caiga dentro de la esfera de la competencia autonómica, difícilmente puede encajar en el concepto de bases puesto que el propio art. 152 T.R.L.S. -que regula el supuesto contrario, esto es, que el aprovechamiento real sea inferior al susceptible de apropiación- tiene atribuido un pretendido carácter supletorio (recurso de la Generalidad de Cataluña núm.  2.481/90), o cuando afirman que, más allá del legítimo establecimiento del principio general de distribución equitativa de beneficios y cargas derivados del desarrollo urbanístico (arts.  140, 144.1, 154.1, etc) que al Estado corresponde en virtud de sus títulos competenciales, el precepto impugnado dispone medidas concretas de carácter urbanístico que exceden de tal principio general, por lo que invaden la competencia autonómica (recurso de la Comunidad Autónoma de las Islas Baleares núm. 2.337/92).</w:t>
      </w:r>
    </w:p>
    <w:p w:rsidR="008107C7" w:rsidRDefault="008107C7" w:rsidP="008107C7">
      <w:pPr>
        <w:pStyle w:val="TextoNormal"/>
      </w:pPr>
      <w:r>
        <w:t>Baste, en efecto, remitirnos a cuanto ya se ha dicho en relación con los arts.  143 y 144 T.R.L.S. para concluir que el art. 151.1 y 3 T.R.L.S. es contrario al bloque de la constitucionalidad.</w:t>
      </w:r>
    </w:p>
    <w:p w:rsidR="008107C7" w:rsidRDefault="008107C7" w:rsidP="008107C7">
      <w:pPr>
        <w:pStyle w:val="TextoNormal"/>
      </w:pPr>
      <w:r>
        <w:t>A mayor abundamiento, ha de rechazarse la alegación del Abogado del Estado en defensa del artículo impugnado en el sentido de que resulte amparado por el art. 149.1.18º C.E. (bases de régimen jurídico de las Administraciones públicas), a la luz de cuanto hemos declarado respecto del referido título competencial al enjuiciar el art. 104 T.R.L.S..</w:t>
      </w:r>
    </w:p>
    <w:p w:rsidR="008107C7" w:rsidRDefault="008107C7" w:rsidP="008107C7">
      <w:pPr>
        <w:pStyle w:val="TextoNormal"/>
      </w:pPr>
      <w:r>
        <w:lastRenderedPageBreak/>
        <w:t>d) (Art. 154.2, "Distribución justa de beneficios y cargas").</w:t>
      </w:r>
    </w:p>
    <w:p w:rsidR="008107C7" w:rsidRDefault="008107C7" w:rsidP="008107C7">
      <w:pPr>
        <w:pStyle w:val="TextoNormal"/>
      </w:pPr>
      <w:r>
        <w:t>Por las mismas razones, ha de prosperar la impugnación del art. 154.2 que formula el recurso de la Comunidad Autónoma de las Islas Baleares, habida cuenta de que contiene una concreción del principio de distribución equitativa que no encuentra amparo en ningún título competencial del Estado.</w:t>
      </w:r>
    </w:p>
    <w:p w:rsidR="008107C7" w:rsidRDefault="008107C7" w:rsidP="008107C7">
      <w:pPr>
        <w:pStyle w:val="TextoNormal"/>
      </w:pPr>
      <w:r>
        <w:t>No obstante, este precepto hace una referencia a los bienes de dominio y uso público que, para la representación estatal, constituye una regulación del régimen general del dominio público y, en consecuencia, se trataría de una base del régimen jurídico administrativo (art. 149.1.18º C.E.). Conviene recordar, sin embargo, que según una doctrina que reiteradamente hemos sostenido (SSTC 77/1984, fundamento jurídico 3º; 227/1988, fundamento jurídico 14; 103/1989, fundamento jurídico 6º; 149/1991, fundamento jurídico 1º) la titularidad del dominio público no es, en sí misma, un criterio de delimitación competencial y que, en consecuencia, la naturaleza demanial no aisla a la porción del territorio así caracterizado de su entorno, ni la sustrae de las competencias que sobre ese aspecto corresponden a otros entes públicos que no ostentan esa titularidad, sin perjuicio de que de ésta se deriven ciertas facultades, como también advertíamos en la STC 149/1991 (fundamento jurídico 1º). En el presente caso, además, no se pretende regular unas potestades sobre los bienes demaniales de titularidad estatal que haya que preservar, sino que se trata de la gestión urbanística de bienes de dominio y uso público ya obtenidos, sea por cesión gratuita o no, es decir, no es la materia relativa al dominio público la que aquí ha de considerarse prevalente, sino la más específica del urbanismo y, en consecuencia, el título competencial que descansa en el art.  148.1.3º C.E. El art. 154.2 T.R.L.S.  resulta, pues, contrario al orden constitucional de competencias.</w:t>
      </w:r>
    </w:p>
    <w:p w:rsidR="008107C7" w:rsidRDefault="008107C7" w:rsidP="008107C7">
      <w:pPr>
        <w:pStyle w:val="TextoNormal"/>
      </w:pPr>
      <w:r>
        <w:t>e) [Art. 166.1 a), c) y e), "Reglas para la reparcelación"].</w:t>
      </w:r>
    </w:p>
    <w:p w:rsidR="008107C7" w:rsidRDefault="008107C7" w:rsidP="008107C7">
      <w:pPr>
        <w:pStyle w:val="TextoNormal"/>
      </w:pPr>
      <w:r>
        <w:t>Los recurrentes impugnan el carácter básico de este artículo por entender que no se compadece con el concepto de norma básica, máxime cuando la letra a) establece como básico un criterio que los mismos propietarios pueden modificar mediante acuerdo unánime (recurso núm. 2.342/92). Para el Abogado del Estado, sin embargo, las letras a) y c) del art. 166.1 T.R.L.S. encuentran amparo en el art. 149.1.1º C.E. en relación con los arts.  33.1 y 2 y 47 C.E. en cuanto mínima garantía de igualdad básica de los propietarios sujetos a reparcelación -técnica de justo reparto de beneficios y cargas-, en tanto que la letra e) del citado precepto más bien se asiste competencialmente en el art.  149.1.18 C.E.</w:t>
      </w:r>
    </w:p>
    <w:p w:rsidR="008107C7" w:rsidRDefault="008107C7" w:rsidP="008107C7">
      <w:pPr>
        <w:pStyle w:val="TextoNormal"/>
      </w:pPr>
      <w:r>
        <w:t xml:space="preserve">En primer término, no puede compartirse el argumento de la representación estatal en relación con la letra a) del art. 166.1 T.R.L.S., en virtud de cuanto ya hemos declarado respecto del título competencial que se residencia en el art. 149.1.1.º C.E.  No resulta en modo alguno admisible, pues, una interpretación tan amplia del referido título estatal que cierre a las Comunidades Autónomas la posibilidad de fijar el régimen jurídico del derecho de propiedad urbana, pieza central de la materia urbanística, con respeto, claro está, de las condiciones básicas que al Estado incumbe establecer. Desde un plano más concreto, también hemos puesto de manifiesto que el art. 149.1.1º C.E. no puede amparar la configuración de técnicas concretas, por más que puedan incidir sobre la propiedad urbana, cuando exceden de la regulación de las condiciones básicas de las facultades y deberes fundamentales, como sucede, en los términos ya señalados, en relación con el aprovechamiento tipo (arts. 95, 96, 97, 98 y 99), las unidades de ejecución (arts. 143, 151.1 y 3) y, ahora, con la técnica de la reparcelación a la que se refieren las letras a) y c) del art. 166.1 T.R.L.S.. No es suficiente, por tanto, que el art.  166 T.R.L.S. pretenda hacer realidad el principio de distribución equitativa de cargas y beneficios en relación con las facultades dominicales para que tenga cobertura, sin más, en el art. 149.1.1º C.E. Por el contrario, tal como hemos reiterado, la opción </w:t>
      </w:r>
      <w:r>
        <w:lastRenderedPageBreak/>
        <w:t>por un concreto instrumento o técnica urbanística -que no se desprenden necesariamente de las condiciones básicas- pertenece a la competencia sobre la materia urbanística.</w:t>
      </w:r>
    </w:p>
    <w:p w:rsidR="008107C7" w:rsidRDefault="008107C7" w:rsidP="008107C7">
      <w:pPr>
        <w:pStyle w:val="TextoNormal"/>
      </w:pPr>
      <w:r>
        <w:t>La inconstitucionalidad de la calificación como norma básica no obedece a que los propietarios, por unanimidad, puedan establecer un criterio distinto al de la proporcionalidad -puesto que, al fin y al cabo, la distribución equitativa tiene a aquéllos por destinatarios y no es incongruente que prevalezca otro criterio cuando es unánime-, sino más bien a que el Estado carece de título competencial suficiente para su regulación al amparo del art. 149.1.1º C.E.</w:t>
      </w:r>
    </w:p>
    <w:p w:rsidR="008107C7" w:rsidRDefault="008107C7" w:rsidP="008107C7">
      <w:pPr>
        <w:pStyle w:val="TextoNormal"/>
      </w:pPr>
      <w:r>
        <w:t>Las letras c) y e) del art. 166.1 T.R.L.S. inciden, sin duda, más directamente sobre los criterios de valoración que ha de contener el proyecto de reparcelación. El art. 166.1c) T.R.L.S. establece que las plantaciones, edificaciones, obras, instalaciones y mejoras habrán de valorarse con independencia del suelo, y su importe se satisfará al propietario interesado con cargo al proyecto en concepto de gastos de urbanización. El art.  166.1e) T.R.L.S., por su parte, otorga un derecho a la indemnización para los supuestos que contempla y en los términos del art. 241 T.R.L.S..</w:t>
      </w:r>
    </w:p>
    <w:p w:rsidR="008107C7" w:rsidRDefault="008107C7" w:rsidP="008107C7">
      <w:pPr>
        <w:pStyle w:val="TextoNormal"/>
      </w:pPr>
      <w:r>
        <w:t>Para enjuiciar estos dos preceptos, es preciso recordar que al Estado no le incumbe establecer y regular la reparcelación urbanística como técnica concreta de distribución equitativa de cargas y beneficios, por cuanto no encuentra cobertura en el título que le otorga el art. 149.1.1º C.E. De otra parte, es cierto también que hemos reiterado que al Estado le compete regular la valoración a efectos expropiatorios (art. 149.1.18º C.E.).  Pero, en rigor, y a los efectos competenciales que al art.  149.1.18º C.E. interesan, no es la reparcelación una institución expropiatoria sobre la que haya de proyectarse el referido título estatal. En el diseño general del T.R.L.S., se trata de una actuación, inserta en la fase de ejecución urbanística y, desde luego, en principio previa al nacimiento del derecho mismo, en la que no está presente el interés general de la misma forma que en la expropiación forzosa stricto sensu (art. 33.3 C.E.), puesto que, por lo que aquí interesa, persigue materializar el aprovechamiento susceptible de apropiación de los particulares.  De ahí se infiere que las letras c) y e) del art.  166.1 T.R.L.S.  tampoco pueden quedar amparadas por la competencia estatal sobre expropiación forzosa y, en consecuencia, constituyen disposiciones contrarias al bloque de la constitucionalidad.</w:t>
      </w:r>
    </w:p>
    <w:p w:rsidR="008107C7" w:rsidRDefault="008107C7" w:rsidP="008107C7">
      <w:pPr>
        <w:pStyle w:val="TextoNormal"/>
      </w:pPr>
      <w:r>
        <w:t>f) (Art. 167, "Efectos del acuerdo aprobatorio de la reparcelación").</w:t>
      </w:r>
    </w:p>
    <w:p w:rsidR="008107C7" w:rsidRDefault="008107C7" w:rsidP="008107C7">
      <w:pPr>
        <w:pStyle w:val="TextoNormal"/>
      </w:pPr>
      <w:r>
        <w:t>El Estado puede, desde luego, en virtud de su título competencial 149.1.8 C.E., regular los efectos civiles (transmisión, subrogación y afectación real) que se anudan a los proyectos de reparcelación. Lo que no puede, sin embargo, es vincular dichos efectos civiles a un determinado momento procedimental concreto y a una técnica urbanística concreta de la ejecución del planeamiento, como hace el art. 167 al asociar aquellos efectos al "acuerdo aprobatorio del proyecto de reparcelación"; ni tampoco establecer la afectación de determinados terrenos a concretas finalidades (patrimonio del suelo y usos previstos en el planeamiento) que se encuadran en la materia típicamente urbanística. Por esta razón, ha de estimarse el precepto inconstitucional por contrario al orden de competencias.</w:t>
      </w:r>
    </w:p>
    <w:p w:rsidR="008107C7" w:rsidRDefault="008107C7" w:rsidP="008107C7">
      <w:pPr>
        <w:pStyle w:val="TextoNormal"/>
      </w:pPr>
      <w:r>
        <w:t>g) (Art. 174.2, "Liberación de expropiaciones").</w:t>
      </w:r>
    </w:p>
    <w:p w:rsidR="008107C7" w:rsidRDefault="008107C7" w:rsidP="008107C7">
      <w:pPr>
        <w:pStyle w:val="TextoNormal"/>
      </w:pPr>
      <w:r>
        <w:t>Se impugna el carácter de "aplicación plena" de este precepto que le atribuye la Disposición final única, segunda, T.R.L.S., en virtud del art. 149.1.8º y 18º C.E. La Generalidad de Cataluña impugna el art. 174.2 T.R.L.S. por entender que regula materia propiamente urbanística deslegitimando cualquier normativa urbanística.</w:t>
      </w:r>
    </w:p>
    <w:p w:rsidR="008107C7" w:rsidRDefault="008107C7" w:rsidP="008107C7">
      <w:pPr>
        <w:pStyle w:val="TextoNormal"/>
      </w:pPr>
      <w:r>
        <w:t xml:space="preserve">Si se entiende que la liberación ex art. 174.2 T.R.L.S. sólo está conectada al incumplimiento de los deberes básicos a que se refiere el art. 149.1.1º C.E., preciso será concluir que el precepto impugnado resulta contrario al orden constitucional de competencias. En efecto, </w:t>
      </w:r>
      <w:r>
        <w:lastRenderedPageBreak/>
        <w:t>como hemos reiterado, desde el art.  149.1.1º C.E. no se pueden imponer conductas a la Administración competente, bien sean para expropiar o, como aquí, para impedir o prohibir el recurso a la técnica expropiatoria. En este ámbito, el art. 149.1.1º C.E. sólo autoriza al legislador estatal a que establezca, en su caso, la causa de expropiar, y no, como pretende el art. 174.2 T.R.L.S., a determinar cuándo es preceptiva o cuándo está prohibida. Si le está vedado imponerla, porque no puede sino limitarse a la definición, tampoco podrá prohibirla.</w:t>
      </w:r>
    </w:p>
    <w:p w:rsidR="008107C7" w:rsidRDefault="008107C7" w:rsidP="008107C7">
      <w:pPr>
        <w:pStyle w:val="TextoNormal"/>
      </w:pPr>
      <w:r>
        <w:t>Si, por el contrario, y desde una interpretación sistemática, se concluye que la liberación constituye una técnica ligada a la expropiación como sistema de ejecución urbanística, ajena, por tanto, al cumplimiento de los deberes básicos, con mayor razón habrá de concluirse en su inconstitucionalidad, puesto que, en tal hipótesis, el Estado no podría siquiera establecer la causa de expropiar -que sigue a la competencia material, según sabemos- y, menos aún, disciplinar su utilización. En consecuencia, ha de declararse la inconstitucionalidad del art. 174.2 T.R.L.S..</w:t>
      </w:r>
    </w:p>
    <w:p w:rsidR="008107C7" w:rsidRDefault="008107C7" w:rsidP="008107C7">
      <w:pPr>
        <w:pStyle w:val="TextoNormal"/>
      </w:pPr>
      <w:r>
        <w:t>h) (Art. 176, "Incumplimiento del propietario de bienes liberados").</w:t>
      </w:r>
    </w:p>
    <w:p w:rsidR="008107C7" w:rsidRDefault="008107C7" w:rsidP="008107C7">
      <w:pPr>
        <w:pStyle w:val="TextoNormal"/>
      </w:pPr>
      <w:r>
        <w:t>Ha de tenerse por plenamente fundada la impugnación del recurrente (recurso núm.  2.342/92) cuando afirma que este precepto sólo podría considerarse norma básica si se remitiera a los deberes básicos establecidos en la Ley, pero no en cuanto que en la resolución liberatoria pueden señalarse otros deberes al margen de los anteriores. En efecto, del tenor literal del art.  176 T.R.L.S.  se infiere que incluye tanto los deberes que la Ley misma establece, cuanto las condiciones que la resolución pueda fijar. En la medida en que el Estado no tiene competencias sobre la expropiación como sistema de actuación, ni puede invocar la convergencia de otro título competencial -como hace el art.  173 T.R.L.S.-, ha de concluirse necesariamente en la invasión competencial del art. 176 T.R.L.S. cuando establece la expropiación o la vía de apremio ante el incumplimiento de los deberes establecidos en la resolución liberatoria y, con ello, la del entero precepto puesto que nada puede añadir ya a la expropiación por incumplimiento de la función social de la propiedad y, en concreto, de los deberes legales básicos que el propio T.R.L.S. reconoce. Además, y en coherencia con cuanto se ha señalado en la presente Sentencia, tampoco desde el art.  149.1.1º C.E.  podrían imponerse conductas a otras Administraciones, como la obligación de expropiar -tal como pretende el precepto aquí impugnado-, sino, en su caso, tan sólo la determinación de una causa de expropiar, que puede ser utilizada o no. En conclusión, pues, el art. 176 T.R.L.S. es contrario a la Constitución.</w:t>
      </w:r>
    </w:p>
    <w:p w:rsidR="008107C7" w:rsidRDefault="008107C7" w:rsidP="008107C7">
      <w:pPr>
        <w:pStyle w:val="TextoNormal"/>
      </w:pPr>
      <w:r>
        <w:t>i) (Art. 184.2, "Incumplimiento de las obligaciones por el adjudicatario").</w:t>
      </w:r>
    </w:p>
    <w:p w:rsidR="008107C7" w:rsidRDefault="008107C7" w:rsidP="008107C7">
      <w:pPr>
        <w:pStyle w:val="TextoNormal"/>
      </w:pPr>
      <w:r>
        <w:t>El apartado 2º del art. 184 T.R.L.S. dispone que el adjudicatario del programa de actuación urbanística "queda sujeto a las medidas de expropiación o venta forzosa por incumplimiento de los deberes previstos en esta Ley". Cierto es que el Estado carece de competencias para regular tales programas así como para su adjudicación misma y, en consecuencia, no podría anudar ciertos efectos o consecuencias jurídicos a una institución cuya regulación no le compete. Ahora bien, en el precepto considerado no se hace sino asegurar la igualdad en el cumplimiento de los deberes básicos del estatuto de la propiedad urbana que gravan con carácter objetivo el suelo, cualquiera que sea su titular (art.  149.1.1º C.E.), y garantizar que uno de los instrumentos a su servicio -la expropiación o venta forzosa por incumplimiento de la función social (art. 149.1.18º C.E.)- no se vea desplazado por el mero recurso a una técnica urbanística que corresponde establecer a las Comunidades Autónomas, como aquí ocurre con la adjudicación de programas de actuación urbanística.</w:t>
      </w:r>
    </w:p>
    <w:p w:rsidR="008107C7" w:rsidRDefault="008107C7" w:rsidP="008107C7">
      <w:pPr>
        <w:pStyle w:val="TextoNormal"/>
      </w:pPr>
      <w:r>
        <w:t xml:space="preserve">Sin forzar la inteligencia literal y sistemática del precepto, es posible entender, como el propio representante del Gobierno de las Islas Baleares reconoce, que el adjudicatario queda sujeto a las medidas de expropiación o venta forzosa por incumplimiento de los deberes </w:t>
      </w:r>
      <w:r>
        <w:lastRenderedPageBreak/>
        <w:t>básicos inherentes al estatuto de la propiedad amparados en el art. 149.1.1º C.E., pero no de cualesquiera otras obligaciones que aquél haya contraido mediante convenio. Desde ese punto de vista, hay que reconocer que el art.  184.2 T.R.L.S. queda amparado por la competencia estatal ex art.  149.1.1º C.E., como ha quedado dicho.</w:t>
      </w:r>
    </w:p>
    <w:p w:rsidR="008107C7" w:rsidRDefault="008107C7" w:rsidP="008107C7">
      <w:pPr>
        <w:pStyle w:val="TextoNormal"/>
      </w:pPr>
    </w:p>
    <w:p w:rsidR="008107C7" w:rsidRDefault="008107C7" w:rsidP="008107C7">
      <w:pPr>
        <w:pStyle w:val="TextoNormal"/>
      </w:pPr>
      <w:r w:rsidRPr="008107C7">
        <w:rPr>
          <w:rStyle w:val="NumeroAFNegritaCaracter"/>
        </w:rPr>
        <w:t>29</w:t>
      </w:r>
      <w:r>
        <w:t>. (Título IV, "Ejecución del planeamiento". Capítulo Cuarto, "Obtención de terrenos dotacionales". Arts. 203 y 205).</w:t>
      </w:r>
    </w:p>
    <w:p w:rsidR="008107C7" w:rsidRDefault="008107C7" w:rsidP="008107C7">
      <w:pPr>
        <w:pStyle w:val="TextoNormal"/>
      </w:pPr>
      <w:r>
        <w:t>a) (Art. 203, "Ocupación directa").</w:t>
      </w:r>
    </w:p>
    <w:p w:rsidR="008107C7" w:rsidRDefault="008107C7" w:rsidP="008107C7">
      <w:pPr>
        <w:pStyle w:val="TextoNormal"/>
      </w:pPr>
      <w:r>
        <w:t>Salvo en su apartado 1, el art. 203 T.R.L.S. es una mera reproducción del art.  59 de la Ley 8/1990, impugnado tanto por la Generalidad de Cataluña como por la Diputación General de Aragón (antecedentes núms. 7.H y 10.C, respectivamente, y reproducidos en los recursos núms. 2.341 y 2.342/92 contra el art. 203 T.R.L.S.). En síntesis, el motivo de la impugnación se resuelve en afirmar que su contenido es puramente de gestión urbanística y corresponde determinarlo a las Comunidades Autónomas. Aduce asimismo la Generalidad de Cataluña que tiene establecida de forma diversa la obtención de terrenos dotacionales, regulación que luego ha pasado al Texto Refundido aprobado por el Decreto Legislativo 1/1990, de 12 de julio, sobre legislación vigente en materia urbanística en Cataluña, y que ha demostrado su eficacia desde entonces.</w:t>
      </w:r>
    </w:p>
    <w:p w:rsidR="008107C7" w:rsidRDefault="008107C7" w:rsidP="008107C7">
      <w:pPr>
        <w:pStyle w:val="TextoNormal"/>
      </w:pPr>
      <w:r>
        <w:t>Para dilucidar, a los efectos de la disputa competencial aquí planteada, si estamos ante una técnica de gestión urbanística cuya regulación corresponde al legislador autonómico, en virtud de su competencia exclusiva sobre urbanismo, o nos encontramos ante una modalidad de la expropiación forzosa aplicada en el ámbito urbanístico, es decir, ante una variante o modalidad de la expropiación común o general, hemos de examinar no sólo el art. 203 en su integridad sino también el art. 204 T.R.L.S., que viene a completar la regulación dirigida a la obtención de terrenos dotacionales, sin abono de justiprecio en metálico.</w:t>
      </w:r>
    </w:p>
    <w:p w:rsidR="008107C7" w:rsidRDefault="008107C7" w:rsidP="008107C7">
      <w:pPr>
        <w:pStyle w:val="TextoNormal"/>
      </w:pPr>
      <w:r>
        <w:t>Si bien no cabe desconocer que se entrelazan en la regulación de los mencionados preceptos notas características de las técnicas de urbanismo o de la gestión urbanística y elementos propios de la expropiación forzosa, ha de entenderse, a nuestro limitado propósito, que predomina la configuración de una singular modalidad expropiatoria. En efecto, por la denominada ocupación directa se produce, respecto a terrenos afectados por el planeamiento a dotaciones públicas (que no hayan de ser objeto de cesiones obligatorias y gratuitas), es decir, terrenos sin aprovechamiento lucrativo para su propietario también denominados "de aprovechamiento cero", la transmisión coactiva de la titularidad dominical de tales terrenos a las Administraciones urbanísticas actuantes para adscribirlos a los usos y servicios públicos que motivaron su afectación en el Plan de ordenación. La vinculación de destino que éste dispuso se hace así efectiva, trasladando la titularidad dominical de manos privadas a la de Entes públicos, traslación que se realiza de forma coactiva, y que se produce con una doble singularidad: a) de una parte, la ocupación se realiza sin previo pago del justiprecio, al igual que ocurre en la expropiación de urgencia (art. 52 y concordantes de la L.E.F.), y b) de otra, que el justiprecio no consiste aquí en el abono de una indemnización dineraria como equivalente económico del terreno ocupado, sino en la adjudicación al propietario del aprovechamiento urbanístico patrimonializado para que lo haga efectivo en una unidad de ejecución con exceso de aprovechamiento real. Esta última característica aproxima esta modalidad expropiatoria a la prevista en el art. 217 T.R.L.S., por la que unilateralmente la Administración expropiante puede satisfacer el justiprecio mediante la adjudicación de terrenos equivalentes, situados en la misma área de reparto que el expropiado.</w:t>
      </w:r>
    </w:p>
    <w:p w:rsidR="008107C7" w:rsidRDefault="008107C7" w:rsidP="008107C7">
      <w:pPr>
        <w:pStyle w:val="TextoNormal"/>
      </w:pPr>
      <w:r>
        <w:t xml:space="preserve">Se sigue de lo anterior que es apreciable en la ocupación directa la existencia de alguna de las notas inherentes a la estructura esencial de la potestad administrativa expropiatoria: </w:t>
      </w:r>
      <w:r>
        <w:lastRenderedPageBreak/>
        <w:t>una privación singular y coactiva de derechos patrimoniales mediante la sustitución por su equivalente económico o indemnización (el aprovechamiento urbanístico correspondiente), y a través de un procedimiento formal, al que después aludiremos.</w:t>
      </w:r>
    </w:p>
    <w:p w:rsidR="008107C7" w:rsidRDefault="008107C7" w:rsidP="008107C7">
      <w:pPr>
        <w:pStyle w:val="TextoNormal"/>
      </w:pPr>
      <w:r>
        <w:t>Ha de añadirse asimismo que en virtud de lo dispuesto en el art. 204.2 del T.R.L.S., la ocupación directa es susceptible de transformarse o reconducirse a una propia o común expropiación forzosa, a instancia del propietario expropiado, si transcurren los plazos previstos en dicho precepto sin que se produzca la aprobación definitiva del instrumento redistributivo de la unidad de ejecución excedentaria, que permita al propietario ocupado hacer efectivo en ésta su aprovechamiento urbanístico. Esta posibilidad de reconducción a la expropiación pone de relieve que, en lo que aquí interesa, no nos hallamos en presencia de una simple técnica de gestión urbanística arbitrada por el legislador estatal, sino ante una determinación legal para habilitar una modalidad expropiatoria, como alternativa a la expropiación, cuya aplicación y regulación procedimental queda en manos del legislador autonómico, tal como señala el art. 203.3 T.R.L.S..</w:t>
      </w:r>
    </w:p>
    <w:p w:rsidR="008107C7" w:rsidRDefault="008107C7" w:rsidP="008107C7">
      <w:pPr>
        <w:pStyle w:val="TextoNormal"/>
      </w:pPr>
      <w:r>
        <w:t>Al asimilarse la ocupación directa a la categoría de la expropiación forzosa, el Estado se halla legitimado, ex art.  149.1.18º, para establecer ciertas garantías expropiatorias con carácter de mínimo, sin perjuicio de que las Comunidades Autónomas puedan instrumentar las normas específicas del procedimiento que sean proporcionadas a la singularidad de la clase de expropiación de que se trate. Dichas reglas garantizadoras mínimas previstas en el art. 203.3 T.R.L.S. vienen a coincidir, sustancialmente, con las contenidas en el procedimiento general o común de la expropiación forzosa contenido en la L.E.F. y en su Reglamento ejecutivo, por lo que dicho apartado también encuentra cobertura en el título competencial del art. 149.1.18º C.E.</w:t>
      </w:r>
    </w:p>
    <w:p w:rsidR="008107C7" w:rsidRDefault="008107C7" w:rsidP="008107C7">
      <w:pPr>
        <w:pStyle w:val="TextoNormal"/>
      </w:pPr>
      <w:r>
        <w:t>Así, por lo que se refiere a la regla 1ª, la publicación de la relación de terrenos y propietarios afectados no es sino fiel trasunto de la publicación del acuerdo de necesidad de ocupación, que ha de incorporar tal relación de inmuebles y de afectados, conforme determinan los arts. 20 y 21.2 de la L.E.F.; asimismo la necesidad de notificación que dicha regla 1º, in fine, dispone, viene también exigida por el procedimiento general expropiatorio en los mencionados preceptos de la L.E.F., datos éstos a los que se añade en el caso de la ocupación directa, y precisamente en función de su singularidad, el del aprovechamiento urbanístico correspondiente a cada propietario y la unidad o unidades de ejecución donde podrán materializar aquel derecho. La regla 3ª, que dispone el seguimiento de las actuaciones con el Ministerio Fiscal es idéntica básicamente a la contenida en el art. 5.1 de la L.E.F., y finalmente, la regla 2ª, se corresponde con la formalización documental de las actas (previas a la ocupación y de pago y ocupación) que legitiman a la Administración expropiante para la ocupación de los inmuebles expropiados.</w:t>
      </w:r>
    </w:p>
    <w:p w:rsidR="008107C7" w:rsidRDefault="008107C7" w:rsidP="008107C7">
      <w:pPr>
        <w:pStyle w:val="TextoNormal"/>
      </w:pPr>
      <w:r>
        <w:t>Debe notarse, por último, que el apartado 1 del art. 203 T.R.L.S. se limita a describir una técnica para anudarle, caso de ser utilizada, determinadas garantías. No pretende, en otras palabras, definir legalmente los supuestos en que cabe hacer uso de esta especie expropiatoria mediante la definición de la causa expropriandi que, como hemos reiterado, es una competencia que sigue a la competencia material, aquí reconducible a la de urbanismo, sino tan sólo hacer una referencia instrumental a los fines aludidos.</w:t>
      </w:r>
    </w:p>
    <w:p w:rsidR="008107C7" w:rsidRDefault="008107C7" w:rsidP="008107C7">
      <w:pPr>
        <w:pStyle w:val="TextoNormal"/>
      </w:pPr>
      <w:r>
        <w:t>Los apartados 4, 5 y 6 del art. 203 T.R.L.S. establecen unas reglas registrales inmobiliarias que, a juicio del representante estatal, encontrarían su amparo en el art. 149.1.8º C.E., en cuanto es competencia exclusiva del Estado la materia de ordenación de los registros.</w:t>
      </w:r>
    </w:p>
    <w:p w:rsidR="008107C7" w:rsidRDefault="008107C7" w:rsidP="008107C7">
      <w:pPr>
        <w:pStyle w:val="TextoNormal"/>
      </w:pPr>
      <w:r>
        <w:t xml:space="preserve">Ciertamente, corresponde al Estado en exclusiva, por virtud del precepto constitucional últimamente mencionado, determinar los actos inscribibles en el Registro de la Propiedad, los efectos y las operaciones registrales. La citada competencia permite al legislador estatal </w:t>
      </w:r>
      <w:r>
        <w:lastRenderedPageBreak/>
        <w:t>fijar con carácter general, para los supuestos en que se realicen operaciones jurídicas como las aquí contempladas, ciertas consecuencias o efectos, como la garantía de certificación. Por ello, debe concluirse que el art.  203 T.R.L.S.  en su totalidad se acomoda al orden constitucional de distribución de competencias.</w:t>
      </w:r>
    </w:p>
    <w:p w:rsidR="008107C7" w:rsidRDefault="008107C7" w:rsidP="008107C7">
      <w:pPr>
        <w:pStyle w:val="TextoNormal"/>
      </w:pPr>
      <w:r>
        <w:t>b) (Art. 205, "Cesión obligatoria y gratuita de dotaciones en unidad de ejecución").</w:t>
      </w:r>
    </w:p>
    <w:p w:rsidR="008107C7" w:rsidRDefault="008107C7" w:rsidP="008107C7">
      <w:pPr>
        <w:pStyle w:val="TextoNormal"/>
      </w:pPr>
      <w:r>
        <w:t>El motivo de impugnación aducido por la Generalidad de Cataluña frente al art.  203 se reproduce igualmente ante el art.  205 (recurso núm. 2.481/90 contra el art. 61 Ley 8/1990).  El Abogado del Estado, sin embargo, esgrime argumentos específicos en defensa del precepto impugnado en virtud del art. 149.1.18º C.E. (Antecedente núm. 22.H, art. 61).</w:t>
      </w:r>
    </w:p>
    <w:p w:rsidR="008107C7" w:rsidRDefault="008107C7" w:rsidP="008107C7">
      <w:pPr>
        <w:pStyle w:val="TextoNormal"/>
      </w:pPr>
      <w:r>
        <w:t>Para precisar el debate procesal, ha de notarse, en primer término, que el recurso de la Diputación General de Aragón (núm.  2.341/92) incurre en el ya reiterado defecto de apoderamiento (fundamento jurídico 3.B), que el recurso de la Generalidad de Cataluña núm. 2.342/92 se remite a las alegaciones contenidas en su escrito (recurso núm.  2.481/90) contra el art. 61 de la Ley de 8/1990, al igual que el Abogado del Estado cuyas alegaciones respecto del ahora art. 205 T.R.L.S. igualmente se remiten a las ya realizadas en defensa del art. 61 Ley 8/1990, con olvido, ambas partes, de que el art.  205 T.R.L.S.  no es una mera reproducción del art. 61, aunque con una sistemática distinta (61.2 ha pasado al 205.1 T.R.L.S., 61.3 al 205.2 T.R.L.S., y 61.1 al 205.3 T.R.L.S.), como, por lo demás, ocurre con otros muchos artículos del Texto Refundido que ya hemos enjuiciado. De este modo queda así delimitada la cuestión planteada. Por otra parte, para la representación estatal, el apartado 1 y 2 -que declaran la cesión obligatoria y gratuita de los terrenos afectos a dotaciones locales y precisan el momento en el que se produce la transmisión-, quedarían amparados en el art. 149.1.1º C.E.  porque inciden directamente en determinados derechos de propiedad, y no sólo en el art.  149.1.18º C.E. El art. 205.3 encontraría su cobertura en el art. 149.1.18º C.E.  en la medida en que, al garantizar la afectación de los terrenos dotacionales no obtenidos por expropiación, constituye una base del régimen jurídico-administrativo.</w:t>
      </w:r>
    </w:p>
    <w:p w:rsidR="008107C7" w:rsidRDefault="008107C7" w:rsidP="008107C7">
      <w:pPr>
        <w:pStyle w:val="TextoNormal"/>
      </w:pPr>
      <w:r>
        <w:t>Ha de rechazarse la impugnación relativa al primer apartado del art. 205 T.R.L.S., en la medida en que se trata de un precepto que conecta inmediatamente con el deber básico de cesión de terrenos destinados a dotaciones públicas [art. 20.1a) T.R.L.S.], amparado por el art. 149.1.1º C.E., en los términos allí indicados (cfr. fundamento jurídico 17.b).</w:t>
      </w:r>
    </w:p>
    <w:p w:rsidR="008107C7" w:rsidRDefault="008107C7" w:rsidP="008107C7">
      <w:pPr>
        <w:pStyle w:val="TextoNormal"/>
      </w:pPr>
      <w:r>
        <w:t>Los apartados 2 y 3 del art. 205 T.R.L.S., por el contrario, establecen cuándo y cómo se producen las cesiones obligatorias y gratuitas, lo que pertenece a la competencia de las Comunidades Autónomas en materia de urbanismo, a la luz de cuanto se ha dicho. Sin embargo, el Estado puede fijar ciertas garantías respecto de la forma de articularse la cesión a los fines previstos en el art.  149.1.1º C.E., operación ésta ajena a lo que disponen los apartados 2 y 3 del art. 205 T.R.L.S.. En suma, pues, debe declararse que el art. 205.1 T.R.L.S.  es conforme con la Constitución y que los apartados 2 y 3 del mismo precepto son contrarios al orden constitucional de distribución de competencias.</w:t>
      </w:r>
    </w:p>
    <w:p w:rsidR="008107C7" w:rsidRDefault="008107C7" w:rsidP="008107C7">
      <w:pPr>
        <w:pStyle w:val="TextoNormal"/>
      </w:pPr>
    </w:p>
    <w:p w:rsidR="008107C7" w:rsidRDefault="008107C7" w:rsidP="008107C7">
      <w:pPr>
        <w:pStyle w:val="TextoNormal"/>
      </w:pPr>
      <w:r w:rsidRPr="008107C7">
        <w:rPr>
          <w:rStyle w:val="NumeroAFNegritaCaracter"/>
        </w:rPr>
        <w:t>30</w:t>
      </w:r>
      <w:r>
        <w:t>. (Título IV y Título V. Arts. 199.1.b y 2.b; 202.1-4; 204; 206; 207, "Sobre la obtención de terrenos dotacionales y disposiciones generales en materia de supuestos de expropiación forzosa").</w:t>
      </w:r>
    </w:p>
    <w:p w:rsidR="008107C7" w:rsidRDefault="008107C7" w:rsidP="008107C7">
      <w:pPr>
        <w:pStyle w:val="TextoNormal"/>
      </w:pPr>
      <w:r>
        <w:t xml:space="preserve">Frente a estos artículos se discute la aplicación plena que les atribuye la Disposición final única, segunda, del T.R.L.S., por virtud de los arts.  149.1.8º y 18º C.E. El recurso de la Comunidad Autónoma de las Islas Baleares sostiene que los arts.  199.1b) y 2b), 206 y 207 T.R.L.S. no constituyen contenido propio de la competencia en materia de expropiación fozosa, sino utilización instrumental de la expropiación y ocupación directa como sistema </w:t>
      </w:r>
      <w:r>
        <w:lastRenderedPageBreak/>
        <w:t>de ejecución urbanística, o como expropiación- sanción, por lo que corresponde a las Comunidades Autónomas la decisión acerca de los supuestos en que debe utilizarse. En parecidos términos, la Generalidad de Cataluña (recursos núm.2.481/90 y 2.342/92) sostiene que los arts. 206 y 207 son de la competencia autonómica porque en virtud de la doctrina de la STC 37/1987 son las Comunidades Autónomas y no el Estado las que ostentan la potestad de definir legalmente los supuestos en que cabe hacer uso del instrumento expropiatorio mediante la definición de la causa expropriandi. Contra el art.  202.4 T.R.L.S. (recurso núm. 2.481/90) alega, por relación con otros preceptos de los que pretendió su declaración como no básicos (arts. 32 y 203.2-6 T.R.L.S., antes 38 y 59 Ley 8/1990), que invade la competencia urbanística. La Diputación General de Aragón impugna los arts. 199.1b) y 2b), 202.1-4 y 204 T.R.L.S.  por considerar que implican no una regulación institucional de la expropiación forzosa o de la ocupación directa, sino su utilización instrumental y la configuración de la causa de expropiar.</w:t>
      </w:r>
    </w:p>
    <w:p w:rsidR="008107C7" w:rsidRDefault="008107C7" w:rsidP="008107C7">
      <w:pPr>
        <w:pStyle w:val="TextoNormal"/>
      </w:pPr>
      <w:r>
        <w:t>En suma, se debate la opción del legislador estatal al calificar de "aplicación plena" la técnica expropiatoria y la ocupación directa y, en concreto, la definición de la causa expropriandi que por inscribirse en el ámbito de una competencia sectorial autonómica no corresponde al Estado establecer. No obstante este alegato, lo cierto es que tales preceptos contienen una compleja regulación que incide sobre variados aspectos que conviene deslindar oportunamente.</w:t>
      </w:r>
    </w:p>
    <w:p w:rsidR="008107C7" w:rsidRDefault="008107C7" w:rsidP="008107C7">
      <w:pPr>
        <w:pStyle w:val="TextoNormal"/>
      </w:pPr>
      <w:r>
        <w:t>Con carácter preliminar, obligado es dar por reproducido ahora cuanto se ha señalado al enjuiciar los arts. 203 y 205 T.R.L.S., éstos de carácter básico, y en particular la doctrina relativa al art. 149.1.1º C.E.</w:t>
      </w:r>
    </w:p>
    <w:p w:rsidR="008107C7" w:rsidRDefault="008107C7" w:rsidP="008107C7">
      <w:pPr>
        <w:pStyle w:val="TextoNormal"/>
      </w:pPr>
      <w:r>
        <w:t>En primer término, ha de darse la razón a los recurrentes cuando impugnan el art. 199.1b) y 2b) T.R.L.S., porque, en este supuesto, en efecto, se configura la expropiación como un instrumento necesario -dado el carácter "pleno" y excluyente del precepto-, lo cual es radicalmente incompatible con el sistema de reparto competencial, de conformidad con lo que hemos declarado.  El Estado carece de competencias para establecer cuál o cuáles sean las vías necesarias e indisponibles para obtener terrenos dotacionales -que es la materia sobre la que se pretenden imponer unos concretos medios- al tiempo que su competencia ex art.  149.1.18º C.E. no alcanza más allá de la fijación de las garantías expropiatorias -también en su variante urbanística-. La regulación de la causa de expropiar para la obtención de terrenos dotacionales y la definición de la ocupación directa corresponde a las Comunidades Autónomas.</w:t>
      </w:r>
    </w:p>
    <w:p w:rsidR="008107C7" w:rsidRDefault="008107C7" w:rsidP="008107C7">
      <w:pPr>
        <w:pStyle w:val="TextoNormal"/>
      </w:pPr>
      <w:r>
        <w:t>El Abogado del Estado en su defensa alega que lo que pretende el art. 199.1b) y 2b) T.R.L.S.  no es sino asegurar la disponibilidad del instrumento expropiatorio -en alternativa con la ocupación directa- para obtener terrenos destinados a sistemas generales en suelo urbano y a dotaciones públicas de carácter local, reconociendo que enuncian genéricas causas de expropiar. Y es justamente esa regulación la que resulta inconstitucional por extralimitación competencial, sin que enerve tal conclusión el hecho de que el artículo impugnado, como señala la representación estatal, no impida a las Comunidades Autónomas la definición de otras causas de expropiar dentro de sus competencias, puesto que el problema no radica en que no se deje espacio para la normación autonómica, sino, más precisamente, en que el Estado carece de competencias para dictar con carácter básico o "pleno" una causa de expropiar cuando no tiene competencias sobre la materia o sector, como en el presente caso, para regular la obtención de terrenos dotacionales ni, como hemos declarado, para definir la ocupación directa.</w:t>
      </w:r>
    </w:p>
    <w:p w:rsidR="008107C7" w:rsidRDefault="008107C7" w:rsidP="008107C7">
      <w:pPr>
        <w:pStyle w:val="TextoNormal"/>
      </w:pPr>
      <w:r>
        <w:t>En lo que al art. 202, apartados 1 a 4, T.R.L.S. concierne, debe declararse la inconstitucionalidad del precepto en virtud de los siguientes argumentos:</w:t>
      </w:r>
    </w:p>
    <w:p w:rsidR="008107C7" w:rsidRDefault="008107C7" w:rsidP="008107C7">
      <w:pPr>
        <w:pStyle w:val="TextoNormal"/>
      </w:pPr>
      <w:r>
        <w:lastRenderedPageBreak/>
        <w:t>1) En primer término, se trata no de regular la expropiación sino de determinar la obtención de terrenos dotacionales que no deben ser cedidos gratuitamente; estamos, pues, en el ámbito urbanístico, con referencia a técnicas urbanísticas tales como dotaciones excluídas de unidades de ejecución.</w:t>
      </w:r>
    </w:p>
    <w:p w:rsidR="008107C7" w:rsidRDefault="008107C7" w:rsidP="008107C7">
      <w:pPr>
        <w:pStyle w:val="TextoNormal"/>
      </w:pPr>
      <w:r>
        <w:t>2) En realidad, no se pretende aquí regular una garantía expropiatoria o alguna singularidad de la expropiación urbanística, sino la dimensión temporal de la ejecución del planeamiento en cuanto al momento en que los sistemas generales y las dotaciones locales de suelo urbano deban pasar a manos públicas. Para ello se parte, implícitamente, de que los mecanismos coactivos de obtención -expropiación u ocupación directa- deben estar previstos en el programa de actuación de los Planes Generales, imponiendo así un concreto modelo urbanístico a las Comunidades Autónomas (202.1, inciso final).</w:t>
      </w:r>
    </w:p>
    <w:p w:rsidR="008107C7" w:rsidRDefault="008107C7" w:rsidP="008107C7">
      <w:pPr>
        <w:pStyle w:val="TextoNormal"/>
      </w:pPr>
      <w:r>
        <w:t>3) Por tanto, no puede servir de título habilitante el del art. 149.1.18 C.E.  de legislación sobre expropiación, pues no es tal la materia objeto de normación, sino que se establecen las consecuencias de la inactividad administrativa respecto a la no ejecución en plazo del Plan General en suelo urbano, con determinación de plazos concretos y de procedimiento administrativo para lograr la expropiación a instancia del propietario, aspectos éstos -procedimiento y sus plazos- que pertenecen a la competencia urbanística sustantiva. Todo ello sin perjuicio, además, de la clara conexión del art. 202.4 T.R.L.S.  con el art. 32 T.R.L.S., que le hace acreedor de la misma censura. En suma, pues, el art. 202, apartados 1 a 4, del T.R.L.S. es contrario al orden constitucional de distribución de competencias.</w:t>
      </w:r>
    </w:p>
    <w:p w:rsidR="008107C7" w:rsidRDefault="008107C7" w:rsidP="008107C7">
      <w:pPr>
        <w:pStyle w:val="TextoNormal"/>
      </w:pPr>
      <w:r>
        <w:t>Ello no empece, sin embargo, a que el Estado por virtud de sus competencias del art.  149.1.1 C.E. pueda establecer garantías en favor de los particulares frente a la inactividad expropiatoria de las Administraciones competentes en materia de urbanismo.</w:t>
      </w:r>
    </w:p>
    <w:p w:rsidR="008107C7" w:rsidRDefault="008107C7" w:rsidP="008107C7">
      <w:pPr>
        <w:pStyle w:val="TextoNormal"/>
      </w:pPr>
      <w:r>
        <w:t>Finalmente, y por virtud de cuanto se ha dicho, la impugnación del art. 206.1 T.R.L.S. ha de tenerse por plenamente fundada -a excepción de la relativa a la letra f) del apartado 1- en la medida en que establece -además con un pretendido carácter excluyente o pleno- diversas causas de expropiar en materia urbanística, sin que en los referidos supuestos (con la salvedad de la expropiación por incumplimiento de la función social de los deberes básicos que conforman la propiedad urbana: art.  149.1.1º C.E.)  quepa apreciar ningún otro título estatal convergente. El hecho de que la letra g) del art. 206.1 ("los demás supuestos legalmente previstos") permita añadir nuevas causas de expropiar a las Comunidades Autónomas no empece a su inconstitucionalidad por vicio de incompetencia, como parece pretender la representación del Estado.  Cierto es, como éste alega, que las Comunidades Autónomas no tienen tampoco el monopolio para definir legalmente las causas de expropiar -hemos reiterado que el art.  149.1.1º C.E. legitima al Estado para definirlas-, pero no lo es menos que, con carácter general, será a las Comunidades Autónomas a las que corresponda establecerlas en virtud de sus propias competencias y, en el precepto impugnado, no es posible identificar título estatal capaz de oponerse a la competencia urbanística autonómica. Ha de admitirse que los supuestos expropiatorios y sus respectivos procedimientos y garantías se encuentran estrechamente entrelazados, hasta el punto de que ciertas especies expropiatorias no sólo requieren ya procedimientos específicos, sino también garantías también ajustadas a su naturaleza.</w:t>
      </w:r>
    </w:p>
    <w:p w:rsidR="008107C7" w:rsidRDefault="008107C7" w:rsidP="008107C7">
      <w:pPr>
        <w:pStyle w:val="TextoNormal"/>
      </w:pPr>
      <w:r>
        <w:t xml:space="preserve">De ahí se infiere que, a pesar del deslinde competencial (las garantías expropiatorias en manos del Estado, de un lado, y la definición de la causa de expropiar reservada al que ostente la competencia material, de otro) al Estado le es lícito establecer por coherencia con sus competencias exclusivas sobre las garantías expropiatorias las causas de expropiar cuando no ostente la competencia material o sustantiva, como hace, en efecto, la Ley de </w:t>
      </w:r>
      <w:r>
        <w:lastRenderedPageBreak/>
        <w:t>Expropiación Forzosa 1954. Pero, en tales hipótesis, la definición estatal de una causa expropriandi sobre una materia sobre la que no tenga competencias (obras públicas; valor artístico, histórico o arqueológico; etc) no será sino un simple punto de referencia para identificar o establecer, en su caso, las garantías expropiatorias específicas que una determinada clase de expropiación pueda merecer (urbanística; obras públicas; ocupación temporal; etc.), pero la causa de expropiar en sí misma nunca podrá tener carácter indisponible para las Comunidades Autónomas.</w:t>
      </w:r>
    </w:p>
    <w:p w:rsidR="008107C7" w:rsidRDefault="008107C7" w:rsidP="008107C7">
      <w:pPr>
        <w:pStyle w:val="TextoNormal"/>
      </w:pPr>
      <w:r>
        <w:t>Por su parte, el art. 206.2 T.R.L.S. dispone que la expropiación para los fines previstos en las letras d) y e) del apartado 1 del mismo artículo será posible antes del planeamiento parcial en suelo urbanizable programado, y en los supuestos de la letra e), sólo si el destino fuera la construcción de viviendas, requerirá su inclusión en el correspondiente programa de actuación pública. Las dos reglas tienen en común regular la influencia del planeamiento en el ejercicio de la potestad expropiatoria.  De ahí que no encuentran cobertura en el art.  149.1.18º C.E. y constituyan una determinación de procedimiento perfectamente disponible y su carácter de aplicación "plena" sea inconstitucional.</w:t>
      </w:r>
    </w:p>
    <w:p w:rsidR="008107C7" w:rsidRDefault="008107C7" w:rsidP="008107C7">
      <w:pPr>
        <w:pStyle w:val="TextoNormal"/>
      </w:pPr>
      <w:r>
        <w:t>Por lo que hace a la expropiación por incumplimiento de la función social de la propiedad [art. 206.1f) y 207], esta definición de causa expropriandi, sólo se justifica en virtud de la competencia material para establecer deberes básicos amparados por el art. 149.1.1º C.E., no cualquier incumplimiento de los deberes que el T.R.L.S. establece.  Habrá de interpretarse, pues, en cada caso, si estamos ante el incumplimiento de un deber básico en el sentido de aquellos que al Estado incumbe fijar ex art.  149.1.1º C.E.</w:t>
      </w:r>
    </w:p>
    <w:p w:rsidR="008107C7" w:rsidRDefault="008107C7" w:rsidP="008107C7">
      <w:pPr>
        <w:pStyle w:val="TextoNormal"/>
      </w:pPr>
      <w:r>
        <w:t>Con todo, el art. 207 T.R.L.S., a diferencia del art.  206.1f) T.R.L.S. que se reduce a la fijación de la causa expropiandi, establece la expropiación por incumplimiento de la función social con carácter imperativo ("se aplicará", dice el precepto), por lo que, a la luz de cuanto se ha dicho y en coherencia con otros preceptos del T.R.L.S. de cuya inteligencia se desprende el mencionado carácter obligatorio, no puede admitirse su conformidad constitucional. Baste recordar, en efecto, que el Estado puede establecer como causa de expropiar el incumplimiento de los deberes básicos amparados en el art.  149.1.1º C.E., sean éstos en su dimensión temporal (cumplimiento intempestivo), o espacial (violación de la terminante prohibición de nacimiento de propiedad urbana). Lo que no puede, sin embargo, es imponer conductas a la Administración competente, con apoyo en el art. 149.1.1º C.E.  En consecuencia, pues, el art. 206.1f) T.R.L.S. es conforme con el orden constitucional de competencias y el art. 207 T.R.L.S., por el contrario, es inconstitucional.</w:t>
      </w:r>
    </w:p>
    <w:p w:rsidR="008107C7" w:rsidRDefault="008107C7" w:rsidP="008107C7">
      <w:pPr>
        <w:pStyle w:val="TextoNormal"/>
      </w:pPr>
      <w:r>
        <w:t>Los arts. 199.1b) y 2b); 206.1 (a excepción de la letra f), y 206.2, son contrarios al orden constitucional de competencias.  El art. 202, párrafos 1 a 4, T.R.L.S. es también inconstitucional.</w:t>
      </w:r>
    </w:p>
    <w:p w:rsidR="008107C7" w:rsidRDefault="008107C7" w:rsidP="008107C7">
      <w:pPr>
        <w:pStyle w:val="TextoNormal"/>
      </w:pPr>
      <w:r>
        <w:t>I) TÍTULO V DEL T.R.L.S.: "Expropiaciones y régimen de venta forzosa".</w:t>
      </w:r>
    </w:p>
    <w:p w:rsidR="008107C7" w:rsidRDefault="008107C7" w:rsidP="008107C7">
      <w:pPr>
        <w:pStyle w:val="TextoNormal"/>
      </w:pPr>
      <w:r>
        <w:t>Sin perjuicio de que en el fundamento jurídico anterior, por razones de sistemática interna, haya sido oportuno introducirnos en el enjuiciamiento de los preceptos de cabecera del Título V (arts. 206 y 207 T.R.L.S.), procedemos seguidamente al examen de los restantes artículos impugnados que se localizan en el referido Título.</w:t>
      </w:r>
    </w:p>
    <w:p w:rsidR="008107C7" w:rsidRDefault="008107C7" w:rsidP="008107C7">
      <w:pPr>
        <w:pStyle w:val="TextoNormal"/>
      </w:pPr>
    </w:p>
    <w:p w:rsidR="008107C7" w:rsidRDefault="008107C7" w:rsidP="008107C7">
      <w:pPr>
        <w:pStyle w:val="TextoNormal"/>
      </w:pPr>
      <w:r w:rsidRPr="008107C7">
        <w:rPr>
          <w:rStyle w:val="NumeroAFNegritaCaracter"/>
        </w:rPr>
        <w:t>31</w:t>
      </w:r>
      <w:r>
        <w:t>. (Arts. 220.1, 221, "Sobre procedimiento de tasación conjunta y de expropiación individual").</w:t>
      </w:r>
    </w:p>
    <w:p w:rsidR="008107C7" w:rsidRDefault="008107C7" w:rsidP="008107C7">
      <w:pPr>
        <w:pStyle w:val="TextoNormal"/>
      </w:pPr>
      <w:r>
        <w:t xml:space="preserve">Los arts. 220.1 y 221 T.R.L.S. han sido objeto de impugnación por la Generalidad de Cataluña por entender que estos preceptos no pueden ser considerados de aplicación plena ya que materialmente no responden a un título competencial exclusivo del Estado.  Su contenido supone una indebida vinculación de las actuaciones de los órganos autonómicos a la </w:t>
      </w:r>
      <w:r>
        <w:lastRenderedPageBreak/>
        <w:t>decisión normativa estatal, vulnerando el orden competencial fijado en los arts.  149.1.18º C.E. y 10.1.1 E.A.C.</w:t>
      </w:r>
    </w:p>
    <w:p w:rsidR="008107C7" w:rsidRDefault="008107C7" w:rsidP="008107C7">
      <w:pPr>
        <w:pStyle w:val="TextoNormal"/>
      </w:pPr>
      <w:r>
        <w:t>No puede desconocerse que el Capítulo Tercero del Título V, en el que se insertan los preceptos impugnados, pretende regular diversos procedimientos expropiatorios (de tasación conjunta e individual). En concreto, art. 220.1 T.R.L.S. atribuye el efecto implícito de declarar la urgente ocupación a la resolución autonómica que apruebe el expediente de tasación conjunta, con lo que ello significa de merma de garantías para el expropiado y de facilidad para la acción administrativa; el art. 221 T.R.L.S.  contiene ciertas garantías para los expropiados en procedimiento individual en relación con la legislación general de expropiación forzosa, así como su justificada excepción.</w:t>
      </w:r>
    </w:p>
    <w:p w:rsidR="008107C7" w:rsidRDefault="008107C7" w:rsidP="008107C7">
      <w:pPr>
        <w:pStyle w:val="TextoNormal"/>
      </w:pPr>
      <w:r>
        <w:t>No se trata aquí de la fijación de una causa expropriandi, que incumbe a quien ostente la competencia material, sino de un procedimiento expropiatorio. Como se ha insistido, el Estado ostenta una competencia general sobre la expropiación forzosa, que no se limita a lo básico (art. 149.1.18º C.E.)  y que comprende la determinación de las garantías expropiatorias. Ahora bien, ello no significa que pueda establecer y predeterminar en detalle todas las garantías que rodean a la institución, sean en más o en menos (aquí claramente en menos), de cualquier especie expropiatoria y en todos los sectores del ordenamiento. Más allá de su competencia para regular la expropiación con carácter general, el legislador estatal ha de considerar los títulos competenciales sectoriales en juego, con los que deberá articularse. Por ello, cuando el sector de que se trate sea de la exclusiva competencia autonómica, las peculiaridades que merezcan las expropiaciones especiales sólo podrán ser establecidas, en su caso, con un marcado carácter principial o mínimo y en cuanto sean expresión de las garantías procedimentales generales. En otros términos, a la regulación del procedimiento expropiatorio especial le es aplicable en buena medida la doctrina sobre el reparto competencial del procedimiento administrativo, esto es, que se trata de una competencia adjetiva que sigue a la competencia material o sustantiva, con respeto, claro está, de las normas generales atinentes al procedimiento expropiatorio general que al Estado le corresponde establecer y sin perjuicio también de que no se le pueda negar de raíz la posibilidad de fijar alguna norma especial en cuanto expresión o modulación de las normas procedimentales generales.</w:t>
      </w:r>
    </w:p>
    <w:p w:rsidR="008107C7" w:rsidRDefault="008107C7" w:rsidP="008107C7">
      <w:pPr>
        <w:pStyle w:val="TextoNormal"/>
      </w:pPr>
      <w:r>
        <w:t>Así las cosas, la regulación de los preceptos impugnados excede notablemente de tal carácter mínimo o principial y, en consecuencia, los arts. 220.1 y 221 T.R.L.S. deben ser declarados inconstitucionales.</w:t>
      </w:r>
    </w:p>
    <w:p w:rsidR="008107C7" w:rsidRDefault="008107C7" w:rsidP="008107C7">
      <w:pPr>
        <w:pStyle w:val="TextoNormal"/>
      </w:pPr>
    </w:p>
    <w:p w:rsidR="008107C7" w:rsidRDefault="008107C7" w:rsidP="008107C7">
      <w:pPr>
        <w:pStyle w:val="TextoNormal"/>
      </w:pPr>
      <w:r w:rsidRPr="008107C7">
        <w:rPr>
          <w:rStyle w:val="NumeroAFNegritaCaracter"/>
        </w:rPr>
        <w:t>32</w:t>
      </w:r>
      <w:r>
        <w:t>. (Título V, "Expropiaciones y régimen de venta forzosa".  Arts. 227.1; 228.  3 y 4).</w:t>
      </w:r>
    </w:p>
    <w:p w:rsidR="008107C7" w:rsidRDefault="008107C7" w:rsidP="008107C7">
      <w:pPr>
        <w:pStyle w:val="TextoNormal"/>
      </w:pPr>
      <w:r>
        <w:t>a) (Art. 227.1, "Venta forzosa por incumplimiento de deberes urbanísticos").</w:t>
      </w:r>
    </w:p>
    <w:p w:rsidR="008107C7" w:rsidRDefault="008107C7" w:rsidP="008107C7">
      <w:pPr>
        <w:pStyle w:val="TextoNormal"/>
      </w:pPr>
      <w:r>
        <w:t>El Estado puede establecer la expropiación o la venta forzosa, según hemos reiterado, frente al incumplimiento de aquellos deberes básicos para cuya regulación sí tiene competencias al amparo del art. 149.1.1º C.E. Pero el artículo aquí impugnado hace, en realidad, algo más. De un lado, impone a la Administración competente la utilización de estos instrumentos, siendo así que, como ya nos consta, desde el art.  149.1.1º C.E. no puede el Estado exigir a otras Administraciones determinadas conductas. De otro, y al margen de la completa remisión a la legislación autonómica aplicable, el segundo párrafo del art. 227.1 T.R.L.S. dispone que la indemnización al propietario por la venta forzosa habrá de hacerse "por el valor correspondiente al grado de adquisición de facultades urbanísticas", extremo éste que encuentra clara cobertura en la competencia estatal para determinar el justiprecio (art.  149.1.18º C.E.)  de unas facultades, además, cuyas condiciones básicas compete regular.</w:t>
      </w:r>
    </w:p>
    <w:p w:rsidR="008107C7" w:rsidRDefault="008107C7" w:rsidP="008107C7">
      <w:pPr>
        <w:pStyle w:val="TextoNormal"/>
      </w:pPr>
      <w:r>
        <w:lastRenderedPageBreak/>
        <w:t>En consecuencia, pues, el primer inciso del art. 227.1 T.R.L.S. es contrario al sistema constitucional de distribución de competencias. El segundo párrafo, por el contrario, resulta conforme con la Constitución ("La venta forzosa, en los supuestos en los que proceda de conformidad con lo dispuesto en esta Ley, se realizará a través del procedimiento que se determine en la legislación aplicable, indemnizándose al propietario por el valor correspondiente al grado de adquisición de facultades urbanísticas.").</w:t>
      </w:r>
    </w:p>
    <w:p w:rsidR="008107C7" w:rsidRDefault="008107C7" w:rsidP="008107C7">
      <w:pPr>
        <w:pStyle w:val="TextoNormal"/>
      </w:pPr>
      <w:r>
        <w:t>b) (Art. 228.3 y 4, "Edificaciones ruinosas e inadecuadas").</w:t>
      </w:r>
    </w:p>
    <w:p w:rsidR="008107C7" w:rsidRDefault="008107C7" w:rsidP="008107C7">
      <w:pPr>
        <w:pStyle w:val="TextoNormal"/>
      </w:pPr>
      <w:r>
        <w:t>Este precepto se refiere a la valoración de los terrenos con edificaciones ruinosas o inadecuadas. Para la Comunidad Autónoma de las Islas Baleares, el art. 228.3 y 4 T.R.L.S.  invade la competencia autonómica en virtud de los mismos argumentos aducidos en relación con los arts. 27, 32 y 59 T.R.L.S., que ya hemos analizado, y a los que, en efecto, cabe remitirse para la resolución de la presente impugnación, en particular al art. 59.1 y 2 T.R.L.S..</w:t>
      </w:r>
    </w:p>
    <w:p w:rsidR="008107C7" w:rsidRDefault="008107C7" w:rsidP="008107C7">
      <w:pPr>
        <w:pStyle w:val="TextoNormal"/>
      </w:pPr>
      <w:r>
        <w:t>Ciertamente, entre las condiciones básicas que garanticen la igualdad, el Estado puede establecer ciertos deberes de conservación de los edificios, como establece el art. 228.1, en su primer párrafo. Por las mismas razones expuestas al examinar el art.  30 T.R.L.S., con el que el precepto ahora considerado guarda una clara relación, debe admitirse en principio la posibilidad de que el Estado establezca, como reacción ante el incumplimiento de un deber amparado en la regla 1ª del art. 149.1 C.E., una reducción como la prevista en el art. 228.3 T.R.L.S..  Sin embargo, no todo el art. 228.3 T.R.L.S. admite una intepretación conforme por su referencia al aprovechamiento tipo, inciso que no es compatible con el orden constitucional de competencias.</w:t>
      </w:r>
    </w:p>
    <w:p w:rsidR="008107C7" w:rsidRDefault="008107C7" w:rsidP="008107C7">
      <w:pPr>
        <w:pStyle w:val="TextoNormal"/>
      </w:pPr>
      <w:r>
        <w:t>El art. 228.4 T.R.L.S., por su parte, se limita a configurar ob rem el régimen del art. 228, y, como acertadamente alega el Abogado del Estado, tiene su cobertura en el art. 149.1.8º C.E.  por su evidente incidencia sobre el tráfico jurídico-privado.</w:t>
      </w:r>
    </w:p>
    <w:p w:rsidR="008107C7" w:rsidRDefault="008107C7" w:rsidP="008107C7">
      <w:pPr>
        <w:pStyle w:val="TextoNormal"/>
      </w:pPr>
      <w:r>
        <w:t>En conclusión, pues, el apartado 3º del art. 228 T.R.L.S. es conforme al orden constitucional de distribución de competencias, salvo su inciso "según el aprovechamiento tipo vigente al tiempo de la tasación", en tanto que su apartado 4º resulta constitucional.</w:t>
      </w:r>
    </w:p>
    <w:p w:rsidR="008107C7" w:rsidRDefault="008107C7" w:rsidP="008107C7">
      <w:pPr>
        <w:pStyle w:val="TextoNormal"/>
      </w:pPr>
      <w:r>
        <w:t>J) TÍTULO VI DEL T.R.L.S.: "Supuestos indemnizatorios".</w:t>
      </w:r>
    </w:p>
    <w:p w:rsidR="008107C7" w:rsidRDefault="008107C7" w:rsidP="008107C7">
      <w:pPr>
        <w:pStyle w:val="TextoNormal"/>
      </w:pPr>
    </w:p>
    <w:p w:rsidR="008107C7" w:rsidRDefault="008107C7" w:rsidP="008107C7">
      <w:pPr>
        <w:pStyle w:val="TextoNormal"/>
      </w:pPr>
      <w:r w:rsidRPr="008107C7">
        <w:rPr>
          <w:rStyle w:val="NumeroAFNegritaCaracter"/>
        </w:rPr>
        <w:t>33</w:t>
      </w:r>
      <w:r>
        <w:t>. (Art. 237, "Indemnización por alteración del planeamiento"; art. 238, "Indemnización por alteración del planeamiento, con derecho a edificar"; art.  239, "Indemnización por vinculaciones singulares"; art. 241, "Cláusula residual de indemnización").</w:t>
      </w:r>
    </w:p>
    <w:p w:rsidR="008107C7" w:rsidRDefault="008107C7" w:rsidP="008107C7">
      <w:pPr>
        <w:pStyle w:val="TextoNormal"/>
      </w:pPr>
      <w:r>
        <w:t>Los motivos de impugnación que resultan de las alegaciones de los recurrentes (recursos núms. 2.481/90 frente a los arts.  86-89 Ley 8/1990; núm. 2.342/92 contra los que los reproducen y además contra 237.2, 238.2, 239.2; núm.  2.486/90 y 2.341/92, así como el núm. 2.337/92) se sintentizan en tres consideraciones: primero, corresponde a la legislación urbanística autonómica la determinación de los supuestos de indemnización; segundo, la materia no debe encuadrarse como perteneciente al ámbito relativo a la dinámica del "sistema de responsabilidad de las Administraciones públicas", por no concurrir los supuestos estructurales para ello, puesto que, además, la competencia estatal no puede absorber un sector específico que pertenece a la disponibilidad autonómica; y, tercero, la generalidad con que están redactados estos preceptos no responde a lo que deba ser la regulación del derecho de los particulares a ser indemnizados por cualquier lesión que padezcan en sus bienes o derechos, reconocido en el art. 106.2 C.E. (Antecedentes núms. 7.H; 10.C; 25.C; 28.C; 31.B).</w:t>
      </w:r>
    </w:p>
    <w:p w:rsidR="008107C7" w:rsidRDefault="008107C7" w:rsidP="008107C7">
      <w:pPr>
        <w:pStyle w:val="TextoNormal"/>
      </w:pPr>
      <w:r>
        <w:t xml:space="preserve">En primer término, no puede compartirse este último argumento, habida cuenta de que precisamente la nota de generalidad de esos preceptos responde a la estructura de una regulación básica que se resuelve en contenidos mínimos o incompletos según los casos, susceptibles de desarrollos diversos. Es evidente que el reproche de generalidad, por sí mismo, </w:t>
      </w:r>
      <w:r>
        <w:lastRenderedPageBreak/>
        <w:t>no puede determinar la inconstitucionalidad de los artículos impugnados por su carácter básico.</w:t>
      </w:r>
    </w:p>
    <w:p w:rsidR="008107C7" w:rsidRDefault="008107C7" w:rsidP="008107C7">
      <w:pPr>
        <w:pStyle w:val="TextoNormal"/>
      </w:pPr>
      <w:r>
        <w:t>La regulación contenida en los preceptos enjuiciados establece los casos en que la Administración urbanística viene obligada a indemnizar a los propietarios afectados en virtud de la alteración (modificación o revisión) del planeamiento, materia ésta que encaja plenamente en el régimen de la responsabilidad patrimonial de las Administraciones públicas, atribuída al Estado por el art. 149.1.18 C.E.</w:t>
      </w:r>
    </w:p>
    <w:p w:rsidR="008107C7" w:rsidRDefault="008107C7" w:rsidP="008107C7">
      <w:pPr>
        <w:pStyle w:val="TextoNormal"/>
      </w:pPr>
      <w:r>
        <w:t>El art. 149.1.18º C.E. no puede excluir que, además de esa normativa común que representa el sistema de responsabilidad para todo el territorio, las Comunidades Autónomas puedan establecer otros supuestos indemnizatorios en concepto de responsabilidad administrativa, siempre que, naturalmente, respeten aquellas normas estatales con las que en todo caso habrán de cohonestarse y sirvan al desarrollo de una política sectorial determinada.  En ese sentido, la eventual regulación de nuevos supuestos indemnizatorios en el ámbito de las competencias exclusivas autonómicas constituye una garantía -indemnizatoria- que se superpone a la garantía indemnizatoria general que al Estado compete establecer.</w:t>
      </w:r>
    </w:p>
    <w:p w:rsidR="008107C7" w:rsidRDefault="008107C7" w:rsidP="008107C7">
      <w:pPr>
        <w:pStyle w:val="TextoNormal"/>
      </w:pPr>
      <w:r>
        <w:t>Por último, es evidente el paralelismo que guarda esta figura (art. 106.2 C.E.)  con la expropiatoria (art. 33.3 C.E.), ambas recogidas a efectos competenciales en el art. 149.1.18º C.E., y modalidades de un mismo género: la garantía patrimonial del ciudadano. Supuestos indemnizatorios, sea a título de responsabilidad administrativa o de expropiación forzosa, que no siempre cabe distinguir fácilmente (pues desde la perspectiva constitucional bien podrían calificarse también de expropiatorios algunos de los supuestos contemplados en los arts. 237 y ss.  T.R.L.S.), pero que, en todo caso, encuentran su cobijo, en los términos indicados, en el art. 149.1.18º C.E.</w:t>
      </w:r>
    </w:p>
    <w:p w:rsidR="008107C7" w:rsidRDefault="008107C7" w:rsidP="008107C7">
      <w:pPr>
        <w:pStyle w:val="TextoNormal"/>
      </w:pPr>
      <w:r>
        <w:t>A resultas de cuanto antecede, cabe concluir que los preceptos impugnados son conformes al orden constitucional.</w:t>
      </w:r>
    </w:p>
    <w:p w:rsidR="008107C7" w:rsidRDefault="008107C7" w:rsidP="008107C7">
      <w:pPr>
        <w:pStyle w:val="TextoNormal"/>
      </w:pPr>
      <w:r>
        <w:t>K) TÍTULO VII DEL T.R.L.S.: "Intervención administrativa en la edificación y uso del suelo, y disciplina urbanística".</w:t>
      </w:r>
    </w:p>
    <w:p w:rsidR="008107C7" w:rsidRDefault="008107C7" w:rsidP="008107C7">
      <w:pPr>
        <w:pStyle w:val="TextoNormal"/>
      </w:pPr>
    </w:p>
    <w:p w:rsidR="008107C7" w:rsidRDefault="008107C7" w:rsidP="008107C7">
      <w:pPr>
        <w:pStyle w:val="TextoNormal"/>
      </w:pPr>
      <w:r w:rsidRPr="008107C7">
        <w:rPr>
          <w:rStyle w:val="NumeroAFNegritaCaracter"/>
        </w:rPr>
        <w:t>34</w:t>
      </w:r>
      <w:r>
        <w:t>. (Arts. 242.1 y 6; 246.2; 248; 249; 253.3; 254.2).</w:t>
      </w:r>
    </w:p>
    <w:p w:rsidR="008107C7" w:rsidRDefault="008107C7" w:rsidP="008107C7">
      <w:pPr>
        <w:pStyle w:val="TextoNormal"/>
      </w:pPr>
      <w:r>
        <w:t>a) (Art. 242.1 y 6, "Actos sujetos a licencia").</w:t>
      </w:r>
    </w:p>
    <w:p w:rsidR="008107C7" w:rsidRDefault="008107C7" w:rsidP="008107C7">
      <w:pPr>
        <w:pStyle w:val="TextoNormal"/>
      </w:pPr>
      <w:r>
        <w:t>El art. 242.1 y 6 T.R.L.S., relativo a los actos sujetos a licencia urbanística, ha sido objeto de impugnación, igualmente, por su carácter básico. La Generalidad de Cataluña impugna el apartado 1º del art. 242 en virtud del cual "todo acto de edificación requerirá la preceptiva licencia municipal", puesto que, aduce, por muy lógica que sea esa regulación, corresponde dictarla a quien tenga la competencia en materia urbanística, advirtiendo que no se impugna el siguiente artículo, el 243, que es donde se establece la competencia de los entes locales para otorgar las licencias.</w:t>
      </w:r>
    </w:p>
    <w:p w:rsidR="008107C7" w:rsidRDefault="008107C7" w:rsidP="008107C7">
      <w:pPr>
        <w:pStyle w:val="TextoNormal"/>
      </w:pPr>
      <w:r>
        <w:t>Hemos de situar la actividad edificatoria, en cuanto actividad final a la que han de incorporarse los propietarios de suelo tras la correspondiente urbanización, en el contexto del sistema que el legislador estatal ha diseñado como estatuto básico de la propiedad urbana, desde su competencia ex art.  149.1.1º C.E. En tal sentido, el acto de edificación implica la materialización sobre un determinado terreno -solar- del aprovechamiento urbanístico patrimonializado por el titular dominical de aquel, de tal manera que el acto autorizatorio de la licencia municipal no es sino el modo de control o intervención administrativa para fiscalizar si se ha producido la adquisición de dicha concreta facultad urbanística, cual es el "derecho a edificar", cumpliendo así la licencia no sólo la finalidad de comprobar si la edi</w:t>
      </w:r>
      <w:r>
        <w:lastRenderedPageBreak/>
        <w:t>ficación proyectada se ajusta al Plan y a la legislación urbanística sino también, como prescribe el art.  242.4, para las actuaciones asistemáticas, si el aprovechamiento proyectado se ajusta al susceptible de apropiación.</w:t>
      </w:r>
    </w:p>
    <w:p w:rsidR="008107C7" w:rsidRDefault="008107C7" w:rsidP="008107C7">
      <w:pPr>
        <w:pStyle w:val="TextoNormal"/>
      </w:pPr>
      <w:r>
        <w:t>No puede entenderse el precepto enjuiciado desconectado del art. 33 T.R.L.S.  en cuanto éste dispone que "el otorgamiento de la licencia determinará la adquisición del derecho a edificar, siempre que el proyecto presentado fuera conforme con la ordenación urbanística aplicable". Situado en este contexto legal, el art. 242.1 T.R.L.S. al exigir con carácter preceptivo la licencia para "todo acto de edificación" responde a la lógica interna de la regulación de las condiciones básicas que garanticen la igualdad en el ejercicio de los derechos de la propiedad urbana (derecho a edificar), regulación que al Estado compete en virtud del art. 149.1.1 C.E. Ello explica que el apartado 1, objeto de nuestro enjuiciamiento, aluda exclusivamente a actos de edificación, y no a los restantes supuestos de usos del suelo y del subsuelo que, en cuanto no se ordenan directamente a materializar el aprovechamiento urbanístico, no pueden ampararse en el invocado título competencial del Estado.</w:t>
      </w:r>
    </w:p>
    <w:p w:rsidR="008107C7" w:rsidRDefault="008107C7" w:rsidP="008107C7">
      <w:pPr>
        <w:pStyle w:val="TextoNormal"/>
      </w:pPr>
      <w:r>
        <w:t>Es otro, sin embargo, el título competencial en juego respecto del apartado 6 del art. 242 T.R.L.S.. Este precepto, en atención a su contenido se encuadra en la competencia del Estado sobre las bases del régimen jurídico de las Administraciones públicas y del procedimiento administrativo común (art.  149.1.18 C.E.)  por lo que debe rechazarse la impugnación esgrimida en punto al art. 242.6 T.R.L.S.. Regulación que ha venido a recogerse en la Ley 30/1992 de Régimen Jurídico de las Administraciones Públicas y del Procedimiento Administrativo Común.</w:t>
      </w:r>
    </w:p>
    <w:p w:rsidR="008107C7" w:rsidRDefault="008107C7" w:rsidP="008107C7">
      <w:pPr>
        <w:pStyle w:val="TextoNormal"/>
      </w:pPr>
      <w:r>
        <w:t>b) (Art. 246.2, "Ordenes de ejecución por motivos turísticos o culturales").</w:t>
      </w:r>
    </w:p>
    <w:p w:rsidR="008107C7" w:rsidRDefault="008107C7" w:rsidP="008107C7">
      <w:pPr>
        <w:pStyle w:val="TextoNormal"/>
      </w:pPr>
      <w:r>
        <w:t>El art. 246.2 T.R.L.S. es impugnado por la Generalidad de Cataluña por entender que pertenece a lo que denomina "función urbanística". El tenor literal del precepto impugnado y su misma ubicación sistemática, sin embargo, ponen de relieve que se trata de regular el "deber de conservación", como inherente a la propiedad urbana, esto es, un deber que constituye una expresión de la función social de esta forma de propiedad. Sobre ese deber de conservación genérico, el precepto en cuestión añade e incorpora la perspectiva del patrimonio histórico, íntimamente unida con frecuencia a la de la propiedad urbana. El art. 246.2 T.R.L.S. regula el deber genérico de la propiedad urbana monumental de soportar el coste económico de las obras de conservación y reforma siempre que no supere el límite del indicado deber de conservación que le corresponda, a partir del cual la ejecución de las obras correrá a cargo de la Entidad que lo ordene. En otras palabras, el objeto del precepto es fijar las condiciones básicas del ejercicio del derecho de propiedad urbana y monumental obligando a su titular a soportar el coste económico de la conservación, siempre que no se rebase el límite razonablemente exigible por virtud de la función social (art.  33.2 y 53.1 C.E).</w:t>
      </w:r>
    </w:p>
    <w:p w:rsidR="008107C7" w:rsidRDefault="008107C7" w:rsidP="008107C7">
      <w:pPr>
        <w:pStyle w:val="TextoNormal"/>
      </w:pPr>
      <w:r>
        <w:t xml:space="preserve">A efectos del orden constitucional de distribución de competencias, este tema se reconduce, pues, a la regulación del derecho de propiedad privada (art.  149.1.1 C.E.)  y no a la genérica función urbanística (art. 148.1.3 C.E.). En realidad, el art.  246.2 T.R.L.S. conecta inmediatamente con el art. 21 T.R.L.S. que establece los deberes básicos de uso, conservación y rehabilitación. Sobre el propietario de toda clase de terrenos y construcciones pesa el deber básico de mantenerlos en condiciones de seguridad, salubridad y ornato público y quedarán sujetos igualmente a las normas sobre protección del medio ambiente y de los patrimonios arquitectónicos y arqueológicos, y sobre rehabilitación urbana (art. 21.1 T.R.L.S.). Finalmente, dispone que el coste de las obras necesarias para hacer efectivos tales deberes será sufragado por los propietarios o la Administración, en los términos que establezca la legislación aplicable (art.  21.2 T.R.L.S.). Salta a la vista que se limita a formular unos deberes genéricos y mínimos que habrán de ser colmados por la legislación sectorial </w:t>
      </w:r>
      <w:r>
        <w:lastRenderedPageBreak/>
        <w:t>aplicable dictada en el marco del sistema competencial en materias como patrimonio histórico o medio ambiente, entre otras. Es evidente, pues, que el art. 21 T.R.L.S.  -ubicado en la Sección 1ª del Capítulo Tercero, del Título I, sobre régimen del suelo urbano y urbanizable- y, con conexión con éste, el art.  246.2 T.R.L.S. aquí impugnado, quedan a cubierto por las condiciones básicas a las que se refiere el art. 149.1.1º C.E.</w:t>
      </w:r>
    </w:p>
    <w:p w:rsidR="008107C7" w:rsidRDefault="008107C7" w:rsidP="008107C7">
      <w:pPr>
        <w:pStyle w:val="TextoNormal"/>
      </w:pPr>
      <w:r>
        <w:t>Por otra parte, el art. 246.2 T.R.L.S. en cuanto establece la existencia de un límite o frontera entre aquellos deberes de conservación que son manifestación de la función social (art.  33.2 C.E.)  y aquellos otros que desbordan las exigencias de aquélla y, por consiguiente, están sujetos a indemnización (art.  33.3 C.E.), entronca también con la competencia estatal en materia de expropiación forzosa en punto a la indemnización (art. 149.1.18º C.E.), al apuntar la divisoria entre las obras no indemnizables (por estar contenidas dentro del deber de conservación que les corresponda en virtud de la función social), de aquellas otras que, excediendo de lo que le es exigible al propietario, sirven directamente al interés general, como afirma el precepto, y tienen, en consecuencia, impacto materialmente expropiatorio.  En efecto, la distinción a la que implícitamente el art. 246.2 en conexión con el art. 21.2 T.R.L.S. hace referencia entre intervención delimitadora del contenido del derecho (art.  33.2 C.E.)  e injerencia expropiatoria (art. 33.3 C.E.)  supone el reconocimiento de que el legislador, al delimitar en el presente caso los deberes inherentes a la propiedad urbana en aras de la función social (art.  33.2 C.E.), puede establecer, en virtud del interés general (aquí, por motivos turísticos o culturales; art. 246.1 T.R.L.S.), obligaciones y cargas con efectos materialmente expropiatorios por ser susceptibles de privar de toda rentabilidad económica o utilidad privada al derecho de propiedad, desbordando, en consecuencia, el contenido esencial del dominio y surgiendo entonces el deber de indemnizar (SSTC 227/1988, fundamento jurídico 11; 170/1989, fundamento jurídico 8º; etc.).  Ciertamente, no quiere ello decir que sea el legislador estatal el único obligado o competente para fijar los supuestos indemnizatorios o la divisoria entre la delimitación del contenido y la ablación del mismo, pues ello es una obligación (art. 33.3 C.E.)  que pesa sobre cualquier legislador (como se infiere, entre otras, de las SSTC 37/1987 ó 170/1989), pero es evidente que en el caso del art. 246.2 T.R.L.S. no hace sino reconocer un deber básico, (art. 149.1.1º C.E.)  y apuntar cuándo su cumplimiento da derecho a indemnización (art. 149.1.18º).</w:t>
      </w:r>
    </w:p>
    <w:p w:rsidR="008107C7" w:rsidRDefault="008107C7" w:rsidP="008107C7">
      <w:pPr>
        <w:pStyle w:val="TextoNormal"/>
      </w:pPr>
      <w:r>
        <w:t>c) (Art. 248, "Obras de edificación sin licencia o sin ajustarse a sus determinaciones en curso de ejecución"; art. 249, "Obras terminadas sin licencia o sin ajustarse a sus determinaciones").</w:t>
      </w:r>
    </w:p>
    <w:p w:rsidR="008107C7" w:rsidRDefault="008107C7" w:rsidP="008107C7">
      <w:pPr>
        <w:pStyle w:val="TextoNormal"/>
      </w:pPr>
      <w:r>
        <w:t>Los recursos de la Generalidad de Cataluña y de la Diputación General de Aragón reproducen argumentos similares a los ya expuestos en relación con los arts. 38 y ss. T.R.L.S. (y los correspondientes de la Ley 8/1990), con los que los arts. 248 y 249 T.R.L.S. guardan una evidente relación, por entender que no es sino la pura disciplina urbanística lo que el precepto impugnado pretende regular con carácter básico.</w:t>
      </w:r>
    </w:p>
    <w:p w:rsidR="008107C7" w:rsidRDefault="008107C7" w:rsidP="008107C7">
      <w:pPr>
        <w:pStyle w:val="TextoNormal"/>
      </w:pPr>
      <w:r>
        <w:t>Ha de comenzarse por recordar que la mera calificación legal o doctrinal de "disciplina urbanística", como ha quedado dicho, no constituye un criterio definitivo, sino la materia o materias que esos preceptos encierran a efectos competenciales. En ese sentido, preciso es admitir que los arts. 248 y 249 T.R.L.S.  tienen por objeto inmediato la restauración de la legalidad urbanística, no la regulación de las condiciones básicas de ejercicio de las facultades que integran el derecho de propiedad urbana, aunque sin duda inciden sobre él, a diferencia de la regulación de los arts. 38 y siguientes del T.R.L.S. en la que, entre otros aspectos, se pretende establecer las condiciones básicas de adquisición y pérdida del derecho a la edificación, las condiciones para materializar el mismo ius aedificandi.</w:t>
      </w:r>
    </w:p>
    <w:p w:rsidR="008107C7" w:rsidRDefault="008107C7" w:rsidP="008107C7">
      <w:pPr>
        <w:pStyle w:val="TextoNormal"/>
      </w:pPr>
      <w:r>
        <w:lastRenderedPageBreak/>
        <w:t>Por el contrario, el mismo encabezamiento de la Sección Tercera ("Protección de la legalidad urbanística") del Capítulo Primero del Título VII resulta bien elocuente en el sentido de que los preceptos en cuestión no persiguen, cuando menos de forma directa, regular el ejercicio del derecho de propiedad urbana en sus elementos más básicos, sino la reacción del ordenamiento por infracción de la legalidad urbanística, bien determinando que el órgano municipal competente acuerde la suspensión inmediata de la ejecución de las obras (art.  248), bien disponiendo las medidas municipales posibles cuando la obra ilegal ya está terminada (art. 249). Por lo que hace al primero de los preceptos impugnados, cabe concluir que no tiene otro propósito que establecer los requisitos subjetivos y objetivos, el procedimiento de suspensión y los efectos que se siguen de su posible legalización. En cuanto al segundo, se llega a idéntico resultado, puesto que lo que se contempla en esta otra forma de infracción del ordenamiento jurídico (obras ya terminadas sin licencia o sin ajustarse a sus determinaciones) no son sino las medidas que habrá de tomar el Ayuntamiento para preservar la legalidad objetiva, disponiendo también los requisitos, el procedimiento a que ha de sujetarse y sus efectos.  No es, pues, el art. 149.1.1º C.E. el que puede dar cobertura a estos preceptos. Importa subrayar, a mayor abundamiento, que, sin duda, los arts.  248 y 249 T.R.L.S. se encuentran, como hemos apuntado y advierten las partes, íntimamente ligados a los arts. 37 y 38 y ss. T.R.L.S., pero mientras éstos constituyen un correlato directo del derecho a la edificación apurando la cobertura que le presta el art. 149.1.1º C.E., como ya notábamos, aquellos otros - los arts. 248 y 249 T.R.L.S.-, sin embargo, van más lejos estableciendo las concretas medidas de reacción que la Administración urbanística ha de adoptar, su procedimiento y efectos, cuestiones éstas que, en principio, encajan en la competencia material urbanística.  Desde otra perspectiva, puede decirse que mientras los arts. 38 y ss. T.R.L.S. sientan los principios generales (la no patrimonialización de las edificaciones sin licencia e incompatibles con el planeamiento; la posible legalización de las no amparadas en licencia pero compatibles con el planeamiento; etc.), los arts. 248 y 249 T.R.L.S. los desarrollan pormenorizadamente, desbordando entonces la competencia estatal. No concurriendo, por lo demás, otra competencia de titularidad estatal, forzoso es concluir en la evidente inconstitucionalidad de los artículos impugnados por vicio de incompetencia.</w:t>
      </w:r>
    </w:p>
    <w:p w:rsidR="008107C7" w:rsidRDefault="008107C7" w:rsidP="008107C7">
      <w:pPr>
        <w:pStyle w:val="TextoNormal"/>
      </w:pPr>
      <w:r>
        <w:t>d) (Art. 253.3 "Suspensión de licencias y paralización de obras" y art. 254.2 "Revisión de licencias u órdenes de ejecución").</w:t>
      </w:r>
    </w:p>
    <w:p w:rsidR="008107C7" w:rsidRDefault="008107C7" w:rsidP="008107C7">
      <w:pPr>
        <w:pStyle w:val="TextoNormal"/>
      </w:pPr>
      <w:r>
        <w:t>Igual reproche dirige el recurso de la Generalidad de Cataluña (núm. 2.342/92, con remisión también al núm. 2.481/90) a los arts. 253.3 y 254.2 T.R.L.S.. El recurso de la Comunidad Autónoma de las Islas Baleares, por su parte, impugna los mismos preceptos por su conexión con el art. 40 T.R.L.S., también impugnado, y al que aquéllos expresamente se remiten.</w:t>
      </w:r>
    </w:p>
    <w:p w:rsidR="008107C7" w:rsidRDefault="008107C7" w:rsidP="008107C7">
      <w:pPr>
        <w:pStyle w:val="TextoNormal"/>
      </w:pPr>
      <w:r>
        <w:t xml:space="preserve">No obstante, en los preceptos impugnados no concurren las circunstancias advertidas en los arts. 248 y 249 T.R.L.S., recogidas en el epígrafe anterior, esto es, los arts. 253.3 y 254.2 T.R.L.S. no desarrollan los principios generales del art.  40 T.R.L.S., al que se remiten, y cuya constitucionalidad hemos declarado en virtud de las razones allí expuestas, con la excepción del apartado 3º del art. 40 T.R.L.S., sino que se limitan a hacer una simple remisión. El art. 40 T.R.L.S.  establece una regla general (la no patrimonialización del derecho a la edificación cuando la licencia sea posteriormente declarada ilegal) y sus efectos básicos (notificación al Registro de la Propiedad; criterios de valoración; la expropiación o venta forzosa cuando no se hubiere adquirido el derecho al aprovechamiento urbanístico; etc), mientras que el art.  253.3 T.R.L.S. no hace sino recordar la aplicabilidad, obvia por otra parte, del art. 40 T.R.L.S.  en el supuesto de que se anule la licencia, por lo que no cabe apreciar invasión competencial alguna. En conclusión, pues, la remisión del art. 253.3 </w:t>
      </w:r>
      <w:r>
        <w:lastRenderedPageBreak/>
        <w:t>T.R.L.S.  corre la misma suerte que la del art. 40 T.R.L.S., con las salvedades allí realizadas, señaladamente, la declaración de inconstitucionalidad del art. 40.3 T.R.L.S..</w:t>
      </w:r>
    </w:p>
    <w:p w:rsidR="008107C7" w:rsidRDefault="008107C7" w:rsidP="008107C7">
      <w:pPr>
        <w:pStyle w:val="TextoNormal"/>
      </w:pPr>
      <w:r>
        <w:t>El art. 254.2 T.R.L.S., sin embargo, aunque no desarrolle o concrete el citado art. 40 T.R.L.S., hace extensiva su aplicación a los supuestos en que se anule la licencia en un procedimiento de revisión cuando el contenido de la licencia u orden de ejecución incurra manifiestamente en alguna de las infracciones graves definidas en el T.R.L.S., de acuerdo con los procedimientos previstos en los arts. 102 a 106 de la Ley de Régimen Jurídico de las Administraciones Públicas y del Procedimiento Administrativo Común. El contenido específico del art. 254.2 T.R.L.S. se resuelve, pues, en explicitar que la anulación -no sólo en sede jurisdiccional- de la licencia u orden de ejecución con los requisitos y en los supuestos en él contemplados produce los efectos que el art. 40 T.R.L.S.  establece, con la excepción del apartado 3º.</w:t>
      </w:r>
    </w:p>
    <w:p w:rsidR="008107C7" w:rsidRDefault="008107C7" w:rsidP="008107C7">
      <w:pPr>
        <w:pStyle w:val="TextoNormal"/>
      </w:pPr>
      <w:r>
        <w:t>Para que esta concreta forma de reparación o restablecimiento de la legalidad urbanística no invada la competencia urbanística autonómica ha de hacerse una interpretación restrictiva, consistente en entender que no podrá ser cualquier infracción urbanística grave la que pueda legitimar la aplicación del art.  254.2 T.R.L.S., sino tan sólo aquellas infracciones graves de deberes básicos sobre cuya regulación el Estado ostente algún título competencial, esto es, la infracción grave de los deberes básicos inherentes a la propiedad urbana y, en particular, los que acompañan al derecho a la edificación (art. 37.1 T.R.L.S.).</w:t>
      </w:r>
    </w:p>
    <w:p w:rsidR="008107C7" w:rsidRDefault="008107C7" w:rsidP="008107C7">
      <w:pPr>
        <w:pStyle w:val="TextoNormal"/>
      </w:pPr>
      <w:r>
        <w:t>En suma, pues, ha de concluirse en la constitucionalidad del art. 254.2 T.R.L.S.  así entendido y en la conformidad del art.  253.3 T.R.L.S. con el bloque de la constitucionalidad, con la salvedad en uno y otro supuesto de que en la remisión hecha al art.  40 T.R.L.S. debe tenerse en cuenta que su apartado 3º ha sido declarado inconstitucional.</w:t>
      </w:r>
    </w:p>
    <w:p w:rsidR="008107C7" w:rsidRDefault="008107C7" w:rsidP="008107C7">
      <w:pPr>
        <w:pStyle w:val="TextoNormal"/>
      </w:pPr>
    </w:p>
    <w:p w:rsidR="008107C7" w:rsidRDefault="008107C7" w:rsidP="008107C7">
      <w:pPr>
        <w:pStyle w:val="TextoNormal"/>
      </w:pPr>
      <w:r w:rsidRPr="008107C7">
        <w:rPr>
          <w:rStyle w:val="NumeroAFNegritaCaracter"/>
        </w:rPr>
        <w:t>35</w:t>
      </w:r>
      <w:r>
        <w:t>. (Arts. 254.1 y 299).</w:t>
      </w:r>
    </w:p>
    <w:p w:rsidR="008107C7" w:rsidRDefault="008107C7" w:rsidP="008107C7">
      <w:pPr>
        <w:pStyle w:val="TextoNormal"/>
      </w:pPr>
      <w:r>
        <w:t>El Letrado de la Comunidad Autónoma de las Islas Baleares impugna estos preceptos exclusivamente en cuanto se refieren tan sólo a "... esta Ley", en vez de "a la ley", ya que si el título habilitante para el Estado en relación con la revisión de oficio de licencias u órdenes de ejecución (art. 254.1) o la resolución de peticiones (art. 299) es la del procedimiento administrativo "común", no puede vincularse únicamente a la Ley estatal, sino a la ley en general. La cuestión resultaría especialmente clara en el caso del art. 254.1 T.R.L.S. al referirse a las infracciones urbanísticas graves que, obviamente, corresponde determinar a las Comunidades Autónomas competentes. En parecidos términos, se pronuncia el recurso de la Generalidad de Cataluña, insistiendo en que la concreta formulación de estos preceptos excluye completamente la legitimación de la normativa autonómica que, por otra parte, debe ser la única aplicable.</w:t>
      </w:r>
    </w:p>
    <w:p w:rsidR="008107C7" w:rsidRDefault="008107C7" w:rsidP="008107C7">
      <w:pPr>
        <w:pStyle w:val="TextoNormal"/>
      </w:pPr>
      <w:r>
        <w:t xml:space="preserve">Al margen de cuanto acabamos de afirmar respecto del art.  254.2 T.R.L.S. y su carácter básico, hemos de ocuparnos ahora del apartado 1º del artículo del que se ha predicado el carácter de "aplicación plena", al objeto de determinar si el Estado ostenta la competencia exclusiva. Como ya hemos declarado, más allá de las normas de procedimiento administrativo "común", la regulación de los procedimientos administrativos "especiales" ha de seguir a la competencia principal. Es evidente que el art. 254.1 T.R.L.S.  establece una norma de procedimiento accesoria o adjetiva a la cuestión sustantiva cual es la relativa a los deberes urbanísticos. Ello no empece, claro está, a la vigencia y aplicabilidad generales, y también en el ámbito urbanístico, de las normas básicas reguladoras del procedimiento administrativo común (hoy recogidas en el Ley 30/1992, de Régimen Jurídico de las Administraciones Públicas y del Procedimiento Administrativo Común, arts. 102 a 106). De ahí se infieren dos consecuencias interpretativas, por lo que ahora importa: de un lado, que el Estado sólo </w:t>
      </w:r>
      <w:r>
        <w:lastRenderedPageBreak/>
        <w:t>puede añadir en el ámbito urbanístico nuevas normas de procedimiento cuando ostente alguna competencia material; de otro, que en este caso la "materia" de que se trata son las condiciones básicas a que se refiere el art. 149.1.1º C.E. que, en ningún caso, como hemos insistido, autorizan a imponer conductas a la Administración, prohibición que abiertamente sobrepasa el precepto ahora enjuiciado cuya razón de ser no es, conforme a su propio tenor literal, el establecimiento de alguna norma de procedimiento -antes al contrario, se remite a la legislación de procedimiento común-, sino precisamente obligar a la revisión de las licencias u órdenes de ejecución, cuando además tal institución ha sido configurada con carácter potestativo en la legislación de procedimiento administrativo común (art. 103 de la Ley 30/1992).</w:t>
      </w:r>
    </w:p>
    <w:p w:rsidR="008107C7" w:rsidRDefault="008107C7" w:rsidP="008107C7">
      <w:pPr>
        <w:pStyle w:val="TextoNormal"/>
      </w:pPr>
      <w:r>
        <w:t>En cuanto al segundo precepto concierne, ciertamente se incurriría en una contradicción si se entendiera como de aplicación excluyente cuanto dispone el art. 299 T.R.L.S. y, por consiguiente, insusceptible de desarrollo y, por ende, impeditivo de que las Comunidades Autónomas establecieran análogo deber de resolver peticiones fundadas en otra ley, máxime cuando el único título competencial que ampara al citado artículo es el del procedimiento administrativo común (art. 149.1.18º C.E.). Los recurrentes cuestionan más bien este último extremo, a saber: que si el título estatal es el procedimiento administrativo común, el art. 299 T.R.L.S. no puede vincularse únicamente a la ley estatal, sino a la ley, en general.</w:t>
      </w:r>
    </w:p>
    <w:p w:rsidR="008107C7" w:rsidRDefault="008107C7" w:rsidP="008107C7">
      <w:pPr>
        <w:pStyle w:val="TextoNormal"/>
      </w:pPr>
      <w:r>
        <w:t>La referencia a "con arreglo a esta Ley", es del todo impropia, no ya sólo por el predicado carácter básico que hay que atribuirle, sino porque en virtud del art. 42.1 de la Ley 30/1992 todas las Administraciones y Entidades de Derecho Público tienen el deber de resolver, cualquiera que sea el sector material, también el urbanístico, sobre el que operen. Si a ello se une que no admite una interpretación conforme que sea respetuosa con la competencia urbanística, resulta obligado concluir en la inconstitucionalidad de ese inciso.</w:t>
      </w:r>
    </w:p>
    <w:p w:rsidR="008107C7" w:rsidRDefault="008107C7" w:rsidP="008107C7">
      <w:pPr>
        <w:pStyle w:val="TextoNormal"/>
      </w:pPr>
      <w:r>
        <w:t>Ha de declararse, pues, la inconstitucionalidad de la referencia a "con arreglo a esta Ley" del art. 299 T.R.L.S..</w:t>
      </w:r>
    </w:p>
    <w:p w:rsidR="008107C7" w:rsidRDefault="008107C7" w:rsidP="008107C7">
      <w:pPr>
        <w:pStyle w:val="TextoNormal"/>
      </w:pPr>
      <w:r>
        <w:t>L) TÍTULO VIII DEL T.R.L.S.: "Instrumentos de intervención en el mercado del suelo".</w:t>
      </w:r>
    </w:p>
    <w:p w:rsidR="008107C7" w:rsidRDefault="008107C7" w:rsidP="008107C7">
      <w:pPr>
        <w:pStyle w:val="TextoNormal"/>
      </w:pPr>
    </w:p>
    <w:p w:rsidR="008107C7" w:rsidRDefault="008107C7" w:rsidP="008107C7">
      <w:pPr>
        <w:pStyle w:val="TextoNormal"/>
      </w:pPr>
      <w:r w:rsidRPr="008107C7">
        <w:rPr>
          <w:rStyle w:val="NumeroAFNegritaCaracter"/>
        </w:rPr>
        <w:t>36</w:t>
      </w:r>
      <w:r>
        <w:t>. (Arts. 277; 278.1; 280.1; 282.2; 284.3; 285; 286).</w:t>
      </w:r>
    </w:p>
    <w:p w:rsidR="008107C7" w:rsidRDefault="008107C7" w:rsidP="008107C7">
      <w:pPr>
        <w:pStyle w:val="TextoNormal"/>
      </w:pPr>
      <w:r>
        <w:t>Las alegaciones de las partes en lo que al Patrimonio Municipal del Suelo se refiere resultan bien escasas. Ni la representación estatal -que invoca el art. 149.1.18º (antecedentes núms.  22.H y 35.D)-, ni los recurrentes hacen referencia alguna al título competencial que descansa en el art.  149.1.13º C.E. y que, sin duda, resulta de obligado análisis con carácter previo.</w:t>
      </w:r>
    </w:p>
    <w:p w:rsidR="008107C7" w:rsidRDefault="008107C7" w:rsidP="008107C7">
      <w:pPr>
        <w:pStyle w:val="TextoNormal"/>
      </w:pPr>
      <w:r>
        <w:t xml:space="preserve">Como ya hemos declarado (entre otras, SSTC 152/1988, fundamento jurídico 2º; 95/1986; 213/1994), "dentro de la competencia de dirección de la actividad económica general tienen cobijo también las normas estatales que fijen las líneas directrices y los criterios globales de ordenación de sectores económicos concretos, así como las previsiones de acciones y medidas singulares que sean necesarias para alcanzar los fines propuestos dentro de la ordenación de cada sector... Este razonamiento es también aplicable al sector de la vivienda y, en particular, dentro del mismo, a la actividad promocional, dada su más estrecha relación con la política económica general, en razón de la incidencia que el impulso de la construcción tiene como factor del desarrollo económico y, en especial, como factor generador de empleo". Si ello es así en relación con la construcción de viviendas, con mayor razón cuando se trata de la política del suelo en su sentido más amplio, por su impacto directo sobre la política económica general. De ahí que sea dificil negarle al Estado, ex art. </w:t>
      </w:r>
      <w:r>
        <w:lastRenderedPageBreak/>
        <w:t>149.1.13º C.E., toda competencia para fijar algunos criterios generales, cuando sólo el asentamiento de actividades industriales y empresariales y la construcción de viviendas tienen una repercusión de gran magnitud sobre la entera economía general.</w:t>
      </w:r>
    </w:p>
    <w:p w:rsidR="008107C7" w:rsidRDefault="008107C7" w:rsidP="008107C7">
      <w:pPr>
        <w:pStyle w:val="TextoNormal"/>
      </w:pPr>
      <w:r>
        <w:t>El problema radica, sin embargo, en determinar el alcance de esa competencia cuando, como es el caso, incide sobre una competencia autonómica sectorial, porque, como hemos reiterado, "cuando el Estado se apoya en un título tan genérico como es el de bases y coordinación de la planificación de la actividad económica frente a la competencia exclusiva... de las Comunidades Autónomas, no puede, salvo cualificadas excepciones, continuar operando con todos los instrumentos de los que disponía con anterioridad a la descentralización del mismo, incidiendo continua y diariamente en una materia que ha quedado ampliamente fuera de su competencia..." (STC 213/1994, fundamento jurídico 10).</w:t>
      </w:r>
    </w:p>
    <w:p w:rsidR="008107C7" w:rsidRDefault="008107C7" w:rsidP="008107C7">
      <w:pPr>
        <w:pStyle w:val="TextoNormal"/>
      </w:pPr>
      <w:r>
        <w:t>Por lo que aquí interesa, tal inteligencia restrictiva del art. 149.1.13º C.E.  cuando afecta a la competencia urbanística de las Comunidades Autónomas ha de verse complementada además por una interpretación finalista o teleológica, de modo que tan sólo aquellas normas básicas que respondan efectiva y estrictamente a la planificación general de la actividad económica podrían encontrar cobijo en el referido título, que impide la producción de normas que, aunque relacionadas con esa planificación general, no guarden esa inmediata y directa relación con la dirección de la economía. Desde esta perspectiva, podría encontrar cobertura en el citado título estatal la mera determinación de la existencia de una figura como la que contempla el art. 276 T.R.L.S..  Centrada así la cuestión, procede examinar seguidamente los preceptos impugnados, sin perjuicio de la eventual concurrencia de otros títulos competenciales.</w:t>
      </w:r>
    </w:p>
    <w:p w:rsidR="008107C7" w:rsidRDefault="008107C7" w:rsidP="008107C7">
      <w:pPr>
        <w:pStyle w:val="TextoNormal"/>
      </w:pPr>
      <w:r>
        <w:t>En primer término, conviene advertir que los arts. 277 y 278.1 T.R.L.S.  impugnados regulan la adquisición de bienes para el Patrimonio Municipal del Suelo y, en concreto, los bienes que lo integran y las reservas de terrenos, respectivamente. A la luz de la doctrina sentada, ha de ser atendida la impugnación del art. 277, puesto que la concreción con carácter básico de cuáles hayan de ser los bienes que lo integran no responde ya de forma inmediata y directa a la planificación general de la actividad económica, sino que constituye, por el contrario, una regulación detallada que ha de quedar a la libre configuración de las Comunidades Autónomas, sin que, en este caso, quepa apreciar la concurrencia de ningún otro título competencial en favor del Estado.</w:t>
      </w:r>
    </w:p>
    <w:p w:rsidR="008107C7" w:rsidRDefault="008107C7" w:rsidP="008107C7">
      <w:pPr>
        <w:pStyle w:val="TextoNormal"/>
      </w:pPr>
      <w:r>
        <w:t>Por su parte, el art. 278.1 T.R.L.S. regula las reservas de terrenos de posible adquisición para el Patrimonio Municipal del Suelo. Ciertamente, este precepto contiene una norma meramente permisiva o habilitante que faculta al planeamiento para prever reservas de terrenos que sirvan para la constitución o ampliación del Patrimonio citado, como alega la representación estatal, pero, como ha quedado dicho, el Estado carece de la cobertura competencial suficiente para dotar a la norma en cuestión de carácter básico, puesto que ni tiene cobijo en el art. 149.1.13º C.E., ni menos aún, en el art.  149.1.18º C.E.</w:t>
      </w:r>
    </w:p>
    <w:p w:rsidR="008107C7" w:rsidRDefault="008107C7" w:rsidP="008107C7">
      <w:pPr>
        <w:pStyle w:val="TextoNormal"/>
      </w:pPr>
      <w:r>
        <w:t>El art. 280.1 T.R.L.S., en cuanto dispone que los bienes integrantes del Patrimonio Municipal del Suelo se destinarán a la construcción de viviendas sujetas a algún régimen de protección pública o a otros usos de interés social, conecta con el art.  276 T.R.L.S., no impugnado, y responde al concepto de norma básica directamente vinculada a la planificación de la actividad económica general (art. 149.1.13º C.E.)  en relación con la vivienda (art. 47 C.E.). En ese sentido, resulta elocuente el carácter no básico del apartado 2 del mismo artículo, tampoco impugnado, que concreta y desarrolla el principio general del destino de aquellos bienes.</w:t>
      </w:r>
    </w:p>
    <w:p w:rsidR="008107C7" w:rsidRDefault="008107C7" w:rsidP="008107C7">
      <w:pPr>
        <w:pStyle w:val="TextoNormal"/>
      </w:pPr>
      <w:r>
        <w:t xml:space="preserve">Han de prosperar, sin embargo, las impugnaciones deducidas contra los arts.  282.2, 284.3, 285 y 286 T.R.L.S., relativos todos ellos a las cesiones de terrenos integrantes del </w:t>
      </w:r>
      <w:r>
        <w:lastRenderedPageBreak/>
        <w:t>Patrimonio, puesto que la regulación de su régimen jurídico se aparta ya de la finalidad inmediata amparada por el art.  149.1.13º C.E. Tampoco es compartible el argumento del Abogado del Estado, para el que los preceptos en cuestión -al regular las bases del régimen jurídico de las cesiones de bienes pertenecientes al patrimonio municipal del suelo- encontrarían una doble cobertura constitucional por encuadrarse en el "régimen jurídico administrativo básico del urbanismo" y en las bases del Régimen local (arts.  80.2 de la Ley de Bases de Régimen Local; 79.2 del Texto Refundido de Régimen Local de 18 de abril de 1986). Con independencia de cuanto hemos dicho ya sobre los límites de la competencia estatal en relación con el Patrimonio Municipal -doctrina que invalida por sí sola los preceptos impugnados-, conviene rechazar expresamente esa argumentación, habida cuenta de que, como también hemos reiterado, ni el Estado ostenta título suficiente para establecer un "régimen jurídico- administrativo básico del urbanismo", ni la específica regulación, pretendidamente básica, del régimen de cesiones que los artículos del T.R.L.S. ahora impugnados contienen entronca con los arts.  80.2 de la Ley de Bases de Régimen Local y 79.2 del Texto Refundido de Régimen Local citado, como parece sugerir la representación pública. En suma, el art.  280.1 es conforme con el bloque de la constitucionalidad y los arts. 277, 278.1, 282.2, 284.3, 285 y 286 están viciados de incompetencia y, en consecuencia, son inconstitucionales.</w:t>
      </w:r>
    </w:p>
    <w:p w:rsidR="008107C7" w:rsidRDefault="008107C7" w:rsidP="008107C7">
      <w:pPr>
        <w:pStyle w:val="TextoNormal"/>
      </w:pPr>
    </w:p>
    <w:p w:rsidR="008107C7" w:rsidRDefault="008107C7" w:rsidP="008107C7">
      <w:pPr>
        <w:pStyle w:val="TextoNormal"/>
      </w:pPr>
      <w:r w:rsidRPr="008107C7">
        <w:rPr>
          <w:rStyle w:val="NumeroAFNegritaCaracter"/>
        </w:rPr>
        <w:t>37</w:t>
      </w:r>
      <w:r>
        <w:t>. (Art. 278.4, "Reservas de terrenos. Expropiación").</w:t>
      </w:r>
    </w:p>
    <w:p w:rsidR="008107C7" w:rsidRDefault="008107C7" w:rsidP="008107C7">
      <w:pPr>
        <w:pStyle w:val="TextoNormal"/>
      </w:pPr>
      <w:r>
        <w:t>Este precepto ha sido impugnado por su carácter de "aplicación plena" atribuido por la Disposición final única, dos, del T.R.L.S., en virtud del art. 149.1.8º y 18º C.E.</w:t>
      </w:r>
    </w:p>
    <w:p w:rsidR="008107C7" w:rsidRDefault="008107C7" w:rsidP="008107C7">
      <w:pPr>
        <w:pStyle w:val="TextoNormal"/>
      </w:pPr>
      <w:r>
        <w:t>Los Letrados de la Diputación General de Aragón y de la Generalidad de Cataluña consideran que este artículo establece un supuesto expropriatorio, una causa de expropiar, sobre una materia en la que el Estado carece de competencias.</w:t>
      </w:r>
    </w:p>
    <w:p w:rsidR="008107C7" w:rsidRDefault="008107C7" w:rsidP="008107C7">
      <w:pPr>
        <w:pStyle w:val="TextoNormal"/>
      </w:pPr>
      <w:r>
        <w:t>Cierto es que el Estado no ostenta competencias sustantivas sobre la materia y, por consiguiente, no puede definir una causa expropriandi. No obstante, en el caso planteado, el problema reside en indagar si el art. 278.4 T.R.L.S.  establece realmente una causa de expropiar o una garantía expropiatoria. De acuerdo con su tenor literal, la delimitación de un terreno como reserva para el Patrimonio Municipal implicará la declaración de utilidad pública y la necesidad de ocupación a efectos expropiatorios.  Si el Estado, como ha quedado dicho, no puede establecer la expropiación como instrumento para obtener bienes que integren aquel Patrimonio, tampoco podrá determinar que la delimitación del terreno implique la declaración de utilidad pública. En contra de lo que sostiene la representación estatal, ha de concluirse que, en este caso, no entra dentro de la competencia del Estado establecer hipótesis en las que un determinado acto tiene por efecto implícito el cumplimiento de las dos primeras fases del procedimiento expropiatorio global (declaración de utilidad pública o interés social y necesidad de ocupación) porque ello entraña definir el régimen jurídico de la causa de expropiar, por lo que ha de acogerse la tesis de los recurrentes y declarar la inconstitucionalidad del precepto.</w:t>
      </w:r>
    </w:p>
    <w:p w:rsidR="008107C7" w:rsidRDefault="008107C7" w:rsidP="008107C7">
      <w:pPr>
        <w:pStyle w:val="TextoNormal"/>
      </w:pPr>
    </w:p>
    <w:p w:rsidR="008107C7" w:rsidRDefault="008107C7" w:rsidP="008107C7">
      <w:pPr>
        <w:pStyle w:val="TextoNormal"/>
      </w:pPr>
      <w:r w:rsidRPr="008107C7">
        <w:rPr>
          <w:rStyle w:val="NumeroAFNegritaCaracter"/>
        </w:rPr>
        <w:t>38</w:t>
      </w:r>
      <w:r>
        <w:t>. (Arts. 136.2, 287.2 y 3, 288.3 y 289, "Sobre el derecho de superficie").</w:t>
      </w:r>
    </w:p>
    <w:p w:rsidR="008107C7" w:rsidRDefault="008107C7" w:rsidP="008107C7">
      <w:pPr>
        <w:pStyle w:val="TextoNormal"/>
      </w:pPr>
      <w:r>
        <w:t xml:space="preserve">La Comunidad Autónoma de las Islas Baleares considera que el art. 136.2 T.R.L.S.  debería haberse limitado a excluir de los supuestos que contempla el régimen especial de arrendamientos rústicos y urbanos, como ámbito de su competencia en materia de legislación civil, pero el resto del apartado constituye una norma de contenido urbanístico por lo que su declaración como de aplicación plena vulnera el orden constitucional de distribución de competencias. La Generalidad de Cataluña impugna los arts.  136.2, 287.2 y 3, 288.3 y </w:t>
      </w:r>
      <w:r>
        <w:lastRenderedPageBreak/>
        <w:t>289 T.R.L.S. por entender que la regulación del derecho de superficie ha sido configurada siempre desde la normativa urbanística. A ello añade que el art. 136.2 T.R.L.S. tiene un contenido manifiestamente urbanístico al referirse a la demolición o desalojo de las obras o usos autorizados con carácter provisional.</w:t>
      </w:r>
    </w:p>
    <w:p w:rsidR="008107C7" w:rsidRDefault="008107C7" w:rsidP="008107C7">
      <w:pPr>
        <w:pStyle w:val="TextoNormal"/>
      </w:pPr>
      <w:r>
        <w:t>La primera cuestión consiste en determinar si los preceptos impugnados encuentran cobijo en el art. 149.1.8º C.E. Importa comenzar por el motivo de impugnación aducido por el Letrado de la Generalidad de Cataluña acerca de la tradicional regulación en el marco del urbanismo del derecho de superficie, porque pone de manifiesto de forma explícita un argumento recurrente que ha estado presente en muchas de las impugnaciones deducidas contra el T.R.L.S. y que consiste en sostener que el "contenido tradicional" -de los últimos decenios- del Derecho Urbanístico constituiría una suerte de "título atributivo de competencias", de modo que al corresponderle a las Comunidades Autónomas el urbanismo, según el bloque de la constitucionalidad, se le habrían atribuido también todos los contenidos que esa legislación venía regulando.</w:t>
      </w:r>
    </w:p>
    <w:p w:rsidR="008107C7" w:rsidRDefault="008107C7" w:rsidP="008107C7">
      <w:pPr>
        <w:pStyle w:val="TextoNormal"/>
      </w:pPr>
      <w:r>
        <w:t>Una tal concepción, además de "petrificar" o "congelar" el contenido, por definición cambiante en cada tiempo y lugar, del Derecho Urbanístico, desconocería el entero orden constitucional de competencias al otorgarle a la regla del art. 148.1.3º C.E., en relación con la legislación urbanística entonces vigente, un valor absoluto susceptible de desplazar y anular los restantes criterios y títulos competenciales que integran el sistema.</w:t>
      </w:r>
    </w:p>
    <w:p w:rsidR="008107C7" w:rsidRDefault="008107C7" w:rsidP="008107C7">
      <w:pPr>
        <w:pStyle w:val="TextoNormal"/>
      </w:pPr>
      <w:r>
        <w:t>Desde una perspectiva sistemática, sin embargo, es evidente que la regulación del derecho de superficie, al margen de que, en efecto, se haya convertido en una institución típicamente urbanística, se enmarca en la legislación civil que, en virtud del art. 149.1.8º C.E., corresponde al Estado establecer. Por ello, los arts. 287.2 y 3, 288.3, y 289 T.R.L.S.  (reconocimiento del derecho de superficie; su tráfico jurídico-privado; y su extinción) son conformes al orden constitucional de competencias, sin que quepa apreciar en su regulación extralimitación alguna.</w:t>
      </w:r>
    </w:p>
    <w:p w:rsidR="008107C7" w:rsidRDefault="008107C7" w:rsidP="008107C7">
      <w:pPr>
        <w:pStyle w:val="TextoNormal"/>
      </w:pPr>
      <w:r>
        <w:t>El art. 136.2 T.R.L.S. se encuentra amparado en la competencia exclusiva del Estado sobre legislación civil (art.  149.1.8º C.E.), sin que se aprecie en su concreta regulación invasión alguna de las competencias urbanísticas, si se tiene en cuenta que la extinción de los arrendamientos y derechos de superficie resulta ser una consecuencia del carácter precario de las autorizaciones sujetas a revocación sin indemnización, tal como dispone, por otra parte, el apartado 1 del mismo artículo.  Desde esta perspectiva, la regla que sienta el precepto impugnado supone, en lo que aquí interesa, una exclusión del régimen arrendaticio que ha de quedar a cubierto por la referida competencia exclusiva del Estado. El art. 136.2 T.R.L.S. resulta, pues, conforme con el orden constitucional de competencias.</w:t>
      </w:r>
    </w:p>
    <w:p w:rsidR="008107C7" w:rsidRDefault="008107C7" w:rsidP="008107C7">
      <w:pPr>
        <w:pStyle w:val="TextoNormal"/>
      </w:pPr>
    </w:p>
    <w:p w:rsidR="008107C7" w:rsidRDefault="008107C7" w:rsidP="008107C7">
      <w:pPr>
        <w:pStyle w:val="TextoNormal"/>
      </w:pPr>
      <w:r w:rsidRPr="008107C7">
        <w:rPr>
          <w:rStyle w:val="NumeroAFNegritaCaracter"/>
        </w:rPr>
        <w:t>39</w:t>
      </w:r>
      <w:r>
        <w:t>. (Art. 296, "No inscripción registral").</w:t>
      </w:r>
    </w:p>
    <w:p w:rsidR="008107C7" w:rsidRDefault="008107C7" w:rsidP="008107C7">
      <w:pPr>
        <w:pStyle w:val="TextoNormal"/>
      </w:pPr>
      <w:r>
        <w:t>El art. 296 ha sido impugnado por la Generalidad de Cataluña con el argumento de que la regulación de los derechos de tanteo y retracto que contiene el T.R.L.S. tiene calificación de normativa supletoria. Como este artículo se refiere a las notificaciones reguladas precisamente en normas de carácter supletorio no podría ser calificado como de aplicación plena.</w:t>
      </w:r>
    </w:p>
    <w:p w:rsidR="008107C7" w:rsidRDefault="008107C7" w:rsidP="008107C7">
      <w:pPr>
        <w:pStyle w:val="TextoNormal"/>
      </w:pPr>
      <w:r>
        <w:t>En rigor, la cuestión que debemos enjuiciar consiste en determinar si, en el presente caso, el Estado puede invocar un título competencial suficiente para dictar el precepto impugnado.  La conclusión, en virtud de lo dispuesto en el art. 149.1.8º C.E.  se impone por sí sola, puesto que es al Estado al que compete establecer qué actos son inscribibles en el Registro de la Propiedad y sujetar su inscripción, como hace el art. 296 T.R.L.S., al previo cumplimiento de ciertos requisitos, razón por la cual ha de declararse conforme con el bloque de la constitucionalidad el precepto impugnado.</w:t>
      </w:r>
    </w:p>
    <w:p w:rsidR="008107C7" w:rsidRDefault="008107C7" w:rsidP="008107C7">
      <w:pPr>
        <w:pStyle w:val="TextoNormal"/>
      </w:pPr>
    </w:p>
    <w:p w:rsidR="008107C7" w:rsidRDefault="008107C7" w:rsidP="008107C7">
      <w:pPr>
        <w:pStyle w:val="TextoNormal"/>
      </w:pPr>
      <w:r w:rsidRPr="008107C7">
        <w:rPr>
          <w:rStyle w:val="NumeroAFNegritaCaracter"/>
        </w:rPr>
        <w:t>40</w:t>
      </w:r>
      <w:r>
        <w:t>. (Art. 300, "Administración demandada en subrogación").</w:t>
      </w:r>
    </w:p>
    <w:p w:rsidR="008107C7" w:rsidRDefault="008107C7" w:rsidP="008107C7">
      <w:pPr>
        <w:pStyle w:val="TextoNormal"/>
      </w:pPr>
      <w:r>
        <w:t>La Generalidad de Cataluña sostiene en su impugnación los mismos argumentos que esgrimió contra los arts. 220.1 y 221 T.R.L.S., cuestionando la pretendida aplicabilidad plena de un artículo, el 300 T.R.L.S., que no es de la competencia exclusiva del Estado.</w:t>
      </w:r>
    </w:p>
    <w:p w:rsidR="008107C7" w:rsidRDefault="008107C7" w:rsidP="008107C7">
      <w:pPr>
        <w:pStyle w:val="TextoNormal"/>
      </w:pPr>
      <w:r>
        <w:t>Sin entrar en la calificación de "aplicación plena" que el legislador atribuye al art. 300 T.R.L.S., lo que debemos enjuiciar es si el Estado ostenta o no título competencial que ampare dicho precepto.</w:t>
      </w:r>
    </w:p>
    <w:p w:rsidR="008107C7" w:rsidRDefault="008107C7" w:rsidP="008107C7">
      <w:pPr>
        <w:pStyle w:val="TextoNormal"/>
      </w:pPr>
      <w:r>
        <w:t>La impugnación debe rechazarse, pues es claro que en atención a su contenido el precepto cuestionado se encuadra en el ámbito de la competencia estatal en materia de procedimiento administrativo común (art. 149.1.18 C.E.).</w:t>
      </w:r>
    </w:p>
    <w:p w:rsidR="008107C7" w:rsidRDefault="008107C7" w:rsidP="008107C7">
      <w:pPr>
        <w:pStyle w:val="TextoNormal"/>
      </w:pPr>
      <w:r>
        <w:t>M) DISPOSICIONES ADICIONALES Y TRANSITORIAS DEL T.R.L.S..</w:t>
      </w:r>
    </w:p>
    <w:p w:rsidR="008107C7" w:rsidRDefault="008107C7" w:rsidP="008107C7">
      <w:pPr>
        <w:pStyle w:val="TextoNormal"/>
      </w:pPr>
    </w:p>
    <w:p w:rsidR="008107C7" w:rsidRDefault="008107C7" w:rsidP="008107C7">
      <w:pPr>
        <w:pStyle w:val="TextoNormal"/>
      </w:pPr>
      <w:r w:rsidRPr="008107C7">
        <w:rPr>
          <w:rStyle w:val="NumeroAFNegritaCaracter"/>
        </w:rPr>
        <w:t>41</w:t>
      </w:r>
      <w:r>
        <w:t>. (Disposiciones adicionales primera, tercera, cuarta, séptima y octava).</w:t>
      </w:r>
    </w:p>
    <w:p w:rsidR="008107C7" w:rsidRDefault="008107C7" w:rsidP="008107C7">
      <w:pPr>
        <w:pStyle w:val="TextoNormal"/>
      </w:pPr>
      <w:r>
        <w:t>En este extremo -al igual que en otras alegaciones ya examinadas- los recurrentes han expuesto sus motivos de impugnación de forma no siempre sistemática, tanto por las remisiones y alegaciones complementarias que hacen los recursos núms. 2.341 y 2.342/92 respecto de los 2.486 y 2.481/90, cuanto por los reproches comunes que a todas las Disposiciones adicionales impugnadas se formulan en capítulo específico y, además, con carácter previo o preliminar, en otros pasajes de sus alegaciones en relación con el concepto de bases que aquéllas habrían encarnado.</w:t>
      </w:r>
    </w:p>
    <w:p w:rsidR="008107C7" w:rsidRDefault="008107C7" w:rsidP="008107C7">
      <w:pPr>
        <w:pStyle w:val="TextoNormal"/>
      </w:pPr>
      <w:r>
        <w:t>En primer término, preciso es identificar sintéticamente cuáles sean los motivos generales - aunque no comunes, en todo caso- de impugnación deducidos por los tres recurrentes contra todas o algunas de las Disposiciones adicionales indicadas, sin perjuicio de las consideraciones específicas que respecto de cada una hayan podido verterse: primero, estos preceptos, a juicio de los recurrentes, se refieren a materias con un contenido marcadamente urbanístico y su normación le está vedada al Estado; segundo, es a las Comunidades Autónomas a las que, en su caso, corresponde decidir acerca de la aplicabilidad de las normas urbanísticas generales, ya sea en relación con la población o respecto de las particularidades que puedan presentar los plazos, operación que no corresponde realizar al Estado y, mucho menos, en virtud del art. 149.1.1º C.E.; tercero, no se compadecería con el concepto de norma básica su aplicación supletoria en defecto de planeamiento.</w:t>
      </w:r>
    </w:p>
    <w:p w:rsidR="008107C7" w:rsidRDefault="008107C7" w:rsidP="008107C7">
      <w:pPr>
        <w:pStyle w:val="TextoNormal"/>
      </w:pPr>
      <w:r>
        <w:t>A estos tres motivos de impugnación, ha de añadirse, sin embargo, como ya ha quedado apuntado, un reproche general que ha estado latente, de forma más o menos explícita, en otras alegaciones de los recurrentes. No obstante, como pese a su generalidad tal reproche se centra en la Disposición adicional primera, al examinar ésta le daremos la adecuada respuesta.</w:t>
      </w:r>
    </w:p>
    <w:p w:rsidR="008107C7" w:rsidRDefault="008107C7" w:rsidP="008107C7">
      <w:pPr>
        <w:pStyle w:val="TextoNormal"/>
      </w:pPr>
      <w:r>
        <w:t>a) (Disposición adicional primera, "Especialidades de aplicación de la Ley").</w:t>
      </w:r>
    </w:p>
    <w:p w:rsidR="008107C7" w:rsidRDefault="008107C7" w:rsidP="008107C7">
      <w:pPr>
        <w:pStyle w:val="TextoNormal"/>
      </w:pPr>
      <w:r>
        <w:t xml:space="preserve">En realidad, se limita a establecer reglas sobre la vigencia de ciertos preceptos del T.R.L.S.  determinando que no se aplican por igual a todos los municipios. En unos se aplica en su integridad (apartados 1 y 2) y, en los demás, sólo en parte (en la parte que dispone el apartado 3). Pero la Disposición adicional primera en cuestión no altera por sí misma el carácter que la Disposición final única haya atribuido a cada uno de los preceptos del T.R.L.S.. Las únicas categorías que la reiterada Disposición Adicional utiliza son las de "aplicación íntegra" o "general" y "aplicación parcial" o "limitada" de ciertas normas del T.R.L.S. que dicen relación a determinaciones sobre la vigencia territorial del texto legal según la población de los municipios y, por consecuencia, no inciden sobre las relaciones </w:t>
      </w:r>
      <w:r>
        <w:lastRenderedPageBreak/>
        <w:t>entre los ordenamientos estatal y autonómicos. La Disposición impugnada, pues, no introduce innovación material alguna y, por tanto, permanece inalterada.</w:t>
      </w:r>
    </w:p>
    <w:p w:rsidR="008107C7" w:rsidRDefault="008107C7" w:rsidP="008107C7">
      <w:pPr>
        <w:pStyle w:val="TextoNormal"/>
      </w:pPr>
      <w:r>
        <w:t>De esta Disposición se deriva para el propietario de suelo un régimen -básico- ciertamente diferente, aunque no radicalmente diverso. No cabe tachar de irrazonable este tratamiento diferenciado en razón de un factor como el del número de habitantes del Municipio, puesto que una lectura sistemática del Texto Refundido permite inferir que ha optado por un régimen jurídico más detallado respecto de aquellos municipios que, por su censo de población, se presume que ofrecen condiciones más favorables -técnicas y financieras- para llevar a efecto la gestión urbanística en condiciones idóneas y con las adecuadas garantías.</w:t>
      </w:r>
    </w:p>
    <w:p w:rsidR="008107C7" w:rsidRDefault="008107C7" w:rsidP="008107C7">
      <w:pPr>
        <w:pStyle w:val="TextoNormal"/>
      </w:pPr>
      <w:r>
        <w:t>Ha de admitirse, pues, la posibilidad de que las normas dictadas por el legislador estatal ex art. 149.1.1º C.E., lejos de un riguroso uniformismo, puedan razonablemente introducir regulaciones o tratamientos diversificados en presencia de elementos o factores objetivos, como pudiera ser en el caso, el poblacional, siempre, claro está, dentro del ámbito de sus competencias. No podría, por ello, tacharse de inconstitucional un modo de regulación así configurado. Lo que hemos de verificar, partiendo de esta premisa, es si la Disposición adicional primera objeto de nuestro enjuiciamiento obedece y se ajusta a tal criterio o si, por el modo concreto en que ha operado la aplicación en el territorio nacional del texto legal, se ha apartado del mismo, desbordando así el ámbito del título competencial en que ampara esta normación (art.  149.1.1º C.E.).</w:t>
      </w:r>
    </w:p>
    <w:p w:rsidR="008107C7" w:rsidRDefault="008107C7" w:rsidP="008107C7">
      <w:pPr>
        <w:pStyle w:val="TextoNormal"/>
      </w:pPr>
      <w:r>
        <w:t>Pues bien, la aplicación general o íntegra de la ley, incluidas las normas relativas a las áreas de reparto, cálculo del aprovechamiento tipo y la determinación del aprovechamiento urbanístico patrimonializable del art. 27.1 y 2 del T.R.L.S., se produce respecto de los municipios en los que, por razones objetivas, se presume que deben incorporar a la gestión urbanística todos los mecanismos del esquema legal previsto, lo que se predica de los municipios capitales de provincia, los de población superior a cincuenta mil habitantes y aquellos otros de los entornos metropolitanos delimitados por las Comunidades Autónomas.  Desde esta perspectiva, la determinación aplicativa del texto legal puede considerarse efectuada en el ámbito competencial que al Estado le atribuye el art. 149.1.1º C.E., por lo que no cabe oponer tacha de inconstitucionalidad al apartado 1 de la Disposición adicional primera objeto de impugnación. No obstante lo cual, las referencias que hace este apartado a la "delimitación de áreas de reparto, cálculo del aprovechamiento tipo y definición del aprovechamiento susceptible de apropiación de conformidad con lo dispuesto en el artículo 27.1 y 2" han de correr la misma suerte que los preceptos a los que se remite y, por consiguiente, deben ser declaradas inconstitucionales.</w:t>
      </w:r>
    </w:p>
    <w:p w:rsidR="008107C7" w:rsidRDefault="008107C7" w:rsidP="008107C7">
      <w:pPr>
        <w:pStyle w:val="TextoNormal"/>
      </w:pPr>
      <w:r>
        <w:t>Por el contrario, la aplicación de la ley, en los términos en que se efectúa por los apartados 2 y 3, éste en su primer párrafo, no viene directamente dispuesta por el propio legislador estatal desde su competencia ex art.  149.1.1º C.E., sino que tal determinación -que comporta la coexistencia en el territorio nacional de dos diversos regímenes jurídicos de la propiedad urbana- se atribuye expressis verbis a las Comunidades Autónomas, no en razón de criterios objetivos sino con base en criterios de pura y simple oportunidad en cuanto entregados a la libre decisión de los Entes autonómicos.  Parece, por tanto, obligado concluir que no encajan en la competencia de regulación de las condiciones básicas las normas que tal remisión contienen, toda vez que sin fundamento objetivo alguno defieren su aplicación a criterios de oportunidad, es decir, sin previa sujeción a parámetros objetivos preestablecidos en la propia normación estatal.</w:t>
      </w:r>
    </w:p>
    <w:p w:rsidR="008107C7" w:rsidRDefault="008107C7" w:rsidP="008107C7">
      <w:pPr>
        <w:pStyle w:val="TextoNormal"/>
      </w:pPr>
      <w:r>
        <w:t xml:space="preserve">Si a lo anterior se añade que la regulación objeto de aplicación general o parcial tiene como referencia elementos y técnicas urbanísticas (áreas de reparto, aprovechamiento tipo) </w:t>
      </w:r>
      <w:r>
        <w:lastRenderedPageBreak/>
        <w:t>contenidos en el art. 27 T.R.L.S., declarado inconstitucional, debe alcanzarse igual conclusión para la Disposición ahora impugnada.</w:t>
      </w:r>
    </w:p>
    <w:p w:rsidR="008107C7" w:rsidRDefault="008107C7" w:rsidP="008107C7">
      <w:pPr>
        <w:pStyle w:val="TextoNormal"/>
      </w:pPr>
      <w:r>
        <w:t>Por lo que concierne al segundo párrafo del apartado 3 de la Disposición adicional en examen, ha de considerarse, en línea con lo antes razonado, que la declaración de inaplicabilidad del mecanismo expropiatorio (o de su fórmula alternativa de la venta forzosa) como respuesta o reacción jurídica a los supuestos de incumplimiento de plazos para urbanizar y edificar, que se dispone respecto de los municipios de población inferior a veinticinco mil habitantes, puede quedar excepcionado por los respectivos Ayuntamientos mediante la adopción de acuerdos expresos para aplicar dicha causa expropriandi en la totalidad o parte del término municipal. Queda así virtualmente eliminado el mecanismo de cierre en que consiste la expropiación por incumplimiento de los deberes urbanísticos básicos; de tal manera que mientras unos propietarios quedan sometidos a la reacción jurídica expropiatoria, otros no se hallarán sujetos a la misma.  Y siendo ello así, la igualdad en el cumplimiento de los deberes constitucionales que está en la base del título competencial del Estado (art. 149.1.1º C.E.)  no resulta en modo alguno garantizada.</w:t>
      </w:r>
    </w:p>
    <w:p w:rsidR="008107C7" w:rsidRDefault="008107C7" w:rsidP="008107C7">
      <w:pPr>
        <w:pStyle w:val="TextoNormal"/>
      </w:pPr>
      <w:r>
        <w:t>Se impone, en consecuencia, declarar la inconstitucionalidad de la Disposición adicional primera en su totalidad.</w:t>
      </w:r>
    </w:p>
    <w:p w:rsidR="008107C7" w:rsidRDefault="008107C7" w:rsidP="008107C7">
      <w:pPr>
        <w:pStyle w:val="TextoNormal"/>
      </w:pPr>
      <w:r>
        <w:t>b) (Disposición adicional tercera, "Reglas especiales para Entidades y Sociedades Públicas").</w:t>
      </w:r>
    </w:p>
    <w:p w:rsidR="008107C7" w:rsidRDefault="008107C7" w:rsidP="008107C7">
      <w:pPr>
        <w:pStyle w:val="TextoNormal"/>
      </w:pPr>
      <w:r>
        <w:t>Lo que aquí se cuestiona no es la modulación de los plazos en sí -según que la actuación de las Sociedades o Entidades Públicas sea urbanizadora o edificatoria-, sino, más bien, que sea el Estado el que decida sobre las particularidades, en cuanto a los plazos, de tales Sociedades o Entidades en el respectivo territorio autonómico. Es importante subrayar que, aunque se trate de determinar la esfera de vigencia personal del T.R.L.S., como afirma el Abogado del Estado, constituye un supuesto bien diverso al que contempla la Disposición adicional primera, puesto que aquí no se decide sobre la vigencia territorial de determinadas normas básicas, sino que se establece una nueva regulación material -una particular forma de computar los plazos- , razón por la que no es dable compartir el argumento del representante estatal en el sentido de que la Disposición adicional tercera se justificaría en razón de los mismos títulos que la primera.</w:t>
      </w:r>
    </w:p>
    <w:p w:rsidR="008107C7" w:rsidRDefault="008107C7" w:rsidP="008107C7">
      <w:pPr>
        <w:pStyle w:val="TextoNormal"/>
      </w:pPr>
      <w:r>
        <w:t>Esta es, por el contrario, una regulación que no compete al Estado establecer con carácter básico, habida cuenta de que no posee título suficiente para ello. Las excepciones o particularidades que, en este sentido, quepa establecer caen bajo la competencia urbanística de las Comunidades Autónomas, por lo que esta norma básica, al establecer uniformemente tal modulación, resulta viciada de incompetencia. Ciertamente, al Estado le está atribuida la regulación de las condiciones básicas de ejercicio del derecho, en los términos señalados. Pero, en relación con Sociedades o Entidades Públicas -esto es, no con ciudadanos-, no puede pretender también la regulación uniforme de esas condiciones básicas. Si el Estado considera oportuna su posible sujeción a unas reglas específicas, habrá de limitarse a abrir esa posibilidad de modulación o excepcionalidad, sin fijar ni concretar cuáles hayan de ser esos plazos.</w:t>
      </w:r>
    </w:p>
    <w:p w:rsidR="008107C7" w:rsidRDefault="008107C7" w:rsidP="008107C7">
      <w:pPr>
        <w:pStyle w:val="TextoNormal"/>
      </w:pPr>
      <w:r>
        <w:t>c) (Disposición adicional cuarta, "Realojamiento y retorno").</w:t>
      </w:r>
    </w:p>
    <w:p w:rsidR="008107C7" w:rsidRDefault="008107C7" w:rsidP="008107C7">
      <w:pPr>
        <w:pStyle w:val="TextoNormal"/>
      </w:pPr>
      <w:r>
        <w:t>Esta Disposición, por contraste con las hasta ahora enjuiciadas, no plantea excepción alguna sobre la vigencia de las normas que el T.R.L.S. contiene, sino que establece una regulación material sobre el derecho de realojo y retorno, derecho que, a juicio de la recurrente, compete disciplinar a la Comunidad Autónoma.</w:t>
      </w:r>
    </w:p>
    <w:p w:rsidR="008107C7" w:rsidRDefault="008107C7" w:rsidP="008107C7">
      <w:pPr>
        <w:pStyle w:val="TextoNormal"/>
      </w:pPr>
      <w:r>
        <w:t xml:space="preserve">La cuestión se contrae, pues, a determinar si el Estado tiene algún título competencial para dictar esta norma básica. El apartado 1 garantiza el derecho al realojo de los ocupantes </w:t>
      </w:r>
      <w:r>
        <w:lastRenderedPageBreak/>
        <w:t>legales afectados por el desalojo como consecuencia de la expropiación obligando a la Administración expropiante o al beneficiario de la expropiación a poner a su disposición viviendas en venta o alquiler. El apartado 2, por su parte, establece, para el supuesto de que se actúe por otro sistema en unidades de ejecución, que los ocupantes legales no tendrán derecho al realojo cuando en correspondencia con su aportación de terrenos hayan de resultar adjudicatarios de aprovechamientos de carácter residencial superiores a noventa metros cuadrados o los que pudiera fijar, como superficie máxima, la legislación protectora de viviendas.</w:t>
      </w:r>
    </w:p>
    <w:p w:rsidR="008107C7" w:rsidRDefault="008107C7" w:rsidP="008107C7">
      <w:pPr>
        <w:pStyle w:val="TextoNormal"/>
      </w:pPr>
      <w:r>
        <w:t>Ha de darse la razón al Abogado del Estado cuando invoca el art. 149.1.18º C.E.  (expropiación forzosa) para justificar el carácter básico del apartado 1 de esta Disposición adicional. La obligación de proporcionar alojamiento en los supuestos en los que se actúa por expropiación representa, en efecto, una garantía común de los administrados que al Estado le compete establecer en virtud de cuanto ya hemos señalado.</w:t>
      </w:r>
    </w:p>
    <w:p w:rsidR="008107C7" w:rsidRDefault="008107C7" w:rsidP="008107C7">
      <w:pPr>
        <w:pStyle w:val="TextoNormal"/>
      </w:pPr>
      <w:r>
        <w:t>Juicio distinto merece el apartado 2, párrafo primero, de la misma Disposición adicional cuarta en la medida en que ya no encaja en el concepto de norma básica, habida cuenta de que incide sobre un terreno material -la ejecución del planeamiento- sobre el que, en principio, el Estado carece de competencias, a no ser que concurra otro título competencial distinto, lo que no es el caso. La diferencia de este supuesto con el que contempla el apartado 1 estriba en que aquí no se pretende garantizar un derecho del particular frente a una actuación expropiatoria; antes al contrario, su objeto es justamente negarlo, cerrando por completo la regulación del derecho, cuestión ésta que corresponde a las Comunidades Autónomas determinar. En esta sede, pues, el Estado podría, en su caso, establecer como norma básica una garantía mínima de carácter compensatorio, para aquellos supuestos en los que si bien no se actúa por expropiación los ocupantes legales se ven privados de sus viviendas. En cambio, este apartado, en su primer párrafo, no establece garantía alguna, ni siquiera por vía negativa, sino que se introduce abiertamente en el ámbito de lo que no es mínimamente exigible - de libre disposición de las Comunidades Autónomas- y, por ende, incurre en inconstitucionalidad por vicio de incompetencia.  La misma suerte ha de correr necesariamente el párrafo segundo del apartado 2 que no constituye sino una expresión o consecuencia del párrafo primero.</w:t>
      </w:r>
    </w:p>
    <w:p w:rsidR="008107C7" w:rsidRDefault="008107C7" w:rsidP="008107C7">
      <w:pPr>
        <w:pStyle w:val="TextoNormal"/>
      </w:pPr>
      <w:r>
        <w:t>El apartado 3 se refiere al derecho de retorno regulado en la legislación arrendaticia, ejercitable frente al dueño de la nueva edificación cualquiera que sea éste, debiendo el propietario garantizar el alojamiento provisional de los inquilinos hasta que sea posible el retorno. Respecto de este punto ostenta el Estado un evidente título competencial ex art.  149.1.8º C.E. , ya que establece una norma materialmente civil, atinente al tráfico jurídico privado.</w:t>
      </w:r>
    </w:p>
    <w:p w:rsidR="008107C7" w:rsidRDefault="008107C7" w:rsidP="008107C7">
      <w:pPr>
        <w:pStyle w:val="TextoNormal"/>
      </w:pPr>
      <w:r>
        <w:t>d) (Disposición adicional séptima, "Comisión Central del Territorio y Urbanismo").</w:t>
      </w:r>
    </w:p>
    <w:p w:rsidR="008107C7" w:rsidRDefault="008107C7" w:rsidP="008107C7">
      <w:pPr>
        <w:pStyle w:val="TextoNormal"/>
      </w:pPr>
      <w:r>
        <w:t>Esta Disposición ha sido impugnada por el órgano ejecutivo de la Generalidad de Cataluña en virtud de diversas consideraciones: porque, a su juicio, no es correcto calificarla de norma básica; porque el Estado carecería de toda competencia urbanística y de ordenación del territorio -lo que le impide crear órganos consultivos sobre esta materia-; y, en fin, porque la citada Comisión no tiene "antecedentes legales" y su creación representa un inconstitucional exceso en el uso de la delegación.</w:t>
      </w:r>
    </w:p>
    <w:p w:rsidR="008107C7" w:rsidRDefault="008107C7" w:rsidP="008107C7">
      <w:pPr>
        <w:pStyle w:val="TextoNormal"/>
      </w:pPr>
      <w:r>
        <w:t xml:space="preserve">Con todo, han de compartirse en esencia los argumentos aducidos en su defensa por el Abogado del Estado. En primer término, y por lo que hace al último motivo de impugnación, la Comisión Central del Territorio y del Urbanismo tiene un evidente "antecedente" en la Comisión Central de Urbanismo que regulaban los arts. 210 y 211 del T.R.L.S. de 1976. En segundo lugar, no cabe sostener, como pretende la Generalidad, que el Estado carezca de </w:t>
      </w:r>
      <w:r>
        <w:lastRenderedPageBreak/>
        <w:t>toda competencia en materia de urbanismo y ordenación del territorio, puesto que ha quedado suficientemente razonado que ostenta ciertos títulos que convergen sobre la materia. No es posible, pues, negarle al Estado la posibilidad de crear un órgano consultivo, cuando además las funciones que la Disposición en cuestión le atribuye están evidentemente relacionadas con competencias estatales. Las competencias urbanísticas que aparecen en la discutida Disposición adicional séptima son inequívocamente estatales, por lo que ningún quebrantamiento del orden constitucional y estatutario se produce porque el Estado establezca un órgano consultivo en el que, por lo demás y como subraya la representación estatal, participan las Comunidades Autónomas.</w:t>
      </w:r>
    </w:p>
    <w:p w:rsidR="008107C7" w:rsidRDefault="008107C7" w:rsidP="008107C7">
      <w:pPr>
        <w:pStyle w:val="TextoNormal"/>
      </w:pPr>
      <w:r>
        <w:t>El Abogado del Estado reconoce, en tercer lugar, la dificultad de explicar la calificación como básica de la citada Disposición y le da la razón al Abogado de la Generalidad cuando observa que carece de todo sentido el plural desarrollo autonómico de esta base. No es compartible, sin embargo, la conclusión de la representación estatal de que el carácter básico de la Disposición no merezca la tacha de inconstitucionalidad, pues es evidente, y así lo admite el Abogado del Estado, que no encaja en el concepto de norma básica. Cuestión distinta es que no por ello deba ser invalidada ya que, a su juicio, "debería considerarse de aplicación plena, aunque en realidad trasciende uno y otro concepto, cuyo sentido más propio se alcanza sólo en conexión con posibles competencias autonómicas".</w:t>
      </w:r>
    </w:p>
    <w:p w:rsidR="008107C7" w:rsidRDefault="008107C7" w:rsidP="008107C7">
      <w:pPr>
        <w:pStyle w:val="TextoNormal"/>
      </w:pPr>
      <w:r>
        <w:t>Es evidente la impropiedad técnica de tal denominación en el caso planteado, puesto que, si lo que se quiere afirmar es tan sólo que el Estado ejerce una competencia propia que, por su naturaleza, no es susceptible de desarrollo alguno por las Comunidades Autónomas o que excluye toda normación autonómica, resulta equívoca una calificación que implica una connotación relacional o de articulación de ordenamientos, lo que, sin embargo, no es óbice para la validez de la norma.</w:t>
      </w:r>
    </w:p>
    <w:p w:rsidR="008107C7" w:rsidRDefault="008107C7" w:rsidP="008107C7">
      <w:pPr>
        <w:pStyle w:val="TextoNormal"/>
      </w:pPr>
      <w:r>
        <w:t>En suma, aunque se haya calificado como básica la Disposición adicional séptima, no es contraria al orden constitucional de competencias, al tratarse de una norma estatal reguladora de un órgano propio, expresión de su potestad autoorganizatoria.</w:t>
      </w:r>
    </w:p>
    <w:p w:rsidR="008107C7" w:rsidRDefault="008107C7" w:rsidP="008107C7">
      <w:pPr>
        <w:pStyle w:val="TextoNormal"/>
      </w:pPr>
      <w:r>
        <w:t>e) (Disposición adicional octava, "Regímenes forales").</w:t>
      </w:r>
    </w:p>
    <w:p w:rsidR="008107C7" w:rsidRDefault="008107C7" w:rsidP="008107C7">
      <w:pPr>
        <w:pStyle w:val="TextoNormal"/>
      </w:pPr>
      <w:r>
        <w:t>Para la Comunidad Autónoma recurrente este precepto tampoco presenta un contenido material que pueda ser calificado de norma básica para las Comunidades Autónomas. Para el Abogado del Estado, sin embargo, está bien declarada básica puesto que contiene una valiosa directriz para el legislador vasco y navarro y nada impide, por otro lado, una norma básica con ámbito territorial restringido a una o dos Comunidades Autónomas que gozan de un singular régimen en materia tributaria.</w:t>
      </w:r>
    </w:p>
    <w:p w:rsidR="008107C7" w:rsidRDefault="008107C7" w:rsidP="008107C7">
      <w:pPr>
        <w:pStyle w:val="TextoNormal"/>
      </w:pPr>
      <w:r>
        <w:t>Las alegaciones del representante estatal han de tenerse por plenamente fundadas. En efecto, y tal como hemos razonado respecto la Disposición adicional primera, encaja en el concepto de base la existencia de ciertas modulaciones, mientras no falte el elemento relacional o de articulación de ordenamientos que es inherente a la norma básica, elemento que, como hemos visto, no está presente en la Disposición adicional séptima y sí, en cambio, en la que ahora enjuiciamos, por lo que no puede prosperar la impugnación del recurrente. A mayor abundamiento, si el T.R.L.S. establece normas básicas, también habrán de ser básicas las que maticen o confirmen la aplicación de esas normas básicas en relación con una o varias Comunidades Autónomas, en virtud de los títulos competenciales en juego y de las circunstancias concurrentes.</w:t>
      </w:r>
    </w:p>
    <w:p w:rsidR="008107C7" w:rsidRDefault="008107C7" w:rsidP="008107C7">
      <w:pPr>
        <w:pStyle w:val="TextoNormal"/>
      </w:pPr>
    </w:p>
    <w:p w:rsidR="008107C7" w:rsidRDefault="008107C7" w:rsidP="008107C7">
      <w:pPr>
        <w:pStyle w:val="TextoNormal"/>
      </w:pPr>
      <w:r w:rsidRPr="008107C7">
        <w:rPr>
          <w:rStyle w:val="NumeroAFNegritaCaracter"/>
        </w:rPr>
        <w:t>42</w:t>
      </w:r>
      <w:r>
        <w:t>. (Disposiciones transitorias primera, cuarta, quinta, sexta, 1 y 4, y octava).</w:t>
      </w:r>
    </w:p>
    <w:p w:rsidR="008107C7" w:rsidRDefault="008107C7" w:rsidP="008107C7">
      <w:pPr>
        <w:pStyle w:val="TextoNormal"/>
      </w:pPr>
      <w:r>
        <w:t xml:space="preserve">El recurso núm. 2.342/92 impugna las Disposiciones transitorias primera, 1,2 y 4, cuarta, quinta, sexta, 1, y octava del T.R.L.S. por su conexión con las Disposiciones transitorias </w:t>
      </w:r>
      <w:r>
        <w:lastRenderedPageBreak/>
        <w:t>primera, quinta, sexta, cuarta, 1, y adicional novena, respectivamente, de la Ley 8/1990, impugnadas por el recurso 2.481/90.  Asimismo el recurso núm. 2.342/92 extiende su impugnación a la Disposición transitoria primera, 3, por su conexión directa con los restantes puntos de la misma que corresponden a la impugnada Disposición transitoria primera de la Ley 8/1990; y a la Disposición transitoria sexta, 4, sobre adaptación de las Normas Subsidiarias municipales en su primera revisión y en coherencia con la impugnación de la Disposición transitoria cuarta de la Ley 8/1990.</w:t>
      </w:r>
    </w:p>
    <w:p w:rsidR="008107C7" w:rsidRDefault="008107C7" w:rsidP="008107C7">
      <w:pPr>
        <w:pStyle w:val="TextoNormal"/>
      </w:pPr>
      <w:r>
        <w:t>Por su parte, el recurso núm. 2.341/92 interpuesto por el Gobierno aragonés impugna la Disposición transitoria sexta, 1, del T.R.L.S., en correspondencia con la impugnación deducida en su recurso núm. 2.486/90 contra la Disposición transitoria cuarta, 1, de la Ley 8/1990 (las demás impugnaciones contra otras Disposiciones transitorias del T.R.L.S.  incurren en el vicio de apoderamiento ya reseñado; lo cual no obsta, sin embargo, para su enjuiciamiento por haber sido impugnados por los restantes recurrentes).</w:t>
      </w:r>
    </w:p>
    <w:p w:rsidR="008107C7" w:rsidRDefault="008107C7" w:rsidP="008107C7">
      <w:pPr>
        <w:pStyle w:val="TextoNormal"/>
      </w:pPr>
      <w:r>
        <w:t>Con todo, las alegaciones de ambos recurrentes se ciñen a atacar las citadas Disposiciones por su conexión con los restantes preceptos del T.R.L.S.  declarados básicos, sin más identificación, por lo que resulta obligado remitirse a cuanto ya hemos expuesto respecto de los artículos enjuiciados que se encuentran en íntima relación con las Disposiciones transitorias del T.R.L.S. ahora impugnadas. Y es evidente que las remisiones habrán de seguir la misma suerte que lo declarado respecto de los preceptos remitidos.</w:t>
      </w:r>
    </w:p>
    <w:p w:rsidR="008107C7" w:rsidRDefault="008107C7" w:rsidP="008107C7">
      <w:pPr>
        <w:pStyle w:val="TextoNormal"/>
      </w:pPr>
      <w:r>
        <w:t>En consecuencia, han de tenerse por contrarios a la Constitución los apartados 2 y 4 de la Disposición transitoria primera, no así el apartado 1º; y también inconstitucionales en virtud de los mismos argumentos la Disposición transitoria cuarta y la Disposición transitoria quinta, apartado 2º, último párrafo ("En todo caso, como valor mínimo del suelo se entenderá el resultante de la aplicación del 85 por 100 del aprovechamiento tipo vigente al tiempo de la valoración."). Igualmente, es contraria al sistema constitucional de distribución de competencias la Disposición transitoria sexta, 1 y 4.</w:t>
      </w:r>
    </w:p>
    <w:p w:rsidR="008107C7" w:rsidRDefault="008107C7" w:rsidP="008107C7">
      <w:pPr>
        <w:pStyle w:val="TextoNormal"/>
      </w:pPr>
      <w:r>
        <w:t>El recurso interpuesto por el Gobierno balear, sin embargo, tan sólo aparentemente introduce algunos elementos nuevos de consideración contra las mismas Disposiciones transitorias; pero, en realidad, sus alegaciones se reducen -en esencia- a formular un reproche genérico o en bloque frente a éstas por su relación con los preceptos del T.R.L.S.  que ya hemos analizado.  Es importante subrayar cuanto hemos señalado de esta Sentencia en lo que hace a la carga argumental de los recurrentes a efectos impugnatorios y a la necesidad de razonar jurídicamente frente a la calificación de una norma como básica, déficit que, en el presente caso, no puede ser suplido por este Tribunal, puesto que de sus alegaciones no es posible deducir cuál o cuáles son las concretas pretensiones deducidas o si persigue la impugnación de algún elemento nuevo que eventualmente hubieran podido introducir las citadas Disposiciones transitorias, siendo insuficiente su descalificación global por contener "determinaciones claramente urbanísticas".</w:t>
      </w:r>
    </w:p>
    <w:p w:rsidR="008107C7" w:rsidRDefault="008107C7" w:rsidP="008107C7">
      <w:pPr>
        <w:pStyle w:val="TextoNormal"/>
      </w:pPr>
      <w:r>
        <w:t>Sólo es posible identificar una pretensión en el recurso de la Comunidad Autónoma de las Islas Baleares que dirige contra la Disposición transitoria octava relativa al suelo urbano en Planes sin adaptar por imponer como básico no sólo una necesaria aprobación de la delimitación del suelo urbano, sino las reglas a que ésta deba someterse.  En cuanto al primer punto, debe precisarse que el Estado puede, desde luego, disponer que las prescripciones básicas sean atendidas desde el momento de la entrada en vigor de la ley (como hace, v.gr., la Disposición transitoria primera del T.R.L.S.). Lo que no puede, sin embargo, es introducirse en las técnicas o instrumentos concretos a través de los cuales deba articularse esa efectividad, como pretende el primer párrafo de la Disposición aquí impugnada, al señalar que "requerirá la aprobación de la delimitación del suelo urbano".</w:t>
      </w:r>
    </w:p>
    <w:p w:rsidR="008107C7" w:rsidRDefault="008107C7" w:rsidP="008107C7">
      <w:pPr>
        <w:pStyle w:val="TextoNormal"/>
      </w:pPr>
      <w:r>
        <w:lastRenderedPageBreak/>
        <w:t>Igual conclusión se alcanza respecto de la determinación de las concretas reglas a las que habrá de someterse la aprobación de la delimitación del suelo urbano, pues es éste un tema que escapa también a las competencias estatales, máxime si tenemos en cuenta que los preceptos a los que se remite [expresamente, art.  10a); implícitamente, 118.3a) T.R.L.S., entre otros] no tienen carácter básico ni pueden tenerlo. Obligado es concluir, pues, en la inconstitucionalidad por incompetencia de la Disposición transitoria octava.</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Estimar parcialmente los recursos contra el Texto Refundido de la Ley sobre el Régimen del Suelo y Ordenación Urbana aprobado por Real Decreto Legislativo 1/1992, de 26 de junio, y en su virtud:</w:t>
      </w:r>
    </w:p>
    <w:p w:rsidR="008107C7" w:rsidRDefault="008107C7" w:rsidP="008107C7">
      <w:pPr>
        <w:pStyle w:val="TextoNormal"/>
      </w:pPr>
      <w:r>
        <w:t>1º. Declarar que son inconstitucionales y nulos los siguientes preceptos calificados de "carácter básico" o de "aplicación plena" en los apartados primero y segundo de la Disposición final única:</w:t>
      </w:r>
    </w:p>
    <w:p w:rsidR="008107C7" w:rsidRDefault="008107C7" w:rsidP="008107C7">
      <w:pPr>
        <w:pStyle w:val="TextoNormal"/>
      </w:pPr>
      <w:r>
        <w:t>- 11.4.</w:t>
      </w:r>
    </w:p>
    <w:p w:rsidR="008107C7" w:rsidRDefault="008107C7" w:rsidP="008107C7">
      <w:pPr>
        <w:pStyle w:val="TextoNormal"/>
      </w:pPr>
      <w:r>
        <w:t>- 20.1 b) en su inciso "a los Ayuntamientos".</w:t>
      </w:r>
    </w:p>
    <w:p w:rsidR="008107C7" w:rsidRDefault="008107C7" w:rsidP="008107C7">
      <w:pPr>
        <w:pStyle w:val="TextoNormal"/>
      </w:pPr>
      <w:r>
        <w:t>- 27.1, 2 y 4.</w:t>
      </w:r>
    </w:p>
    <w:p w:rsidR="008107C7" w:rsidRDefault="008107C7" w:rsidP="008107C7">
      <w:pPr>
        <w:pStyle w:val="TextoNormal"/>
      </w:pPr>
      <w:r>
        <w:t>- 29.1.</w:t>
      </w:r>
    </w:p>
    <w:p w:rsidR="008107C7" w:rsidRDefault="008107C7" w:rsidP="008107C7">
      <w:pPr>
        <w:pStyle w:val="TextoNormal"/>
      </w:pPr>
      <w:r>
        <w:t>- 30.1.</w:t>
      </w:r>
    </w:p>
    <w:p w:rsidR="008107C7" w:rsidRDefault="008107C7" w:rsidP="008107C7">
      <w:pPr>
        <w:pStyle w:val="TextoNormal"/>
      </w:pPr>
      <w:r>
        <w:t>- 30.3, en su segundo inciso, "El Ayuntamiento decidirá sobre la expropiación o sujeción al régimen de venta forzosa de los correspondientes terrenos, cuyo valor se determinará, en todo caso, con arreglo a la señalada reducción del aprovechamiento urbanístico".</w:t>
      </w:r>
    </w:p>
    <w:p w:rsidR="008107C7" w:rsidRDefault="008107C7" w:rsidP="008107C7">
      <w:pPr>
        <w:pStyle w:val="TextoNormal"/>
      </w:pPr>
      <w:r>
        <w:t>- 31.1 y 2.</w:t>
      </w:r>
    </w:p>
    <w:p w:rsidR="008107C7" w:rsidRDefault="008107C7" w:rsidP="008107C7">
      <w:pPr>
        <w:pStyle w:val="TextoNormal"/>
      </w:pPr>
      <w:r>
        <w:t>- 32.</w:t>
      </w:r>
    </w:p>
    <w:p w:rsidR="008107C7" w:rsidRDefault="008107C7" w:rsidP="008107C7">
      <w:pPr>
        <w:pStyle w:val="TextoNormal"/>
      </w:pPr>
      <w:r>
        <w:t>- 34.</w:t>
      </w:r>
    </w:p>
    <w:p w:rsidR="008107C7" w:rsidRDefault="008107C7" w:rsidP="008107C7">
      <w:pPr>
        <w:pStyle w:val="TextoNormal"/>
      </w:pPr>
      <w:r>
        <w:t>- 35.1.</w:t>
      </w:r>
    </w:p>
    <w:p w:rsidR="008107C7" w:rsidRDefault="008107C7" w:rsidP="008107C7">
      <w:pPr>
        <w:pStyle w:val="TextoNormal"/>
      </w:pPr>
      <w:r>
        <w:t>- 36.2.</w:t>
      </w:r>
    </w:p>
    <w:p w:rsidR="008107C7" w:rsidRDefault="008107C7" w:rsidP="008107C7">
      <w:pPr>
        <w:pStyle w:val="TextoNormal"/>
      </w:pPr>
      <w:r>
        <w:t>- 38.2 y 3.</w:t>
      </w:r>
    </w:p>
    <w:p w:rsidR="008107C7" w:rsidRDefault="008107C7" w:rsidP="008107C7">
      <w:pPr>
        <w:pStyle w:val="TextoNormal"/>
      </w:pPr>
      <w:r>
        <w:t>- 39, en su inciso "mediante solicitud de la correspondiente licencia en el plazo que establezca la legislación urbanística aplicable o, en su defecto, en el de dos meses a contar desde el oportuno requerimiento, si ya se hubiese adquirido el derecho al aprovechamiento urbanístico. Si faltase sólo para la adquisición del mencionado derecho la realización de la urbanización, la legalización exigirá también el cumplimiento de dicho deber".</w:t>
      </w:r>
    </w:p>
    <w:p w:rsidR="008107C7" w:rsidRDefault="008107C7" w:rsidP="008107C7">
      <w:pPr>
        <w:pStyle w:val="TextoNormal"/>
      </w:pPr>
      <w:r>
        <w:t>- 40.3.</w:t>
      </w:r>
    </w:p>
    <w:p w:rsidR="008107C7" w:rsidRDefault="008107C7" w:rsidP="008107C7">
      <w:pPr>
        <w:pStyle w:val="TextoNormal"/>
      </w:pPr>
      <w:r>
        <w:t>- Art. 42.1 y 2.</w:t>
      </w:r>
    </w:p>
    <w:p w:rsidR="008107C7" w:rsidRDefault="008107C7" w:rsidP="008107C7">
      <w:pPr>
        <w:pStyle w:val="TextoNormal"/>
      </w:pPr>
      <w:r>
        <w:t>- 42.3, en su segundo inciso, "con la particularidad de que el aprovechamiento susceptible de apropiación se reducirá en un 50 por 100, cuando no se hubiera adquirido ese derecho en el momento de la notificación del incumplimiento."</w:t>
      </w:r>
    </w:p>
    <w:p w:rsidR="008107C7" w:rsidRDefault="008107C7" w:rsidP="008107C7">
      <w:pPr>
        <w:pStyle w:val="TextoNormal"/>
      </w:pPr>
      <w:r>
        <w:t>- 59.1 y 2.</w:t>
      </w:r>
    </w:p>
    <w:p w:rsidR="008107C7" w:rsidRDefault="008107C7" w:rsidP="008107C7">
      <w:pPr>
        <w:pStyle w:val="TextoNormal"/>
      </w:pPr>
      <w:r>
        <w:t>- 60.</w:t>
      </w:r>
    </w:p>
    <w:p w:rsidR="008107C7" w:rsidRDefault="008107C7" w:rsidP="008107C7">
      <w:pPr>
        <w:pStyle w:val="TextoNormal"/>
      </w:pPr>
      <w:r>
        <w:t>- 61.</w:t>
      </w:r>
    </w:p>
    <w:p w:rsidR="008107C7" w:rsidRDefault="008107C7" w:rsidP="008107C7">
      <w:pPr>
        <w:pStyle w:val="TextoNormal"/>
      </w:pPr>
      <w:r>
        <w:lastRenderedPageBreak/>
        <w:t>- 62.</w:t>
      </w:r>
    </w:p>
    <w:p w:rsidR="008107C7" w:rsidRDefault="008107C7" w:rsidP="008107C7">
      <w:pPr>
        <w:pStyle w:val="TextoNormal"/>
      </w:pPr>
      <w:r>
        <w:t>- 65.1.</w:t>
      </w:r>
    </w:p>
    <w:p w:rsidR="008107C7" w:rsidRDefault="008107C7" w:rsidP="008107C7">
      <w:pPr>
        <w:pStyle w:val="TextoNormal"/>
      </w:pPr>
      <w:r>
        <w:t>- 66.</w:t>
      </w:r>
    </w:p>
    <w:p w:rsidR="008107C7" w:rsidRDefault="008107C7" w:rsidP="008107C7">
      <w:pPr>
        <w:pStyle w:val="TextoNormal"/>
      </w:pPr>
      <w:r>
        <w:t>- 67.</w:t>
      </w:r>
    </w:p>
    <w:p w:rsidR="008107C7" w:rsidRDefault="008107C7" w:rsidP="008107C7">
      <w:pPr>
        <w:pStyle w:val="TextoNormal"/>
      </w:pPr>
      <w:r>
        <w:t>- 72.1.</w:t>
      </w:r>
    </w:p>
    <w:p w:rsidR="008107C7" w:rsidRDefault="008107C7" w:rsidP="008107C7">
      <w:pPr>
        <w:pStyle w:val="TextoNormal"/>
      </w:pPr>
      <w:r>
        <w:t>- 78.2.</w:t>
      </w:r>
    </w:p>
    <w:p w:rsidR="008107C7" w:rsidRDefault="008107C7" w:rsidP="008107C7">
      <w:pPr>
        <w:pStyle w:val="TextoNormal"/>
      </w:pPr>
      <w:r>
        <w:t>- 94.1 y 2.</w:t>
      </w:r>
    </w:p>
    <w:p w:rsidR="008107C7" w:rsidRDefault="008107C7" w:rsidP="008107C7">
      <w:pPr>
        <w:pStyle w:val="TextoNormal"/>
      </w:pPr>
      <w:r>
        <w:t>- 95.</w:t>
      </w:r>
    </w:p>
    <w:p w:rsidR="008107C7" w:rsidRDefault="008107C7" w:rsidP="008107C7">
      <w:pPr>
        <w:pStyle w:val="TextoNormal"/>
      </w:pPr>
      <w:r>
        <w:t>- 96.1 y 3.</w:t>
      </w:r>
    </w:p>
    <w:p w:rsidR="008107C7" w:rsidRDefault="008107C7" w:rsidP="008107C7">
      <w:pPr>
        <w:pStyle w:val="TextoNormal"/>
      </w:pPr>
      <w:r>
        <w:t>- 97.</w:t>
      </w:r>
    </w:p>
    <w:p w:rsidR="008107C7" w:rsidRDefault="008107C7" w:rsidP="008107C7">
      <w:pPr>
        <w:pStyle w:val="TextoNormal"/>
      </w:pPr>
      <w:r>
        <w:t>- 98.</w:t>
      </w:r>
    </w:p>
    <w:p w:rsidR="008107C7" w:rsidRDefault="008107C7" w:rsidP="008107C7">
      <w:pPr>
        <w:pStyle w:val="TextoNormal"/>
      </w:pPr>
      <w:r>
        <w:t>- 99.1 y 2.</w:t>
      </w:r>
    </w:p>
    <w:p w:rsidR="008107C7" w:rsidRDefault="008107C7" w:rsidP="008107C7">
      <w:pPr>
        <w:pStyle w:val="TextoNormal"/>
      </w:pPr>
      <w:r>
        <w:t>- 104.1.</w:t>
      </w:r>
    </w:p>
    <w:p w:rsidR="008107C7" w:rsidRDefault="008107C7" w:rsidP="008107C7">
      <w:pPr>
        <w:pStyle w:val="TextoNormal"/>
      </w:pPr>
      <w:r>
        <w:t>- 107.</w:t>
      </w:r>
    </w:p>
    <w:p w:rsidR="008107C7" w:rsidRDefault="008107C7" w:rsidP="008107C7">
      <w:pPr>
        <w:pStyle w:val="TextoNormal"/>
      </w:pPr>
      <w:r>
        <w:t>- 109.1.</w:t>
      </w:r>
    </w:p>
    <w:p w:rsidR="008107C7" w:rsidRDefault="008107C7" w:rsidP="008107C7">
      <w:pPr>
        <w:pStyle w:val="TextoNormal"/>
      </w:pPr>
      <w:r>
        <w:t>- 112.</w:t>
      </w:r>
    </w:p>
    <w:p w:rsidR="008107C7" w:rsidRDefault="008107C7" w:rsidP="008107C7">
      <w:pPr>
        <w:pStyle w:val="TextoNormal"/>
      </w:pPr>
      <w:r>
        <w:t>- 118.1.</w:t>
      </w:r>
    </w:p>
    <w:p w:rsidR="008107C7" w:rsidRDefault="008107C7" w:rsidP="008107C7">
      <w:pPr>
        <w:pStyle w:val="TextoNormal"/>
      </w:pPr>
      <w:r>
        <w:t>- 124.2.</w:t>
      </w:r>
    </w:p>
    <w:p w:rsidR="008107C7" w:rsidRDefault="008107C7" w:rsidP="008107C7">
      <w:pPr>
        <w:pStyle w:val="TextoNormal"/>
      </w:pPr>
      <w:r>
        <w:t>- 126.1.</w:t>
      </w:r>
    </w:p>
    <w:p w:rsidR="008107C7" w:rsidRDefault="008107C7" w:rsidP="008107C7">
      <w:pPr>
        <w:pStyle w:val="TextoNormal"/>
      </w:pPr>
      <w:r>
        <w:t>- 135.2.</w:t>
      </w:r>
    </w:p>
    <w:p w:rsidR="008107C7" w:rsidRDefault="008107C7" w:rsidP="008107C7">
      <w:pPr>
        <w:pStyle w:val="TextoNormal"/>
      </w:pPr>
      <w:r>
        <w:t>- 141.</w:t>
      </w:r>
    </w:p>
    <w:p w:rsidR="008107C7" w:rsidRDefault="008107C7" w:rsidP="008107C7">
      <w:pPr>
        <w:pStyle w:val="TextoNormal"/>
      </w:pPr>
      <w:r>
        <w:t>- 143.</w:t>
      </w:r>
    </w:p>
    <w:p w:rsidR="008107C7" w:rsidRDefault="008107C7" w:rsidP="008107C7">
      <w:pPr>
        <w:pStyle w:val="TextoNormal"/>
      </w:pPr>
      <w:r>
        <w:t>- 144.1.</w:t>
      </w:r>
    </w:p>
    <w:p w:rsidR="008107C7" w:rsidRDefault="008107C7" w:rsidP="008107C7">
      <w:pPr>
        <w:pStyle w:val="TextoNormal"/>
      </w:pPr>
      <w:r>
        <w:t>- 149.3.</w:t>
      </w:r>
    </w:p>
    <w:p w:rsidR="008107C7" w:rsidRDefault="008107C7" w:rsidP="008107C7">
      <w:pPr>
        <w:pStyle w:val="TextoNormal"/>
      </w:pPr>
      <w:r>
        <w:t>- 151.1 Y 3</w:t>
      </w:r>
    </w:p>
    <w:p w:rsidR="008107C7" w:rsidRDefault="008107C7" w:rsidP="008107C7">
      <w:pPr>
        <w:pStyle w:val="TextoNormal"/>
      </w:pPr>
      <w:r>
        <w:t>- 154.2</w:t>
      </w:r>
    </w:p>
    <w:p w:rsidR="008107C7" w:rsidRDefault="008107C7" w:rsidP="008107C7">
      <w:pPr>
        <w:pStyle w:val="TextoNormal"/>
      </w:pPr>
      <w:r>
        <w:t>- 166.1 a), c) y e).</w:t>
      </w:r>
    </w:p>
    <w:p w:rsidR="008107C7" w:rsidRDefault="008107C7" w:rsidP="008107C7">
      <w:pPr>
        <w:pStyle w:val="TextoNormal"/>
      </w:pPr>
      <w:r>
        <w:t>- 167.</w:t>
      </w:r>
    </w:p>
    <w:p w:rsidR="008107C7" w:rsidRDefault="008107C7" w:rsidP="008107C7">
      <w:pPr>
        <w:pStyle w:val="TextoNormal"/>
      </w:pPr>
      <w:r>
        <w:t>- 174.2.</w:t>
      </w:r>
    </w:p>
    <w:p w:rsidR="008107C7" w:rsidRDefault="008107C7" w:rsidP="008107C7">
      <w:pPr>
        <w:pStyle w:val="TextoNormal"/>
      </w:pPr>
      <w:r>
        <w:t>- 176.</w:t>
      </w:r>
    </w:p>
    <w:p w:rsidR="008107C7" w:rsidRDefault="008107C7" w:rsidP="008107C7">
      <w:pPr>
        <w:pStyle w:val="TextoNormal"/>
      </w:pPr>
      <w:r>
        <w:t>- 199.1 b) y 2 b).</w:t>
      </w:r>
    </w:p>
    <w:p w:rsidR="008107C7" w:rsidRDefault="008107C7" w:rsidP="008107C7">
      <w:pPr>
        <w:pStyle w:val="TextoNormal"/>
      </w:pPr>
      <w:r>
        <w:t>- 202.1, 2, 3 y 4.</w:t>
      </w:r>
    </w:p>
    <w:p w:rsidR="008107C7" w:rsidRDefault="008107C7" w:rsidP="008107C7">
      <w:pPr>
        <w:pStyle w:val="TextoNormal"/>
      </w:pPr>
      <w:r>
        <w:t>- 205, 2 y 3.</w:t>
      </w:r>
    </w:p>
    <w:p w:rsidR="008107C7" w:rsidRDefault="008107C7" w:rsidP="008107C7">
      <w:pPr>
        <w:pStyle w:val="TextoNormal"/>
      </w:pPr>
      <w:r>
        <w:t>- 206.1 a excepción de la letra f), y 206.2.</w:t>
      </w:r>
    </w:p>
    <w:p w:rsidR="008107C7" w:rsidRDefault="008107C7" w:rsidP="008107C7">
      <w:pPr>
        <w:pStyle w:val="TextoNormal"/>
      </w:pPr>
      <w:r>
        <w:t>- 207.</w:t>
      </w:r>
    </w:p>
    <w:p w:rsidR="008107C7" w:rsidRDefault="008107C7" w:rsidP="008107C7">
      <w:pPr>
        <w:pStyle w:val="TextoNormal"/>
      </w:pPr>
      <w:r>
        <w:t>- 220.1.</w:t>
      </w:r>
    </w:p>
    <w:p w:rsidR="008107C7" w:rsidRDefault="008107C7" w:rsidP="008107C7">
      <w:pPr>
        <w:pStyle w:val="TextoNormal"/>
      </w:pPr>
      <w:r>
        <w:t>- 221.</w:t>
      </w:r>
    </w:p>
    <w:p w:rsidR="008107C7" w:rsidRDefault="008107C7" w:rsidP="008107C7">
      <w:pPr>
        <w:pStyle w:val="TextoNormal"/>
      </w:pPr>
      <w:r>
        <w:t>- 227.1, en su primer párrafo: "En los supuestos de incumplimiento de deberes urbanísticos contemplados en la presente Ley, cuando la Administración actuante no opte por la expropiación, acordará la aplicación del régimen de venta forzosa del terreno."</w:t>
      </w:r>
    </w:p>
    <w:p w:rsidR="008107C7" w:rsidRDefault="008107C7" w:rsidP="008107C7">
      <w:pPr>
        <w:pStyle w:val="TextoNormal"/>
      </w:pPr>
      <w:r>
        <w:t>- 228.3, en su inciso "según el aprovechamiento tipo vigente al tiempo de la tasación".</w:t>
      </w:r>
    </w:p>
    <w:p w:rsidR="008107C7" w:rsidRDefault="008107C7" w:rsidP="008107C7">
      <w:pPr>
        <w:pStyle w:val="TextoNormal"/>
      </w:pPr>
      <w:r>
        <w:t>- 248.</w:t>
      </w:r>
    </w:p>
    <w:p w:rsidR="008107C7" w:rsidRDefault="008107C7" w:rsidP="008107C7">
      <w:pPr>
        <w:pStyle w:val="TextoNormal"/>
      </w:pPr>
      <w:r>
        <w:t>- 249.</w:t>
      </w:r>
    </w:p>
    <w:p w:rsidR="008107C7" w:rsidRDefault="008107C7" w:rsidP="008107C7">
      <w:pPr>
        <w:pStyle w:val="TextoNormal"/>
      </w:pPr>
      <w:r>
        <w:t>- 254.1.</w:t>
      </w:r>
    </w:p>
    <w:p w:rsidR="008107C7" w:rsidRDefault="008107C7" w:rsidP="008107C7">
      <w:pPr>
        <w:pStyle w:val="TextoNormal"/>
      </w:pPr>
      <w:r>
        <w:t>- 277.</w:t>
      </w:r>
    </w:p>
    <w:p w:rsidR="008107C7" w:rsidRDefault="008107C7" w:rsidP="008107C7">
      <w:pPr>
        <w:pStyle w:val="TextoNormal"/>
      </w:pPr>
      <w:r>
        <w:t>- 278.1 y 4.</w:t>
      </w:r>
    </w:p>
    <w:p w:rsidR="008107C7" w:rsidRDefault="008107C7" w:rsidP="008107C7">
      <w:pPr>
        <w:pStyle w:val="TextoNormal"/>
      </w:pPr>
      <w:r>
        <w:t>- 282.2.</w:t>
      </w:r>
    </w:p>
    <w:p w:rsidR="008107C7" w:rsidRDefault="008107C7" w:rsidP="008107C7">
      <w:pPr>
        <w:pStyle w:val="TextoNormal"/>
      </w:pPr>
      <w:r>
        <w:t>- 284.3.</w:t>
      </w:r>
    </w:p>
    <w:p w:rsidR="008107C7" w:rsidRDefault="008107C7" w:rsidP="008107C7">
      <w:pPr>
        <w:pStyle w:val="TextoNormal"/>
      </w:pPr>
      <w:r>
        <w:lastRenderedPageBreak/>
        <w:t>- 285.</w:t>
      </w:r>
    </w:p>
    <w:p w:rsidR="008107C7" w:rsidRDefault="008107C7" w:rsidP="008107C7">
      <w:pPr>
        <w:pStyle w:val="TextoNormal"/>
      </w:pPr>
      <w:r>
        <w:t>- 286.</w:t>
      </w:r>
    </w:p>
    <w:p w:rsidR="008107C7" w:rsidRDefault="008107C7" w:rsidP="008107C7">
      <w:pPr>
        <w:pStyle w:val="TextoNormal"/>
      </w:pPr>
      <w:r>
        <w:t>- 299, inciso final: "con arreglo a esta Ley.".</w:t>
      </w:r>
    </w:p>
    <w:p w:rsidR="008107C7" w:rsidRDefault="008107C7" w:rsidP="008107C7">
      <w:pPr>
        <w:pStyle w:val="TextoNormal"/>
      </w:pPr>
      <w:r>
        <w:t>- Disposición adicional primera</w:t>
      </w:r>
    </w:p>
    <w:p w:rsidR="008107C7" w:rsidRDefault="008107C7" w:rsidP="008107C7">
      <w:pPr>
        <w:pStyle w:val="TextoNormal"/>
      </w:pPr>
      <w:r>
        <w:t>- Disposición adicional tercera</w:t>
      </w:r>
    </w:p>
    <w:p w:rsidR="008107C7" w:rsidRDefault="008107C7" w:rsidP="008107C7">
      <w:pPr>
        <w:pStyle w:val="TextoNormal"/>
      </w:pPr>
      <w:r>
        <w:t>- Disposición adicional cuarta, regla 2ª.</w:t>
      </w:r>
    </w:p>
    <w:p w:rsidR="008107C7" w:rsidRDefault="008107C7" w:rsidP="008107C7">
      <w:pPr>
        <w:pStyle w:val="TextoNormal"/>
      </w:pPr>
      <w:r>
        <w:t>- Disposición transitoria primera, apartados 2 y 4.</w:t>
      </w:r>
    </w:p>
    <w:p w:rsidR="008107C7" w:rsidRDefault="008107C7" w:rsidP="008107C7">
      <w:pPr>
        <w:pStyle w:val="TextoNormal"/>
      </w:pPr>
      <w:r>
        <w:t>- Disposición transitoria cuarta.</w:t>
      </w:r>
    </w:p>
    <w:p w:rsidR="008107C7" w:rsidRDefault="008107C7" w:rsidP="008107C7">
      <w:pPr>
        <w:pStyle w:val="TextoNormal"/>
      </w:pPr>
      <w:r>
        <w:t>- Disposición transitoria quinta, apartado 2, último inciso: "En todo caso, como valor mínimo del suelo se entenderá el resultante de la aplicación del 85 por 100 del aprovechamiento tipo vigente al tiempo de la valoración".</w:t>
      </w:r>
    </w:p>
    <w:p w:rsidR="008107C7" w:rsidRDefault="008107C7" w:rsidP="008107C7">
      <w:pPr>
        <w:pStyle w:val="TextoNormal"/>
      </w:pPr>
      <w:r>
        <w:t>- Disposición transitoria sexta, apartados 1 y 4.</w:t>
      </w:r>
    </w:p>
    <w:p w:rsidR="008107C7" w:rsidRDefault="008107C7" w:rsidP="008107C7">
      <w:pPr>
        <w:pStyle w:val="TextoNormal"/>
      </w:pPr>
      <w:r>
        <w:t>- Disposición transitoria octava.</w:t>
      </w:r>
    </w:p>
    <w:p w:rsidR="008107C7" w:rsidRDefault="008107C7" w:rsidP="008107C7">
      <w:pPr>
        <w:pStyle w:val="TextoNormal"/>
      </w:pPr>
      <w:r>
        <w:t>2º. Declarar que son inconstitucionales y nulos el apartado 3º de la Disposición final única y, consiguientemente, los siguientes preceptos aprobados por el Estado con eficacia supletoria:</w:t>
      </w:r>
    </w:p>
    <w:p w:rsidR="008107C7" w:rsidRDefault="008107C7" w:rsidP="008107C7">
      <w:pPr>
        <w:pStyle w:val="TextoNormal"/>
      </w:pPr>
      <w:r>
        <w:t>Art. 1; art. 2; art. 3, apartado 2, letras: a, b, d, e, f, g, h, i, j. k, y apartados 3 a 6; art. 4, apartados 2 y 3; art.  9, apartado 2; art. 10; art.  11, apartados 1 a 3; art. 12; art.  13; art.  14; art. 16, apartado 3; art. 18; art. 24, apartado 2; art. 27, apartado 3; art. 28, apartados 2 a 4; art. 29, apartado 2; art. 30, apartados 2, 4 y 5; art. 31, apartado 3; art. 33, apartado 2; art. 40, apartado 4; art. 42, apartados 4 y 5; art. 43, apartado 2; art. 44; art. 45, apartado 5; art. 59, apartado 3; art. 65, apartados 2 a 6; art. 68; art. 69; art. 70; art. 71; art. 72, apartados 2 a 5; art. 73; art.  74; art. 75; art. 76; art. 77; art. 78, apartados 1 y 3; art. 79; art. 80; art. 81; art. 82; art. 83; art. 84; art. 85; art.86; art. 87; art. 88; art.  89; art. 90; art.  91; art. 92; art. 93; art. 94,apartado 3; art. 96, apartado 2; art. 99, apartado 3; art. 101; art.  102; art. 103; art. 104, apartado 2; art. 105; art. 106; art. 108; art. 109, apartados 2 a 5; art. 110; art. 111; art. 113, apartado 1; art. 114; art. 115; art. 116; art. 117; art. 118, apartados 2 a 4; art. 119; art. 120; art.  121; art. 122; art. 123; art. 125; art. 126, apartados 2 a 6; art. 127; art. 128; art. 129; art.  130; art. 131; art. 134, apartado 2; art. 136, apartado 1; art.  137, apartados 1 a 4; art.  138, letra a; art. 139; art. 142; art.  144, apartados 2 y 3; art. 145; art.  146; art. 147; art. 148; art. 149, apartados 1, 2 y 4; art. 151, apartados 2 y 4; art.  152; art. 153; art. 155; art. 156; art. 157; art.  158; art. 159, apartados 1 a 3; art. 160, apartados 1, 2 y 4; art. 161; art.  162; art. 163; art. 164; art. 165; art. 166, apartado 1, letras, b, d, f, g, y apartados 2 y 3; art. 170, apartado 2; art.  171; art. 172; art. 174, apartado 1; art. 175; art.  177; art. 178; art. 179; art. 180; art. 181; art. 182; art. 184, apartado 1; art. 185; art. 186; art.  187; art. 188; art. 189; art. 190; art.  191; art.  192; art. 193; art. 194; art. 195; art. 196; art. 197; art. 198; art. 199, apartados 1, letra a, y 2, letra a; art. 200; art. 201; art. 202, apartado 5; art. 208; art. 209; art. 211, apartados 1 y 2; art. 212; art. 227, apartado 2; art. 228, apartados 1 y 2; art. 229; art. 230; art. 231; art.  233; art.  234; art. 236; art. 242, apartados 2 a 5 y 7; art.  243, apartado 3; art. 244, apartados 1 y 5; art. 245, apartado 2; art. 246, apartados 1 y 3; art. 247; art. 250; art. 251; art. 252; art.  253, apartados 1, 2 y 4; art. 254, apartado 3; art.  255, apartado 1; art. 256; art. 257; art. 258, apartado 1; art.  259, apartados 1, 2 y 4; art. 260; art. 261; art. 262; art. 263; art.  264; art.  265; art. 266; art. 267; art. 268; art. 269; art. 270; art. 271; art. 272; art. 273; art. 275; art. 278, apartados 2 y 3; art.  279; art. 280, apartado 2; art. 281; art.  282, apartado 1; art.  283; art. 284, apartados 1 y 2; art. 287, apartado 1; art. 288, apartado 1; art. 290; art. 291; art. 292; art. 293; art. 294; art. 295; art. 297; art. 298; Disposición adicional segunda; Disposición transitoria segunda; Disposición transitoria tercera; Disposición transitoria sexta, apartados 2, 3 y 5; Disposición transitoria séptima.</w:t>
      </w:r>
    </w:p>
    <w:p w:rsidR="008107C7" w:rsidRDefault="008107C7" w:rsidP="008107C7">
      <w:pPr>
        <w:pStyle w:val="TextoNormal"/>
      </w:pPr>
      <w:r>
        <w:lastRenderedPageBreak/>
        <w:t>3º. Declarar la inconstitucionalidad y nulidad del apartado primero de la Disposición derogatoria única en el inciso "las siguientes normas de rango legal: El Real Decreto 1.346/1976, de 9 de abril, por el que se aprueba el texto refundido de la Ley sobre Régimen del Suelo y Ordenación Urbana; el Real Decreto-ley 3/1980, de 14 de marzo, sobre creación de suelo y agilización de la gestión urbanística; el Real Decreto-ley 16/1981, de 16 de octubre, de adaptación de Planes Generales de Ordenación Urbana, y", viniendo, por tanto, a decir: "Queda derogada la Ley 8/1990, de 25 de julio, sobre Reforma del Régimen Urbanístico y Valoraciones del Suelo", en los términos precisados en el fundamento jurídico 12 d).</w:t>
      </w:r>
    </w:p>
    <w:p w:rsidR="008107C7" w:rsidRDefault="008107C7" w:rsidP="008107C7">
      <w:pPr>
        <w:pStyle w:val="TextoNormal"/>
      </w:pPr>
      <w:r>
        <w:t>4º. Desestimar los recursos en todo lo demás.</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veinte de marzo de mil novecientos noventa y siete.</w:t>
      </w:r>
    </w:p>
    <w:p w:rsidR="008107C7" w:rsidRDefault="008107C7" w:rsidP="008107C7">
      <w:pPr>
        <w:pStyle w:val="ParrafoNormal"/>
      </w:pPr>
    </w:p>
    <w:p w:rsidR="008107C7" w:rsidRDefault="008107C7" w:rsidP="008107C7">
      <w:pPr>
        <w:pStyle w:val="TextoNormalNegritaCentrado"/>
        <w:keepNext/>
      </w:pPr>
      <w:r>
        <w:t>Voto particular que formula el Magistrado don Manuel Jiménez de Parga y Cabrera a la Sentencia recaída en los recursos de inconstitucionalidad núm.  2.477/90 y acumulados.</w:t>
      </w:r>
    </w:p>
    <w:p w:rsidR="008107C7" w:rsidRDefault="008107C7" w:rsidP="008107C7">
      <w:pPr>
        <w:pStyle w:val="TextoNormalNegritaCentrado"/>
        <w:keepNext/>
      </w:pPr>
    </w:p>
    <w:p w:rsidR="008107C7" w:rsidRDefault="008107C7" w:rsidP="008107C7">
      <w:pPr>
        <w:pStyle w:val="TextoNormal"/>
      </w:pPr>
      <w:r>
        <w:t>No voy a exponer mis discrepancias de la solución dada a ciertos problemas menores en una Sentencia tan extensa como la presente. En estos casos la coincidencia total es prácticamente imposible. Me limitaré, por ello, a recoger ahora lo que manifesté en la deliberación del Pleno en torno a cuatro cuestiones principales: 1) La validez de la prórroga de la delegación legislativa; 2) La inconstitucionalidad de las disposiciones supletorias; 3) La competencia del Estado en materia de urbanismo; 4) La interpretación expansiva del título estatal del art.  149.1.1ª C.E.</w:t>
      </w:r>
    </w:p>
    <w:p w:rsidR="008107C7" w:rsidRDefault="008107C7" w:rsidP="008107C7">
      <w:pPr>
        <w:pStyle w:val="TextoNormal"/>
      </w:pPr>
      <w:r>
        <w:t>1º.- Sobre la validez de la prórroga de la delegación legislativa.</w:t>
      </w:r>
    </w:p>
    <w:p w:rsidR="008107C7" w:rsidRDefault="008107C7" w:rsidP="008107C7">
      <w:pPr>
        <w:pStyle w:val="TextoNormal"/>
      </w:pPr>
      <w:r>
        <w:t>En las deliberaciones del Pleno se consideraron dos cuestiones en torno a la validez de la prórroga de la delegación legislativa, efectuada por la Disposición final quinta de la Ley 31/1991, en relación con la Disposición final segunda de la Ley 8/1990:</w:t>
      </w:r>
    </w:p>
    <w:p w:rsidR="008107C7" w:rsidRDefault="008107C7" w:rsidP="008107C7">
      <w:pPr>
        <w:pStyle w:val="TextoNormal"/>
      </w:pPr>
      <w:r>
        <w:t>Primera cuestión: La posible inconstitucionalidad de la delegación al no ajustarse a las exigencias del art. 82 C.E.</w:t>
      </w:r>
    </w:p>
    <w:p w:rsidR="008107C7" w:rsidRDefault="008107C7" w:rsidP="008107C7">
      <w:pPr>
        <w:pStyle w:val="TextoNormal"/>
      </w:pPr>
      <w:r>
        <w:t>Segunda cuestión: Adecuación del cauce utilizado para realizar la delegación, es decir, la Ley de Presupuestos Generales del Estado.</w:t>
      </w:r>
    </w:p>
    <w:p w:rsidR="008107C7" w:rsidRDefault="008107C7" w:rsidP="008107C7">
      <w:pPr>
        <w:pStyle w:val="TextoNormal"/>
      </w:pPr>
      <w:r>
        <w:t>Sin embargo, la Sentencia sólo trata la última cuestión [fundamento jurídico 2º, b)].</w:t>
      </w:r>
    </w:p>
    <w:p w:rsidR="008107C7" w:rsidRDefault="008107C7" w:rsidP="008107C7">
      <w:pPr>
        <w:pStyle w:val="TextoNormal"/>
      </w:pPr>
      <w:r>
        <w:t>A mi juicio, y así lo expuse en el Pleno, el vicio de inconstitucionalidad más grave es el que puede atribuirse a la redacción de la Disposición final quinta de la Ley 31/1991. Allí no se contiene una delegación conforme a lo establecido en el art. 82 C.E. Mi argumentación, que ahora reproduzco, fue la siguiente:</w:t>
      </w:r>
    </w:p>
    <w:p w:rsidR="008107C7" w:rsidRDefault="008107C7" w:rsidP="008107C7">
      <w:pPr>
        <w:pStyle w:val="TextoNormal"/>
      </w:pPr>
      <w:r>
        <w:t>A) Hay que partir de la naturaleza de la potestad que el Gobierno ha ejercido para aprobar el Real Decreto Legislativo 1/1992. Se trata de una potestad legislativa que, en virtud de la delegación de las Cortes Generales, ejercita el Gobierno para dictar normas con rango de Ley (art. 82.1 C.E.). La titularidad de la potestad legislativa corresponde a las Cortes Generales (art. 66.2 C.E.), en tanto que el Gobierno ejerce la función ejecutiva y la potestad reglamentaria (art. 97 C.E.). Sin embargo, en casos de extraordinaria y urgente necesidad, el Gobierno podrá dictar disposiciones legislativas provisionales que tomarán la forma de Decretos-leyes (art. 86.1 C.E.)  y, por delegación expresa y sometida a estrictos requisitos, el Gobierno ejerce la potestad de dictar normas con rango de Ley (art. 82 C.E.).</w:t>
      </w:r>
    </w:p>
    <w:p w:rsidR="008107C7" w:rsidRDefault="008107C7" w:rsidP="008107C7">
      <w:pPr>
        <w:pStyle w:val="TextoNormal"/>
      </w:pPr>
      <w:r>
        <w:lastRenderedPageBreak/>
        <w:t>Recordamos estos postulados básicos de nuestro Ordenamiento constitucional para advertir de la importancia de llevar a cabo la delegación de la potestad legislativa en el Gobierno de una forma rigurosa por parte de las Cortes Generales. Se trata de una habilitación de gran calado que constituye una excepción en la atribución de potestades en el Estado de Derecho. Pues bien, la precisión y la minuciosidad en el cumplimiento de la Constitución faltan en la Disposición final quinta de la Ley 31/1991.</w:t>
      </w:r>
    </w:p>
    <w:p w:rsidR="008107C7" w:rsidRDefault="008107C7" w:rsidP="008107C7">
      <w:pPr>
        <w:pStyle w:val="TextoNormal"/>
      </w:pPr>
      <w:r>
        <w:t>B) Reza así esta Disposición:</w:t>
      </w:r>
    </w:p>
    <w:p w:rsidR="008107C7" w:rsidRDefault="008107C7" w:rsidP="008107C7">
      <w:pPr>
        <w:pStyle w:val="TextoNormal"/>
      </w:pPr>
      <w:r>
        <w:t>"El Gobierno podrá hacer uso de la autorización establecida en la Disposición final segunda de la Ley 8/1990, de 25 de julio, para aprobar el texto refundido de las disposiciones estatales vigentes, sobre suelo y ordenación urbana, durante los seis primeros meses de 1992".</w:t>
      </w:r>
    </w:p>
    <w:p w:rsidR="008107C7" w:rsidRDefault="008107C7" w:rsidP="008107C7">
      <w:pPr>
        <w:pStyle w:val="TextoNormal"/>
      </w:pPr>
      <w:r>
        <w:t>A la vista del texto transcrito pudiera entenderse que en él no se contiene una regulación material, sino que lo único que la Disposición hace es fijar un nuevo plazo a una anterior delegación legislativa cuyo término temporal se había cumplido.  De esta forma parece interpretar la Sentencia el sentido y alcance de la Disposición final quinta, que solamente analiza de pasada y a fin de enjuiciar el cauce utilizado, o sea, la Ley de Presupuestos.</w:t>
      </w:r>
    </w:p>
    <w:p w:rsidR="008107C7" w:rsidRDefault="008107C7" w:rsidP="008107C7">
      <w:pPr>
        <w:pStyle w:val="TextoNormal"/>
      </w:pPr>
      <w:r>
        <w:t>Pero sostener que la delegación legislativa, concedida por una Ley de 25 de julio de 1990, podría reactivarse, o hacerla renacer, por otra Ley (de Presupuestos o no) de 31 de diciembre de 1991, transcurrido con exceso el plazo de un año fijado en la primera, es una operación inconstitucional, en mi opinión.</w:t>
      </w:r>
    </w:p>
    <w:p w:rsidR="008107C7" w:rsidRDefault="008107C7" w:rsidP="008107C7">
      <w:pPr>
        <w:pStyle w:val="TextoNormal"/>
      </w:pPr>
      <w:r>
        <w:t>El art. 82.3 C.E. resulta claro y terminante, como tiene que ser para cumplir los requisitos de rigurosidad y exactitud de toda delegación legislativa:</w:t>
      </w:r>
    </w:p>
    <w:p w:rsidR="008107C7" w:rsidRDefault="008107C7" w:rsidP="008107C7">
      <w:pPr>
        <w:pStyle w:val="TextoNormal"/>
      </w:pPr>
      <w:r>
        <w:t>"La delegación legislativa habrá de otorgarse al Gobierno de forma expresa para materia concreta y con fijación del plazo para su ejercicio. La delegación se agota por el uso que de ella haga el Gobierno mediante la publicación de la norma correspondiente. No podrá entenderse concedida de modo implícito o por tiempo indeterminado. Tampoco podrá permitir la subdelegación a autoridades distintas del propio Gobierno."</w:t>
      </w:r>
    </w:p>
    <w:p w:rsidR="008107C7" w:rsidRDefault="008107C7" w:rsidP="008107C7">
      <w:pPr>
        <w:pStyle w:val="TextoNormal"/>
      </w:pPr>
      <w:r>
        <w:t>La delegación caduca al cumplirse el plazo establecido para su ejercicio, en este caso caducó en el mes de julio de 1991. La Constitución nos dice que no cabe la delegación "por tiempo indeterminado".</w:t>
      </w:r>
    </w:p>
    <w:p w:rsidR="008107C7" w:rsidRDefault="008107C7" w:rsidP="008107C7">
      <w:pPr>
        <w:pStyle w:val="TextoNormal"/>
      </w:pPr>
      <w:r>
        <w:t>La Disposición final quinta de la Ley 31/1991 podría haber acordado una nueva delegación legislativa a favor del Gobierno, cumpliendo todo lo exigido por el art. 82.3 C.E. Si así se hubiese hecho, nada tendríamos ahora que objetar. Sin embargo, lo que en esa Disposición final quinta se lleva a cabo es una autorización al Gobierno para hacer uso de la autorización establecida en la Disposición final segunda de la Ley 8/1990, ya caducada. A mi entender, la decisión de resucitar a un muerto, como es reactivar una delegación caducada, puede ser ingeniosa, pero, desde luego, resulta inconstitucional.</w:t>
      </w:r>
    </w:p>
    <w:p w:rsidR="008107C7" w:rsidRDefault="008107C7" w:rsidP="008107C7">
      <w:pPr>
        <w:pStyle w:val="TextoNormal"/>
      </w:pPr>
      <w:r>
        <w:t>C) Respecto a la segunda cuestión que se planteó en la deliberación del Pleno (y que, como hemos dicho, es la única que se aborda en la Sentencia), o sea, la utilización de la Ley de Presupuestos como soporte de la delegación legislativa, la solución adoptada supone un cambio en la doctrina de este Tribunal Constitucional, tan claramente expuesta en la STC 76/1992. Si entonces se consideró que era inconstitucional la modificación de un precepto de la Ley General Tributaria (art.  130), relativo a la ejecución forzosa de las deudas tributarias que implica entrada en domicilio, por considerar que carecía de "vinculación suficiente" con la función constitucional de la Ley de Presupuestos, mi opinión es que la aprobación por el Gobierno del Texto Refundido de la Ley sobre Régimen del Suelo y Ordena</w:t>
      </w:r>
      <w:r>
        <w:lastRenderedPageBreak/>
        <w:t>ción Urbana (materia ajena a la propia de una Ley de Presupuestos) estuvo viciada de inconstitucionalidad, dado el vehículo utilizado para efectuar la delegación, o sea, la Ley de Presupuestos.</w:t>
      </w:r>
    </w:p>
    <w:p w:rsidR="008107C7" w:rsidRDefault="008107C7" w:rsidP="008107C7">
      <w:pPr>
        <w:pStyle w:val="TextoNormal"/>
      </w:pPr>
      <w:r>
        <w:t>A pesar del loable esfuerzo de la Sentencia para convencernos de que la Disposición final quinta "no es una Disposición que por sí misma contenga una regulación material", mi posición personal sigue estando con la severa doctrina de este Tribunal, contenida en la mencionada STC 76/1992.</w:t>
      </w:r>
    </w:p>
    <w:p w:rsidR="008107C7" w:rsidRDefault="008107C7" w:rsidP="008107C7">
      <w:pPr>
        <w:pStyle w:val="TextoNormal"/>
      </w:pPr>
      <w:r>
        <w:t>Pero la inconstitucionalidad más grave, según antes dije, hay que apreciarla en el contenido de la Disposición final quinta de la Ley 31/1991, redactada incumpliendo claramente los requisitos del art. 82.3 C.E.</w:t>
      </w:r>
    </w:p>
    <w:p w:rsidR="008107C7" w:rsidRDefault="008107C7" w:rsidP="008107C7">
      <w:pPr>
        <w:pStyle w:val="TextoNormal"/>
      </w:pPr>
      <w:r>
        <w:t>2º.- Sobre la inconstitucionalidad de las disposiciones supletorias.</w:t>
      </w:r>
    </w:p>
    <w:p w:rsidR="008107C7" w:rsidRDefault="008107C7" w:rsidP="008107C7">
      <w:pPr>
        <w:pStyle w:val="TextoNormal"/>
      </w:pPr>
      <w:r>
        <w:t>La Sentencia aplica la doctrina de la STC 118/1996 relativa a la supletoriedad. En consecuencia, procede a la declaración de inconstitucionalidad de 177 artículos del T.R.L.S (pronunciamiento 2º del fallo). En el Voto Particular a la STC 118/1996 apunté mis reservas a esa interpretación de la supletoriedad, que ahora expongo de una forma más minuciosa.</w:t>
      </w:r>
    </w:p>
    <w:p w:rsidR="008107C7" w:rsidRDefault="008107C7" w:rsidP="008107C7">
      <w:pPr>
        <w:pStyle w:val="TextoNormal"/>
      </w:pPr>
      <w:r>
        <w:t>Ante todo, hay que advertir que las diversas concepciones de la supletoriedad se apoyan, consciente o inconscientemente, en una de dos posibles maneras de ver y de entender el Estado de las Autonomías. O se piensa, de conformidad con lo afirmado en los arts. 1.2. y 2 C.E., que la soberanía nacional, de una Nación común e indivisible, reside en el pueblo español, del que emanan los poderes del Estado, cuya Constitución reconoce y garantiza la autonomía de las Comunidades; o se aboga, fuera de la Constitución, por una soberanía compartida por el Estado y por las Comunidades Autónomas.</w:t>
      </w:r>
    </w:p>
    <w:p w:rsidR="008107C7" w:rsidRDefault="008107C7" w:rsidP="008107C7">
      <w:pPr>
        <w:pStyle w:val="TextoNormal"/>
      </w:pPr>
      <w:r>
        <w:t>Para los defensores de la primera concepción del Estado de las Autonomías, sólo hay un ordenamiento jurídico ["España se constituye en un Estado social y democrático de Derecho, que propugna como valores superiores de su ordenamiento jurídico la libertad, la justicia, la igualdad y el pluralismo político" (art. 1.1 C.E.)], correspondiendo la caracterización de infraordenamientos, o de ordenamientos dentro del Estado, a los de las Comunidades Autónomas. El art. 149.3 encaja sin dificultad en esa idea del Estado diseñado por la Constitución de 1978: "Las materias no atribuídas expresamente al Estado por esta Constitución podrán corresponder a las Comunidades Autónomas, en virtud de sus respectivos Estatutos. La competencia sobre las materias que no se hayan asumido por los Estatutos de Autonomía corresponderá al Estado, cuyas normas prevalecerán, en caso de conflicto, sobre las de las Comunidades Autónomas en todo lo que no esté atribuído a la exclusiva competencia de éstas. El Derecho estatal será, en todo caso, supletorio del Derecho de las Comunidades Autónomas".</w:t>
      </w:r>
    </w:p>
    <w:p w:rsidR="008107C7" w:rsidRDefault="008107C7" w:rsidP="008107C7">
      <w:pPr>
        <w:pStyle w:val="TextoNormal"/>
      </w:pPr>
      <w:r>
        <w:t>Para quienes no aceptan la soberanía, única e indivisible, o defienden abiertamente la cosoberanía, la supletoriedad del Derecho estatal es algo inaceptable a radice, o que debe entenderse de un modo que la prive prácticamente de contenido. Ya advertí en mi Voto Particular a la STC 118/1996 que la doctrina de aquella Sentencia suponía la desfiguración del Estado de las Autonomías y la apertura a la implantación del modelo federal, "o, acaso, confederal", añado ahora.</w:t>
      </w:r>
    </w:p>
    <w:p w:rsidR="008107C7" w:rsidRDefault="008107C7" w:rsidP="008107C7">
      <w:pPr>
        <w:pStyle w:val="TextoNormal"/>
      </w:pPr>
      <w:r>
        <w:t>La doctrina de la STC 118/1996, recogida en ésta de la que estoy discrepando, se construye sobre la base de los siguientes elementos, según queda expuesto, esencialmente, en el fundamento jurídico 6º de aquélla:</w:t>
      </w:r>
    </w:p>
    <w:p w:rsidR="008107C7" w:rsidRDefault="008107C7" w:rsidP="008107C7">
      <w:pPr>
        <w:pStyle w:val="TextoNormal"/>
      </w:pPr>
      <w:r>
        <w:t xml:space="preserve">A) La supletoriedad es una "función referida al conjunto del ordenamiento jurídico, cuyo valor supletorio debe obtenerse por el aplicador del Derecho a través de las reglas de interpretación pertinentes, incluida la vía analógica, y no ser impuesta directamente por el legislador desde normas especialmente aprobadas con tal exclusivo propósito, para incidir en la </w:t>
      </w:r>
      <w:r>
        <w:lastRenderedPageBreak/>
        <w:t>reglamentación jurídica de sectores materiales en los que el Estado carece de todo título competencial que justifique dicha reglamentación” (Es lo que se había afirmado en la STC 147/1991, fundamento jurídico 7º).</w:t>
      </w:r>
    </w:p>
    <w:p w:rsidR="008107C7" w:rsidRDefault="008107C7" w:rsidP="008107C7">
      <w:pPr>
        <w:pStyle w:val="TextoNormal"/>
      </w:pPr>
      <w:r>
        <w:t>B) Están viciadas de incompetencia las normas que “el Estado dicte con el único propósito de crear Derecho supletorio del de las Comunidades Autónomas en materias que sean de la exclusiva competencia de éstas, lo cual no es constitucionalmente legítimo cuando todos los Estatutos de Autonomía atribuyen a las Comunidades Autónomas la competencia como exclusiva y en un mismo grado de homogeneidad” (Se repite también lo dicho en la STC 147/1991, fundamento jurídico 7º).</w:t>
      </w:r>
    </w:p>
    <w:p w:rsidR="008107C7" w:rsidRDefault="008107C7" w:rsidP="008107C7">
      <w:pPr>
        <w:pStyle w:val="TextoNormal"/>
      </w:pPr>
      <w:r>
        <w:t>C) Asímismo están viciadas de incompetencias las normas que el Estado dicte con el carácter de Derecho “meramente supletorio allí donde ostente competencias en la materia, v.gr., para regular lo básico", esto es, cuando la materia es compartida, puesto que el Estado ha de poder "invocar algún título específico que le habilite en concreto para establecer la reglamentación de que se trate, sin que, (¼), pueda invocar como tal la cláusula de supletoriedad", que no constituye "una cláusula universal atributiva de competencias para legislar sobre cualesquiera materia a favor del Estado” (STC 118/1996, fundamento jurídico 5º). En efecto, “si para dictar cualesquiera normas precisa el Estado de un título competencial específico que las justifique, y la supletoriedad no lo es, esa conclusión ha de mantenerse en todo caso. Por lo tanto, tampoco en las materias en las que el Estado ostenta competencias compartidas puede, excediendo el tenor de los títulos que se las atribuye y penetrando en el ámbito reservado por la Constitución y los Estatutos a las Comunidades Autónomas, producir normas jurídicas meramente supletorias, pues tales normas, al invocar el amparo de una cláusula como la supletoriedad que, por no ser título competencial, no puede dárselo, constituyen una vulneración del orden constitucional de competencias”.</w:t>
      </w:r>
    </w:p>
    <w:p w:rsidR="008107C7" w:rsidRDefault="008107C7" w:rsidP="008107C7">
      <w:pPr>
        <w:pStyle w:val="TextoNormal"/>
      </w:pPr>
      <w:r>
        <w:t>D) La inconstitucional trae causa de que “la regla de la supletoriedad no constituye una cláusula atributiva de competencias” (STC 118/1996, fundamento jurídico 6º). Es una regla dirigida al aplicador del Derecho, no al Estado: “la supletoriedad del Derecho estatal ha de ser inferida por el aplicador del Derecho autonómico, mediante el uso de las reglas de interpretación pertinentes” (STC 118/1996, fundamento jurídico 6º). Esto obedece a que “el presupuesto de aplicación de la supletoriedad que la Constitución establece no es la ausencia de regulación, sino la presencia de una laguna detectada como tal por el aplicador del Derecho” (STC 118/1996, fundamento jurídico 8º).</w:t>
      </w:r>
    </w:p>
    <w:p w:rsidR="008107C7" w:rsidRDefault="008107C7" w:rsidP="008107C7">
      <w:pPr>
        <w:pStyle w:val="TextoNormal"/>
      </w:pPr>
      <w:r>
        <w:t>Los dos elementos esenciales sobre los que se monta esta doctrina son los que hemos apuntado en último lugar: por un lado, la cláusula del art.149.3 C.E. no es atributiva de competencias y, por otro lado, es una cláusula dirigida al aplicador del Derecho autonómico. Más aún, precisamente porque es una cláusula dirigida al aplicador del Derecho autonómico, el Estado carece de competencias para dictar normas meramente supletorias. El Derecho estatal es supletorio, no porque lo diga el propio Estado, sino porque lo considere así el aplicador del Derecho autonómico.</w:t>
      </w:r>
    </w:p>
    <w:p w:rsidR="008107C7" w:rsidRDefault="008107C7" w:rsidP="008107C7">
      <w:pPr>
        <w:pStyle w:val="TextoNormal"/>
      </w:pPr>
      <w:r>
        <w:t>La no aceptación, por mi parte, de esta interpretación de la supletoriedad del Derecho estatal es la que me obliga a formular el Voto Particular. Yo no creo que el art. 149.3 C.E. deba valorarse en términos similares a los que la doctrina civilista utiliza para ponderar los art.4.3 y 13.2 del C.C. El primero de ellos establece que “las disposiciones de este Código se aplicarán como supletorias en las materias regidas por otras leyes”; el otro precepto dispone: “En lo demás, y con pleno respeto a los derechos especiales o forales de las provincias o territorio en que están vigentes, regirá el Código Civil como derecho supletorio, en defecto del que lo sea en cada una de aquéllas, según sus normas especiales.”</w:t>
      </w:r>
    </w:p>
    <w:p w:rsidR="008107C7" w:rsidRDefault="008107C7" w:rsidP="008107C7">
      <w:pPr>
        <w:pStyle w:val="TextoNormal"/>
      </w:pPr>
      <w:r>
        <w:lastRenderedPageBreak/>
        <w:t>Es manifiesto que el Código Civil y, en particular, los preceptos indicados no conceden ni al Estado ni a las provincias o territorios forales competencia alguna. Se dirigen al aplicador del Derecho especial o foral para que “en defecto” de lo dispuesto en estas normas, se apliquen las normas del Código Civil. Ahora bien, ¿este razonamiento es aplicable a la Constitución y al art.  149.3 C.E.? En mi opinión no, por las siguientes razones:</w:t>
      </w:r>
    </w:p>
    <w:p w:rsidR="008107C7" w:rsidRDefault="008107C7" w:rsidP="008107C7">
      <w:pPr>
        <w:pStyle w:val="TextoNormal"/>
      </w:pPr>
      <w:r>
        <w:t>1ª. Como afirmó la STC 147/1991, la supletoriedad es una “función referida al conjunto del ordenamiento jurídico”, no a una concreta norma jurídica estatal.  Es decir, se refiere a la relación entre ordenamientos jurídicos, el estatal y el autonómico.  Por lo tanto, debemos distinguir esta función del ordenamiento estatal de la posible existencia de una competencia para crear normas supletorias.</w:t>
      </w:r>
    </w:p>
    <w:p w:rsidR="008107C7" w:rsidRDefault="008107C7" w:rsidP="008107C7">
      <w:pPr>
        <w:pStyle w:val="TextoNormal"/>
      </w:pPr>
      <w:r>
        <w:t>No pueden ser confundidos estos dos cometidos. A mi juicio, el art. 149.3 C.E.  se refiere al primer cometido, a la función de supletoriedad del ordenamiento jurídico estatal. No atribuye, al Estado, expressis verbis, ninguna competencia para crear normas supletorias. En definitiva, la supletoriedad es una función del conjunto del ordenamiento jurídico estatal con independencia del alcance de la competencia estatal o autonómica. No es, ni puede ser, ningún título competencial, sino una consecuencia añadida a las competencias estatales, o más exactamente, un efecto de la naturaleza del ordenamiento estatal, así como del carácter de sub-ordenamiento del autonómico.</w:t>
      </w:r>
    </w:p>
    <w:p w:rsidR="008107C7" w:rsidRDefault="008107C7" w:rsidP="008107C7">
      <w:pPr>
        <w:pStyle w:val="TextoNormal"/>
      </w:pPr>
      <w:r>
        <w:t>Aquí radica, en mi opinión, uno de los extremos más confusos y equivocados de la STC 118/1996, cuya doctrina vuelve a consagrarse ahora, en la Sentencia que suscita este Voto discrepante. Mi tesis es que el Estado no precisa de ningún título competencial para dictar normas de carácter supletorio. La supletoriedad es del ordenamiento estatal, no emana de una competencia ni de una norma. Es la consecuencia derivada del ejercicio por parte del Estado de sus potestades para la inserción de sus preceptos en el seno de un ordenamiento que despliega respecto del autonómico esa función de suplencia a la que se refiere el art. 149.3 C.E., en atención a que se trata del ordenamiento del Estado, o sea, de España (art. 1.1 C.E.).</w:t>
      </w:r>
    </w:p>
    <w:p w:rsidR="008107C7" w:rsidRDefault="008107C7" w:rsidP="008107C7">
      <w:pPr>
        <w:pStyle w:val="TextoNormal"/>
      </w:pPr>
      <w:r>
        <w:t>Por otro lado, debemos distinguir entre las causas de la aplicación supletoria del ordenamiento estatal y los modos o maneras de creación de las normas estatales de aplicación supletoria.</w:t>
      </w:r>
    </w:p>
    <w:p w:rsidR="008107C7" w:rsidRDefault="008107C7" w:rsidP="008107C7">
      <w:pPr>
        <w:pStyle w:val="TextoNormal"/>
      </w:pPr>
      <w:r>
        <w:t>2ª. La “aplicación” supletoria del ordenamiento estatal por parte del “aplicador del Derecho autonómico” puede producirse en dos supuestos de índole distinta. Primero, ante una laguna normativa; segundo, ante la inexistencia de legislación autonómica (anomia), como consecuencia del inejercicio de la competencia autonómica.</w:t>
      </w:r>
    </w:p>
    <w:p w:rsidR="008107C7" w:rsidRDefault="008107C7" w:rsidP="008107C7">
      <w:pPr>
        <w:pStyle w:val="TextoNormal"/>
      </w:pPr>
      <w:r>
        <w:t>En el primer supuesto, la supletoriedad estatal es una supletoriedad de segundo grado, ya que el ordenamiento autonómico es ordenamiento (aunque integrado en el ordenamiento del Estado) y, como tal, colma sus lagunas, cuando le es posible, acudiendo al resto de las normas integrantes de dicho ordenamiento. Ningún problema debe plantearse con relación a esta aplicación.</w:t>
      </w:r>
    </w:p>
    <w:p w:rsidR="008107C7" w:rsidRDefault="008107C7" w:rsidP="008107C7">
      <w:pPr>
        <w:pStyle w:val="TextoNormal"/>
      </w:pPr>
      <w:r>
        <w:t>El segundo supuesto (anomia autonómica) crea más dificultades. Muy difícilmente se puede integrar la anomia acudiendo, en primer grado, al propio ordenamiento jurídico autonómico.  Es evidente que el aplicador debe intentarlo. Sin embargo, cuando se trata de la ausencia de una completa ordenación, la aplicación de otras normas del mismo ordenamiento tiene unos efectos muy limitados e incluso inexistentes. En estos casos, la supletoriedad del ordenamiento estatal está justificada, podemos decir que es incluso imprescindible.</w:t>
      </w:r>
    </w:p>
    <w:p w:rsidR="008107C7" w:rsidRDefault="008107C7" w:rsidP="008107C7">
      <w:pPr>
        <w:pStyle w:val="TextoNormal"/>
      </w:pPr>
      <w:r>
        <w:lastRenderedPageBreak/>
        <w:t>3ª. En los supuestos de anomia autonómica y de aplicación supletoria del ordenamiento estatal (materialmente) en primer grado, son irrelevantes la materia y la competencia, porque, en todo caso, el “Derecho-ordenamiento estatal” será de aplicación supletoria. Ahora bien, ese ordenamiento estatal estará integrado por normas de “aplicación plena” o por normas “básicas”, fruto del ejercicio por el Estado de sus competencias exclusivas y básicas, respectivamente. ¿Puede el Estado dictar normas de aplicación supletoria?  Podemos dar por supuesto que siempre el entero ordenamiento estatal es un ordenamiento de aplicación supletoria, en cualquier ámbito o materia, sea de competencia exclusiva de las Comunidades Autónomas o compartidas, porque así lo dispone el art. 149.3 C.E. y así se corresponde con la naturaleza y función de dicho ordenamiento. Sin embargo, una respuesta más matizada a la pregunta planteada exige distinguir entre la hipótesis de una materia que sea objeto de competencia exclusiva y la hipótesis de materia de competencia compartida.</w:t>
      </w:r>
    </w:p>
    <w:p w:rsidR="008107C7" w:rsidRDefault="008107C7" w:rsidP="008107C7">
      <w:pPr>
        <w:pStyle w:val="TextoNormal"/>
      </w:pPr>
      <w:r>
        <w:t>4ª. Si la materia es de la competencia exclusiva de las Comunidades Autónomas, la STC 118/1996 sostiene que sería inconstitucional que el Estado pudiera dictar normas supletorias, porque el Estado carecería de competencia. Ahora bien, la STC 147/1991 expone una doctrina menos radical -de la que lamentablemente no se hace eco la presente Sentencia- a los efectos de precisar cuándo es procedente desautorizar las normas supletorias estatales en este supuesto de que las Comunidades Autónomas cuentan con competencias exclusivas:</w:t>
      </w:r>
    </w:p>
    <w:p w:rsidR="008107C7" w:rsidRDefault="008107C7" w:rsidP="008107C7">
      <w:pPr>
        <w:pStyle w:val="TextoNormal"/>
      </w:pPr>
      <w:r>
        <w:t>“Será, por consiguiente, ilegítima, por invasión competencial, aquella ordenación estatal de materias que hayan sido deferidas por los Estatutos de Autonomía a la competencia exclusiva de todas y cada una de las respectivas Comunidades Autónomas y en relación con las cuales el Estado no invoque algún título propio que le permita dictar normas generales sobre dichas materias, puesto que la asunción de competencias exclusivas confiere a las Comunidades Autónomas, no sólo el poder oponerse a que las normas del Estado incidan en esas materias sometidas a su competencia exclusiva con alcance de aplicación directa, sino que también atribuyen a las Comunidades decidir si tales materias deben ser sometidas, por su parte, a reglamentación específica y en qué momento debe hacerse, lo cual las legitima para negar a dichas normas estatales alcance supletorio, especialmente, cuando en ellas se establecen mandatos prohibitivos que, a pesar de su pretendido valor supletorio, resultan de aplicación directa, mientras que la Comunidad Autónoma no decida someter la materia a reglamentación propia.  Negarles dicha legitimación es tanto como imponerles, en contra de su voluntad, unas normas estatales en materias sobre las cuales el Estado no invoca título competencial distinto a la regla de la supletoriedad que no es, según se deja dicho, atributiva de competencias.” (fundamento jurídico 7º).</w:t>
      </w:r>
    </w:p>
    <w:p w:rsidR="008107C7" w:rsidRDefault="008107C7" w:rsidP="008107C7">
      <w:pPr>
        <w:pStyle w:val="TextoNormal"/>
      </w:pPr>
      <w:r>
        <w:t>Esta doctrina no niega que el Estado pueda dictar normas de aplicación supletoria en caso de materia de competencia exclusiva de la Comunidad Autónoma. Exige, a sensu contrario, que el Estado invoque algún título propio que le permita dictar normas generales sobre dichas materias. El Estado, si cuenta con tales títulos para incidir sobre la materia de la exclusiva competencia autonómica, afectándole de algún modo, puede dictar normas supletorias.</w:t>
      </w:r>
    </w:p>
    <w:p w:rsidR="008107C7" w:rsidRDefault="008107C7" w:rsidP="008107C7">
      <w:pPr>
        <w:pStyle w:val="TextoNormal"/>
      </w:pPr>
      <w:r>
        <w:t xml:space="preserve">5ª. Si la competencia sobre la materia ha sido objeto de distribución, creo que la STC 118/1996 va demasiado lejos, contradiciendo anteriores pronunciamientos del T.C. Sostiene la citada Sentencia que “si para dictar cualesquiera normas precisa el Estado de un título competencial específico que las justifique, y la supletoriedad no lo es, esa conclusión ha de mantenerse en todo caso. Por lo tanto, tampoco en las materias en las que el Estado ostenta competencias compartidas puede, excediendo el tenor de los títulos que se las atribuye y penetrando en el ámbito reservado por la Constitución y los Estatutos a las Comunidades Autónomas, producir normas jurídicas meramente supletorias, pues tales normas, al invocar el amparo de una cláusula como la supletoriedad que, por no ser título competencial, no </w:t>
      </w:r>
      <w:r>
        <w:lastRenderedPageBreak/>
        <w:t>puede dárselo, constituyen una vulneración del orden constitucional de competencias” (fundamento jurídico 6º).</w:t>
      </w:r>
    </w:p>
    <w:p w:rsidR="008107C7" w:rsidRDefault="008107C7" w:rsidP="008107C7">
      <w:pPr>
        <w:pStyle w:val="TextoNormal"/>
      </w:pPr>
      <w:r>
        <w:t>Ahora bien, no debe olvidarse que la supletoriedad es una función del ordenamiento estatal y que esa función se cumple sin necesidad de habilitación de competencia de tipo alguno. Así lo establece el art. 149.3 C.E. y así se deduce de la naturaleza y función del ordenamiento estatal.</w:t>
      </w:r>
    </w:p>
    <w:p w:rsidR="008107C7" w:rsidRDefault="008107C7" w:rsidP="008107C7">
      <w:pPr>
        <w:pStyle w:val="TextoNormal"/>
      </w:pPr>
      <w:r>
        <w:t>Más matizada era la la STC 214/1989, de 21 de diciembre (fundamento jurídico 30):</w:t>
      </w:r>
    </w:p>
    <w:p w:rsidR="008107C7" w:rsidRDefault="008107C7" w:rsidP="008107C7">
      <w:pPr>
        <w:pStyle w:val="TextoNormal"/>
      </w:pPr>
      <w:r>
        <w:t>“En realidad, la Junta de Galicia no tiene en cuenta el hecho de que al Estado se le haya atribuido la competencia exclusiva para fijar las bases del régimen jurídico de las Administraciones Públicas, en nada le imposibilita -todo lo contrario- para poder establecer un marco normativo general regulador del «régimen local», ya que el Derecho estatal es, en todo caso, supletorio del Derecho de las Comunidades Autónomas (art. 149.3 C.E.). Es evidente, pues, que la mera habilitación legal para que pueda dictarse esa normativa global o de conjunto ninguna lesión de las competencias de la Comunidad Autónoma de Galicia conlleva. No hay tampoco «uniformización» alguna del régimen local, porque con ello no se produce desapoderamiento competencial alguno de las Comunidades Autónomas. Antes bien, con ello el Estado atiende a una exigencia fundamental, que no es otra que la de prevenir un marco normativo general que venga a cubrir no sólo las consecuencias resultantes de los diferentes niveles competenciales existentes en la materia entre unas y otras Comunidades, sino también la simple inactividad normativa que transitoriamente, o no, pueda producirse en aquellas Comunidades Autónomas con competencia para desarrollar las normas básicas estatales. Serán pues, las normas autonómicas que, ajustándose a las bases estatales, vayan dictándose, las que, en todo caso, desplazarán en su aplicabilidad directa o eficacia territorial a esas otras normas estatales no básicas dictadas al amparo de la Disposición final primera de la L.R.B.R.L.”</w:t>
      </w:r>
    </w:p>
    <w:p w:rsidR="008107C7" w:rsidRDefault="008107C7" w:rsidP="008107C7">
      <w:pPr>
        <w:pStyle w:val="TextoNormal"/>
      </w:pPr>
      <w:r>
        <w:t>Mientras que en el ámbito de la competencia exclusiva, la Comunidad Autónoma puede decidir, dentro de ciertos límites, ejercer o no su competencia, no debe suceder lo mismo cuando se trata de una materia compartida, porque, en este caso, se le estaría reconociendo a la Comunidad Autónoma un poder para neutralizar la competencia estatal a través del inejercicio de la competencia para el desarrollo y ejecución de la ordenación básica establecida por el Estado. La STC 214/1989 atina al observarlo; en cambio, la STC 118/1996 omite cualquier referencia sobre este extremo, ya que sólo analiza el problema desde la perspectiva autonómica.</w:t>
      </w:r>
    </w:p>
    <w:p w:rsidR="008107C7" w:rsidRDefault="008107C7" w:rsidP="008107C7">
      <w:pPr>
        <w:pStyle w:val="TextoNormal"/>
      </w:pPr>
      <w:r>
        <w:t>6ª. La supletoriedad es una función que cumple el ordenamiento estatal respecto del autonómico al servicio de bienes y valores constitucionales, como son la igualdad y la seguridad jurídica. Además, la posibilidad de que el Estado pueda dictar normas supletorias es un refuerzo de la garantía de que las competencias estatales no se vean impedidas de cumplir sus fines como consecuencia del inejercicio por parte de las Comunidades Autónomas de las suyas. Ciertamente, la intensidad de esa garantía debe modularse en función del alcance de la competencia estatal y su proyección sobre la autonómica.  Será menor cuando la competencia es incidental respecto de la competencia exclusiva autonómica, pero será más intensa cuando se trate de una competencia compartida. No es concebible que la competencia estatal pueda ser neutralizada por el inejercicio por parte de la Comunidad Autónoma de las suyas.</w:t>
      </w:r>
    </w:p>
    <w:p w:rsidR="008107C7" w:rsidRDefault="008107C7" w:rsidP="008107C7">
      <w:pPr>
        <w:pStyle w:val="TextoNormal"/>
      </w:pPr>
      <w:r>
        <w:t xml:space="preserve">7ª. La STC 118/1996 parece pretender salvaguardar, no tanto las competencias autonómicas (pues tal violación no podría darse en ningún caso), como la supuesta soberanía del aplicador del Derecho a la hora de integrar la laguna o inexistencia normativa.  Diríase que es preferible que éstos “decidan” antes de que el Estado legisle. La seguridad jurídica queda </w:t>
      </w:r>
      <w:r>
        <w:lastRenderedPageBreak/>
        <w:t>como un valor secundario, o inexistente, frente al “plusvalor” de la “decisión” o de la “soberanía” del “aplicador del Derecho”. En definitiva, frente a la seguridad jurídica respaldada por la supletoriedad del legislador estatal se prefiere el “decisionismo” o el “constructivismo” normativo del aplicador del Derecho.</w:t>
      </w:r>
    </w:p>
    <w:p w:rsidR="008107C7" w:rsidRDefault="008107C7" w:rsidP="008107C7">
      <w:pPr>
        <w:pStyle w:val="TextoNormal"/>
      </w:pPr>
      <w:r>
        <w:t>8ª. La doctrina de la STC 118/1996 no garantiza la igualdad de los españoles.  Esto es particularmente manifiesto en el caso de que la competencia sobre la materia estuviera compartida. Si el legislador estatal legisla sobre lo básico y las Comunidades Autónomas no ejercen sus competencias sobre su desarrollo, además de no ejercer la función ejecutiva en estos casos, según parece, el aplicador del Derecho debería sustituir al legislador y al Gobierno autonómico hasta tanto estos ejerzan sus competencias, pero ello supone que la ordenación resultante es la del caso concreto, lo que no garantiza suficientemente la igualdad de todos los españoles.</w:t>
      </w:r>
    </w:p>
    <w:p w:rsidR="008107C7" w:rsidRDefault="008107C7" w:rsidP="008107C7">
      <w:pPr>
        <w:pStyle w:val="TextoNormal"/>
      </w:pPr>
      <w:r>
        <w:t>En el supuesto, por ejemplo, de la materia urbanística, sólo una Comunidad Autónoma (Cataluña) cuenta con una ordenación completa de la materia, con capacidad, por lo tanto, para desplazar la legislación supletoria estatal. En los demás casos, de no existir esta última legislación, la estatal, ¿cómo se integraría la ausencia de norma autonómica? ¿Los Ayuntamientos procederían, a través de sus planteamientos, a integrar la ordenación en materia de propiedad en la ordenación urbanística?  ¿Se asegura así la igualdad básica de los españoles en el ejercicio de sus derechos?.</w:t>
      </w:r>
    </w:p>
    <w:p w:rsidR="008107C7" w:rsidRDefault="008107C7" w:rsidP="008107C7">
      <w:pPr>
        <w:pStyle w:val="TextoNormal"/>
      </w:pPr>
      <w:r>
        <w:t>9ª y última razón de mi discrepancia con la doctrina de la supletoriedad que acoge la presente Sentencia: La STC 118/1996 olvidó cuál es la vertebración de nuestro Estado de las autonomías, basado en el principio de que la autonomía de las Comunidades Autónomas sólo tiene sentido dentro de la unidad del Estado (art. 2 C.E.)  y que se predica de entidades (parciales) que constituyen las piezas de la “organización territorial” del Estado (art. 137 C.E.). Por lo tanto, existe un único Estado (España) que tiene como correlato un único ordenamiento jurídico.  Ya transcribí al respecto el art. 1.1 C.E.  En ese único ordenamiento se insertan los ordenamientos de las Comunidades Autónomas, en cuanto partes del mismo. Desde esta perspectiva, y sólo desde ésta, se puede entender que el ordenamiento estatal pueda operar “en todo caso” (art.  149.3 C.E.), como un Derecho supletorio.</w:t>
      </w:r>
    </w:p>
    <w:p w:rsidR="008107C7" w:rsidRDefault="008107C7" w:rsidP="008107C7">
      <w:pPr>
        <w:pStyle w:val="TextoNormal"/>
      </w:pPr>
      <w:r>
        <w:t>En la Sentencia de la mayoría, finalmente, se aprecia la inconstitucionalidad de la disposición que declara el carácter supletorio de determinados preceptos y, además, se decide que éstos son también inconstitucionales. En la línea argumental de la Sentencia (que yo no comparto) tal vez hubiera sido menos desacertado anular la disposición que califica de supletorios a ciertos preceptos y dejar que sean los Jueces y Tribunales los que decidan si los preceptos así calificados deben regir o no, según los casos, como Derecho supletorio. Al determinar que son inconstitucionales se hace imposible que, apreciada una laguna, el órgano judicial pueda suplirla, pues el Derecho estatal habrá desaparecido. Con la solución adoptada resulta imposible toda distinción entre la desregulación y las lagunas, pues éstas siempre deberán interpretarse como resultado de una voluntad desreguladora. Aun faltando la voluntad expresa de no regular, el vacio normativo será equivalente a la intención de no dictar normas.</w:t>
      </w:r>
    </w:p>
    <w:p w:rsidR="008107C7" w:rsidRDefault="008107C7" w:rsidP="008107C7">
      <w:pPr>
        <w:pStyle w:val="TextoNormal"/>
      </w:pPr>
      <w:r>
        <w:t>La supletoriedad debe ser apreciada por el Juez. El legislador no ha de imponerle cuándo debe aplicar supletoriamente el Derecho del Estado, pero debe producir normas a las que el Juez pueda acudir cuando, encontrándose ante una laguna, le sea preciso colmarla.</w:t>
      </w:r>
    </w:p>
    <w:p w:rsidR="008107C7" w:rsidRDefault="008107C7" w:rsidP="008107C7">
      <w:pPr>
        <w:pStyle w:val="TextoNormal"/>
      </w:pPr>
      <w:r>
        <w:t>3º.- Sobre la competencia del Estado en materia de urbanismo.</w:t>
      </w:r>
    </w:p>
    <w:p w:rsidR="008107C7" w:rsidRDefault="008107C7" w:rsidP="008107C7">
      <w:pPr>
        <w:pStyle w:val="TextoNormal"/>
      </w:pPr>
      <w:r>
        <w:t xml:space="preserve">1.  En el Preámbulo de la Ley 8/1990, de 25 de julio, sobre Reforma del Régimen Urbanístico y Valoraciones del Suelo, se afirma: “Esta Ley pretende, en el ámbito de las competencias constitucionales del Estado, modificar, (¼) el régimen hasta ahora vigente sobre los </w:t>
      </w:r>
      <w:r>
        <w:lastRenderedPageBreak/>
        <w:t>derechos y deberes de los propietarios del suelo afectado por el proceso de urbanización y edificación, si bien no en su totalidad, sino limitándose a la fijación de las condiciones básicas que aseguran la igualdad de todos los españoles en el ejercicio de los mencionados derechos y deberes, al tiempo que se delimita, con el mismo carácter básico, la función social de la propiedad, de acuerdo con lo previsto en el art.149.1.1ª, en relación con el art. 33.2 de la Constitución.” El legislador es consciente de la debilidad del título o títulos de los que se sirve. “La delimitación constitucional de competencias -afirma- parece impedir que el Estado apruebe una nueva Ley sobre régimen del suelo y ordenación urbana con el mismo o similar contenido al del texto refundido actualmente vigente, con pretensión de aplicación plena, ya que su regulación supondría una manifiesta invasión de las competencias autonómicas en materia de ordenación del territorio y urbanismo.” Estas dudas se basan en el tenor literal del art. 148.1.3ª C.E. que atribuye a las Comunidades Autónomas competencias sobre la materia "ordenación del territorio, urbanismo y vivienda". Los Estatutos de Autonomía de las Comunidades Autónomas incluyen esta competencia entre las que la Comunidad asume a título de exclusiva. Es cierto que esta exclusividad no puede ser interpretada de tal manera que sea obstáculo al ejercicio de las competencias que al Estado corresponden. Ahora bien, el conflicto competencial es distinto -y por lo tanto reclama soluciones distintas- según se produzca, por un lado, entre competencias autonómicas y estatales exclusivas, o, por otro lado, entre competencias que, respecto de un ámbito determinado, ocupan una posición central, o tangencial o incidental a la materia. A este segundo grupo pertenece el conflicto que hoy resolvemos.</w:t>
      </w:r>
    </w:p>
    <w:p w:rsidR="008107C7" w:rsidRDefault="008107C7" w:rsidP="008107C7">
      <w:pPr>
        <w:pStyle w:val="TextoNormal"/>
      </w:pPr>
      <w:r>
        <w:t>Las Comunidades Autónomas tienen una competencia centrada en la materia (ordenación del territorio, urbanismo y vivienda). En cambio el Estado, al menos, una competencia incidental o tangencial (el régimen jurídico de la propiedad urbana). Sin perjuicio de lo dudoso de este título, esta inicial apreciación nos debe conducir a una cierta prevención en el modo o forma de resolver el conflicto. Prevención o cautela que debe traducirse en la conveniencia de que la resolución del mismo no se haga acudiendo a la solución más fácil de reconstruir el título competencial estatal en una suerte de competencia sobre las bases de la materia (el urbanismo). La incidencia de títulos competenciales estatales sobre materias de las Comunidades Autónomas y el cómo integrarlas en un todo coherente, es un problema no resuelto ni en la doctrina ni en la jurisprudencia.  Tal vez porque estamos ante un problema que no tiene solución jurídica, sino política. Es necesario el ejercicio cooperativo de las respectivas competencias, con lealtad para con el otro sujeto y para con el conjunto del sistema. Las competencias no pueden ejercerse en soledad, como si el titular de las mismas no formase parte de un sistema, de un ordenamiento, en suma, de un Estado.</w:t>
      </w:r>
    </w:p>
    <w:p w:rsidR="008107C7" w:rsidRDefault="008107C7" w:rsidP="008107C7">
      <w:pPr>
        <w:pStyle w:val="TextoNormal"/>
      </w:pPr>
      <w:r>
        <w:t>Nos encontramos ante uno más de estos supuestos difíciles de resolver. El Estado alega, por de pronto, un título competencial dudoso, pero, en todo caso, incidental o tangencial a la materia.  Las Comunidades Autónomas, otro, centrado en la materia.  ¿Cómo resolver este conflicto?.</w:t>
      </w:r>
    </w:p>
    <w:p w:rsidR="008107C7" w:rsidRDefault="008107C7" w:rsidP="008107C7">
      <w:pPr>
        <w:pStyle w:val="TextoNormal"/>
      </w:pPr>
      <w:r>
        <w:t>A mi juicio, la solución tiene dos fases. En primer lugar, debemos precisar qué es el urbanismo y, en segundo lugar, cómo ha distribuido la Constitución las competencias sobre esa materia.</w:t>
      </w:r>
    </w:p>
    <w:p w:rsidR="008107C7" w:rsidRDefault="008107C7" w:rsidP="008107C7">
      <w:pPr>
        <w:pStyle w:val="TextoNormal"/>
      </w:pPr>
      <w:r>
        <w:t xml:space="preserve">2.  La palabra urbanismo procede de la latina urbs-urbis (ciudad). De acuerdo con este significado etimológico, el Diccionario de la Real Academia de la Lengua Española recoge la siguiente definición: “Conjunto de conocimientos relativos a la creación, desarrollo, reforma y progreso de las poblaciones según conviene a las necesidades de la vida humana”. De acuerdo con una definición descriptiva ya clásica, el urbanismo es la ciencia que se ocupa de la ordenación y desarrollo de la ciudad, persiguiendo, con la ayuda de todos los </w:t>
      </w:r>
      <w:r>
        <w:lastRenderedPageBreak/>
        <w:t>medios técnicos, determinar la mejor situación de las vías, edificios e instalaciones públicas y de las viviendas privadas, de modo que la población se asiente en forma cómoda, sana y agradable. Ahora bien, cuando la Constitución se refiere en el art. 148.1.3ª al urbanismo, no está considerando la Ciencia urbanística. Se esta refiriendo al urbanismo como hecho social, ordenado por los poderes públicos para producir un resultado: la calidad de vida (Preámbulo y el art. 45 de la Constitución). Desde esta perspectiva, el urbanismo, como objeto de la ciencia y de los poderes públicos atiende a la ordenación y desarrollo de la ciudad para alcanzar una digna calidad de vida.  Como objeto de una política, el urbanismo tiene, por un lado, que servir a unos objetivos constitucionales (art. 46 y 47 C.E.)  y, por otro lado, respetar un derecho constitucional: la propiedad (art. 33 C.E.).</w:t>
      </w:r>
    </w:p>
    <w:p w:rsidR="008107C7" w:rsidRDefault="008107C7" w:rsidP="008107C7">
      <w:pPr>
        <w:pStyle w:val="TextoNormal"/>
      </w:pPr>
      <w:r>
        <w:t>La política pública dirigida a la ordenación y desarrollo de la ciudad para alcanzar la calidad de vida debe velar por la utilización racional de todos los recursos naturales (“con el fin de proteger y mejorar la calidad de vida y defender y restaurar el medio ambiente”: art. 45.2 C.E.)  y debe, además, promover las condiciones necesarias y establecer las normas pertinentes para hacer efectivo el derecho de todos los españoles a disfrutar de una vivienda digna, regulando la utilización del suelo de acuerdo con el interés general para impedir la especulación, de tal modo que la comunidad participe en las plusvalías que genere la acción urbanística de los entes públicos (art. 47 C.E.).  Así pues, los poderes públicos han de garantizar -regulándolo- la utilización racional del suelo para: a) proteger y mejorar la calidad de vida y defender y restaurar el medio ambiente, y b) hacer efectivo el derecho de todos los españoles a disfrutar de una vivienda digna y adecuada. La antítesis que pudiera observarse en los objetivos no es tal. La Constitución habla siempre de utilización del suelo. Utilización por y para el hombre (calidad de vida), pero sin quebranto más allá de lo razonable del medio ambiente (utilización racional), lo que hoy se condensa en el principio de desarrollo sostenible (que el uso que ahora hacemos de los recursos naturales no impida o dificulte el uso que de esos mismos recursos puedan y quieran dar las generaciones futuras). La racionalidad de la utilización viene dada por la sostenibilidad del uso, en los términos que hemos indicado.</w:t>
      </w:r>
    </w:p>
    <w:p w:rsidR="008107C7" w:rsidRDefault="008107C7" w:rsidP="008107C7">
      <w:pPr>
        <w:pStyle w:val="TextoNormal"/>
      </w:pPr>
      <w:r>
        <w:t>Junto a estos principios, la Constitución sienta otros particularmente relevantes para lo que ahora nos interesa. El art. 47 C.E. establece que los poderes públicos deben, a fin de alcanzar los objetivos indicados, regular la utilización del suelo de acuerdo con el interés general de impedir la especulación. Además, se añade, “la comunidad participará en las plusvalías que genere la acción urbanística de los entes públicos”. Quiere decirse, aunque indirectamente, que si hay especulación y existe plusvalía derivada de la acción urbanística de los entes públicos, uno de los elementos básicos del urbanismo -como hecho social y objeto de la política de los poderes públicos- es la propiedad del suelo. Si con el suelo puede especularse y pueden generarse plusvalías, podemos deducir que el constituyente estaba pensando en un modelo “privado” del urbanismo: en un urbanismo de mercado, basado en la propiedad.  Sólo respecto de este suelo tiene sentido lo que establece el precepto constitucional cuando se refiere a una suerte de superposición -a modo de ordenación o regulación- de lo público para reconducir el uso del suelo hacia la satisfacción del interés general y así impedir la especulación.</w:t>
      </w:r>
    </w:p>
    <w:p w:rsidR="008107C7" w:rsidRDefault="008107C7" w:rsidP="008107C7">
      <w:pPr>
        <w:pStyle w:val="TextoNormal"/>
      </w:pPr>
      <w:r>
        <w:t xml:space="preserve">El derecho de propiedad se nos presenta como el instituto que junto con la intervención pública definen los ejes centrales del urbanismo. Simplificando podemos decir que, a la vista de lo que nuestra Constitución establece, el urbanismo es propiedad y es acción de los poderes públicos. Ahora bien, no son dos pilares colocados en pie de igualdad.  A los poderes públicos se les encomienda la tarea de que “regulen” la propiedad “de acuerdo con el interés general para impedir la especulación”. Los constituyentes son conscientes -por una </w:t>
      </w:r>
      <w:r>
        <w:lastRenderedPageBreak/>
        <w:t>elemental evidencia histórica- de que la propiedad inmobiliaria abandonada a su propia suerte deriva hacia la especulación, o sea, hacia la patrimonialización de rentas no derivadas de la puesta en producción del propio suelo, sino de la acción de la sociedad y, en particular, de los entes públicos. No es circunstancial que la especulación se asocia con la retención del suelo, con el “no hacer nada”, la espera, la inactividad.</w:t>
      </w:r>
    </w:p>
    <w:p w:rsidR="008107C7" w:rsidRDefault="008107C7" w:rsidP="008107C7">
      <w:pPr>
        <w:pStyle w:val="TextoNormal"/>
      </w:pPr>
      <w:r>
        <w:t>El urbanismo, propiedad y “regulación” de los poderes públicos, en lo términos utilizados por la Constitución, pero regulación para, por un lado, proteger y mejorar la calidad de vida, y por otro lado, hacer efectivo el derecho a disfrutar de una vivienda.</w:t>
      </w:r>
    </w:p>
    <w:p w:rsidR="008107C7" w:rsidRDefault="008107C7" w:rsidP="008107C7">
      <w:pPr>
        <w:pStyle w:val="TextoNormal"/>
      </w:pPr>
      <w:r>
        <w:t>Cuando la Constitución atribuye a las Comunidades Autónomas el urbanismo, ¿qué es lo que atribuye? ¿Cuál es el alcance de esta competencia?</w:t>
      </w:r>
    </w:p>
    <w:p w:rsidR="008107C7" w:rsidRDefault="008107C7" w:rsidP="008107C7">
      <w:pPr>
        <w:pStyle w:val="TextoNormal"/>
      </w:pPr>
      <w:r>
        <w:t>3. El urbanismo -como objeto de la actuación de los poderes públicos- es la política de ordenación y desarrollo de la ciudad: “regula” la utilización del suelo para, como ya nos consta, por un lado, proteger y mejorar la calidad de vida, y por otro lado, hacer efectivo el derecho a disfrutar de una vivienda.  Esto se traduce en lo siguiente:</w:t>
      </w:r>
    </w:p>
    <w:p w:rsidR="008107C7" w:rsidRDefault="008107C7" w:rsidP="008107C7">
      <w:pPr>
        <w:pStyle w:val="TextoNormal"/>
      </w:pPr>
      <w:r>
        <w:t>a) El urbanismo es una política de los poderes públicos competentes, o sea, las Comunidades Autónomas (art. 148.1.3ª C.E.);</w:t>
      </w:r>
    </w:p>
    <w:p w:rsidR="008107C7" w:rsidRDefault="008107C7" w:rsidP="008107C7">
      <w:pPr>
        <w:pStyle w:val="TextoNormal"/>
      </w:pPr>
      <w:r>
        <w:t>b) Esta política tiene como fines, por un lado, proteger y mejorar la calidad de vida, y por otro lado, hacer efectivo el derecho a disfrutar de una vivienda.</w:t>
      </w:r>
    </w:p>
    <w:p w:rsidR="008107C7" w:rsidRDefault="008107C7" w:rsidP="008107C7">
      <w:pPr>
        <w:pStyle w:val="TextoNormal"/>
      </w:pPr>
      <w:r>
        <w:t>c) El instrumento de esta política es la regulación de la utilización del suelo al servicio del interés general y para impedir la especulación.</w:t>
      </w:r>
    </w:p>
    <w:p w:rsidR="008107C7" w:rsidRDefault="008107C7" w:rsidP="008107C7">
      <w:pPr>
        <w:pStyle w:val="TextoNormal"/>
      </w:pPr>
      <w:r>
        <w:t>Por lo tanto, la competencia en materia de urbanismo supone, necesariamente, la regulación de la utilización del suelo y, lo que eso implica, la regulación de la propiedad. De esto eran conscientes los constituyentes cuando atribuyeron a las Comunidades Autónomas la competencia que comentamos; además, se apoya en un hecho notorio: el urbanismo siempre ha supuesto regulación de la propiedad. El art. 76 del antiguo Texto Refundido de la Ley sobre Régimen del suelo y ordenación urbana (aprobado por Real Decreto 1.346/1976, de 9 de abril) establecía que “las facultades del derecho de propiedad se ejercerán dentro de los límites y con el cumplimiento de los deberes establecidos en esta Ley, o, en virtud de la misma, por los Planes de Ordenación, con arreglo a la clasificación urbanística de los predios.” Se diga como se diga, el urbanismo es y ha sido siempre “regulación de la utilización del suelo”, esto es, regulación de la propiedad del suelo. Y a las Comunidades Autónomas les compete la regulación de dicha utilización y, por consiguiente, la regulación de la institución jurídica en virtud de la cual esa utilización se produce, o sea, la propiedad.</w:t>
      </w:r>
    </w:p>
    <w:p w:rsidR="008107C7" w:rsidRDefault="008107C7" w:rsidP="008107C7">
      <w:pPr>
        <w:pStyle w:val="TextoNormal"/>
      </w:pPr>
      <w:r>
        <w:t>4. Sentado lo anterior, debemos interrogarnos ahora sobre cómo el Estado puede incidir o afectar la competencia autonómica definida en los términos expuestos. En la Sentencia se dice lo siguiente: “¼ ha de afirmarse que la competencia autonómica exclusiva sobre urbanismo ha de integrarse sistemáticamente con aquellas otras estatales que, si bien en modo alguno podrían legitimar una regulación general del entero régimen jurídico del suelo, pueden propiciar, sin embargo, que se afecte puntualmente a la materia urbanística (establecimiento de las condiciones básicas que garanticen la igualdad en el ejercicio del derecho de propiedad urbana, determinados aspectos de la expropiación forzosa o de la responsabilidad administrativa).  Pero ha de añadirse, a renglón seguido, que no debe perderse de vista que en el reparto competencial efectuado por la C.E. es a las C.C.A.A. a las que se ha atribuido la competencia exclusiva sobre el urbanismo, y por ende es a tales Entes públicos a los que compete emanar normas que afecten a la ordenación urbanística, en el sentido más arriba expuesto” (fundamento jurídico 6º b).</w:t>
      </w:r>
    </w:p>
    <w:p w:rsidR="008107C7" w:rsidRDefault="008107C7" w:rsidP="008107C7">
      <w:pPr>
        <w:pStyle w:val="TextoNormal"/>
      </w:pPr>
      <w:r>
        <w:t xml:space="preserve">Esta afectación puntual se produce por la vía del ejercicio del Estado de su competencia definida en el art. 149.1.1ª C.E..  La Sentencia sostiene que “el indicado título competencial </w:t>
      </w:r>
      <w:r>
        <w:lastRenderedPageBreak/>
        <w:t>sólo tiene por objeto garantizar la igualdad de las condiciones de ejercicio del derecho de propiedad urbana y en el cumplimiento de los deberes inherentes a la función social, pero no, en cambio, la ordenación de la ciudad, el urbanismo entendido en sentido objetivo. ¼ Habrá que distinguir, pues, aquellas normas urbanísticas que guardan una directa e inmediata relación con el derecho de propiedad (ámbito al que se circunscribe el art.  149.1.1ª C.E.)  y del que se predican las condiciones básicas, de aquellas otras que tienen por objeto o se refieren a la ordenación de la ciudad, esto es, las normas que, en sentido amplio, regulan la actividad de urbanización y edificación de los terrenos para la creación de ciudad” (fundamento jurídico 9º, b).</w:t>
      </w:r>
    </w:p>
    <w:p w:rsidR="008107C7" w:rsidRDefault="008107C7" w:rsidP="008107C7">
      <w:pPr>
        <w:pStyle w:val="TextoNormal"/>
      </w:pPr>
      <w:r>
        <w:t>Sin perjuicio de lo que más adelante se indicará respecto del título competencial alegado, la Sentencia construye su opinión sobre la base de que es posible distinguir entre estatuto de la propiedad urbana y urbanismo. De tal manera que el Estado puede regular sobre el contenido básico y primario de dicha propiedad sin interferir en la materia urbanismo, o sea, sin que el Estado se convierta, en consecuencia, en legislador urbanístico, aunque sólo sea en lo básico. Esta loable pretensión choca con la realidad material de las cosas y con el propio significado profundo de lo que es el urbanismo, como ya hemos indicado. Además, choca con los propios términos utilizados por la C.E.  cuando lleva a cabo la distribución de competencias. En efecto, la interpretación que la Sentencia realiza convierte al Estado en legislador básico en materia de urbanismo, en contradicción, por un lado, con un título competencial que sólo habilita una incidencia tangencial (ex art. 149.1.1ª C.E.)  y, por otro lado, en contra de la atribución que la C.E. y los Estatutos de Autonomía efectúa en exclusiva a las C.C.A.A. de la materia urbanística.</w:t>
      </w:r>
    </w:p>
    <w:p w:rsidR="008107C7" w:rsidRDefault="008107C7" w:rsidP="008107C7">
      <w:pPr>
        <w:pStyle w:val="TextoNormal"/>
      </w:pPr>
      <w:r>
        <w:t>Este conflicto con la realidad (material e institucional) y con la propia distribución de competencias, conduce a que la Sentencia se vea obligada más adelante a abandonar el criterio inicialmente sentado en los términos ya indicados. Este abandono se produce por dos vías. La primera vía es la del decisionismo voluntarista. Ante la imposibilidad de distinguir en cada caso qué preceptos caen en el ámbito de la competencia estatal y cuáles otros en el de las C.C.A.A., dado que no cabe distinguir entre estatuto de la propiedad urbana y ordenación urbanística, la Sentencia considera que un precepto cae en un ámbito, y otro precepto, relativo a cuestión próxima o similar, cae en el otro ámbito. Expondremos luego, a título de ejemplo, algunas de las contradicciones en las que, a mi juicio, incurre la Sentencia.</w:t>
      </w:r>
    </w:p>
    <w:p w:rsidR="008107C7" w:rsidRDefault="008107C7" w:rsidP="008107C7">
      <w:pPr>
        <w:pStyle w:val="TextoNormal"/>
      </w:pPr>
      <w:r>
        <w:t>La segunda vía es la de que el único criterio realmente operativo para calibrar la inconstitucionalidad de las normas, una vez descartada la posibilidad de distinguir entre normas relativas a la propiedad y las urbanísticas, es el de la densidad normativa o el grado de detalle del precepto.</w:t>
      </w:r>
    </w:p>
    <w:p w:rsidR="008107C7" w:rsidRDefault="008107C7" w:rsidP="008107C7">
      <w:pPr>
        <w:pStyle w:val="TextoNormal"/>
      </w:pPr>
      <w:r>
        <w:t>A) Las contradicciones en que incurre la Sentencia producto del decisionismo voluntarista.</w:t>
      </w:r>
    </w:p>
    <w:p w:rsidR="008107C7" w:rsidRDefault="008107C7" w:rsidP="008107C7">
      <w:pPr>
        <w:pStyle w:val="TextoNormal"/>
      </w:pPr>
      <w:r>
        <w:t xml:space="preserve">Se declaran inconstitucionales los siguientes preceptos -referidos directamente al “régimen urbanístico de la propiedad del suelo” (Título I)-, que establecen: el aprovechamiento urbanístico susceptible de apropiación (art. 27), las formas de concreción del aprovechamiento urbanístico (art.  29.1), la reducción del derecho al aprovechamiento urbanístico en actuaciones sistemáticas (art. 30.1) y asistemáticas (art. 31.1 y 2), el aprovechamiento atribuible en expropiaciones no motivadas por incumplimiento de deberes urbanísticos (art. 32), no adquisición del derecho a edificar (art. 34), los plazos para la edificación (art. 35.1), los efectos de la extinción del derecho a edificar (art. 36.2), las consecuencias que se anudan a la edificación sin licencia e incompatible con el planeamiento (art.  38.2 y 3), la sujeción a expropiación o venta forzosa del terreno en caso de que el propietario no hubiera adquirido el derecho al aprovechamiento urbanístico cuando solicitó la licencia anulada (art. 40.3), las </w:t>
      </w:r>
      <w:r>
        <w:lastRenderedPageBreak/>
        <w:t>consecuencias de la inactividad de la Administración en caso de incumplimiento de los deberes urbanísticos (art. 42.1, 2 y 3).</w:t>
      </w:r>
    </w:p>
    <w:p w:rsidR="008107C7" w:rsidRDefault="008107C7" w:rsidP="008107C7">
      <w:pPr>
        <w:pStyle w:val="TextoNormal"/>
      </w:pPr>
      <w:r>
        <w:t>En cambio, no son inconstitucionales -en algunos casos no fueron objeto de impugnación por los recurrentes, lo que en nada es contradictorio con lo que queremos indicar-: la clasificación del territorio municipal en suelo urbano, urbanizable y no urbanizable [art. 3.2c)], la función social de la propiedad (art.  5), la no indemnizabilidad por la ordenación (art. 6), la participación en las plusvalías y reparto equitativo (art. 7), la utilización conforme a la ordenación territorial y urbanística (art. 8), la clasificación del territorio en suelo urbano, urbanizable o en su caso apto para urbanizar y no urbanizable (art. 9.1), el destino del suelo no urbanizable (art. 15), la prohibición de fraccionamientos en suelo no urbanizable contrarios a la legislación agraria o en otra aplicable (art.  16.1), las áreas de especial protección en el suelo no urbanizable (art. 17), el deber de los propietarios afectados de incorporarse al proceso urbanizador y edificatorio (art. 19), los deberes legales de uso, conservación y rehabilitación (art. 21), la inmodificación de la situación del titular de la finca como consecuencia de su enajenación (art.  22), las facultades urbanísticas de la propiedad (art. 23), la adquisición y extinción del derecho a urbanizar (artículos 24 y 25), la adquisición del derecho al aprovechamiento urbanístico (art.  26), la adquisición y no adquisición del derecho a edificar (artículos 33 y 34), así como los efectos de su extinción (art. 36.1), la adquisición del derecho a la edificación (art.  37), el régimen de la edificación sin licencia e incompatible con el planeamiento (art. 38.1), la licencia ilegal y expropiación o venta forzosa (art. 40), así como, por último, la edificación con exceso de aprovechamiento (art.  41).</w:t>
      </w:r>
    </w:p>
    <w:p w:rsidR="008107C7" w:rsidRDefault="008107C7" w:rsidP="008107C7">
      <w:pPr>
        <w:pStyle w:val="TextoNormal"/>
      </w:pPr>
      <w:r>
        <w:t>Veamos algunas de las contradicciones que yo percibo:</w:t>
      </w:r>
    </w:p>
    <w:p w:rsidR="008107C7" w:rsidRDefault="008107C7" w:rsidP="008107C7">
      <w:pPr>
        <w:pStyle w:val="TextoNormal"/>
      </w:pPr>
      <w:r>
        <w:t>a) Se declaran constitucionales varios artículos por entenderse que forman parte del estatuto básico de la propiedad urbana. A pesar del tenor literal del precepto, la Sentencia considera que “el art. 149.1.1ª C.E. ¼ autoriza ¼ la fijación de algunas de las finalidades que guardan una directa e inmediata relación con los derechos y deberes constitucionales en juego”. Así, considera que las finalidades indicadas guardan relación con lo dispuesto en los art.  33.2, 47 y 128.1 C.E.. Es evidente que existe tal conexión. Ahora bien, lo que no es tan evidente es que la misma justifique y legitime la competencia del Estado para establecer esa conexión y declarar que la acción urbanística debe cumplir los fines expuestos. Es manifiesto que todos los poderes públicos están sujetos a la Constitución (art.  9.1 C.E.). No significa esto que basta cualquier conexión con la Constitución para que el Estado se vea legitimado para dictar una ordenación, particularmente en ámbitos materiales como el urbanismo que a las C.C.A.A. les compete (art. 148.1.3ª C.E.). Es más, las C.C.A.A. al ejercer sus competencias deben procurar alcanzar esos fines precisamente porque los impone la Constitución, sin necesidad de la intermediación del Estado.</w:t>
      </w:r>
    </w:p>
    <w:p w:rsidR="008107C7" w:rsidRDefault="008107C7" w:rsidP="008107C7">
      <w:pPr>
        <w:pStyle w:val="TextoNormal"/>
      </w:pPr>
      <w:r>
        <w:t xml:space="preserve">Los otros artículos enumeran las clases de suelo (urbano, urbanizable y no urbanizable). La Sentencia afirma que “sin esa clasificación previa que ¼ encaja en el art. 149.1.1ª C.E., no sería posible regular condición básica alguna del ejercicio del derecho de propiedad urbana que aquel precepto reserva al Estado, puesto que constituye la premisa, a partir del cual se fijan tales condiciones básicas”.  Ciertamente, esto es así. Ahora bien, deben ser tres clases o sólo dos, o una. Acaso se confunde la operación clasificatoria del suelo (asignar al suelo las distintas clases establecidas en la Ley) con la misma operación que efectúa el legislador de fijar que son dos o más clases las que el planificador debe aplicar (a través de la primera operación) sobre el suelo físico correspondiente.  Ciertamente, la primera operación es imprescindible.  Ahora bien, que sean dos o más clases las que el legislador establezca, eso ya escapa al título competencial del Estado.  En coherencia con la doctrina de la Sentencia, el Estado puede legislar sobre el derecho de propiedad urbana, por lo tanto podría </w:t>
      </w:r>
      <w:r>
        <w:lastRenderedPageBreak/>
        <w:t>delimitar los criterios en virtud de los cuales el suelo puede ser “clasificado” como urbano, pero nada más.</w:t>
      </w:r>
    </w:p>
    <w:p w:rsidR="008107C7" w:rsidRDefault="008107C7" w:rsidP="008107C7">
      <w:pPr>
        <w:pStyle w:val="TextoNormal"/>
      </w:pPr>
      <w:r>
        <w:t>b) Se tachan de inconstitucionales la prohibición de las parcelaciones urbanísticas, pero no así las contrarias a la legislación agraria u otra, como si una y otra, de acuerdo con el criterio sentado por la Sentencia, no delimitasen negativamente el derecho de propiedad. Si la legislación agraria delimita negativamente el derecho de propiedad, también la legislación urbanística lo hace. Por lo tanto, quien regula el derecho en positivo también lo regula en negativo.</w:t>
      </w:r>
    </w:p>
    <w:p w:rsidR="008107C7" w:rsidRDefault="008107C7" w:rsidP="008107C7">
      <w:pPr>
        <w:pStyle w:val="TextoNormal"/>
      </w:pPr>
      <w:r>
        <w:t>c) Se tacha de inconstitucional la concreción del derecho al aprovechamiento urbanístico (arts.  27 y 29), pero no así el deber de destinar efectivamente los terrenos y construcciones al uso en cada caso establecido por el planeamiento urbanístico (art.  21).</w:t>
      </w:r>
    </w:p>
    <w:p w:rsidR="008107C7" w:rsidRDefault="008107C7" w:rsidP="008107C7">
      <w:pPr>
        <w:pStyle w:val="TextoNormal"/>
      </w:pPr>
      <w:r>
        <w:t>d) Se tacha de inconstitucional las consecuencias de la falta de adquisición del derecho a edificar (art. 34), pero se considera constitucional el cómo se adquiere ese mismo derecho (art. 33), así como los efectos de su extinción (art. 36).</w:t>
      </w:r>
    </w:p>
    <w:p w:rsidR="008107C7" w:rsidRDefault="008107C7" w:rsidP="008107C7">
      <w:pPr>
        <w:pStyle w:val="TextoNormal"/>
      </w:pPr>
      <w:r>
        <w:t>e) Se tacha de inconstitucional que el propietario pueda solicitar nueva licencia en caso de que no hubiese transcurrido el plazo para solicitarla (art. 38.2), pero no que la edificación realizada sin licencia, o sin ajustarse a sus condiciones e incompatible con el planeamiento vigente, sea demolida sin indemnización (art. 38.1). En puridad, si se busca la igualdad parece que debe buscarse tanto en lo negativo (la demolición) como en lo positivo (la posibilidad de solicitar licencia). Más aún, si la edificación sin licencia es compatible con el planeamiento, cabe la legalización mediante el procedimiento de solicitar licencia (art. 39). Por lo tanto, vemos lo artificioso de la distinción.  Sólo el estatuto básico de la propiedad urbana es competencia del Estado, ¿por qué el propietario de la edificación ilegal incompatible con el planeamiento no puede solicitar licencia y, en cambio, el de la compatible con el planeamiento sí puede?. ¿Estamos ante urbanismo o ante propiedad?</w:t>
      </w:r>
    </w:p>
    <w:p w:rsidR="008107C7" w:rsidRDefault="008107C7" w:rsidP="008107C7">
      <w:pPr>
        <w:pStyle w:val="TextoNormal"/>
      </w:pPr>
      <w:r>
        <w:t>f) Se tacha de inconstitucional la concreción de la consecuencia de que el propietario titular de una licencia ilegal anulada en caso de que no hubiera adquirido el derecho al aprovechamiento (art. 40.3), pero no cuando la edificación se realice sin licencia o sin ajustarse a sus condiciones e incompatible con el planeamiento (art. 38.1).  En el primer caso, se dispone la expropiación del terreno o su venta forzosa; en el segundo caso, la demolición sin indemnización.</w:t>
      </w:r>
    </w:p>
    <w:p w:rsidR="008107C7" w:rsidRDefault="008107C7" w:rsidP="008107C7">
      <w:pPr>
        <w:pStyle w:val="TextoNormal"/>
      </w:pPr>
      <w:r>
        <w:t>En definitiva, la Sentencia se basa en una tesis que, en su aplicación concreta, genera confusión. Resulta artificiosa la distinción entre estatuto básico de la propiedad urbana y urbanismo. El urbanismo supone necesariamente regulación de la propiedad.  Precisar cuándo un precepto forma parte de uno u otro ámbitos, es una tarea que conduce a soluciones discutibles.  Discutibles porque el criterio manejado lo es. Esto conduce a que el fallo deba basarse en la mayor o menor “densidad normativa” de la regulación estatal.</w:t>
      </w:r>
    </w:p>
    <w:p w:rsidR="008107C7" w:rsidRDefault="008107C7" w:rsidP="008107C7">
      <w:pPr>
        <w:pStyle w:val="TextoNormal"/>
      </w:pPr>
      <w:r>
        <w:t>B) El criterio realmente operativo que maneja la Sentencia es el de la densidad normativa.</w:t>
      </w:r>
    </w:p>
    <w:p w:rsidR="008107C7" w:rsidRDefault="008107C7" w:rsidP="008107C7">
      <w:pPr>
        <w:pStyle w:val="TextoNormal"/>
      </w:pPr>
      <w:r>
        <w:t xml:space="preserve">Ante la inadecuación del criterio empleado, la Sentencia acude a otro criterio “operativo”, el grado de detalle de la norma estatal. El reproche de inconstitucionalidad al legislador estatal se basa en que invade la competencia autonómica en materia urbanística en atención no ya a su distinta naturaleza, sino al dato “cuantitativo” del “detalle”, la “densidad normativa”, la “concreta y extensa regulación legal”, la “concreta expresión legal” de la regulación estatal. Así, por ejemplo, sobre la base de este criterio la sentencia declara inconstitucional el art. 27 T.R.L.S. [“¼ en primer lugar, por el carácter fijo y no mínimo tanto de la determinación del aprovechamiento urbanístico susceptible de apropiación por los propietarios, como implícitamente de la recuperación por la comunidad de las plusvalías urbanísticas; en segundo lugar, porque tal determinación la establece acudiendo a un complejo </w:t>
      </w:r>
      <w:r>
        <w:lastRenderedPageBreak/>
        <w:t>entramado de concretas técnicas urbanísticas (áreas de reparto, aprovechamiento tipo), que pertenecen a la competencia exclusiva en materia de urbanismo de las Comunidades Autónomas (art.  148.1.3º C.E.)"].  También se declara inconstitucional el art.  29.1 T.R.L.S. Se afirma lo siguiente: “No es, pues, la materia de fondo -pautas o criterios acerca de la concreción del aprovechamiento urbanístico-, sino su concreta y extensa regulación legal, tanto del presupuesto de hecho como de sus efectos jurídicos, consecuencia de la refundición, la que no se ajusta al orden constitucional de competencias” ¼</w:t>
      </w:r>
    </w:p>
    <w:p w:rsidR="008107C7" w:rsidRDefault="008107C7" w:rsidP="008107C7">
      <w:pPr>
        <w:pStyle w:val="TextoNormal"/>
      </w:pPr>
      <w:r>
        <w:t>Si la regulación estatal incurre en tales vicios, se produce, según parece, la transmutación de la materia: de estatuto básico de “propiedad urbana” se convierte en “urbanismo”. Esta es una muestra de que la distinción resulta inadecuada. El urbanismo es regulación de la propiedad inmobiliaria. La pretensión de que el urbanismo no supone regular la propiedad, o que la propiedad del suelo urbano puede regularse separadamente del urbanismo, conduce al decisionismo. La utilización del criterio de la Sentencia confirma que entre “estatuto básico de la propiedad urbana” y “urbanismo” no existe diferencia de sustancia, como incialmente parecía querer sostenerse.</w:t>
      </w:r>
    </w:p>
    <w:p w:rsidR="008107C7" w:rsidRDefault="008107C7" w:rsidP="008107C7">
      <w:pPr>
        <w:pStyle w:val="TextoNormal"/>
      </w:pPr>
      <w:r>
        <w:t>4º.- La interpretación expansiva del título estatal del art.  149.1.1ª C.E. y su transformación en un título que convierte al legislador estatal en una suerte de legislador básico en materia del estatuto jurídico de la propiedad urbana.</w:t>
      </w:r>
    </w:p>
    <w:p w:rsidR="008107C7" w:rsidRDefault="008107C7" w:rsidP="008107C7">
      <w:pPr>
        <w:pStyle w:val="TextoNormal"/>
      </w:pPr>
      <w:r>
        <w:t>1.  La Sentencia elabora una construcción interpretativa del título competencial contenido en el art. 149.1.1ª C.E.. Esta construcción, en su vertiente de “delimitación positiva de la competencia estatal”, podemos resumirla en los siguientes ítem:</w:t>
      </w:r>
    </w:p>
    <w:p w:rsidR="008107C7" w:rsidRDefault="008107C7" w:rsidP="008107C7">
      <w:pPr>
        <w:pStyle w:val="TextoNormal"/>
      </w:pPr>
      <w:r>
        <w:t>a) La competencia estatal ex art. 149.1.1ª C.E. se proyecta sólo sobre los derechos constitucionales en sentido estricto:</w:t>
      </w:r>
    </w:p>
    <w:p w:rsidR="008107C7" w:rsidRDefault="008107C7" w:rsidP="008107C7">
      <w:pPr>
        <w:pStyle w:val="TextoNormal"/>
      </w:pPr>
      <w:r>
        <w:t>El art. 149.1.1ª C.E. habilita al Estado para regular -como título autónomo, no residual o subsidiario- las condiciones básicas que garanticen la igualdad en el disfrute de los “derechos constitucionales en sentido estricto, así como los deberes básicos” (fundamento jurídico 7º, b), por lo que el Estado no puede formular, respecto de estos derechos y deberes, un “régimen jurídico acabado y completo” (fundamento jurídico 7º, b).</w:t>
      </w:r>
    </w:p>
    <w:p w:rsidR="008107C7" w:rsidRDefault="008107C7" w:rsidP="008107C7">
      <w:pPr>
        <w:pStyle w:val="TextoNormal"/>
      </w:pPr>
      <w:r>
        <w:t>b) La competencia estatal ex art. 149.1.1ª C.E. se refiere a las condiciones básicas para garantizar la igualdad</w:t>
      </w:r>
    </w:p>
    <w:p w:rsidR="008107C7" w:rsidRDefault="008107C7" w:rsidP="008107C7">
      <w:pPr>
        <w:pStyle w:val="TextoNormal"/>
      </w:pPr>
      <w:r>
        <w:t>“¼ al Estado le compete regular las «condiciones básicas» que garanticen la «igualdad» de todos los propietarios del suelo en el ejercicio de su derecho de propiedad urbana, esto es, la «igualdad básica» en lo que se refiere a las valoraciones y al régimen urbanístico de la propiedad del suelo” (fundamento jurídico 8º).</w:t>
      </w:r>
    </w:p>
    <w:p w:rsidR="008107C7" w:rsidRDefault="008107C7" w:rsidP="008107C7">
      <w:pPr>
        <w:pStyle w:val="TextoNormal"/>
      </w:pPr>
      <w:r>
        <w:t>c) La competencia estatal ex art. 149.1.1ª C.E. habilita al Estado para regular el contenido básico y primario del derecho de propiedad, además de aquellas otras cuestiones que guardan una relación necesaria e inmediata con dicho contenido.</w:t>
      </w:r>
    </w:p>
    <w:p w:rsidR="008107C7" w:rsidRDefault="008107C7" w:rsidP="008107C7">
      <w:pPr>
        <w:pStyle w:val="TextoNormal"/>
      </w:pPr>
      <w:r>
        <w:t xml:space="preserve">“Una comprensión sistemática del entero orden competencial induce a concluir, de acuerdo con nuestra jurisprudencia, que las «condiciones básicas» hacen referencia al contenido primario (STC 154/1988) del derecho, a las posiciones jurídicas fundamentales (facultades elementales, límites esenciales, deberes fundamentales, prestaciones básicas, ciertas premisas o presupuestos previos¼)” (fundamento jurídico 8º) “Dentro de esas «condiciones básicas» cabe entender incluidos asimismo aquellos criterios que guardan una relación necesaria e inmediata con aquéllas, tales como el objeto o ámbito material sobre el que recaen las facultades que integran el derecho ¼ los deberes, requisitos mínimos o condiciones básicas en que ha de ejercerse un derecho ¼ los requisitos indispensables o el marco organizativo que posibilitan el ejercicio mismo del derecho ¼” (fundamento jurídico 8º) Por lo tanto, al Estado le compete establecer “la regulación del contenido básico y primario del </w:t>
      </w:r>
      <w:r>
        <w:lastRenderedPageBreak/>
        <w:t>derecho de propiedad, en la medida en que afecte a las condiciones básicas de su ejercicio” (fundamento jurídico 9º a).  Sin embargo, “el referido título competencial no habilita por sí mismo para que el Estado pueda regular cualquier circunstancia que, de forma más o menos directa, pueda incidir sobre la igualdad en el ejercicio del derecho” (fundamento jurídico 9º, a).</w:t>
      </w:r>
    </w:p>
    <w:p w:rsidR="008107C7" w:rsidRDefault="008107C7" w:rsidP="008107C7">
      <w:pPr>
        <w:pStyle w:val="TextoNormal"/>
      </w:pPr>
      <w:r>
        <w:t>d) Sin embargo, la competencia estatal ex art. 149.1.1ª C.E.  no otorga al Estado con una competencia urbanística, que sigue correspondiendo a las Comunidades Autónomas.</w:t>
      </w:r>
    </w:p>
    <w:p w:rsidR="008107C7" w:rsidRDefault="008107C7" w:rsidP="008107C7">
      <w:pPr>
        <w:pStyle w:val="TextoNormal"/>
      </w:pPr>
      <w:r>
        <w:t>“El indicado título competencial sólo tiene por objeto garantizar la igualdad de las condiciones de ejercicio del derecho de propiedad urbana y en el cumplimiento de los deberes inherentes a la función social, pero no, en cambio, la ordenación de la ciudad, el urbanismo entendido en sentido objetivo. ¼ Habrá que distinguir, pues, aquellas normas urbanísticas que guardan una directa e inmediata relación con el derecho de propiedad (ámbito al que se circunscribe el art. 149.1.1ª C.E.)  y del que se predican las condiciones básicas, de aquellas otras que tienen por objeto o se refieren a la ordenación de la ciudad, esto es, las normas que, en sentido amplio, regulan la actividad de urbanización y edificación de los terrenos para la creación de ciudad” (fundamento jurídico 9º, b)</w:t>
      </w:r>
    </w:p>
    <w:p w:rsidR="008107C7" w:rsidRDefault="008107C7" w:rsidP="008107C7">
      <w:pPr>
        <w:pStyle w:val="TextoNormal"/>
      </w:pPr>
      <w:r>
        <w:t>e) Por lo tanto, la competencia estatal ex art. 149.1.1ª C.E. habilita al Estado para regular determinados aspectos del estatuto jurídico de la propiedad urbana</w:t>
      </w:r>
    </w:p>
    <w:p w:rsidR="008107C7" w:rsidRDefault="008107C7" w:rsidP="008107C7">
      <w:pPr>
        <w:pStyle w:val="TextoNormal"/>
      </w:pPr>
      <w:r>
        <w:t>“¼ cabe admitir que la adquisición del contenido urbanístico susceptible de apropiación privada, su valoración, o los presupuestos previos -o delimitación negativa- para que pueda nacer el derecho de propiedad urbana, por ejemplo, son elementos que, en principio, pueden considerarse amparados por la competencia estatal que se localiza en el art.  149.1.1ª C.E.(...).  Al mismo tiempo, el Estado tiene competencia para fijar las condiciones básicas que garanticen la igualdad en el cumplimiento de los deberes constitucionales y, en consecuencia, para regular los deberes básicos que sean inherentes a cada manifestación del dominio” (fundamento jurídico 10º).</w:t>
      </w:r>
    </w:p>
    <w:p w:rsidR="008107C7" w:rsidRDefault="008107C7" w:rsidP="008107C7">
      <w:pPr>
        <w:pStyle w:val="TextoNormal"/>
      </w:pPr>
      <w:r>
        <w:t>2. Esta doctrina -expuesta en su misma secuencia- no nos resulta convincente y, además, debemos alertar sobre sus consecuencias.</w:t>
      </w:r>
    </w:p>
    <w:p w:rsidR="008107C7" w:rsidRDefault="008107C7" w:rsidP="008107C7">
      <w:pPr>
        <w:pStyle w:val="TextoNormal"/>
      </w:pPr>
      <w:r>
        <w:t>A) No nos resulta convincente porque fuerza la interpretación del título competencial. El art.  149.1.1ª C.E.  habilita al Estado la competencia para “la regulación de las condiciones básicas que garanticen la igualdad de todos los españoles en el ejercicio de los derechos y en el cumplimiento de los deberes constitucionales”. Eso es lo que dice el texto constitucional. En cambio, la versión de la Sentencia se mueve entre la afirmación de principio y general de que ese título habilita una competencia estatal en los términos que el precepto utiliza y la afirmación específica y concreta de que dicho título habilita al Estado la competencia para regular “el contenido básico y primario del derecho de propiedad”; contenido que se identifica con las “condiciones básicas” de ese derecho y que es necesario regular para garantizar la igualdad de todos los españoles.</w:t>
      </w:r>
    </w:p>
    <w:p w:rsidR="008107C7" w:rsidRDefault="008107C7" w:rsidP="008107C7">
      <w:pPr>
        <w:pStyle w:val="TextoNormal"/>
      </w:pPr>
      <w:r>
        <w:t xml:space="preserve">El art. 149.1.1ª C.E. no es un título que postula -como ha llegado a sostenerse- una suerte de común denominador garantizador de las condiciones básicas de los derechos y deberes que se resuelve en primer término y ante todo, en una cierta homogeneidad, en lo que hace al contenido básico, de las posiciones jurídico-constitucional en sentido técnico-jurídico (derechos constitucionales stricto sensu), ni es una regla de reparto de competencias en cuanto a la regulación de los derechos y deberes constitucionales. Pero tampoco es un título que habilita al Estado para legislar sobre el contenido “primario y básico” del derecho de propiedad como si de un legislador básico se tratase. No es posible interpretar el precepto de tal manera que se construya otro distinto. Además, sentado este precedente respecto del </w:t>
      </w:r>
      <w:r>
        <w:lastRenderedPageBreak/>
        <w:t>derecho de propiedad, se plantea el interrogante de por qué el Estado se convierte en legislador básico sólo respecto de este derecho y no sobre los demás derechos constitucionales stricto sensu. Ciertamente, admitida la “excepción” y no justificada por qué es una excepción, no existe obstáculo alguno para que el art. 149.1.1ª C.E. se transforme en una suerte de regla competencial de reparto en la regulación de los derechos y deberes constitucionales, de tal modo que el Estado puede legislar sobre lo básico o primario de los derechos y deberes constitucionales. Esta interpretación puede conducir a un vaciamiento del sistema de la distribución de competencias llevada a cabo por la Constitución. ¿Acaso con este criterio el Estado no ganaría una posición competencial desde la que podría incidir (con la intensidad que la Sentencia admite) sobre cualquier ámbito o materia de la competencia de las Comunidades Autónomas en las que estuviera presente un derecho o deber constitucional?</w:t>
      </w:r>
    </w:p>
    <w:p w:rsidR="008107C7" w:rsidRDefault="008107C7" w:rsidP="008107C7">
      <w:pPr>
        <w:pStyle w:val="TextoNormal"/>
      </w:pPr>
      <w:r>
        <w:t>A mi juicio, la Constitución dice que el Estado puede regular las condiciones básicas que garanticen la igualdad de los españoles en el ejercicio de los derechos y en el cumplimiento de los deberes. Nada afirma respecto de que pueda regular el contenido básico o primario de estos mismos derechos y deberes constitucionales. Más bien parece referirse a las condiciones ad extra del derecho, no a su contenido (lo que podríamos denominar como sus condiciones ad intra). Esta interpretación se ve reforzada por las siguientes razones:</w:t>
      </w:r>
    </w:p>
    <w:p w:rsidR="008107C7" w:rsidRDefault="008107C7" w:rsidP="008107C7">
      <w:pPr>
        <w:pStyle w:val="TextoNormal"/>
      </w:pPr>
      <w:r>
        <w:t>a) Entendemos que el art. 149.1.1ª C.E. se refiere a las condiciones de disfrute, y no al contenido, del derecho constitucional. Si tenemos en cuenta que le compete al Estado la regulación del contenido de los derechos constitucionales de la Sección 1ª, Capítulo Segundo, Título I de la C.E. (SSTC 76/1983, 67/185), ya que debe llevarse a cabo a través de una Ley orgánica (art. 81 C.E.), se produciría una redundancia si entendiéramos que el Estado puede regular el contenido básico o primario del derecho tanto por la vía del artículo 81 como por la del 149.1.1ª C.E.. Ahora bien, podría considerarse que esa habilitación competencial opera respecto de los derechos constitucionales, como el de propiedad, que no forma parte de la citada sección. En este caso, podría contra- argumentarse preguntando por qué hay que interpretar que la referencia a los derechos constitucionales se debe entender hecha en favor sólo de estos últimos derechos y no todos los derechos constitucionales.  Además, el precepto pretende habilitar al Estado con un instrumento para garantizar la igualdad de los españoles en el ejercicio de los derechos constitucionales, todos los derechos constitucionales, no se entiende por qué debe hacerlo sólo respecto de los derechos que no forman parte de la citada sección 1ª.</w:t>
      </w:r>
    </w:p>
    <w:p w:rsidR="008107C7" w:rsidRDefault="008107C7" w:rsidP="008107C7">
      <w:pPr>
        <w:pStyle w:val="TextoNormal"/>
      </w:pPr>
      <w:r>
        <w:t>b) Sería un contrasentido considerar que el art. 53.1 C.E.  obliga al legislador a respetar el contenido esencial de los derechos constitucionales, pero en cambio el art. 149.1.1ª C.E. le habilita para regular el contenido básico o primario, o sea, su contenido esencial, en este caso, el del derecho de propiedad. Por lo tanto, desde esta perspectiva, la tesis de la Sentencia resulta discutible y acaso peligrosa.</w:t>
      </w:r>
    </w:p>
    <w:p w:rsidR="008107C7" w:rsidRDefault="008107C7" w:rsidP="008107C7">
      <w:pPr>
        <w:pStyle w:val="TextoNormal"/>
      </w:pPr>
      <w:r>
        <w:t>c) La jurisprudencia del T.C. ha sido especialmente prudente en la interpretación del art.  149.1.1 C.E. Tras insistir en que las condiciones básicas de igualdad no exigen un tratamiento jurídico uniforme de los derechos y deberes de los ciudadanos en todo el territorio del Estado (STC 150/1990), hemos afirmado (STC 152/1988) respecto del derecho a disfrutar de una vivienda -competencia autonómica como la urbanística-:</w:t>
      </w:r>
    </w:p>
    <w:p w:rsidR="008107C7" w:rsidRDefault="008107C7" w:rsidP="008107C7">
      <w:pPr>
        <w:pStyle w:val="TextoNormal"/>
      </w:pPr>
      <w:r>
        <w:t xml:space="preserve">«Por lo que se refiere el art. 149.1.1, éste faculta al Estado para regular las condiciones no ya que establezcan, sino que garanticen la igualdad sustancial de los españoles en el ejercicio de los derechos constitucionales.  Pero esta función de garantía básica en lo que atañe al derecho a disfrutar de una vivienda digna, es la que puede y debe desempeñar el Estado al instrumentar sus competencias sobre las bases y coordinación de la planificación </w:t>
      </w:r>
      <w:r>
        <w:lastRenderedPageBreak/>
        <w:t>económica del subsector vivienda y sobre las bases de ordenación del crédito. En otros términos, como declaramos en nuestra STC 146/1986, de 25 noviembre, "la persecución del interés general -en este caso, el relativo a la garantía de un vivienda adecuada para todos los españoles- se ha de materializar "a través de", no "a pesar de" los sistemas de reparto de competencias articulados en la C.E." (fundamento jurídico 3.º), de manera que la promoción de la igualdad sustancial y la acción estatal destinada al efecto "deben desplegarse teniendo en cuenta las peculiaridades de un sistema de autonomías territoriales" (fundamento jurídico 4.º).»</w:t>
      </w:r>
    </w:p>
    <w:p w:rsidR="008107C7" w:rsidRDefault="008107C7" w:rsidP="008107C7">
      <w:pPr>
        <w:pStyle w:val="TextoNormal"/>
      </w:pPr>
      <w:r>
        <w:t>También hemos afirmado (STC 87/1985), con relación a las normas sancionadoras de las CC.AA.:</w:t>
      </w:r>
    </w:p>
    <w:p w:rsidR="008107C7" w:rsidRDefault="008107C7" w:rsidP="008107C7">
      <w:pPr>
        <w:pStyle w:val="TextoNormal"/>
      </w:pPr>
      <w:r>
        <w:t>«Las Comunidades Autónomas pueden adoptar normas administrativas sancionadoras cuando, teniendo competencia sobre la materia sustantiva de que se trate, tales disposiciones se acomoden a las garantías constitucionales dispuestas en este ámbito del derecho sancionador (art. 25.1 C.E., básicamente), y no introduzcan divergencias irrazonables y desproporcionadas al fin perseguido respecto del régimen jurídico aplicable en otras partes del territorio (art.  149.1.1).” “La norma sancionadora autonómica habrá de atenerse a lo dispuesto en el art.  149.1.1 C.E., de modo que no podrá introducir tipos ni prever sanciones que difieran, sin fundamento razonable, de los ya recogidos en la normación válida para todo el territorio. Y también es cierto que el procedimiento sancionador habrá de atenerse al "administrativo común", cuya configuración es de exclusiva competencia estatal (art. 149.1.18 C.E.).  Pero, dentro de estos límites y condiciones, las normas autonómicas podrán desarrollar los principios básicos del ordenamiento sancionador estatal, llegando a modular tipos y sanciones -en el marco ya señalado-, porque esta posibilidad es inseparable de las exigencias de prudencia o de oportunidad, que pueden variar en los distintos ámbitos territoriales.  Por lo que aquí importa, y ya que lo impugnado es la modificación en las sanciones, puede decirse que la norma autonómica no infringirá lo dispuesto en el art.  149.1.1 si se limita a sancionar, aunque de distinto modo, una conducta también considerada ilícita en el ordenamiento general y si tal sanción se proyecta sobre un bien (el reconocido en el art. 38 C.E., en este caso) que no es distinto del también afectado por el derecho sancionador estatal, sin llegar a afectar a otros derechos constitucionalmente reconocidos.»</w:t>
      </w:r>
    </w:p>
    <w:p w:rsidR="008107C7" w:rsidRDefault="008107C7" w:rsidP="008107C7">
      <w:pPr>
        <w:pStyle w:val="TextoNormal"/>
      </w:pPr>
      <w:r>
        <w:t>Por último, respecto de las garantías básicas de la igualdad del uso del castellano, hemos considerado (STC 82/1986):</w:t>
      </w:r>
    </w:p>
    <w:p w:rsidR="008107C7" w:rsidRDefault="008107C7" w:rsidP="008107C7">
      <w:pPr>
        <w:pStyle w:val="TextoNormal"/>
      </w:pPr>
      <w:r>
        <w:t>«El Estado puede regular, si lo considera oportuno, las garantías básicas de la igualdad en el uso del castellano como lengua oficial ante todos los poderes públicos, así como las garantías del cumplimiento del deber de conocimiento del castellano, entre las que se halla la obligatoriedad de la enseñanza en ese idioma, a que este Tribunal se refirió en su STC. 6/1982, de 22 febrero.” “Pero no cabe entender que este título competencial habilite al Estado para regular, con carácter general, siquiera en sus aspectos básicos, la cooficialidad de las lenguas españolas distintas del castellano y su consiguiente utilización por los poderes públicos o el derecho al uso de las otras lenguas españolas oficiales por los particulares.  Interpretar el art.  149.1.1.ª, con el alcance que le otorga el Abogado del Estado, equivaldría a vaciar de contenido las competencias lingüísticas asumidas por las Comunidades Autónomas según sus Estatutos de acuerdo con lo dispuesto en el art. 3.2 de la Constitución.”</w:t>
      </w:r>
    </w:p>
    <w:p w:rsidR="008107C7" w:rsidRDefault="008107C7" w:rsidP="008107C7">
      <w:pPr>
        <w:pStyle w:val="TextoNormal"/>
      </w:pPr>
      <w:r>
        <w:t xml:space="preserve">Esta jurisprudencia ha precisado que el título del art. 149.1.1ª C.E. habilita para regular las condiciones, no el contenido, de los derechos constitucionales. Así, por ejemplo, ha admitido su utilización para limitar la competencia autonómica en materia sancionadora o lingüística, pero no se ha servido de este título para regular en lo básico el estatuto de dicha </w:t>
      </w:r>
      <w:r>
        <w:lastRenderedPageBreak/>
        <w:t>potestad ni de dichas competencias lingüísticas. Lo más importante es que, frente a un supuesto, la materia relativa a la vivienda, la jurisprudencia de la STC 152/1988 no admitió la posibilidad de que el Estado, sirviéndose del art.  149.1.1ª C.E., pudiera regular el contenido básico o primario del derecho a la vivienda.</w:t>
      </w:r>
    </w:p>
    <w:p w:rsidR="008107C7" w:rsidRDefault="008107C7" w:rsidP="008107C7">
      <w:pPr>
        <w:pStyle w:val="TextoNormal"/>
      </w:pPr>
      <w:r>
        <w:t>En definitiva, el art. 149.1.1ª C.E. debe ser interpretado a la luz de lo dispuesto en el art.  139 C.E.. En este artículo se dispone, por un lado, que todos los españoles tienen los mismos derechos y obligaciones en cualquier parte del territorio del Estado y, por otro lado, que ninguna autoridad podrá adoptar medidas que directa o indirectamente obstaculicen la libertad de circulación y establecimiento de las personas y la libre circulación de bienes en todo el territorio español. El art.  149.1.1ª C.E. habilita al Estado con una competencia para que regule las condiciones o circunstancias básicas o necesarias que asegure la materialización de estos resultados, en definitiva, garantizar la efectiva realización, en su dimensión territorial, del principio-derecho a la igualdad del art. 14 C.E.  En ningún caso, esta competencia tiene por qué traducirse en la habilitación de una competencia para regular el contenido del derecho, sino sólo las circunstancias indispensables para que se dé la igualdad de todos los españoles en el ejercicio de los derechos constitucionales.</w:t>
      </w:r>
    </w:p>
    <w:p w:rsidR="008107C7" w:rsidRDefault="008107C7" w:rsidP="008107C7">
      <w:pPr>
        <w:pStyle w:val="TextoNormal"/>
      </w:pPr>
      <w:r>
        <w:t>B) La doctrina analizada requiere mayor meditación. Si el Estado es competente, por obra del art. 149.1.1ª C.E., para legislar el contenido “básico y primario” del derecho de propiedad, lo que lo convertiría materialmente en una suerte de legislador básico, por extensión debemos admitir que también puede legislar en esta condición respecto de cualquier derecho constitucional, tanto los de la sección primera como los de la sección segunda del Capítulo Segundo del Título I de la Constitución. Esta conversión está llamada a provocar importantes repercusiones, que no podemos dejar de indicar. Por un lado, supone, como ya hemos dicho, que el contenido esencial de los derechos constitucionales, vedado al legislador, podría ser objeto de regulación por obra de la vía abierta por el art.  149.1.1ª C.E.. Por otro lado, si nos centramos en los derechos de la sección segunda (los de la primera, por su misma naturaleza y la distribución de competencias, parece que no caben dudas acerca de la competencia estatal, en particular por obra del artículo 81 C.E. y la exigencia de ley orgánica), la doctrina de la Sentencia podría conducir a habilitar al Estado a legislar las bases del régimen jurídico de cada uno de esos derechos y deberes.  Ciertamente, a la vista de la distribución de competencias puede decirse que respecto de esos mismos derechos y deberes el Estado ya ejerce similar competencia. Por lo tanto, la nueva doctrina es innecesaria, salvo en dos supuestos: la propiedad y la libertad de empresa.  Precisamente, en dos supuestos que, por sus propias características, tienen una importante vis expansiva. Pensemos en la libertad de empresa. Si el Estado tiene la competencia que la Sentencia le atribuye, queda habilitado para dictar una legislación básica de garantía de la igualdad de todos los españoles en el ejercicio de ese mismo derecho. Aquí se vuelven a plantear los problemas que nos encontramos respecto de la propiedad y el urbanismo, qué es una y cuál es otra; qué es libertad de empresa y cuál es la actividad económica singular.  Dicho de otra manera, se plantearía el problema de distinguir la institución aisladamente considerada (el derecho), de la institución operando en un sector o ámbito concreto. Distinción harto difícil cuando la institución (el derecho) es actividad.</w:t>
      </w:r>
    </w:p>
    <w:p w:rsidR="008107C7" w:rsidRDefault="008107C7" w:rsidP="008107C7">
      <w:pPr>
        <w:pStyle w:val="TextoNormal"/>
      </w:pPr>
      <w:r>
        <w:t xml:space="preserve">C) Por otro lado, ¿por qué sólo los derechos del Capítulo Tercero? ¿qué impide considerar los "derechos" del capítulo Tercero? No nos referimos a los principios rectores sino a aquellos derechos expresamente consignados en los preceptos de este Capítulo.  No podemos olvidar que el Tribunal Constitucional en su STC 152/1988 ya legitimó una interpretación extensiva de este calibre.  En efecto, en materia de vivienda consideró que el Estado, sobre la base del art.149.1.1ª C.E. en relación con el artículo 47 C.E., tiene una competencia </w:t>
      </w:r>
      <w:r>
        <w:lastRenderedPageBreak/>
        <w:t>para establecer una política de garantía básica del derecho a disfrutar de una vivienda digna y adecuada a través de ayudas con cargo exclusivamente a los presupuestos generales del Estado (política de vivienda de protección oficial). Por lo tanto, si se considera que el artículo 149.1.1ª C.E. es un título competencial que permite al Estado regular los derechos constitucionales, nada impide que entre esos derechos se pueda incluir los derechos constitucionales expressis verbis a los que alude algunos preceptos del Capítulos Tercero (derecho a la protección de la salud, artículo 43; derecho a disfrutar de un medio ambiente adecuado, art. 45; derecho a disfrutar de una vivienda, art. 47).  Además, ¿por qué sólo los derechos constitucionales expressis verbis, en realidad cuando la Constitución recoge en los preceptos del Capítulo Tercero obligaciones de los poderes públicos no está reconociendo derechos a los ciudadanos?. En definitiva, la doctrina de la que discrepamos tiene una fuerza expansiva de incalculable alcance.</w:t>
      </w:r>
    </w:p>
    <w:p w:rsidR="008107C7" w:rsidRDefault="008107C7" w:rsidP="008107C7">
      <w:pPr>
        <w:pStyle w:val="TextoNormal"/>
      </w:pPr>
      <w:r>
        <w:t>D) Por último, la prevención que manifestamos frente a la posibilidad de considerar el título del art.149.1.1ª C.E. como atributivo de una competencia autónoma, no residual o secundaria, se sitúa en la línea tradicional de este Tribunal Constitucional.</w:t>
      </w:r>
    </w:p>
    <w:p w:rsidR="008107C7" w:rsidRDefault="008107C7" w:rsidP="008107C7">
      <w:pPr>
        <w:pStyle w:val="TextoNormal"/>
      </w:pPr>
      <w:r>
        <w:t>3. A mi juicio, si el objetivo es garantizar la igualdad de los españoles en el ejercicio del derecho de propiedad existen otros caminos para llegar a la meta. En primer lugar, la igualdad está garantizada desde el momento en que se halla constitucionalizada en el art. 14 C.E.. Desde esta perspectiva, el T.C.  puede controlar cualquier ejercicio de la competencia autonómica que pudiera tacharse de discriminatorio por introducir diferencias injustificadas o arbitrarias. En segundo lugar, el Estado puede valerse de un título competencial expreso, el del art. 149.1.8ª C.E., para establecer un sustrato común al estatuto jurídico de la propiedad. No compartimos la afirmación -formulada de pasada- contenida en la Sentencia de la mayoría según la cuál este título se refiere a la vertiente ius privatista de la propiedad y que no alcanza a la vertiente pública de la misma.  Esta afirmación debe ser matizada. Por un lado, no puede decirse que lo público en el ámbito de la propiedad sea ajeno a la legislación civil, basta examinar lo relativo a las propiedades especiales incluido en el Código Civil. Por otro lado, hay que recordar que uno de los principios constitucionalmente configuradores de la propiedad es su función social, con independencia de su cauce de formalización (legislación civil o urbanística).</w:t>
      </w:r>
    </w:p>
    <w:p w:rsidR="008107C7" w:rsidRDefault="008107C7" w:rsidP="008107C7">
      <w:pPr>
        <w:pStyle w:val="TextoNormal"/>
      </w:pPr>
      <w:r>
        <w:t>Firmo este Voto Particular con el respeto que me merece la opinión mayoritaria del Pleno, lamentando no compartir, en este caso, tan autorizado parecer.</w:t>
      </w:r>
    </w:p>
    <w:p w:rsidR="008107C7" w:rsidRDefault="008107C7" w:rsidP="008107C7">
      <w:pPr>
        <w:pStyle w:val="TextoNormal"/>
      </w:pPr>
      <w:r>
        <w:t>Publíquese este Voto en el "Boletín Oficial del Estado".</w:t>
      </w:r>
    </w:p>
    <w:p w:rsidR="008107C7" w:rsidRDefault="008107C7" w:rsidP="008107C7">
      <w:pPr>
        <w:pStyle w:val="TextoNormal"/>
      </w:pPr>
      <w:r>
        <w:t>Madrid, a veinte de marzo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65" w:name="SENTENCIA_1997_62"/>
      <w:r>
        <w:lastRenderedPageBreak/>
        <w:t>SENTENCIA 62/1997, de 7 de abril de 1997</w:t>
      </w:r>
    </w:p>
    <w:bookmarkEnd w:id="65"/>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114, de 13 de mayo de 1997)</w:t>
      </w:r>
    </w:p>
    <w:p w:rsidR="008107C7" w:rsidRDefault="008107C7" w:rsidP="008107C7">
      <w:pPr>
        <w:pStyle w:val="TtuloBOE"/>
      </w:pPr>
    </w:p>
    <w:p w:rsidR="008107C7" w:rsidRDefault="008107C7" w:rsidP="008107C7">
      <w:pPr>
        <w:pStyle w:val="SntesisDescriptiva"/>
      </w:pPr>
      <w:r>
        <w:t>ECLI:ES:TC:1997:62</w:t>
      </w:r>
    </w:p>
    <w:p w:rsidR="008107C7" w:rsidRDefault="008107C7" w:rsidP="008107C7">
      <w:pPr>
        <w:pStyle w:val="SntesisDescriptiva"/>
      </w:pPr>
    </w:p>
    <w:p w:rsidR="008107C7" w:rsidRDefault="008107C7" w:rsidP="008107C7">
      <w:pPr>
        <w:pStyle w:val="SntesisDescriptiva"/>
      </w:pPr>
      <w:r>
        <w:t>Recurso de amparo 1.744/1993. Contra Sentencias de la Sala Segunda del Tribunal Supremo que casa y anula, la primera, la Sentencia de la Audiencia Provincial de Las Palmas de Gran Canaria, y condena, la segunda, al recurrente por delito fiscal y delitos contra la Hacienda Pública.</w:t>
      </w:r>
    </w:p>
    <w:p w:rsidR="008107C7" w:rsidRDefault="008107C7" w:rsidP="008107C7">
      <w:pPr>
        <w:pStyle w:val="SntesisDescriptiva"/>
      </w:pPr>
    </w:p>
    <w:p w:rsidR="008107C7" w:rsidRDefault="008107C7" w:rsidP="008107C7">
      <w:pPr>
        <w:pStyle w:val="SntesisAnaltica"/>
      </w:pPr>
      <w:r>
        <w:t>Supuesta vulneración del derechos a la tutela judicial efectiva y del principio de legalidad: inaplicación retroactiva en vía de casación de causa de absolución sobrevenida no lesiva de los derechos invocados. Voto  particular.</w:t>
      </w:r>
    </w:p>
    <w:p w:rsidR="008107C7" w:rsidRDefault="008107C7" w:rsidP="008107C7">
      <w:pPr>
        <w:pStyle w:val="SntesisAnaltica"/>
      </w:pPr>
    </w:p>
    <w:p w:rsidR="008107C7" w:rsidRDefault="008107C7" w:rsidP="008107C7">
      <w:pPr>
        <w:pStyle w:val="Extracto"/>
      </w:pPr>
      <w:r>
        <w:t>1.</w:t>
      </w:r>
      <w:r>
        <w:tab/>
        <w:t>No constituye una denegación de tutela la resolución de un órgano judicial de inadmisión de una determinada pretensión por incumplimiento de alguno de los requisitos exigidos por el legislador, siempre que su interpretación del precepto que lo sienta no sea arbitraria, manifiestamente irrazonable o fruto de un error patente (entre otras, SSTC 102/1984, 168/1988, 199/1994 y 255/1994), o, si del acceso inicial a la Justicia o del acceso al recurso del penalmente condenado se trata, siempre que, además, dicha interpretación, no sea reflejo de un «formalismo enervante» o dé lugar a una decisión desproporcionada a la vista de los intereses que en la misma se conciten (entre otras, SSTC 57/1984, 154/1987, 57/1988, 190/1994 y 37/1995). [F.J. 2]</w:t>
      </w:r>
    </w:p>
    <w:p w:rsidR="008107C7" w:rsidRDefault="008107C7" w:rsidP="008107C7">
      <w:pPr>
        <w:pStyle w:val="Extracto"/>
      </w:pPr>
    </w:p>
    <w:p w:rsidR="008107C7" w:rsidRDefault="008107C7" w:rsidP="008107C7">
      <w:pPr>
        <w:pStyle w:val="Extracto"/>
      </w:pPr>
      <w:r>
        <w:t>2.</w:t>
      </w:r>
      <w:r>
        <w:tab/>
        <w:t>Aunque se considere que la presente queja tiene por contenido una denegación de acceso a la Justicia -pues la pretensión controvertida se planteaba por primera vez- y no una denegación de recurso -el planteamiento se hacía en el de casación-, a la vista de que el recurrente no había sido condenado en primera instancia, debe negarse que la respuesta de la Sentencia impugnada adolezca de los defectos ya mencionados que la convertirían en vulneradora del derecho a la tutela judicial. Otra consideración merecería, desde luego, si la misma supusiera el cierre definitivo a la discusión de un asunto tan trascendente como la concurrencia de una causa de absolución, o si se apoyara en la mera imposibilidad de debate contradictorio de la cuestión cuando éste, como era el caso y destaca el recurrente, era aún posible en alguna medida. Ninguna de ambas cosas sucede, sin embargo, en el presente supuesto: como sugiere la resolución impugnada y explicita una asentada línea jurisprudencial del Tribunal Supremo, este tipo de pretensiones, atinentes a la promulgación sobrevenida de normas que inciden de un modo favorable para el acusado sobre la calificación de los hechos que se le imputan, deben ser planteadas ante el Tribunal de instancia para garantizar un debate «sin quebranto y mengua de los principios de contradicción y defensa» y para preservar al respecto el doble grado de jurisdicción, que en el ámbito penal forma parte del derecho a un proceso con todas las garantías ( SSTC 42/1982 o 76/1982). [F.J. 2]</w:t>
      </w:r>
    </w:p>
    <w:p w:rsidR="008107C7" w:rsidRDefault="008107C7" w:rsidP="008107C7">
      <w:pPr>
        <w:pStyle w:val="Extracto"/>
      </w:pPr>
    </w:p>
    <w:p w:rsidR="008107C7" w:rsidRDefault="008107C7" w:rsidP="008107C7">
      <w:pPr>
        <w:pStyle w:val="Extracto"/>
      </w:pPr>
      <w:r>
        <w:lastRenderedPageBreak/>
        <w:t>3.</w:t>
      </w:r>
      <w:r>
        <w:tab/>
        <w:t>El segundo motivo de la demanda impugna también la decisión de no debatir la aplicabilidad al caso de sus alegaciones anteriores, pero ahora por razones sustantivas que deriva del principio de legalidad: el recurrente estima que ha sido condenado a pesar de que su comportamiento quedaría exento de responsabilidad penal en virtud de lo que dispondría la Disposición adicional transcrita en el fundamento anterior, norma que, aun posterior a la conducta inicial incriminada, sería, en cuanto posibilita su absolución, de aplicación retroactiva al caso. A la luz de lo razonado en el fundamento anterior, el motivo debe ser rechazado por su alegación prematura en esta sede. No se trata de que la Sentencia haya procedido a la condena del acusado por la indebida inaplicación o la interpretación arbitraria de un precepto que afectaba a su responsabilidad penal, sino que ha deferido el análisis de la incidencia del precepto invocado a la vía procesal que estimaba adecuada en una interpretación de los artículos reguladores del proceso que sólo al Tribunal Supremo correspondía y que, si bien puede resultar discutible, no es lesiva de la garantía de tutela del art. 24.1 C.E.. [F.J. 3]</w:t>
      </w:r>
    </w:p>
    <w:p w:rsidR="008107C7" w:rsidRDefault="008107C7" w:rsidP="008107C7">
      <w:pPr>
        <w:pStyle w:val="Extracto"/>
      </w:pPr>
    </w:p>
    <w:p w:rsidR="008107C7" w:rsidRDefault="008107C7" w:rsidP="008107C7">
      <w:pPr>
        <w:pStyle w:val="Extracto"/>
      </w:pPr>
      <w:r>
        <w:t>4.</w:t>
      </w:r>
      <w:r>
        <w:tab/>
        <w:t>Al analizar si la STC 45/1989 produjo un vacío normativo que impide practicar la liquidación de las deudas tributarias hemos declarado que tal vacío no se ha producido ya que la Sentencia citada «al declarar la inconstitucionalidad de diversos preceptos de la Ley 44/1978, reguladores de la tributación conjunta en el I.R.P.F., no produjo una ``laguna legal'' que impidiese liquidar la deuda tributaria de las unidades familiares en los ejercicios anteriores a 1988»; y al analizar los efectos de la declaración parcial de inconstitucionalidad en su día acordada, hemos concluido que de sus afirmaciones «no se puede inferir que se hubiese producido el alegado vacío normativo que ya no permitiera practicar las liquidaciones del I.R.P.F. por los ejercicios 1986 y 1987», dado que únicamente se produjo «la imposibilidad de aplicar al ejercicio 1988 y no a otros, los preceptos cuya inconstitucionalidad declaraba» (STC 38/1997). «La denominada laguna parcial no se refiere a la deuda tributaria ni, en su caso, a la de la infracción y la sanción, sino sólo a la ausencia temporal de reglas con las que determinar la cuantía concreta de aquélla [en el ejercicio de 1988]. Mas esa transitoria imposibilidad de fijación de la cuantía de la deuda (y, por tanto, de la sanción) desapareció cuando, de acuerdo con nuestra Sentencia, se promulgo la Ley aquí cuestionada. No hay, pues, laguna punitiva alguna al existir predeterminación legal tanto respecto de la infracción como de la sanción» . [F.J. 4]</w:t>
      </w:r>
    </w:p>
    <w:p w:rsidR="008107C7" w:rsidRDefault="008107C7" w:rsidP="008107C7">
      <w:pPr>
        <w:pStyle w:val="Extracto"/>
      </w:pPr>
    </w:p>
    <w:p w:rsidR="008107C7" w:rsidRDefault="008107C7" w:rsidP="008107C7">
      <w:pPr>
        <w:pStyle w:val="Extracto"/>
      </w:pPr>
      <w:r>
        <w:t>5.</w:t>
      </w:r>
      <w:r>
        <w:tab/>
        <w:t>En relación con la posibilidad de aplicación retroactiva de la Ley 20/1989, de adaptación del I.R.P.F., hemos recordado lo que se dijo en nuestra STC 146/1994: «las nuevas reglas de tributación de los sujetos integrados en unidades familiares, incorporadas por la Ley 20/1989, son por regla general más favorables a los sujetos pasivos; y, desde luego [...] la aplicación de dicha Ley a los ejercicios anteriores a 1988, si se opta por la tributación individual (alternativa que en todo caso ofrece el art. 2 de la Ley 20/1989), debe suponer una reducción de la deuda tributaria a pagar, esto es, en definitiva, de la cuota eventualmente dejada de ingresar en los citados períodos impositivos», por ello hay que concluir que su aplicación retroactiva, en cuanto es retroactividad «in bonum», no vulnera los arts. 9.3 y 25 C.E. . [F.J. 4]</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 Regueral, don Rafael de Mendizábal Allende, don Julio Diego González-Campos,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1.744/93, promovido por don José Sampedro Pérez, representado por el Procurador de los Tribunales don Luis Pastor Ferrer y asistido por el Abogado don Miguel Bajo Fernández, contra las Sentencias de la Sala Segunda del Tribunal Supremo 181/93, de 9 de marzo, que casa y anula, la primera, la Sentencia de la Audiencia Provincial de Las Palmas de Gran Canaria 368/89, de 14 de diciembre, y condena, la segunda, por delito fiscal y delitos contra la Hacienda Pública. Ha comparecido el Abogado del Estado y ha intervenido el Ministerio Fiscal. Ha sido Ponente el Magistrado don Tomás S. Vives Antón,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registrado en este Tribunal el 29 de mayo de 1993, el Procurador de los Tribunales don Luis Pastor Ferrer, actuando en nombre y representación de don José Sampedro Pérez, interpone recurso de amparo contra las Sentencias de las que se hace mérito en el encabezamiento. En la demanda se incluye asimismo solicitud de suspensión de la ejecución de las resoluciones recurridas.</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hechos relevantes para el examen de la pretensión de amparo son, en síntesis, los siguientes: </w:t>
      </w:r>
    </w:p>
    <w:p w:rsidR="008107C7" w:rsidRDefault="008107C7" w:rsidP="008107C7">
      <w:pPr>
        <w:pStyle w:val="TextoNormal"/>
      </w:pPr>
      <w:r>
        <w:t xml:space="preserve">A) La Inspección Financiera y Tributaria inició expediente contra el demandante, Corredor de Comercio colegiado, por omisión de presentación de las declaraciones del Impuesto sobre la Renta de las Personas Físicas -en adelante I.R.P.F.- correspondientes a los años 1982, 1983, 1984, 1985 y 1986. Requerido al efecto, el actor entregó toda la documentación que la Inspección fiscal le requirió, y ésta, a la vista del importe a que ascendía la cuota tributaria, remitió el expediente a los Tribunales de Justicia. </w:t>
      </w:r>
    </w:p>
    <w:p w:rsidR="008107C7" w:rsidRDefault="008107C7" w:rsidP="008107C7">
      <w:pPr>
        <w:pStyle w:val="TextoNormal"/>
      </w:pPr>
      <w:r>
        <w:t xml:space="preserve">B) Instruido sumario al efecto, la Sección Primera de la Audiencia Provincial de Las Palmas de Gran Canaria pronunció Sentencia por la que absolvía al demandante de los delitos fiscales, contra la Hacienda Pública y contable de los que había sido acusado por el Ministerio Fiscal y por el Abogado del Estado, constituido como acusación particular. Las razones tenidas en cuenta por la Audiencia para su pronunciamiento absolutorio se apoyaban, de un lado, en que el acusado no había defraudado al Tesoro, dado que no había observado conducta alguna de ocultación u obstaculización a la labor inspectora, y, de otro, en </w:t>
      </w:r>
      <w:r>
        <w:lastRenderedPageBreak/>
        <w:t xml:space="preserve">que la inconstitucionalidad declarada por la STC 45/1989 de determinados preceptos de la Ley 44/1978 impedía determinar la cuota tributaria. </w:t>
      </w:r>
    </w:p>
    <w:p w:rsidR="008107C7" w:rsidRDefault="008107C7" w:rsidP="008107C7">
      <w:pPr>
        <w:pStyle w:val="TextoNormal"/>
      </w:pPr>
      <w:r>
        <w:t xml:space="preserve">C) Contra esta Sentencia absolutoria recurrió en casación el Abogado del Estado. Una vez formalizado el recurso, e impugnado el mismo, el actor se acogió a lo dispuesto en la Disposición adicional decimotercera de la Ley 18/1991 y suscribió deuda pública especial del Estado por importe de 128.700.000 ptas., lo que puso en conocimiento de la Sala competente para la resolución del recurso el día 16 de diciembre de 1992 a los efectos de alegar que esa "regularización" fiscal de su deuda con la Hacienda Pública debería implicar también la desestimación del recurso, pues el propio legislador, con lo dispuesto en la citada Disposición adicional habría destipificado los hechos por los que fue condenado. De dicho escrito se dio traslado al Abogado del Estado y al Ministerio Fiscal "para que si a su derecho conviniere, pudiesen alegar por escrito lo que estimen procedente" (providencia de 18 de enero de 1993). </w:t>
      </w:r>
    </w:p>
    <w:p w:rsidR="008107C7" w:rsidRDefault="008107C7" w:rsidP="008107C7">
      <w:pPr>
        <w:pStyle w:val="TextoNormal"/>
      </w:pPr>
      <w:r>
        <w:t xml:space="preserve">D) El día 9 de marzo de 1993 la Sala Segunda del Tribunal Supremo pronunció dos Sentencias en las que casaba y anulaba el pronunciamiento de instancia, la primera, y condenaba al recurrente, la segunda, como autor de dos delitos fiscales y tres contra la Hacienda Pública, a las siguientes penas: una de un mes y un día de arresto mayor, cuatro de seis meses y un día de prisión menor, una de multa de 10.000.000 ptas. (responsabilidad personal subsidiaria de 50 días), dos de multa de 10.500.000 ptas. (52 días), una de multa de 8.500.000 ptas. (45 días), y una de multa de 15.000.000 ptas. (75 días). La condena incluía la pérdida de la posibilidad de obtener subvenciones públicas o crédito oficial y del derecho a gozar de beneficios o incentivos fiscales durante un período de cuatro años. Contemplaba asimismo las correspondientes penas accesorias, el pago de las costas y el de una indemnización al Estado de 53.036.569 ptas., importe total de lo defraudado. </w:t>
      </w:r>
    </w:p>
    <w:p w:rsidR="008107C7" w:rsidRDefault="008107C7" w:rsidP="008107C7">
      <w:pPr>
        <w:pStyle w:val="TextoNormal"/>
      </w:pPr>
      <w:r>
        <w:t>Consideraba la Sala, por una parte, que la mera omisión de la declaración del impuesto equivalía a un acto de defraudación; por otra, que la inconstitucionalidad de ciertos preceptos de la Ley 44/1978 no impedía el cálculo de la cuota tributaria, posible con el uso de otros preceptos de la misma ley y de aquéllas otras normas de adaptación no declaradas inconstitucionales. Argumentaba finalmente que la alegación hecha sobre la Disposición adicional decimotercera de la Ley 18/1991 era nueva y extemporánea, por lo que no podía ser resuelta en el recurso sin quebranto de los principios de contradicción y defensa.</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La demanda denuncia, en primer lugar, la vulneración del derecho a la tutela judicial efectiva (art. 24.1 C.E.). Se funda para ello en que las Sentencias del Tribunal Supremo, a través de una interpretación formalista y restrictiva de los requisitos procesales, han denegado el acceso al recurso de casación de un dato que hubiera impedido la condena del actor: el acogimiento a lo dispuesto en la Disposición adicional decimotercera de la Ley 18/1991. Dicha ley, publicada en el B.O.E. después de interpuesto y formalizado el recurso de casación por el Abogado del Estado, haría desaparecer, a juicio del actor, la posibilidad de sancionar penal y administrativamente las cuantías regularizadas mediante la suscripción de la deuda pública especial a que se refiere su Disposición adicional decimotercera. De ahí que la negativa del Tribunal Supremo a pronunciarse al respecto con base en la extemporaneidad del alegato no sólo implique una interpretación obstaculizadora del derecho a la tutela judicial efectiva, sino que constituya además una decisión arbitraria y carente de justificación, puesto que se trataba de un hecho nuevo ajeno a la voluntad de quien lo alegaba. Por lo demás, el que la Sentencia inicial fuera absolutoria, sólo recurrida en casación por el Abogado del Estado, indica que no pudiera sospecharse una maniobra del recurrente tendente a evitar una resolución condenatoria. </w:t>
      </w:r>
    </w:p>
    <w:p w:rsidR="008107C7" w:rsidRDefault="008107C7" w:rsidP="008107C7">
      <w:pPr>
        <w:pStyle w:val="TextoNormal"/>
      </w:pPr>
      <w:r>
        <w:lastRenderedPageBreak/>
        <w:t xml:space="preserve">Sostiene el recurrente, en segundo lugar, que la resolución impugnada conculca el principio de legalidad reconocido por el art. 25.1 de la C.E. De un lado, porque, en contra de su propia jurisprudencia, habría desconocido el principio de retroactividad de la Ley penal más favorable -el delito habría devenido impune por aplicación de la citada Disposición adicional decimotercera-; de otro, porque la inconstitucionalidad de los arts. 4.2 y 7.3 de la Ley 44/1978, declarada por STC 45/1989, hace imposible fijar la cuota tributaria defraudada, elemento constitutivo del tipo del delito fiscal. </w:t>
      </w:r>
    </w:p>
    <w:p w:rsidR="008107C7" w:rsidRDefault="008107C7" w:rsidP="008107C7">
      <w:pPr>
        <w:pStyle w:val="TextoNormal"/>
      </w:pPr>
      <w:r>
        <w:t>La alegación final de la demanda tiene por contenido el principio de igualdad del art. 14 C.E.: el recurrente, como contribuyente, habría sido "discriminado respecto de los demás al no poder ampararse en la pseudoexcusa absolutoria introducida por la Disposición adicional decimotercera de la Ley 18/1991".</w:t>
      </w:r>
    </w:p>
    <w:p w:rsidR="008107C7" w:rsidRDefault="008107C7" w:rsidP="008107C7">
      <w:pPr>
        <w:pStyle w:val="TextoNormal"/>
      </w:pPr>
    </w:p>
    <w:p w:rsidR="008107C7" w:rsidRDefault="008107C7" w:rsidP="008107C7">
      <w:pPr>
        <w:pStyle w:val="TextoNormal"/>
      </w:pPr>
      <w:r w:rsidRPr="008107C7">
        <w:rPr>
          <w:rStyle w:val="NumeroAFNegritaCaracter"/>
        </w:rPr>
        <w:t>4</w:t>
      </w:r>
      <w:r>
        <w:t>. Por providencia de 15 de noviembre de 1993, la Sección Cuarta de este Tribunal acuerda, conforme a lo dispuesto en el art. 50.3 LOTC, conceder un plazo común de diez días al Ministerio Fiscal y al solicitante de amparo para que aleguen lo que estimen conveniente en relación con la posible concurrencia del motivo de inadmisión previsto en el art. 50.1 c) LOTC (carencia manifiesta de contenido constitucional de la demanda).</w:t>
      </w:r>
    </w:p>
    <w:p w:rsidR="008107C7" w:rsidRDefault="008107C7" w:rsidP="008107C7">
      <w:pPr>
        <w:pStyle w:val="TextoNormal"/>
      </w:pPr>
    </w:p>
    <w:p w:rsidR="008107C7" w:rsidRDefault="008107C7" w:rsidP="008107C7">
      <w:pPr>
        <w:pStyle w:val="TextoNormal"/>
      </w:pPr>
      <w:r w:rsidRPr="008107C7">
        <w:rPr>
          <w:rStyle w:val="NumeroAFNegritaCaracter"/>
        </w:rPr>
        <w:t>5</w:t>
      </w:r>
      <w:r>
        <w:t>. Por escrito registrado en este Tribunal el día 4 de diciembre de 1993, la representación del demandante de amparo formula sus alegaciones. En él se reitera el contenido constitucional de su pretensión de amparo argumentando, en primer lugar, que el Tribunal Supremo habría vulnerado el derecho a la tutela judicial efectiva al no permitir, en virtud de una interpretación estricta y formalista, el acceso al proceso de la cuestión planteada acerca de la suscripción por el actor de deuda pública especial al amparo de la Ley 18/1991. Se lesionaría también, en segundo lugar, el art. 25.1 C.E., por cuanto, como ya se expuso en la demanda, la condena se habría impuesto con quebranto del principio de legalidad y de retroactividad de la ley penal más favorable: no se habría tenido en cuenta la Ley 18/1991, que supondría en el caso debatido la desaparición del precepto habilitante para la condena; no existiría, además, un precepto legal que recoja y sancione como delito el comportamiento analizado. En este sentido, afirma la representación del recurrente, corresponde a este Tribunal decidir si tras su STC 45/1989, que declaró la inconstitucionalidad de determinados preceptos de la Ley 44/1978, de 8 de septiembre, el actor podía ser condenado como autor de los delitos contra la Hacienda Pública, y si la integración analógica que llevó a cabo el Tribunal Supremo en su Sentencia vulnera el citado derecho fundamental. Finalmente, añade, la Sentencia ha infringido el derecho a la igualdad, pues las razones formales opuestas impidieron, con carácter exclusivo para el demandante, que le fuera aplicada la excusa absolutoria de la Disposición adicional decimotercera de la Ley 18/1991, aplicable a todos los contribuyentes, según la propia ley, sin distinción de la situación administrativa o procesal en que se hallaran.</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El día 13 de diciembre de 1993 se recibe el escrito de alegaciones del Ministerio Fiscal, en el que interesa la inadmisión del recurso de amparo por la concurrencia de la causa que prevé el art. 50.1 c) LOTC. A dicha conclusión llega tras reseñar los antecedentes de hecho que se desprenden de la demanda de amparo y examinar por separado cada uno de los motivos en ella contenidos. Con anterioridad a ese examen, aduce, respecto del argumento central de la inaplicación por el Tribunal Supremo de la denominada por el recurrente excusa absolutoria contenida en la Disposición adicional decimotercera de la Ley 18/1991, </w:t>
      </w:r>
      <w:r>
        <w:lastRenderedPageBreak/>
        <w:t xml:space="preserve">tanto que la certificación aportada de la suscripción de deuda pública no es prueba suficiente de la misma -pues, conforme a la ley, será necesaria la obtención de certificación de titularidad emitida por el Banco de España-, como que dicha suscripción carece del carácter absolutorio que le otorga el recurrente. </w:t>
      </w:r>
    </w:p>
    <w:p w:rsidR="008107C7" w:rsidRDefault="008107C7" w:rsidP="008107C7">
      <w:pPr>
        <w:pStyle w:val="TextoNormal"/>
      </w:pPr>
      <w:r>
        <w:t>No se habría producido, en primer lugar, la incongruencia omisiva denunciada por el recurrente, que obtuvo una respuesta motivada y razonable a la cuestión relativa a la suscripción de activos especiales: se desestimó por extemporánea, ya que se había propuesto cuando había finalizado la tramitación del recurso y se trataba de un hecho y de una cuestión nuevas, inadmisibles en un recurso con causas tasadas sin quebranto de los principios de contradicción y defensa. "Sólo admitiendo la tesis del recurrente de que concurre una excusa absolutoria que despenaliza su conducta vendría obligado el Tribunal Supremo a debatir y resolver lo alegado". Esta tesis debe ser rebatida y con ella el quebranto alegado del "principio de legalidad en su vertiente de retroactividad de la ley penal más benigna": por una parte, porque en la Disposición invocada "no se dice que quienes suscriban los activos queden exentos de sanción, sino sólo que pueden aplicar el importe a rebajar las bases imponibles a los impuestos eludidos"; por otra, en relación con ello, porque del apartado 3 c) se deduce que dicha aplicación sólo es posible antes del comienzo del proceso penal o del procedimiento administrativo. De ahí que cuando el Tribunal Supremo se niega a resolver sobre la cuestión "está tácitamente negando el pretendido carácter despenalizador de la Disposición", pues, de otro modo, hubiera tenido que aplicarla en virtud del principio de legalidad penal. Tampoco pueden ser atendidas las dos restantes alegaciones del escrito de demanda. Ni se infringe el principio de legalidad por el vacío normativo que en cuanto al modo de fijar las cuotas habría producido la STC 45/1989, pues "de forma extensa y razonable y con gran precisión, el Tribunal Supremo (...) combate esta tesis, realizando la interpretación de las normas fiscales al amparo del art. 117.3 de la Constitución", ni se observa ninguna lesión del principio de igualdad, para cuya constatación el demandante no aporta supuesto de hecho idéntico alguno en el que se haya aplicado una resolución jurídica diferente.</w:t>
      </w:r>
    </w:p>
    <w:p w:rsidR="008107C7" w:rsidRDefault="008107C7" w:rsidP="008107C7">
      <w:pPr>
        <w:pStyle w:val="TextoNormal"/>
      </w:pPr>
    </w:p>
    <w:p w:rsidR="008107C7" w:rsidRDefault="008107C7" w:rsidP="008107C7">
      <w:pPr>
        <w:pStyle w:val="TextoNormal"/>
      </w:pPr>
      <w:r w:rsidRPr="008107C7">
        <w:rPr>
          <w:rStyle w:val="NumeroAFNegritaCaracter"/>
        </w:rPr>
        <w:t>7</w:t>
      </w:r>
      <w:r>
        <w:t>. Mediante providencia de 23 de febrero de 1994, la Sección Cuarta acuerda admitir a trámite la demanda de amparo y dirigir sendas comunicaciones a la Sala Segunda del Tribunal Supremo y a la Sección Primera de la Audiencia Provincial de Las Palmas de Gran Canaria a fin de que remitan testimonio de las actuaciones correspondientes al procedimiento del que trae causa el presente recurso, y de que emplace este último órgano judicial a quienes hubieran sido parte en el mismo.</w:t>
      </w:r>
    </w:p>
    <w:p w:rsidR="008107C7" w:rsidRDefault="008107C7" w:rsidP="008107C7">
      <w:pPr>
        <w:pStyle w:val="TextoNormal"/>
      </w:pPr>
    </w:p>
    <w:p w:rsidR="008107C7" w:rsidRDefault="008107C7" w:rsidP="008107C7">
      <w:pPr>
        <w:pStyle w:val="TextoNormal"/>
      </w:pPr>
      <w:r w:rsidRPr="008107C7">
        <w:rPr>
          <w:rStyle w:val="NumeroAFNegritaCaracter"/>
        </w:rPr>
        <w:t>8</w:t>
      </w:r>
      <w:r>
        <w:t xml:space="preserve">. Mediante nueva providencia de 7 de marzo, la Sección acuerda la apertura de la pieza separada de suspensión y concede plazo de alegaciones al respecto a la parte demandante, al Abogado del Estado y al Ministerio Fiscal. Recibidos los correspondientes escritos -el del Abogado del Estado en solicitud de denegación y, subsidiariamente, respecto de las multas e indemnizaciones, de condicionamiento de la suspensión a fianza o caución; el del Ministerio Fiscal en postulación de la suspensión respecto de las penas privativas de libertad y accesorias-, la Sala Segunda acuerda, en Auto de 11 de abril, la suspensión de la ejecución de las penas privativas de libertad y accesorias. </w:t>
      </w:r>
    </w:p>
    <w:p w:rsidR="008107C7" w:rsidRDefault="008107C7" w:rsidP="008107C7">
      <w:pPr>
        <w:pStyle w:val="TextoNormal"/>
      </w:pPr>
      <w:r>
        <w:t>Mediante escrito de 5 de mayo, la representación del recurrente reitera la solicitud de suspensión al amparo de lo previsto en el art. 57 LOTC. Trasladado el escrito al Ministerio Fiscal y al Abogado del Estado (providencia de la Sección Tercera de 19 de mayo), que se oponen a lo nuevamente interesado, la Sala Segunda procede a ratificar la improcedencia de la suspensión solicitada (Auto de 6 de junio).</w:t>
      </w:r>
    </w:p>
    <w:p w:rsidR="008107C7" w:rsidRDefault="008107C7" w:rsidP="008107C7">
      <w:pPr>
        <w:pStyle w:val="TextoNormal"/>
      </w:pPr>
    </w:p>
    <w:p w:rsidR="008107C7" w:rsidRDefault="008107C7" w:rsidP="008107C7">
      <w:pPr>
        <w:pStyle w:val="TextoNormal"/>
      </w:pPr>
      <w:r w:rsidRPr="008107C7">
        <w:rPr>
          <w:rStyle w:val="NumeroAFNegritaCaracter"/>
        </w:rPr>
        <w:t>9</w:t>
      </w:r>
      <w:r>
        <w:t>. Recibidas las actuaciones, la Sección Tercera acuerda dar vista de las mismas a las partes, con concesión de un plazo común de veinte días para la presentación de las alegaciones previstas en el art. 52.1 LOTC (providencia de 28 de abril).</w:t>
      </w:r>
    </w:p>
    <w:p w:rsidR="008107C7" w:rsidRDefault="008107C7" w:rsidP="008107C7">
      <w:pPr>
        <w:pStyle w:val="TextoNormal"/>
      </w:pPr>
    </w:p>
    <w:p w:rsidR="008107C7" w:rsidRDefault="008107C7" w:rsidP="008107C7">
      <w:pPr>
        <w:pStyle w:val="TextoNormal"/>
      </w:pPr>
      <w:r w:rsidRPr="008107C7">
        <w:rPr>
          <w:rStyle w:val="NumeroAFNegritaCaracter"/>
        </w:rPr>
        <w:t>10</w:t>
      </w:r>
      <w:r>
        <w:t xml:space="preserve">. Considera el Abogado del Estado, en su escrito de alegaciones de 25 de mayo, que ninguno de los cuatro motivos de la demanda es aceptable. Solicita, en consecuencia, la desestimación del amparo. </w:t>
      </w:r>
    </w:p>
    <w:p w:rsidR="008107C7" w:rsidRDefault="008107C7" w:rsidP="008107C7">
      <w:pPr>
        <w:pStyle w:val="TextoNormal"/>
      </w:pPr>
      <w:r>
        <w:t xml:space="preserve">"Los dos primeros motivos se entrelazan en una peculiar manera. El motivo primero condiciona el segundo. Sólo si admitimos que se violó el art. 24.1 C.E. (...) tiene sentido entrar a conocer si la Disposición adicional decimotercera de la Ley 18/1991 era o no era ley penal más favorable y si el art. 25.1 C.E. concede o no derecho fundamental a su aplicación retroactiva". Pues bien: la solución aplicada por el Tribunal Supremo sería la constitucionalmente correcta, pues, según jurisprudencia consolidada, "la cuestión nueva sobre la incidencia del 'canje de activos' no puede ser examinada en casación y debe plantearse ante el Tribunal de instancia, que, respetando los principios de bilateralidad y contradicción, la resolverá, procediendo contra esta resolución los pertinentes recursos. La resolución en casación de la cuestión nueva no permitía la debida y plena contradicción". De hecho, el propio recurrente podría tener motivos de queja, por privación del doble grado de jurisdicción, si el Tribunal hubiera abordado la cuestión y la hubiera resuelto en sentido contrario a sus pretensiones. Con ello, con el perecimiento del primer motivo, perecería el segundo, aunque, a juicio del Abogado del Estado, deba apuntarse, a mayor abundamiento, que la determinación del alcance de la citada Disposición constituiría una cuestión de mera legalidad y que el ar. 25.1 C.E. no reconocería el derecho fundamental a la aplicación retroactiva de la ley penal más favorable. </w:t>
      </w:r>
    </w:p>
    <w:p w:rsidR="008107C7" w:rsidRDefault="008107C7" w:rsidP="008107C7">
      <w:pPr>
        <w:pStyle w:val="TextoNormal"/>
      </w:pPr>
      <w:r>
        <w:t xml:space="preserve">El motivo tercero de la demanda de amparo reposa en la incorrecta comprensión del fundamento jurídico 11 de la STC 45/1989, y debe asimismo perecer. No puede, en efecto, sostenerse que vulnere el art. 25.1 C.E. la correctísima doctrina desarrollada por el fundamento segundo de la Sentencia aquí impugnada. Por el contrario, la aceptación de la tesis del llamado 'vacío normativo' conduce a las más graves injusticias y desigualdades, pues beneficia a quienes más han incumplido, tanto más cuanto mayor sea el incumplimiento, y perjudica a quienes cumplieron, y tanto más cuanto mejor hayan cumplido". Estas afirmaciones deben partir de la existencia de una legislación posterior más favorable (la Ley 20/1989) que la analizada en la STC 45/1989 (la Ley 44/1978) y que se dicta precisamente para la adaptación constitucional de ésta. La propia Sentencia citada, en su fundamento 11, sugeriría la legitimidad de la aplicación retroactiva de la ley posterior al ejercicio de 1988 ("ya devengado"); respecto a los ejercicios anteriores lo que establecería el fundamento aludido no es un hipotético "vacío normativo", sino los "límites a la posible retroactividad de la más favorable regulación nacida de la Ley 20/1989". En suma: "nada hay más exacto, sensato, ponderado y, por supuesto, ajustado a la Constitución que las palabras del fundamento segundo de la Sentencia de la Sala Segunda del Tribunal Supremo aquí recurrida: una inconstitucionalidad declarada en aras del derecho fundamental de igualdad no puede convertirse en medio de eludir una responsabilidad penal, 'otorgando una franquicia injusta a quienes han incumplido la obligación constitucional de contribuir al sostenimiento de las cargas públicas en proporción a su capacidad económica'; y por otro lado, puede integrarse el tipo penal en blanco con las disposiciones de la Ley del impuesto vigentes después de la sentencia aludida e incluso acudir a la Ley 20/1989, de 28 de julio, siempre que fuese más favorable (art. 24 del Código Penal)". </w:t>
      </w:r>
    </w:p>
    <w:p w:rsidR="008107C7" w:rsidRDefault="008107C7" w:rsidP="008107C7">
      <w:pPr>
        <w:pStyle w:val="TextoNormal"/>
      </w:pPr>
      <w:r>
        <w:lastRenderedPageBreak/>
        <w:t>El Abogado del Estado finaliza su informe con el rotundo rechazo del motivo atinente al principio de igualdad, para cuyo sustento se ofrecería un "término comparativo no sólo (...) vago (...), sino absolutamente hipotético".</w:t>
      </w:r>
    </w:p>
    <w:p w:rsidR="008107C7" w:rsidRDefault="008107C7" w:rsidP="008107C7">
      <w:pPr>
        <w:pStyle w:val="TextoNormal"/>
      </w:pPr>
    </w:p>
    <w:p w:rsidR="008107C7" w:rsidRDefault="008107C7" w:rsidP="008107C7">
      <w:pPr>
        <w:pStyle w:val="TextoNormal"/>
      </w:pPr>
      <w:r w:rsidRPr="008107C7">
        <w:rPr>
          <w:rStyle w:val="NumeroAFNegritaCaracter"/>
        </w:rPr>
        <w:t>11</w:t>
      </w:r>
      <w:r>
        <w:t xml:space="preserve">. Mediante escrito de 27 de mayo, reitera la representación del recurrente su petición de amparo. Para su sustento se remite a lo ya argumentado en relación a los dos últimos motivos de la demanda y desarrolla algunos aspectos relativos a los dos primeros. </w:t>
      </w:r>
    </w:p>
    <w:p w:rsidR="008107C7" w:rsidRDefault="008107C7" w:rsidP="008107C7">
      <w:pPr>
        <w:pStyle w:val="TextoNormal"/>
      </w:pPr>
      <w:r>
        <w:t xml:space="preserve">En relación con la vulneración aducida del art. 24.1 C.E. sintetiza así su queja: "la Sala Segunda (...) tenía que haber valorado la novedad de la Ley que se alegaba (...) a efectos de determinar si esa mutación sustantiva podía afectar a su patrocinado, sin que en ningún caso pudiese obstar a tal ponderación la configuración de los cauces casacionales de espaldas al mismo espíritu y finalidad de tal medio de gravamen". Con apoyo en la jurisprudencia constitucional relativa al papel de la casación en la salvaguardia de las garantías jurisdiccionales consagradas en el art. 24, concluye en la ilicitud constitucional de "la configuración de tal recurso de modo que impidiera absolver al inocente, por así imponérselo -exclusivamente- los límites procedimentales del mismo". </w:t>
      </w:r>
    </w:p>
    <w:p w:rsidR="008107C7" w:rsidRDefault="008107C7" w:rsidP="008107C7">
      <w:pPr>
        <w:pStyle w:val="TextoNormal"/>
      </w:pPr>
      <w:r>
        <w:t>En abono del segundo motivo añade que "las exigencias del principio de legalidad obligan al Juez a no dejar de tener en cuenta ninguno de los aspectos de la norma extrapenal, en el sentido de que, existiendo en aquélla elementos impeditivos u obstativos para la consumación, la agravación o la punibilidad de la conducta típica de la norma penal en blanco, el art. 25.1 C.E. exige una precisa atención a esos elementos, por cuanto el reenvío nunca puede operar sólo en perjuicio del reo". Frente a ello no podría oponerse el que la Disposición adicional decimotercera de la Ley 18/1991 no contiene una excusa absolutoria por no contemplar la regularización posterior al descubrimiento del fraude, como sostiene el Fiscal ante el Tribunal Constitucional, pues con dicho argumento se introduce en el precepto una distinción en contra del reo ajena a su tenor literal.</w:t>
      </w:r>
    </w:p>
    <w:p w:rsidR="008107C7" w:rsidRDefault="008107C7" w:rsidP="008107C7">
      <w:pPr>
        <w:pStyle w:val="TextoNormal"/>
      </w:pPr>
    </w:p>
    <w:p w:rsidR="008107C7" w:rsidRDefault="008107C7" w:rsidP="008107C7">
      <w:pPr>
        <w:pStyle w:val="TextoNormal"/>
      </w:pPr>
      <w:r w:rsidRPr="008107C7">
        <w:rPr>
          <w:rStyle w:val="NumeroAFNegritaCaracter"/>
        </w:rPr>
        <w:t>12</w:t>
      </w:r>
      <w:r>
        <w:t>. En su informe de 26 de mayo el Fiscal interesa la denegación del amparo. Reproduce para ello la argumentación que expresó para postular la inadmisión de la demanda, ya sintetizada en el antecedente 6º.</w:t>
      </w:r>
    </w:p>
    <w:p w:rsidR="008107C7" w:rsidRDefault="008107C7" w:rsidP="008107C7">
      <w:pPr>
        <w:pStyle w:val="TextoNormal"/>
      </w:pPr>
    </w:p>
    <w:p w:rsidR="008107C7" w:rsidRDefault="008107C7" w:rsidP="008107C7">
      <w:pPr>
        <w:pStyle w:val="TextoNormal"/>
      </w:pPr>
      <w:r w:rsidRPr="008107C7">
        <w:rPr>
          <w:rStyle w:val="NumeroAFNegritaCaracter"/>
        </w:rPr>
        <w:t>13</w:t>
      </w:r>
      <w:r>
        <w:t>. Tras la publicación de la Ley Orgánica 6/1995, de 19 de junio, por la que se modifican determinados preceptos del Código Penal relativos a los delitos contra la Hacienda Pública y contra la Seguridad Social y ante la posible falta de objeto del recurso, la Sección Cuarta acuerda conceder plazo a la parte recurrente para que manifieste si desiste del mismo (providencias de 3 y de 24 de julio). Tras el escrito del recurrente sometiendo a este Tribunal la cuestión relativa a la carencia de objeto del recurso, la Sección le requiere indicación acerca de si se ha dictado Auto de rectificación de Sentencia, a tenor del art. 24 del Código Penal (providencia de 21 de septiembre). Ante el desconocimiento al respecto del recurrente, la Sección recaba la citada información de la Audiencia Provincial de Las Palmas de Gran Canaria (providencia de 2 de octubre). El día 6 de noviembre se registra la contestación del órgano judicial en el sentido de que no se ha dictado tal Auto por la pendencia de la causa de la sustanciación del presente recurso de amparo.</w:t>
      </w:r>
    </w:p>
    <w:p w:rsidR="008107C7" w:rsidRDefault="008107C7" w:rsidP="008107C7">
      <w:pPr>
        <w:pStyle w:val="TextoNormal"/>
      </w:pPr>
    </w:p>
    <w:p w:rsidR="008107C7" w:rsidRDefault="008107C7" w:rsidP="008107C7">
      <w:pPr>
        <w:pStyle w:val="TextoNormal"/>
      </w:pPr>
      <w:r w:rsidRPr="008107C7">
        <w:rPr>
          <w:rStyle w:val="NumeroAFNegritaCaracter"/>
        </w:rPr>
        <w:t>14</w:t>
      </w:r>
      <w:r>
        <w:t>. Por providencia de 3 de abril de 1997, se señaló para la deliberación y votación de la presente Sentencia el día 7 del mismo mes y año.</w:t>
      </w:r>
    </w:p>
    <w:p w:rsidR="008107C7" w:rsidRDefault="008107C7" w:rsidP="008107C7">
      <w:pPr>
        <w:pStyle w:val="TextoNormal"/>
      </w:pPr>
    </w:p>
    <w:p w:rsidR="008107C7" w:rsidRDefault="008107C7" w:rsidP="008107C7">
      <w:pPr>
        <w:pStyle w:val="TextoNormalNegritaCentrado"/>
        <w:keepNext/>
      </w:pPr>
      <w:r>
        <w:lastRenderedPageBreak/>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La queja constitucional que impulsa al recurrente a la promoción del presente recurso de amparo radica, en síntesis, en que habría sido condenado por varios delitos contra la Hacienda Pública debido, por una parte, a la aplicación de un tipo penal que no contemplaba su comportamiento y, por otro, en cualquier caso, por la inaplicación retroactiva de un precepto legal que describía una causa de absolución en la que se hallaba inmerso. Amén de estas vulneraciones del principio de legalidad (art. 25.1 C.E.), se duele el recurrente de no haber obtenido respuesta a la segunda de las cuestiones y de haber visto así frustrado su derecho a la tutela judicial (art. 24.1 C.E.). El elenco de motivos por los que impetra el amparo se cierra con el agravio comparativo que habría ocasionado la mencionada inaplicación, generadora así de tres diferentes pretensiones en esta sede.</w:t>
      </w:r>
    </w:p>
    <w:p w:rsidR="008107C7" w:rsidRDefault="008107C7" w:rsidP="008107C7">
      <w:pPr>
        <w:pStyle w:val="TextoNormal"/>
      </w:pPr>
      <w:r>
        <w:t>El segundo y el tercero de estos cuatro motivos guardan la estrecha relación que se deriva de su origen común en una misma concreta decisión judicial -la desestimación, por motivos formales, del estudio en fase de casación de la cuestión atinente a la posible aplicación al caso de la Disposición adicional decimotercera de la Ley 18/1991, del Impuesto sobre la Renta de las Personas Físicas-; en cuanto que, en este punto, los defectos que se achacan a la Sentencia son de tipo formal, estas alegaciones serán analizadas en primer lugar.</w:t>
      </w:r>
    </w:p>
    <w:p w:rsidR="008107C7" w:rsidRDefault="008107C7" w:rsidP="008107C7">
      <w:pPr>
        <w:pStyle w:val="TextoNormal"/>
      </w:pPr>
      <w:r>
        <w:t>El cuarto motivo, atinente al principio de igualdad, es patentemente inatendible. Alega al respecto el recurrente que constituye una discriminación lesiva del art. 14 C.E. el rechazo a debatir si procede su absolución -en aplicación de la citada Disposición adicional- por haber reducido la cuota defraudada a través de la adquisición de activos de deuda pública especial.  Sin embargo, amén de que no se vislumbra en la decisión judicial más agravio que el propio que se deduciría de las otras vulneraciones que se atribuyen a tal decisión, el motivo no aporta, siquiera mínimamente, más allá de la genérica alusión a las posibilidades que poseen los demás contribuyentes, no sólo un término válido de comparación que acredite la igualdad de supuestos, sino tampoco el mismo supuesto comparado ni, en consecuencia, como sería necesario para apreciar la vulneración, si éste está constituido por otra resolución del mismo órgano judicial (por todas, SSTC 18/1984, 62/1987, 100/1993 y 321/1994).</w:t>
      </w:r>
    </w:p>
    <w:p w:rsidR="008107C7" w:rsidRDefault="008107C7" w:rsidP="008107C7">
      <w:pPr>
        <w:pStyle w:val="TextoNormal"/>
      </w:pPr>
    </w:p>
    <w:p w:rsidR="008107C7" w:rsidRDefault="008107C7" w:rsidP="008107C7">
      <w:pPr>
        <w:pStyle w:val="TextoNormal"/>
      </w:pPr>
      <w:r w:rsidRPr="008107C7">
        <w:rPr>
          <w:rStyle w:val="NumeroAFNegritaCaracter"/>
        </w:rPr>
        <w:t>2</w:t>
      </w:r>
      <w:r>
        <w:t>. Como con más pormenor se describe en los antecedentes, el recurrente pretendía que se desestimara el recurso de casación formalizado por el Abogado del Estado y se confirmara la absolución acordada por la Audiencia Provincial de Las Palmas no sólo por las razones expuestas al impugnar el mismo, sino también en virtud de lo dispuesto por el punto e) ("Eficacia frente a las actuaciones administrativas realizadas en vía de gestión o inspección tributaria") del apartado 3 ("Régimen fiscal de los activos de la deuda pública especial") de la Disposición adicional decimotercera de la Ley 18/1991, del Impuesto sobre la Renta de las Personas Físicas, según el cual: "El precio efectivo de adquisición de los activos de la deuda pública especial podrá imputarse por los suscriptores a la reducción de las rentas o patrimonio netos no declarados, correspondientes a períodos impositivos anteriores a 1990, que pudiera poner de manifiesto la Administración Tributaria con ocasión de actuaciones de comprobación o investigación, siempre que dichas rentas no estuvieran materializadas en otros bienes o derechos".</w:t>
      </w:r>
    </w:p>
    <w:p w:rsidR="008107C7" w:rsidRDefault="008107C7" w:rsidP="008107C7">
      <w:pPr>
        <w:pStyle w:val="TextoNormal"/>
      </w:pPr>
      <w:r>
        <w:t xml:space="preserve">A ello le responde la Sala Segunda del Tribunal Supremo que esta última alegación "introduce extemporáneamente un hecho y una cuestión nuevas que no puede ser debatido y resuelto en el recurso sin quebranto y mengua de los principios de contradicción y defensa". </w:t>
      </w:r>
      <w:r>
        <w:lastRenderedPageBreak/>
        <w:t>Esta respuesta es la que considera el recurrente lesiva de su derecho a la obtención de tutela judicial, pues habría cerrado el acceso al debate procesal de un dato esencial para la resolución del mismo con una fundamentación arbitraria, a la vista de que la alegación, basada en una novedad legislativa, no había podido ser previamente tempestiva, y de que había sido comunicada a las otras partes para que, a su vez, alegaran lo que estimaran procedente.</w:t>
      </w:r>
    </w:p>
    <w:p w:rsidR="008107C7" w:rsidRDefault="008107C7" w:rsidP="008107C7">
      <w:pPr>
        <w:pStyle w:val="TextoNormal"/>
      </w:pPr>
      <w:r>
        <w:t>A los efectos resolutivos que ahora se nos demandan debe recordarse que forman parte del contenido esencial del derecho a la tutela judicial efectiva las garantías de acceso a la jurisdicción y a los recursos legalmente establecidos, y de obtención de una consecuente respuesta judicial que reúna los requisitos de jurídicamente fundada, motivada y razonable (por todas, SSTC 90/1983, 184/1988, 120/1993, 324/1994). Hemos acentuado también que no se opone a dichas garantías el que el legislador condicione aquel acceso al cumplimiento de ciertos requisitos materiales y formales destinados a posibilitar la agilidad de la Administración de Justicia y a preservar su propia razón de ser (por todas, SSTC 3/1983, 185/1987, 37/1995). De ahí que no constituya una denegación de tutela la resolución de un órgano judicial de inadmisión de una determinada pretensión por incumplimiento de alguno de aquéllos requisitos, siempre que su interpretación del precepto que lo sienta no sea arbitraria, manifiestamente irrazonable o fruto de un error patente (entre otras, SSTC 102/1984, 168/1988, 199/1994, 255/1994), o, si del acceso inicial a la Justicia o del acceso al recurso del penalmente condenado se trata, siempre que, además, dicha interpretación, no sea reflejo de un "formalismo enervante" o dé lugar a una decisión desproporcionada a la vista de los intereses que en la misma se conciten (entre otras, SSTC 57/1984, 154/1987, 57/1988, 190/1994, 37/1995).</w:t>
      </w:r>
    </w:p>
    <w:p w:rsidR="008107C7" w:rsidRDefault="008107C7" w:rsidP="008107C7">
      <w:pPr>
        <w:pStyle w:val="TextoNormal"/>
      </w:pPr>
      <w:r>
        <w:t>Aunque se considere que la presente queja tiene por contenido una denegación de acceso a la Justicia -pues la pretensión controvertida se planteaba por primera vez- y no una denegación de recurso -el planteamiento se hacía en el de casación-, a la vista de que el recurrente no había sido condenado en primera instancia, debe negarse que la respuesta de la Sentencia impugnada adolezca de los defectos ya mencionados que la convertirían en vulneradora del derecho a la tutela judicial. Otra consideración merecería, desde luego, si la misma supusiera el cierre definitivo a la discusión de un asunto tan trascendente como la concurrencia de una causa de absolución, o si se apoyara en la mera imposibilidad de debate contradictorio de la cuestión cuando éste, como era el caso y destaca el recurrente, era aún posible en alguna medida.  Ninguna de ambas cosas sucede, sin embargo, en el presente supuesto: como sugiere la resolución impugnada y explicita una asentada línea jurisprudencial del Tribunal Supremo, este tipo de pretensiones, atinentes a la promulgación sobrevenida de normas que inciden de un modo favorable para el acusado sobre la calificación de los hechos que se le imputan, deben ser planteadas ante el Tribunal de instancia para garantizar un debate "sin quebranto y mengua de los principios de contradicción y defensa" y para preservar al respecto el doble grado de jurisdicción, que en el ámbito penal forma parte del derecho a un proceso con todas las garantías (SSTC 42/1982 ó 76/1982).</w:t>
      </w:r>
    </w:p>
    <w:p w:rsidR="008107C7" w:rsidRDefault="008107C7" w:rsidP="008107C7">
      <w:pPr>
        <w:pStyle w:val="TextoNormal"/>
      </w:pPr>
      <w:r>
        <w:t xml:space="preserve">Con independencia, pues, del juicio comparativo que pueda merecer esta solución frente a su alternativa en el ámbito de la legalidad ordinaria -juicio que no compete a este Tribunal-, debe concluirse que, como ya anunciábamos, frente a lo alegado por el recurrente, no estamos ante una decisión arbitraria, manifiestamente irrazonable o fruto de un error patente, ni tampoco vulneradora, por formalista o desproporcionada, del principio pro actione que debe inspirar la aplicación de los preceptos que contemplan requisitos para el acceso a la Justicia (SSTC 147/1994 y 37/1995). Así se desprende de su apoyo en la salvaguardia del propio derecho a la tutela judicial y de esenciales garantías procesales en relación con una cuestión -la eficacia absolutoria de la disposición alegada- cuya resolución no era, cuando </w:t>
      </w:r>
      <w:r>
        <w:lastRenderedPageBreak/>
        <w:t>menos, evidente, como lo muestra la discusión doctrinal y, ya, la suscitada al respecto por las partes comparecientes en el presente procedimiento de amparo.  Así se desprende también, finalmente, de su coherencia con la propia naturaleza del recurso de casación, que "es un recurso extraordinario, del cual su finalidad principal -aunque no única- es una unificación interpretativa de las normas jurídicas ordinarias, contribuyendo así a la fijeza del ordenamiento con vistas a la seguridad jurídica [por lo que] de acuerdo con ese objetivo, el legislador ha limitado su interposición y lo ha rodeado de requisitos y presupuestos especiales para que el órgano de la casación, es decir, el Tribunal Supremo, limite a su vez su tarea al fin previsto, sin traspasarla a funciones del Juez de instancia, siquiera fuera última" (STC 79/1986, fundamento jurídico 2º).  Limitación que, en el presente caso, pudiera encontrar una justificación adicional en la circunstancia de que, como se ha dicho, la resolución de la cuestión planteada implicaría la introducción de un hecho nuevo.</w:t>
      </w:r>
    </w:p>
    <w:p w:rsidR="008107C7" w:rsidRDefault="008107C7" w:rsidP="008107C7">
      <w:pPr>
        <w:pStyle w:val="TextoNormal"/>
      </w:pPr>
      <w:r>
        <w:t>Todo ello sin perjuicio de que tal cuestión pueda y deba resolverse una vez firme la Sentencia y antes de proceder a su ejecución y dar lugar, en su caso, a la rectificación del fallo por aplicación de la retroactividad más favorable al reo.</w:t>
      </w:r>
    </w:p>
    <w:p w:rsidR="008107C7" w:rsidRDefault="008107C7" w:rsidP="008107C7">
      <w:pPr>
        <w:pStyle w:val="TextoNormal"/>
      </w:pPr>
    </w:p>
    <w:p w:rsidR="008107C7" w:rsidRDefault="008107C7" w:rsidP="008107C7">
      <w:pPr>
        <w:pStyle w:val="TextoNormal"/>
      </w:pPr>
      <w:r w:rsidRPr="008107C7">
        <w:rPr>
          <w:rStyle w:val="NumeroAFNegritaCaracter"/>
        </w:rPr>
        <w:t>3</w:t>
      </w:r>
      <w:r>
        <w:t>. El segundo motivo de la demanda impugna también la decisión de no debatir la aplicabilidad al caso de sus alegaciones anteriores, pero ahora por razones sustantivas que deriva del principio de legalidad: el recurrente estima que ha sido condenado a pesar de que su comportamiento quedaría exento de responsabilidad penal en virtud de lo que dispondría la Disposición adicional transcrita en el fundamento anterior, norma que, aun posterior a la conducta inicial incriminada, sería, en cuanto posibilita su absolución, de aplicación retroactiva al caso.</w:t>
      </w:r>
    </w:p>
    <w:p w:rsidR="008107C7" w:rsidRDefault="008107C7" w:rsidP="008107C7">
      <w:pPr>
        <w:pStyle w:val="TextoNormal"/>
      </w:pPr>
      <w:r>
        <w:t>A la luz de lo razonado en el fundamento anterior, el motivo debe ser rechazado por su alegación prematura en esta sede. No se trata de que la Sentencia haya procedido a la condena del acusado por la indebida inaplicación o la interpretación arbitraria de un precepto que afectaba a su responsabilidad penal, sino que ha deferido el análisis de la incidencia del precepto invocado a la vía procesal que estimaba adecuada en una interpretación de los artículos reguladores del proceso que sólo al Tribunal Supremo correspondía y que, si bien puede resultar discutible, no es lesiva de la garantía de tutela del art. 24.1 C.E.</w:t>
      </w:r>
    </w:p>
    <w:p w:rsidR="008107C7" w:rsidRDefault="008107C7" w:rsidP="008107C7">
      <w:pPr>
        <w:pStyle w:val="TextoNormal"/>
      </w:pPr>
    </w:p>
    <w:p w:rsidR="008107C7" w:rsidRDefault="008107C7" w:rsidP="008107C7">
      <w:pPr>
        <w:pStyle w:val="TextoNormal"/>
      </w:pPr>
      <w:r w:rsidRPr="008107C7">
        <w:rPr>
          <w:rStyle w:val="NumeroAFNegritaCaracter"/>
        </w:rPr>
        <w:t>4</w:t>
      </w:r>
      <w:r>
        <w:t>. Resta aún por abordar el motivo que afirma que la Sentencia condenatoria en casación habría vulnerado el derecho del recurrente a no ser condenado por acciones u omisiones que en el momento de producirse no constituyan delito según la legislación vigente en aquel momento (art. 25.1 C.E.).  Según el recurrente, su probado comportamiento omisivo, consistente en la falta de presentación de la declaración del impuesto sobre la renta de las personas físicas correspondiente a cinco períodos impositivos (1982, 1983, 1984, 1985, 1986), no sería subsumible en el tipo del art. 349 del Código Penal, ni en el del art. 319, ya derogados, que exigían, respectivamente, que el importe de la cuota defraudada excediera de cinco y de dos millones de pesetas, ya que la determinación de este elemento del delito se hace por remisión a la normativa tributaria correspondiente y como ésta habría devenido inexistente en virtud de nuestra STC 45/1989, no cabría constatar su concurrencia, ni, en consecuencia, la de un delito contra la Hacienda Pública.</w:t>
      </w:r>
    </w:p>
    <w:p w:rsidR="008107C7" w:rsidRDefault="008107C7" w:rsidP="008107C7">
      <w:pPr>
        <w:pStyle w:val="TextoNormal"/>
      </w:pPr>
      <w:r>
        <w:t xml:space="preserve">El argumento central que esta tesis defiende se basa en la existencia de un vacío legal -supuestamente provocado por nuestra STC 45/1989- que impediría la determinación de la cuota defraudada y por ello la apreciación de la existencia de delito contra la Hacienda Pública. Sin embargo tal interpretación de los efectos de dicha Sentencia ha sido expresamente rechazada por el Pleno de este Tribunal en la STC 38/1997 al desestimar la cuestión de </w:t>
      </w:r>
      <w:r>
        <w:lastRenderedPageBreak/>
        <w:t>inconstitucionalidad planteada en relación con los arts.  15.3, 17 y 19 de la Ley 20/1989, de 28 de julio, de adaptación del Impuesto sobre la Renta de las Personas Físicas y del Impuesto Extraordinario sobre el Patrimonio de las Personas Físicas, y su posible aplicación retroactiva a procedimientos sancionadores, lo que obliga a desestimar también esta pretensión de amparo.</w:t>
      </w:r>
    </w:p>
    <w:p w:rsidR="008107C7" w:rsidRDefault="008107C7" w:rsidP="008107C7">
      <w:pPr>
        <w:pStyle w:val="TextoNormal"/>
      </w:pPr>
      <w:r>
        <w:t>En efecto, al analizar si la STC 45/1989 produjo un vacío normativo que impide practicar la liquidación de las deudas tributarias hemos declarado que tal vacío no se ha producido ya que la Sentencia citada "al declarar la inconstitucionalidad de diversos preceptos de la Ley 44/1978, reguladores de la tributación conjunta en el I.R.P.F., no produjo una 'laguna legal' que impidiese liquidar la deuda tributaria de las unidades familiares en los ejercicios anteriores a 1988"; y al analizar los efectos de la declaración parcial de inconstitucionalidad en su día acordada, a los que expresamente se refirió su fundamento jurídico 11, hemos concluido que de sus afirmaciones "no se puede inferir que se hubiese producido el alegado vacío normativo que ya no permitiera practicar las liquidaciones del I.R.P.F. por los ejercicios 1986 y 1987" dado que únicamente se produjo "la imposibilidad de aplicar al ejercicio 1988 y no a otros, los preceptos cuya inconstitucionalidad declaraba" (fundamento jurídico 3º de la STC 38/1997).</w:t>
      </w:r>
    </w:p>
    <w:p w:rsidR="008107C7" w:rsidRDefault="008107C7" w:rsidP="008107C7">
      <w:pPr>
        <w:pStyle w:val="TextoNormal"/>
      </w:pPr>
      <w:r>
        <w:t>En esta misma resolución hemos expresado que "en los ejercicios anteriores a 1988, aún vigente el sistema objeto luego de la STC 45/1989 con todos los derechos y obligaciones derivados del mismo, ningún obstáculo existía a la presentación y liquidación de las declaraciones y, en relación con ello, nada impedía que pudieran cometerse infracciones en el cumplimiento de obligaciones tributarias, se omitiese la presentación de declaraciones, se dejara de abonar la totalidad o parte de la cuota autoliquidada, se omitiesen partidas de ingresos etc. y se aplicasen en consecuencia las sanciones correspondientes".  Por tanto, "la denominada 'laguna parcial' no se refiere a la deuda tributaria ni, en su caso, a la de la infracción y la sanción, sino sólo a la ausencia temporal de reglas con las que determinar la cuantía concreta de aquella [en el ejercicio de 1988]. Mas esa transitoria imposibilidad de fijación de la cuantía de la deuda (y, por tanto, de la sanción) desapareció cuando, de acuerdo con nuestra Sentencia, se promulgo la Ley aquí cuestionada. No hay, pues, laguna punitiva alguna, al existir predeterminación legal tanto respecto de la infracción como de la sanción".</w:t>
      </w:r>
    </w:p>
    <w:p w:rsidR="008107C7" w:rsidRDefault="008107C7" w:rsidP="008107C7">
      <w:pPr>
        <w:pStyle w:val="TextoNormal"/>
      </w:pPr>
      <w:r>
        <w:t>Por último, en relación con la posibilidad de aplicación retroactiva de la Ley 20/1989, de 28 de julio, de adaptación del I.R.P.F., hemos recordado lo que se dijo en nuestra STC 146/1994: "las nuevas reglas de tributación de los sujetos integrados en unidades familiares, incorporadas por la Ley 20/1989, son por regla general más favorables a los sujetos pasivos; y, desde luego [...] la aplicación de dicha Ley a los ejercicios anteriores a 1988, si se opta por la tributación individual (alternativa que en todo caso ofrece el art. 2 de la Ley 20/1989), debe suponer una reducción de la deuda tributaria a pagar, esto es, en definitiva, de la cuota eventualmente dejada de ingresar en los citados períodos impositivos" por ello hay que concluir que su aplicación retroactiva, en cuanto es retroactividad in bonus, no vulnera los arts. 9.3 y 25 C.E.  (fundamento jurídico 6º de la STC 38/1997).</w:t>
      </w:r>
    </w:p>
    <w:p w:rsidR="008107C7" w:rsidRDefault="008107C7" w:rsidP="008107C7">
      <w:pPr>
        <w:pStyle w:val="TextoNormal"/>
      </w:pPr>
      <w:r>
        <w:t>Es esta misma la línea de razonamiento que ha seguido la Sentencia que se impugna en este proceso al rechazar los argumentos de quien hoy demanda el amparo y establecer, como conclusión de su razonamiento condenatorio, que sí existía "la posibilidad de cuantificar las cuotas defraudadas evitando que la sujeción conjunta no incremente la carga tributaria que, con arreglo a las normas generales le corresponderían a cada uno de los sujetos pasivos integrados en la unidad familiar de acuerdo con la propia capacidad económica" y que, por tanto, "puede integrarse el tipo penal en blanco con las disposiciones del I.R.P.F. que per</w:t>
      </w:r>
      <w:r>
        <w:lastRenderedPageBreak/>
        <w:t>manecieron vigentes después de la Sentencia aludida [se refiere a la STC 45/1989] sin lesionar, por supuesto, los derechos básicos en juego, e incluso acudir a la Ley 20/1989, de 28 de julio, de adaptación de dicho Impuesto, que regula el régimen transitorio de los períodos impositivos anteriores a 1988, siempre que fuese más favorable (art.  24 del Código Penal)"</w:t>
      </w:r>
    </w:p>
    <w:p w:rsidR="008107C7" w:rsidRDefault="008107C7" w:rsidP="008107C7">
      <w:pPr>
        <w:pStyle w:val="TextoNormal"/>
      </w:pPr>
      <w:r>
        <w:t>En conclusión, el derecho a no ser condenado por acciones u omisiones que en el momento de producirse no constituyan delito, derivado del principio de legalidad penal, ha quedado incólume.</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Desestimar el presente recurso de amparo.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siete de abril de mil novecientos noventa y siete.</w:t>
      </w:r>
    </w:p>
    <w:p w:rsidR="008107C7" w:rsidRDefault="008107C7" w:rsidP="008107C7">
      <w:pPr>
        <w:pStyle w:val="ParrafoNormal"/>
      </w:pPr>
    </w:p>
    <w:p w:rsidR="008107C7" w:rsidRDefault="008107C7" w:rsidP="008107C7">
      <w:pPr>
        <w:pStyle w:val="TextoNormalNegritaCentrado"/>
        <w:keepNext/>
      </w:pPr>
      <w:r>
        <w:t>Voto particular que formula el Magistrado don Fernando García-Mon y González-Regueral a la Sentencia dictada en el recurso de amparo núm. 1744/93, al que se adhiere el Magistrado don Rafael de Mendizábal Allende.</w:t>
      </w:r>
    </w:p>
    <w:p w:rsidR="008107C7" w:rsidRDefault="008107C7" w:rsidP="008107C7">
      <w:pPr>
        <w:pStyle w:val="TextoNormalNegritaCentrado"/>
        <w:keepNext/>
      </w:pPr>
    </w:p>
    <w:p w:rsidR="008107C7" w:rsidRDefault="008107C7" w:rsidP="008107C7">
      <w:pPr>
        <w:pStyle w:val="TextoNormal"/>
      </w:pPr>
      <w:r>
        <w:t>Disiento respetuosamente de la Sentencia dictada en este recurso de amparo por lo siguiente:</w:t>
      </w:r>
    </w:p>
    <w:p w:rsidR="008107C7" w:rsidRDefault="008107C7" w:rsidP="008107C7">
      <w:pPr>
        <w:pStyle w:val="TextoNormal"/>
      </w:pPr>
      <w:r>
        <w:t>1. Como se dice en su fundamento jurídico 1º, uno de los temas planteados en el recurso de amparo está referido a la "inaplicación retroactiva de un precepto legal que describía una causa de absolución" y que al no ser examinado por las Sentencias impugnadas produce, a juicio del recurrente, las vulneraciones de los derechos fundamentales por él denunciadas: principio de legalidad (art. 25.1 C.E.)  y derecho a la tutela judicial efectiva sin indefensión (art. 24.1 C.E.).</w:t>
      </w:r>
    </w:p>
    <w:p w:rsidR="008107C7" w:rsidRDefault="008107C7" w:rsidP="008107C7">
      <w:pPr>
        <w:pStyle w:val="TextoNormal"/>
      </w:pPr>
      <w:r>
        <w:t>Comparto plenamente lo que se dice en el fundamento jurídico 2º de la Sentencia, en la que, con cita de la STC 79/1986, hace referencia a la naturaleza extraordinaria del recurso de casación y a su finalidad de "la unificación interpretativa de las normas jurídicas ordinarias, contribuyendo así a la fijeza del ordenamiento con vistas a la seguridad jurídica". Y entiendo que, como también se dice en dicho fundamento, los presupuestos limitativos de su interposición y los requisitos procesales que regulan su formalización, se exigen "para que el órgano de casación, es decir, el Tribunal Supremo, limite a su vez su tarea al fin previsto, sin traspasarle a funciones del Juez de instancia".</w:t>
      </w:r>
    </w:p>
    <w:p w:rsidR="008107C7" w:rsidRDefault="008107C7" w:rsidP="008107C7">
      <w:pPr>
        <w:pStyle w:val="TextoNormal"/>
      </w:pPr>
      <w:r>
        <w:t xml:space="preserve">Es, pues, claro que los presupuestos, limitaciones y requisitos a los que está sometido el recurso de casación, se establecen y tienen su razón de ser para preservar la naturaleza extraordinaria y la finalidad del recurso. Por lo tanto, en manera alguna son trasladables o exigibles a la parte que no ha interpuesto el recurso de casación y cuya intervención en la sustanciación del mismo no es otra que la de, en defensa de su derecho, oponerse e impugnar el recurso para que se confirme y prevalezca la solución jurídica que ha dado al caso la </w:t>
      </w:r>
      <w:r>
        <w:lastRenderedPageBreak/>
        <w:t>Sentencia de instancia. El derecho de defensa de la parte recurrida no está sometido, pues, a aquellos límites. Al contrario, puede encontrar en ellos argumentos para la finalidad que pretende: la desestimación del recurso y la confirmación de la Sentencia absolutoria que le es favorable.</w:t>
      </w:r>
    </w:p>
    <w:p w:rsidR="008107C7" w:rsidRDefault="008107C7" w:rsidP="008107C7">
      <w:pPr>
        <w:pStyle w:val="TextoNormal"/>
      </w:pPr>
      <w:r>
        <w:t>2. Partiendo de esta premisa, hemos de examinar si el escrito de la parte recurrida en el recurso de casación -hoy recurrente en amparo-, de fecha 16 de diciembre de 1992, que presentó ante la Sala Segunda del Tribunal Supremo, podía o no ser aportado a la Sala para que ésta conociera que lo establecido en la Disposición adicional decimotercera de la Ley 18/1991, de 6 de junio, del Impuesto sobre la Renta de las Personas Físicas, relacionada, pues, con el tema debatido en el recurso de casación (promulgada con posterioridad a la Sentencia objeto del mismo) había sido cumplido por el recurrido, acreditándolo así con la certificación oportuna, a efectos de que el cumplimiento de la normativa sobrevenida, fuera tenido en cuenta por la Sala para resolver el recurso pendiente.  Se trataba de una disposición que por ser favorable para sus intereses como contribuyente del referido Impuesto, reforzaba la fundamentación de la Sentencia absolutoria que se hallaba pendiente del recurso de casación.  Entendía el recurrente en amparo que en virtud del principio de legalidad del art. 25 de la Constitución, en relación con la retroactividad de las normas sancionadoras favorables (art. 9.3 C.E.), la nueva normativa y su cumplimiento, favorecían su postura de oposición al recurso y eran, por tanto, un argumento más para su defensa (art. 24.1 C.E.)  que podía y debía poner en conocimiento de la Sala para reforzar, si fuera necesario, su pretensión desestimatoria del recurso y confirmatoria de la absolución en la instancia.</w:t>
      </w:r>
    </w:p>
    <w:p w:rsidR="008107C7" w:rsidRDefault="008107C7" w:rsidP="008107C7">
      <w:pPr>
        <w:pStyle w:val="TextoNormal"/>
      </w:pPr>
      <w:r>
        <w:t>La Sala Segunda del Tribunal Supremo, por providencia de 18 de enero de 1993, acordó unir el escrito al rollo del recurso de casación y dar traslado del mismo al Ministerio Fiscal y al Abogado del Estado, "para que si a su derecho conviniere, puedan alegar por escrito lo que estimen procedente, en cuanto a las manifestaciones que contiene, con anterioridad al acto de la vista del presente recurso, fijado para el día veintiseis de los corrientes".</w:t>
      </w:r>
    </w:p>
    <w:p w:rsidR="008107C7" w:rsidRDefault="008107C7" w:rsidP="008107C7">
      <w:pPr>
        <w:pStyle w:val="TextoNormal"/>
      </w:pPr>
      <w:r>
        <w:t>3. La Sala Segunda del Tribunal Supremo en la Sentencia de casación (primera Sentencia), de fecha 9 de marzo de 1993, estimó el recurso de casación interpuesto por el Abogado del Estado, casando y anulando la Sentencia de instancia. En su fundamentación rechaza el argumento de defensa invocado por la parte recurrida en los términos que, sucintamente, hemos dejado expuestos en el apartado anterior, con base en lo siguiente: "CUARTO.- Finalmente, la alegación de haberse acogido el acusado a lo dispuesto en la Disposición adicional decimotercera de la Ley 18/1991, de 6 de junio, del Impuesto sobre la Renta de las Personas Físicas, introduce extemporáneamente un hecho y una cuestión nuevas que no puede ser debatido y resuelto en el recurso sin quebranto y mengua de los principios de contradicción y defensa". Extremos estos últimos que contradicen el traslado que la propia Sala había acordado en la providencia de 18 de enero de 1993, al Abogado del Estado y al Ministerio Fiscal, del escrito y la certificación aportados por la parte recurrida para que, con anterioridad al acto de la vista, pudieran alegar por escrito lo que estimaran procedente.</w:t>
      </w:r>
    </w:p>
    <w:p w:rsidR="008107C7" w:rsidRDefault="008107C7" w:rsidP="008107C7">
      <w:pPr>
        <w:pStyle w:val="TextoNormal"/>
      </w:pPr>
      <w:r>
        <w:t xml:space="preserve">En el recurso de amparo se denuncia y argumenta extensamente que lo expuesto en la Sentencia para omitir el análisis jurídico de las posibles consecuencias que la normativa sobrevenida durante la sustanciación del recurso pudieran tener para la resolución del mismo, infringen dos derechos fundamentales de la parte recurida: el derecho de defensa del que, en ningún caso, puede privarse a quien demanda la tutela judicial y el principio de legalidad en relación con la retroactividad de las normas sancionadoras favorables. No es, pues, sólo el derecho fundamental del art. 24.1 C.E. el que se invoca en amparo - el derecho de defensa-, sino también el que, por estar referida la defensa a otro derecho fundamental y </w:t>
      </w:r>
      <w:r>
        <w:lastRenderedPageBreak/>
        <w:t>no a una cuestión de legalidad ordinaria, produce también la vulneración del principio de legalidad.</w:t>
      </w:r>
    </w:p>
    <w:p w:rsidR="008107C7" w:rsidRDefault="008107C7" w:rsidP="008107C7">
      <w:pPr>
        <w:pStyle w:val="TextoNormal"/>
      </w:pPr>
      <w:r>
        <w:t>4. En realidad, la argumentación de la Sentencia desestimatoria del amparo -de la que disiento- tiene su apoyo principal en la naturaleza extraordinaria del recurso de casación y en las limitaciones que para su resolución se contienen en la Ley de Enjuiciamiento Criminal. "De ahí que (se dice en el fundamento jurídico 2º de la Sentencia) no constituya una denegación de tutela la resolución de un órgano judicial de inadmisión de una determinada pretensión por incumplimiento de alguno de aquéllos requisitos, siempre que su interpretación del precepto que lo sienta no sea arbitraria, manifiestamente irrazonable o fruto de un error patente (entre otras, SSTC 102/1984, 168/1988, 199/1994, 255/1994), o, si del acceso inicial a la Justicia o del acceso al recurso del penalmente condenado se trata, siempre que, además, dicha interpretación, no sea reflejo de un "formalismo enervante" o dé lugar a una decisión desproporcionada a la vista de los intereses que en la misma se conciten (entre otras, SSTC 57/1984, 154/1987, 57/1988, 190/1994, 37/1995)".</w:t>
      </w:r>
    </w:p>
    <w:p w:rsidR="008107C7" w:rsidRDefault="008107C7" w:rsidP="008107C7">
      <w:pPr>
        <w:pStyle w:val="TextoNormal"/>
      </w:pPr>
      <w:r>
        <w:t>Y hasta tal punto considera la Sentencia autolimitada su función protectora de los derechos fundamentales invocados por el recurrente -en razón de exigencias de la casación-, que en el propio fundamento segundo hace unas consideraciones, que entiende "sugeridas" por la Sentencia del T.S. y que demuestran inequívocamente que lo planteado en el recurso de amparo merecía una solución favorable al recurrente. Dice asi: "... Otra consideración merecería, desde luego, si la misma (la Sentencia de casación) supusiera el cierre definitivo a la discusión de un asunto tan trascendente como la concurrencia de una causa de absolución, o si se apoyara en la mera imposibilidad de debate contradictorio de la cuestión cuando éste, como era el caso y destaca el recurrente, era aún posible en alguna medida. Ninguna de ambas cosas sucede, sin embargo, en el presente supuesto: como sugiere la resolución impugnada y explícita una asentada línea jurisprudencial del Tribunal Supremo, este tipo de pretensiones, atinentes a la promulgación sobrevenida de normas que inciden de un modo favorable para el acusado sobre la calificación de los hechos que se le imputan, deben ser planteadas ante el Tribunal de instancia para garantizar un debate "sin quebranto y mengua de los principios de contradicción y defensa" y para preservar al respecto el doble grado de jurisdicción, que en el ámbito penal forma parte del derecho a un proceso con todas las garantías (SSTC 42/1982 ó 76/1982)".</w:t>
      </w:r>
    </w:p>
    <w:p w:rsidR="008107C7" w:rsidRDefault="008107C7" w:rsidP="008107C7">
      <w:pPr>
        <w:pStyle w:val="TextoNormal"/>
      </w:pPr>
      <w:r>
        <w:t>Pues bien, frente a esa argumentación de la Sentencia, atinente a lo alegado por el recurrente sobre la Disposición adicional decimotercera de la Ley 18/1991, entiendo que la Sala Segunda del Tribunal Supremo estaba facultada e incluso obligada a no rechazar ese argumento de defensa frente al recurso de casación, por una extemporaneidad obligada por la fecha de la citada Ley.  Estimo que, por no ser aplicables al recurrido los presupuestos y las limitaciones con que se regula la interposición y la formalización del recurso de casación, según lo expuesto en el apartado primero de este escrito, el Tribunal Supremo ha debido entrar en el tema y dando al mismo la solución que entendiera procedente como derivada de la nueva normativa -cualesquiera que fueran sus consecuencias, inócuas o favorables-, cumplir las exigencias de motivación adecuada a la importancia de esa alegación. Importancia que, como hemos visto, se admite en los razonamientos transcritos de la Sentencia y que conducirían, por aplicación de la doctrina que en ellos se citan, a la estimación del amparo. Estimación que es, a mi parecer, la que merecía este recurso y a la que no se ha llegado por trasladar, equivocadamente, a la parte que no ha interpuesto el recurso de casación, sino que ejerce su derecho de defensa frente al mismo, las limitaciones y los requisitos previstos en la Ley de Enjuiciamiento Criminal para su interposición.</w:t>
      </w:r>
    </w:p>
    <w:p w:rsidR="008107C7" w:rsidRDefault="008107C7" w:rsidP="008107C7">
      <w:pPr>
        <w:pStyle w:val="TextoNormal"/>
      </w:pPr>
      <w:r>
        <w:lastRenderedPageBreak/>
        <w:t>5. Finalmente he de decir que aun prescindiendo a efectos dialécticos de todo lo expuesto en los apartados anteriores y admitiendo en hipótesis que en la Sentencia de casación -la primera Sentencia- no se pudiera abordar el tema planteado, relativo a los efectos que para la solución del caso tenía lo dispuesto en la Disposición adicional decimotercera de la Ley 18/1991, cumplimentado por el recurrente en amparo durante la sustanciación del recurso de casación, tan pronto como fue promulgada dicha Ley, en la 2ª Sentencia del Tribunal Supremo, era obligado hacer referencia a los efectos despenalizadores que se podían conseguir mediante el cumplimiento de lo dispuesto en la citada Disposición adicional.</w:t>
      </w:r>
    </w:p>
    <w:p w:rsidR="008107C7" w:rsidRDefault="008107C7" w:rsidP="008107C7">
      <w:pPr>
        <w:pStyle w:val="TextoNormal"/>
      </w:pPr>
      <w:r>
        <w:t>El art. 902 de la L.E. Criminal al atribuir la función de dictar la Sentencia de instancia a la Sala Segunda del Tribunal Supremo, cuando haya estimado algún motivo "fundado en la infracción de la Ley", dice expresamente que dictará "la Sentencia que proceda conforme a Derecho, sin más limitación que la de no imponer pena superior..." La segunda Sentencia no tiene, pues, otra limitación que la expresamente prevista en dicho precepto. Ha de resolver el caso aplicando las normas que correspondan "con arreglo a Derecho". Y la aplicación de las normas favorables a quien va a ser condenado, no está excluída en ningún caso por la fecha de su publicación. Así lo entiende la Sentencia aprobada por la mayoría en el último apartado del fundamento segundo: si el órgano judicial encargado de la ejecución puede rectificar la segunda Sentencia del Tribunal Supremo "por aplicación de la retroactividad más favorable al reo", resulta más sencillo y más lógico que sea esa solución la que adopte desde el primer momento la Sala Segunda del alto Tribunal o que, en caso de no hacerlo, como aquí ha ocurrido le dé este Tribunal la oportunidad de corregir la omisión padecida en la segunda Sentencia.</w:t>
      </w:r>
    </w:p>
    <w:p w:rsidR="008107C7" w:rsidRDefault="008107C7" w:rsidP="008107C7">
      <w:pPr>
        <w:pStyle w:val="TextoNormal"/>
      </w:pPr>
      <w:r>
        <w:t>A mi juicio, resulta incoherente que la Sala haya de prescindir en su Sentencia de una norma vigente al tiempo de dictarla -la citada Disposición adicional decimotercera de la Ley 18/1991-, para que después, precisamente en razón de la retroactividad de esa norma, tenga que ser rectificada la Sentencia por el órgano encargado de su ejecución.</w:t>
      </w:r>
    </w:p>
    <w:p w:rsidR="008107C7" w:rsidRDefault="008107C7" w:rsidP="008107C7">
      <w:pPr>
        <w:pStyle w:val="TextoNormal"/>
      </w:pPr>
      <w:r>
        <w:t>En virtud de todo lo expuesto, entiendo que la decisión de este recurso de amparo ha debido ser estimatoria. Bien en su totalidad como creo más procedente, o, al menos, declarando la nulidad de la segunda Sentencia para que se dicte, como manda el art.  902 de la L.E.Crim., sin más limitaciones que las expresamente previstas en dicho precepto.</w:t>
      </w:r>
    </w:p>
    <w:p w:rsidR="008107C7" w:rsidRDefault="008107C7" w:rsidP="008107C7">
      <w:pPr>
        <w:pStyle w:val="TextoNormal"/>
      </w:pPr>
      <w:r>
        <w:t>Madrid, once de abril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66" w:name="SENTENCIA_1997_63"/>
      <w:r>
        <w:lastRenderedPageBreak/>
        <w:t>SENTENCIA 63/1997, de 7 de abril de 1997</w:t>
      </w:r>
    </w:p>
    <w:bookmarkEnd w:id="66"/>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114, de 13 de mayo de 1997)</w:t>
      </w:r>
    </w:p>
    <w:p w:rsidR="008107C7" w:rsidRDefault="008107C7" w:rsidP="008107C7">
      <w:pPr>
        <w:pStyle w:val="TtuloBOE"/>
      </w:pPr>
    </w:p>
    <w:p w:rsidR="008107C7" w:rsidRDefault="008107C7" w:rsidP="008107C7">
      <w:pPr>
        <w:pStyle w:val="SntesisDescriptiva"/>
      </w:pPr>
      <w:r>
        <w:t>ECLI:ES:TC:1997:63</w:t>
      </w:r>
    </w:p>
    <w:p w:rsidR="008107C7" w:rsidRDefault="008107C7" w:rsidP="008107C7">
      <w:pPr>
        <w:pStyle w:val="SntesisDescriptiva"/>
      </w:pPr>
    </w:p>
    <w:p w:rsidR="008107C7" w:rsidRDefault="008107C7" w:rsidP="008107C7">
      <w:pPr>
        <w:pStyle w:val="SntesisDescriptiva"/>
      </w:pPr>
      <w:r>
        <w:t>Recurso de amparo 3.393/1993 3.394/1993 3.395/1993 3.396/1993 3.397/1993 99/1995 (acumulados). Contra Acuerdos del Jefe de la Dependencia de Inspección de la Delegación de Hacienda de Valladolid que confirman las liquidaciones practicadas por el Impuesto sobre la Renta de Personas Físicas, correspondientes a los ejercicios de 1984 a 1987.</w:t>
      </w:r>
    </w:p>
    <w:p w:rsidR="008107C7" w:rsidRDefault="008107C7" w:rsidP="008107C7">
      <w:pPr>
        <w:pStyle w:val="SntesisDescriptiva"/>
      </w:pPr>
    </w:p>
    <w:p w:rsidR="008107C7" w:rsidRDefault="008107C7" w:rsidP="008107C7">
      <w:pPr>
        <w:pStyle w:val="SntesisAnaltica"/>
      </w:pPr>
      <w:r>
        <w:t>Supuesta vulneración del principio de legalidad: predeterminación legal de la infracción.</w:t>
      </w:r>
    </w:p>
    <w:p w:rsidR="008107C7" w:rsidRDefault="008107C7" w:rsidP="008107C7">
      <w:pPr>
        <w:pStyle w:val="SntesisAnaltica"/>
      </w:pPr>
    </w:p>
    <w:p w:rsidR="008107C7" w:rsidRDefault="008107C7" w:rsidP="008107C7">
      <w:pPr>
        <w:pStyle w:val="Extracto"/>
      </w:pPr>
      <w:r>
        <w:t>1.</w:t>
      </w:r>
      <w:r>
        <w:tab/>
        <w:t>La cuestión que se plantea en los presentes recursos de amparo ha sido resuelta en la reciente Sentencia del Pleno de este Tribunal STC 38/1997. Decíamos en ella que la STC 45/1989, al declarar la inconstitucionalidad de diversos preceptos de la Ley 44/1978, reguladores de la tributación conjunta en el I.R.P.F., no produjo una «laguna legal» que impidiese liquidar la deuda tributaria de las unidades familiares en los ejercicios anteriores a 1988. [F.J. 2]</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los recursos de amparo núms. 3.393, 3.394, 3.395, 3.396, 3.397/93 y 99/95, promovidos por don Alberto Valverde Díez y doña Nicanora Travieso del Campo, representados por el Procurador de los Tribunales don Roberto Granizo Palomeque y asistidos por el Letrado don José Luis Aparicio Carril contra cinco Acuerdos del Jefe de la Dependencia de Inspección de la Delegación de Hacienda de Valladolid de 27 de diciembre de 1990, que confirman las liquidaciones practicadas por el Impuesto sobre la Renta de las Personas Físicas, correspondientes a ejercicios 1984, 1985, 1986, 1987. Han intervenido el Ministerio Fiscal y el Abogado del Estado. Ha sido Ponente el Magistrado don Fernando García-Mon y González-Regueral, quien expresa el parecer de la Sala.</w:t>
      </w:r>
    </w:p>
    <w:p w:rsidR="008107C7" w:rsidRDefault="008107C7" w:rsidP="008107C7">
      <w:pPr>
        <w:pStyle w:val="TextoNormal"/>
      </w:pPr>
    </w:p>
    <w:p w:rsidR="008107C7" w:rsidRDefault="008107C7" w:rsidP="008107C7">
      <w:pPr>
        <w:pStyle w:val="TextoNormalNegritaCentrado"/>
        <w:keepNext/>
      </w:pPr>
      <w:r>
        <w:lastRenderedPageBreak/>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Mediante escrito registrado en este Tribunal el día 17 de noviembre de 1993, don Roberto Granizo Palomeque, Procurador de los Tribunales, actuando en nombre y representación de don Alberto Valverde Díez, interpuso recurso de amparo contra el acuerdo de la Dependencia de Inspección de la Delegación de Hacienda de Valladolid de 27 de diciembre de 1990, que confirmaba la liquidación practicada por el Impuesto sobre la Renta de las Personas Físicas, correspondiente al ejercicio 1984, comprensiva de la cuota, intereses de demora y sanción. </w:t>
      </w:r>
    </w:p>
    <w:p w:rsidR="008107C7" w:rsidRDefault="008107C7" w:rsidP="008107C7">
      <w:pPr>
        <w:pStyle w:val="TextoNormal"/>
      </w:pPr>
      <w:r>
        <w:t xml:space="preserve">Los hechos relevantes para la resolución del presente recurso son, en síntesis, los siguientes: </w:t>
      </w:r>
    </w:p>
    <w:p w:rsidR="008107C7" w:rsidRDefault="008107C7" w:rsidP="008107C7">
      <w:pPr>
        <w:pStyle w:val="TextoNormal"/>
      </w:pPr>
      <w:r>
        <w:t xml:space="preserve">a) El día 20 de noviembre de 1990, la Inspección de la Delegación de Hacienda de Valladolid incoó Acta por el Impuesto sobre la Renta de las Personas Físicas, correspondiente al ejercicio 1984, resultando una cuota a ingresar de 733.764 ptas. </w:t>
      </w:r>
    </w:p>
    <w:p w:rsidR="008107C7" w:rsidRDefault="008107C7" w:rsidP="008107C7">
      <w:pPr>
        <w:pStyle w:val="TextoNormal"/>
      </w:pPr>
      <w:r>
        <w:t xml:space="preserve">Ante la disconformidad del recurrente en amparo con los intereses de demora y sanción propuesta, se formalizó Acta de Disconformidad, que preveía 542.252 ptas. en concepto de intereses de demora, 1.100.646 ptas. por sanción, (art. 164 de la Ley 20/1989), ascendiendo la deuda tributaria a 1.642.898 ptas., propuesta que fue confirmada por acuerdo del Jefe de Inspección de la Delegación de Hacienda de Valladolid de 27 de diciembre de 1990. </w:t>
      </w:r>
    </w:p>
    <w:p w:rsidR="008107C7" w:rsidRDefault="008107C7" w:rsidP="008107C7">
      <w:pPr>
        <w:pStyle w:val="TextoNormal"/>
      </w:pPr>
      <w:r>
        <w:t xml:space="preserve">b) Contra la anterior liquidación, el recurrente en amparo formuló reclamación económico-administrativa, alegando la existencia de un vacío normativo que impedía conocer la cuantía de la cuota a ingresar en relación con los ejercicios anteriores a 1989, al haberse declarado en la STC 45/1989 la inconstitucionalidad de los preceptos que impedían la realización de las declaraciones tributarias separadas. El Tribunal Económico-Administrativo Regional de Castilla y León dictó Resolución el día 29 de enero de 1992, desestimando la reclamación deducida. </w:t>
      </w:r>
    </w:p>
    <w:p w:rsidR="008107C7" w:rsidRDefault="008107C7" w:rsidP="008107C7">
      <w:pPr>
        <w:pStyle w:val="TextoNormal"/>
      </w:pPr>
      <w:r>
        <w:t xml:space="preserve">c) Contra esta Resolución, el demandante de amparo formuló recurso contencioso-administrativo que fue desestimado por Sentencia del Tribunal Superior de Justicia de Castilla y León, con sede en Valladolid, de 23 de octubre de 1993. </w:t>
      </w:r>
    </w:p>
    <w:p w:rsidR="008107C7" w:rsidRDefault="008107C7" w:rsidP="008107C7">
      <w:pPr>
        <w:pStyle w:val="TextoNormal"/>
      </w:pPr>
      <w:r>
        <w:t xml:space="preserve">En la demanda de amparo se alega que la Resolución administrativa impugnada, el Acuerdo de la Dependencia de la Delegación de Hacienda de Valladolid, vulnera el art. 25.1 C.E., en cuanto aplica el art. 15.4 c) de la Ley 20/1989, de Adaptación del Impuesto sobre la Renta de las Personas Físicas. </w:t>
      </w:r>
    </w:p>
    <w:p w:rsidR="008107C7" w:rsidRDefault="008107C7" w:rsidP="008107C7">
      <w:pPr>
        <w:pStyle w:val="TextoNormal"/>
      </w:pPr>
      <w:r>
        <w:t>Se afirma, que la STC 45/1989 generó un vacío legislativo que impedía a los contribuyentes conocer con exactitud la cuantía de la deuda tributaria en relación con los ejercicios anteriores a los que se refiere dicha Sentencia, y que ese vacío normativo vino a ser suplido por la Ley 20/1989, respecto a la que se admite su aplicación retroactiva en cuanto a las bases imponibles, pero no en cuanto a lo que se refiere a las sanciones por las omisiones de ingreso, toda vez que, como se ha expuesto, no podía saberse la cuantía exacta de la cantidad debida. En conclusión, se sostiene que la imposición de la sanción a la que habilita el art. 15.4 c) de la Ley 20/89 con carácter retroactivo, infringe el art. 25.1 C.E., razonando en idénticos términos respecto a los intereses de demora.</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Mediante escrito registrado en este Tribunal el día 17 de noviembre de 1993, don Roberto García Palomeque, actuando en nombre y representación de doña Nicanora Travieso del Campo interpuso demanda de amparo, contra el Acuerdo del Jefe de la Dependencia de Inspección de Hacienda de Valladolid de 27 de diciembre de 1990, que confirma la </w:t>
      </w:r>
      <w:r>
        <w:lastRenderedPageBreak/>
        <w:t xml:space="preserve">liquidación practicada por el Impuesto General sobre la Renta de las Personas Físicas, ejercicio 1984. </w:t>
      </w:r>
    </w:p>
    <w:p w:rsidR="008107C7" w:rsidRDefault="008107C7" w:rsidP="008107C7">
      <w:pPr>
        <w:pStyle w:val="TextoNormal"/>
      </w:pPr>
      <w:r>
        <w:t>Tanto las resoluciones recurridas como los hechos y fundamentos de Derecho alegados en este recurso de amparo son idénticos a los invocados en el recurso de amparo interpuesto por don Alberto Valverde Díez, esposo de la recurrente.</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Mediante escrito registrado en este Tribunal el día 17 de noviembre de 1993, el Procurador de los Tribunales don Roberto Granizo Palomeque y doña Nicanora Travieso del Campo interpuso demanda de amparo contra el Acuerdo del Jefe de la Dependencia de Inspección de la Delegación de Hacienda de Valladolid de 27 de diciembre de 1990, sobre liquidación practicada por el Impuesto sobre la Renta de las Personas Físicas, ejercicio 1987. </w:t>
      </w:r>
    </w:p>
    <w:p w:rsidR="008107C7" w:rsidRDefault="008107C7" w:rsidP="008107C7">
      <w:pPr>
        <w:pStyle w:val="TextoNormal"/>
      </w:pPr>
      <w:r>
        <w:t xml:space="preserve">Los hechos alegados en la demanda de amparo son, en síntesis, los siguientes: </w:t>
      </w:r>
    </w:p>
    <w:p w:rsidR="008107C7" w:rsidRDefault="008107C7" w:rsidP="008107C7">
      <w:pPr>
        <w:pStyle w:val="TextoNormal"/>
      </w:pPr>
      <w:r>
        <w:t xml:space="preserve">a) El día 20 de noviembre de 1990, por la Inspección de la Delegación de Hacienda de Valladolid se incoó Acta por el Impuesto General sobre la Renta de las Personas Físicas, ejercicio 1987, resultando a ingresar 768.461 ptas. </w:t>
      </w:r>
    </w:p>
    <w:p w:rsidR="008107C7" w:rsidRDefault="008107C7" w:rsidP="008107C7">
      <w:pPr>
        <w:pStyle w:val="TextoNormal"/>
      </w:pPr>
      <w:r>
        <w:t xml:space="preserve">Dada la disconformidad de la actora, se formalizó Acta de Disconformidad, proponiéndose la liquidación de 209.867 ptas. en concepto de intereses de demora, 960.576 ptas, por sanción y ascendiendo la deuda tributaria a un total de 1.170.443 ptas. </w:t>
      </w:r>
    </w:p>
    <w:p w:rsidR="008107C7" w:rsidRDefault="008107C7" w:rsidP="008107C7">
      <w:pPr>
        <w:pStyle w:val="TextoNormal"/>
      </w:pPr>
      <w:r>
        <w:t xml:space="preserve">Tal propuesta de liquidación fue confirmada por Acuerdo del Jefe de la Dependencia de Inspección de la Delegación de Hacienda de Valladolid de 27 de diciembre de 1990. </w:t>
      </w:r>
    </w:p>
    <w:p w:rsidR="008107C7" w:rsidRDefault="008107C7" w:rsidP="008107C7">
      <w:pPr>
        <w:pStyle w:val="TextoNormal"/>
      </w:pPr>
      <w:r>
        <w:t xml:space="preserve">b) Contra tal Acuerdo, la actora formuló reclamación económico- administrativa, alegando la existencia de un vacío normativo provocado por la STC 45/1989 que fue desestimada por Resolución del Tribunal Económico- Administrativo de Castilla y León de 29 de enero de 1992. </w:t>
      </w:r>
    </w:p>
    <w:p w:rsidR="008107C7" w:rsidRDefault="008107C7" w:rsidP="008107C7">
      <w:pPr>
        <w:pStyle w:val="TextoNormal"/>
      </w:pPr>
      <w:r>
        <w:t xml:space="preserve">c) Contra esta decisión la demandante de amparo interpuso recurso contencioso-administrativo que fue desestimado por Sentencia de la Sala de lo Contencioso-Administrativo del Tribunal Superior de Justicia de Castilla y León de 25 de octubre de 1993. </w:t>
      </w:r>
    </w:p>
    <w:p w:rsidR="008107C7" w:rsidRDefault="008107C7" w:rsidP="008107C7">
      <w:pPr>
        <w:pStyle w:val="TextoNormal"/>
      </w:pPr>
      <w:r>
        <w:t xml:space="preserve">En la demanda de amparo se invoca que la Resolución administrativa impugnada, el Acuerdo de la Dependencia de la Delegación de Hacienda de Valladolid, vulnera los arts. 9.3 y 25.1 C.E., en cuanto aplica el art. 15.4 c) de la Ley 20/1989, de Adaptación del Impuesto sobre la Renta de las Personas Físicas. </w:t>
      </w:r>
    </w:p>
    <w:p w:rsidR="008107C7" w:rsidRDefault="008107C7" w:rsidP="008107C7">
      <w:pPr>
        <w:pStyle w:val="TextoNormal"/>
      </w:pPr>
      <w:r>
        <w:t>Se afirma, que la STC 45/1989 generó un vacío legislativo que impedía a los contribuyentes reconocer con exactitud la cuantía de la deuda tributaria en relación con los ejercicios anteriores a los que se refiere dicha Sentencia, y que ese vacío normativo vino a ser suplido por la Ley 20/1989, respecto a la que se admite su aplicación retroactiva en cuanto a las bases imponibles, pero no en cuanto a lo que se refiere a las sanciones por las omisiones de ingreso, toda vez que, como se ha expuesto, no podía saberse la cuantía exacta de la cantidad debida. En conclusión, se sostiene que la imposición de la sanción a la que habilita el art. 15.4 c) de la Ley 20/89 con carácter retroactivo, infringe el art. 25.1 C.E., razonando en idénticos términos respecto a los intereses de demora.</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El día 17 de noviembre de 1993 el Procurador de los Tribunales don Roberto Granizo Palomeque, actuando en nombre y representación de doña Nicanora Travieso del Campo interpuso recurso de amparo contra el Acuerdo del jefe de la Dependencia de Inspección de la Delegación de Hacienda de Valladolid de 27 de diciembre de 1990, sobre el Impuesto sobre la Renta de las Personas Físicas, ejercicio 1986. </w:t>
      </w:r>
    </w:p>
    <w:p w:rsidR="008107C7" w:rsidRDefault="008107C7" w:rsidP="008107C7">
      <w:pPr>
        <w:pStyle w:val="TextoNormal"/>
      </w:pPr>
      <w:r>
        <w:t xml:space="preserve">Los hechos relevantes en la Resolución del presente recurso de amparo son, en síntesis, los siguientes: </w:t>
      </w:r>
    </w:p>
    <w:p w:rsidR="008107C7" w:rsidRDefault="008107C7" w:rsidP="008107C7">
      <w:pPr>
        <w:pStyle w:val="TextoNormal"/>
      </w:pPr>
      <w:r>
        <w:lastRenderedPageBreak/>
        <w:t xml:space="preserve">a) Por la Inspección de la Delegación de Hacienda de Valladolid se incoó Acta a la actora por el Impuesto sobre la Renta de las Personas Físicas, ejercicio 1986, resultando una cuota a ingresar de 1.627.051 ptas. </w:t>
      </w:r>
    </w:p>
    <w:p w:rsidR="008107C7" w:rsidRDefault="008107C7" w:rsidP="008107C7">
      <w:pPr>
        <w:pStyle w:val="TextoNormal"/>
      </w:pPr>
      <w:r>
        <w:t xml:space="preserve">Al no estar conforme la actora con los intereses de demora y la sanción, se formalizó Acta de disconformidad, que comprendía, 658.955 ptas. en concepto de intereses de demora, 1.031.814 ptas. por sanción, con un total de 2.692.769 ptas. </w:t>
      </w:r>
    </w:p>
    <w:p w:rsidR="008107C7" w:rsidRDefault="008107C7" w:rsidP="008107C7">
      <w:pPr>
        <w:pStyle w:val="TextoNormal"/>
      </w:pPr>
      <w:r>
        <w:t xml:space="preserve">Por Acuerdo del Jefe de la Dependencia de Inspección de la Delegación de Hacienda de Valladolid de 27 de diciembre de 1990 se confirmó la propuesta contenida en el Acta de Disconformidad. </w:t>
      </w:r>
    </w:p>
    <w:p w:rsidR="008107C7" w:rsidRDefault="008107C7" w:rsidP="008107C7">
      <w:pPr>
        <w:pStyle w:val="TextoNormal"/>
      </w:pPr>
      <w:r>
        <w:t xml:space="preserve">b) Contra tal decisión la actora formuló reclamación económico- administrativa que fue desestimada por Resolución del Tribunal Económico- Administrativo de Castilla y León de 29 de enero de 1992. </w:t>
      </w:r>
    </w:p>
    <w:p w:rsidR="008107C7" w:rsidRDefault="008107C7" w:rsidP="008107C7">
      <w:pPr>
        <w:pStyle w:val="TextoNormal"/>
      </w:pPr>
      <w:r>
        <w:t xml:space="preserve">c) Contra tal Resolución la demandante interpuso recurso contencioso-administrativo que fue desestimado por Sentencia de la Sala de lo Contencioso del Tribunal Superior de Justicia de Castilla y León, con sede en Valladolid de 28 de octubre de 1993. </w:t>
      </w:r>
    </w:p>
    <w:p w:rsidR="008107C7" w:rsidRDefault="008107C7" w:rsidP="008107C7">
      <w:pPr>
        <w:pStyle w:val="TextoNormal"/>
      </w:pPr>
      <w:r>
        <w:t xml:space="preserve">En la demanda de amparo se alega que la Resolución administrativa impugnada, el Acuerdo de la Dependencia de la Delegación de Hacienda de Valladolid, vulnera el art. 25.1 C.E., en cuanto aplica retroactivamente el art. 15.4 c) de la Ley 20/1989, de Adaptación del Impuesto sobre la Renta de las Personas Físicas. </w:t>
      </w:r>
    </w:p>
    <w:p w:rsidR="008107C7" w:rsidRDefault="008107C7" w:rsidP="008107C7">
      <w:pPr>
        <w:pStyle w:val="TextoNormal"/>
      </w:pPr>
      <w:r>
        <w:t>Se afirma, que la STC 45/1989 generó un vacío legislativo que impedía a los contribuyentes reconocer con exactitud la cuantía de la deuda tributaria en relación con los ejercicios anteriores a los que se refiere dicha Sentencia, y que ese vacío normativo vino a ser suplido por la Ley 20/1989, respecto a la que se admite su aplicación retroactiva en cuanto a las bases imponibles, pero no en cuanto a lo que se refiere a las sanciones por las omisiones de ingreso, toda vez que, como se ha expuesto, no podía saberse la cuantía exacta de la cantidad debida. En conclusión, se sostiene que la imposición de la sanción a la que habilita el art. 15.4 c) de la Ley 20/89 con carácter retroactivo, infringe el art. 25.1 C.E., razonando en idénticos términos respecto a los intereses de demora.</w:t>
      </w:r>
    </w:p>
    <w:p w:rsidR="008107C7" w:rsidRDefault="008107C7" w:rsidP="008107C7">
      <w:pPr>
        <w:pStyle w:val="TextoNormal"/>
      </w:pPr>
    </w:p>
    <w:p w:rsidR="008107C7" w:rsidRDefault="008107C7" w:rsidP="008107C7">
      <w:pPr>
        <w:pStyle w:val="TextoNormal"/>
      </w:pPr>
      <w:r w:rsidRPr="008107C7">
        <w:rPr>
          <w:rStyle w:val="NumeroAFNegritaCaracter"/>
        </w:rPr>
        <w:t>5</w:t>
      </w:r>
      <w:r>
        <w:t xml:space="preserve">. Mediante escrito registrado en este Tribunal el día 17 de noviembre de 1993, don Francisco Granizo Palomeque, Procurador de los Tribunales, y de doña Nicanora Travieso del Campo interpuso demanda de amparo contra el Acuerdo del Jefe de la Dependencia de Inspección de la Delegación de Hacienda de Valladolid de 27 de diciembre de 1990, sobre el Impuesto General sobre la Renta de las Personas Físicas, correspondiente al ejercicio 1985. </w:t>
      </w:r>
    </w:p>
    <w:p w:rsidR="008107C7" w:rsidRDefault="008107C7" w:rsidP="008107C7">
      <w:pPr>
        <w:pStyle w:val="TextoNormal"/>
      </w:pPr>
      <w:r>
        <w:t xml:space="preserve">Los hechos relevantes para la resolución del recurso son, en síntesis, los siguientes: </w:t>
      </w:r>
    </w:p>
    <w:p w:rsidR="008107C7" w:rsidRDefault="008107C7" w:rsidP="008107C7">
      <w:pPr>
        <w:pStyle w:val="TextoNormal"/>
      </w:pPr>
      <w:r>
        <w:t xml:space="preserve">a) Con fecha 20 de noviembre de 1990, la Inspección de la Delegación de Hacienda de Valladolid incoó Acta contra la actora por el Impuesto General sobre la Renta de las Personas Físicas, ejercicio 1985, resultando una cuota a ingresar de 891.415 ptas. </w:t>
      </w:r>
    </w:p>
    <w:p w:rsidR="008107C7" w:rsidRDefault="008107C7" w:rsidP="008107C7">
      <w:pPr>
        <w:pStyle w:val="TextoNormal"/>
      </w:pPr>
      <w:r>
        <w:t xml:space="preserve">Al no estar conforme la actora con los intereses y la sanción propuestas, se formalizó la correspondiente Acta de Disconformidad, que comprendía las cantidades de 511.761 ptas. en concepto de intereses de demora, 1.114.269 ptas. por la sanción, con una deuda tributaria de 1.626.030 ptas. </w:t>
      </w:r>
    </w:p>
    <w:p w:rsidR="008107C7" w:rsidRDefault="008107C7" w:rsidP="008107C7">
      <w:pPr>
        <w:pStyle w:val="TextoNormal"/>
      </w:pPr>
      <w:r>
        <w:t xml:space="preserve">b) Contra esta liquidación la actora formuló reclamación económico- administrativa que fue desestimada por Resolución del Tribunal Económico- Administrativo Regional de Castilla y León de 29 de enero de 1992. </w:t>
      </w:r>
    </w:p>
    <w:p w:rsidR="008107C7" w:rsidRDefault="008107C7" w:rsidP="008107C7">
      <w:pPr>
        <w:pStyle w:val="TextoNormal"/>
      </w:pPr>
      <w:r>
        <w:lastRenderedPageBreak/>
        <w:t xml:space="preserve">c) Contra esta decisión, la demandante formuló recurso contencioso- administrativo que fue desestimado por Sentencia de la Sala de lo Contencioso- Administrativo del Tribunal Superior de Justicia de Castilla-León, con sede en Valladolid, de 26 de octubre de 1993. </w:t>
      </w:r>
    </w:p>
    <w:p w:rsidR="008107C7" w:rsidRDefault="008107C7" w:rsidP="008107C7">
      <w:pPr>
        <w:pStyle w:val="TextoNormal"/>
      </w:pPr>
      <w:r>
        <w:t xml:space="preserve">En la demanda de amparo se invoca que la Resolución administrativa impugnada, el acuerdo de la Dependencia de la Delegación de Hacienda de Valladolid, vulnera el art. 25.1 C.E., en cuanto aplica el art. 15.4 c) de la Ley 20/1989, de Adaptación del Impuesto sobre la Renta de las Personas Físicas. </w:t>
      </w:r>
    </w:p>
    <w:p w:rsidR="008107C7" w:rsidRDefault="008107C7" w:rsidP="008107C7">
      <w:pPr>
        <w:pStyle w:val="TextoNormal"/>
      </w:pPr>
      <w:r>
        <w:t>Se afirma, por la recurrente, que la STC 45/1989 generó un vacío legislativo que impedía a los contribuyentes reconocer con exactitud la cuantía de la deuda tributaria en relación con los ejercicios anteriores a los que se refiere dicha Sentencia, y que ese vacío normativo vino a ser suplido por la Ley 20/1989, respecto a la que se admite su aplicación retroactiva en cuanto a las bases imponibles, pero no en cuanto a lo que se refiere a las sanciones por las omisiones de ingreso, toda vez que, como se ha expuesto, no podía saberse la cuantía exacta de la cantidad debida. En conclusión, se sostiene que la imposición de la sanción a la que habilita el art. 15.4 c) de la Ley 20/89 con carácter retroactivo, infringe el art. 25.1 C.E., razonando en idénticos términos respecto a los intereses de demora.</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Por sendas providencias de 3 de mayo de 1994, la Sección Cuarta acordó admitir a trámite los recursos de amparo (núms. 3393, 3394, 3395, 3396 y 3397/93) y, a tenor de lo dispuesto en el art. 50 LOTC, acordó remitir comunicación al Tribunal Económico-Administrativo Regional de Castilla-León a fin de que remitiera certificación o fotocopia adverada de las actuaciones correspondientes a los expedientes administrativos tramitados con motivo de la reclamación efectuada por el recurrente de amparo, con incorporación de los expedientes de inspección tramitados por la Delegación de Hacienda de Valladolid a partir de las Actas de 20 de noviembre de 1990 y requerir al Tribunal Superior de Justicia de Castilla-León a fin de que remitiera certificación o fotocopia adverada de las actuaciones correspondientes a los recursos 704, 705, 706, 707 y 711/92, en los que recayeron las Sentencias impugnadas. </w:t>
      </w:r>
    </w:p>
    <w:p w:rsidR="008107C7" w:rsidRDefault="008107C7" w:rsidP="008107C7">
      <w:pPr>
        <w:pStyle w:val="TextoNormal"/>
      </w:pPr>
      <w:r>
        <w:t>Asimismo se concedió un plazo común de tres días a la parte recurrente, al Abogado del Estado y al Ministerio Fiscal para que alegaran lo que estimaran pertinente sobre la posible acumulación al recurso núm. 3.393/93, interpuesto por don Alberto Valverde Díez, de los tramitados con los núms. 3.394, 3.395, 3.396 y 3.397/93, todos ellos interpuestos por la esposa del demandante, doña Nicanora Travieso del Campo.</w:t>
      </w:r>
    </w:p>
    <w:p w:rsidR="008107C7" w:rsidRDefault="008107C7" w:rsidP="008107C7">
      <w:pPr>
        <w:pStyle w:val="TextoNormal"/>
      </w:pPr>
    </w:p>
    <w:p w:rsidR="008107C7" w:rsidRDefault="008107C7" w:rsidP="008107C7">
      <w:pPr>
        <w:pStyle w:val="TextoNormal"/>
      </w:pPr>
      <w:r w:rsidRPr="008107C7">
        <w:rPr>
          <w:rStyle w:val="NumeroAFNegritaCaracter"/>
        </w:rPr>
        <w:t>7</w:t>
      </w:r>
      <w:r>
        <w:t>. Por Auto de la Sala Segunda de 21 de noviembre de 1994 y de conformidad con lo dispuesto en el art. 83 LOTC, se acordó la acumulación de los recursos de amparo núms. 3.393, 3.394, 3.395, 3.396 y 3.397/93 interpuestos por el Procurador don Roberto Granizo Palomeque, en nombre y representación de don Alberto Granizo Díez, demandante en el primero de los recursos citados, y su esposa doña Nicanora Travieso del Campo que figura como demandante en los demás recursos.</w:t>
      </w:r>
    </w:p>
    <w:p w:rsidR="008107C7" w:rsidRDefault="008107C7" w:rsidP="008107C7">
      <w:pPr>
        <w:pStyle w:val="TextoNormal"/>
      </w:pPr>
    </w:p>
    <w:p w:rsidR="008107C7" w:rsidRDefault="008107C7" w:rsidP="008107C7">
      <w:pPr>
        <w:pStyle w:val="TextoNormal"/>
      </w:pPr>
      <w:r w:rsidRPr="008107C7">
        <w:rPr>
          <w:rStyle w:val="NumeroAFNegritaCaracter"/>
        </w:rPr>
        <w:t>8</w:t>
      </w:r>
      <w:r>
        <w:t>. Una vez tramitada la pieza de suspensión que se formó por providencia de 3 de mayo de 1994, y tras oír a las partes, la Sala Segunda acordó, por Auto de 21 de noviembre de 1994, denegar la suspensión de la ejecución de las resoluciones impugnadas solicitada por los recurrentes.</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9</w:t>
      </w:r>
      <w:r>
        <w:t>. Por providencia de la Sección Cuarta de 15 de diciembre de 1994 se acordó dar vista de las actuaciones recibidas a la parte recurrente, al Abogado del Estado y al Ministerio Fiscal por el plazo común de veinte días, a fin de que pudieran presentar las alegaciones que estimaron pertinentes, conforme determina el art. 52.1 de la Ley Orgánica de este Tribunal.</w:t>
      </w:r>
    </w:p>
    <w:p w:rsidR="008107C7" w:rsidRDefault="008107C7" w:rsidP="008107C7">
      <w:pPr>
        <w:pStyle w:val="TextoNormal"/>
      </w:pPr>
    </w:p>
    <w:p w:rsidR="008107C7" w:rsidRDefault="008107C7" w:rsidP="008107C7">
      <w:pPr>
        <w:pStyle w:val="TextoNormal"/>
      </w:pPr>
      <w:r w:rsidRPr="008107C7">
        <w:rPr>
          <w:rStyle w:val="NumeroAFNegritaCaracter"/>
        </w:rPr>
        <w:t>10</w:t>
      </w:r>
      <w:r>
        <w:t>. El día 10 de enero de 1995 tuvo entrada en el Registro General de este Tribunal el escrito de alegaciones presentado por el Procurador Sr. Granizo Palomeque en el que reiteraba íntegramente los antecedentes de hecho y fundamentación jurídica de las demandas de amparo.</w:t>
      </w:r>
    </w:p>
    <w:p w:rsidR="008107C7" w:rsidRDefault="008107C7" w:rsidP="008107C7">
      <w:pPr>
        <w:pStyle w:val="TextoNormal"/>
      </w:pPr>
    </w:p>
    <w:p w:rsidR="008107C7" w:rsidRDefault="008107C7" w:rsidP="008107C7">
      <w:pPr>
        <w:pStyle w:val="TextoNormal"/>
      </w:pPr>
      <w:r w:rsidRPr="008107C7">
        <w:rPr>
          <w:rStyle w:val="NumeroAFNegritaCaracter"/>
        </w:rPr>
        <w:t>11</w:t>
      </w:r>
      <w:r>
        <w:t xml:space="preserve">. El mismo día, 10 de enero de 1995, se presentó en el Registro de este Tribunal el escrito de alegaciones del Abogado del Estado, quien comienza realizando una serie de precisiones sobre el objeto del recurso de amparo, y a continuación afirma que no hay vacío legal alguno. La STC 45/1989, refiere, no declara inconstitucional el principio de sujeción conjunta, sino la instrumentación de este principio a través de la acumulación de rentas; la inconstitucionalidad deriva de que tal acumulación de rentas viola lo que el fundamento jurídico 5º de la citada Sentencia califica de "limitación constitucional". Pues bien, dentro de ese límite constitucional, que pesa sobre cualquier régimen que pueda idearse para la sujeción conjunta de los miembros de las unidades familiares en el IRPF, son compatibles diversos sistemas, y la elección de uno de ellos corresponde al legislador, según se sostiene en el fundamento jurídico 11 de la mencionada Sentencia y, precisamente, el legislador en la Ley 20/1989 adapta la Ley del Impuesto a la doctrina constitucional contenida en la STC 45/1989, Ley que es respetuosa con el límite constitucional del gravamen conjunto referido. El régimen de tributación separada contenida en la Ley 20/1989 viene a purgar todo efecto inconstitucional derivado de la acumulación de rentas en la tributación conjunta y hace efectivo el límite constitucional referido y la aplicación retroactiva de la regulación contenida en la Ley 20/1989 supone un trato más favorable para la mayor parte de los casos de acumulación de rentas impuestas por el texto anterior de la Ley 44/1978 y también en el presente caso. No hay, pues, vacío normativo: el vacío creado por la STC 45/1989 fue llenado por la Ley 30/1989 y sólo puede hablarse de vacío normativo durante los meses que transcurrieron desde la publicación de la STC 45/1989 hasta la entrada en vigor de la Ley 20/1989. </w:t>
      </w:r>
    </w:p>
    <w:p w:rsidR="008107C7" w:rsidRDefault="008107C7" w:rsidP="008107C7">
      <w:pPr>
        <w:pStyle w:val="TextoNormal"/>
      </w:pPr>
      <w:r>
        <w:t xml:space="preserve">Continúa afirmando el representante de la Administración, que respecto a los ejercicios anteriores a 1988, lo que ha hecho el fundamento jurídico 11 de la STC 45/1989 ha sido establecer límites a la posible retroactividad de la más favorable regulación de la Ley 20/1989, y estos límites afectan a la gran mayoría de los contribuyentes respetuosos con la ley, que es a quien verdaderamente afecta la irrevisabilidad de situaciones consolidadas por Sentencia o actos administrativos firmes. Precisamente son los que no cumplieron como debían en los ejercicios anteriores a 1988 quienes reciben comparativamente mejor trato, pues el descubrimiento posterior de rentas o elementos patrimoniales no declarados correspondientes a ejercicios anteriores a 1988 se liquida con estricta aplicación de la más favorable Ley nueva en vez de soportar la acumulación de rentas que sufrieron quienes en su momento declararon bien. Señala esta parte que el verdadero problema constitucional radica no tanto en el supuesto "vacío normativo" llenado por una Ley posterior y más favorable, cuanto en hallar justificación constitucional para el último párrafo del fundamento jurídico 11 de la STC 45/1989, esto es para excluir de la retroactividad de lo más favorable a los </w:t>
      </w:r>
      <w:r>
        <w:lastRenderedPageBreak/>
        <w:t xml:space="preserve">contribuyentes que cumplieron con sus deberes fiscales sujetándose al régimen de acumulación de rentas anterior al a ley 20/1989. Estas consideraciones llevan a concluir a esta parte que no se ha infringido el art. 25.1 C.E. con la actuación administrativa, ni cabe sostener la inconstitucionalidad del art. 15.4 c) en la Ley 20/1989 en las palabras "más las sanciones ... que proceden". </w:t>
      </w:r>
    </w:p>
    <w:p w:rsidR="008107C7" w:rsidRDefault="008107C7" w:rsidP="008107C7">
      <w:pPr>
        <w:pStyle w:val="TextoNormal"/>
      </w:pPr>
      <w:r>
        <w:t>Sobre las sanciones pecuniarias impuestas a los recurrentes, señala que el tipo de la infracción y la conminación de la sanción preexistían a su comisión [arts. 79 a), 80.1 y 87.1 L.G.T.) y que los preceptos legales indicados de la L.G.T. satisfacen la doble garantía, formal y material, inmanente en el art. 25.1 C.E. La aplicación del art. 15.4 de la Ley 20/1989 ha tenido como consecuencia descomponer en dos una sanción proporcional conjunta con la consecuencia de que la suma de las dos multas individuales es inferior a la que podía haber sido sanción conjunta bajo el inconstitucional régimen de acumulación de rentas. Y ello, precisamente, porque las cuotas tributarias en régimen de tributación individual, sobre las que se aplica el tipo proporcional para calcular la sanción son inferiores, sumadas a la cuota conjunta que correspondería. Así pues, concluye esta representación, hay retroactividad pero in mitius o in bonam partem. Y, además, las nuevas sanciones individuales son consecuencia de una opción libre y voluntaria de la tributación individual, por lo que suplica a la Sala que dicte Sentencia denegando el amparo pretendido.</w:t>
      </w:r>
    </w:p>
    <w:p w:rsidR="008107C7" w:rsidRDefault="008107C7" w:rsidP="008107C7">
      <w:pPr>
        <w:pStyle w:val="TextoNormal"/>
      </w:pPr>
    </w:p>
    <w:p w:rsidR="008107C7" w:rsidRDefault="008107C7" w:rsidP="008107C7">
      <w:pPr>
        <w:pStyle w:val="TextoNormal"/>
      </w:pPr>
      <w:r w:rsidRPr="008107C7">
        <w:rPr>
          <w:rStyle w:val="NumeroAFNegritaCaracter"/>
        </w:rPr>
        <w:t>12</w:t>
      </w:r>
      <w:r>
        <w:t xml:space="preserve">. El Ministerio Fiscal presentó sus alegaciones mediante escrito que fue registrado el día 13 de enero de 1995. En ellas, y tras reseñar los antecedentes, se realizan una serie de consideraciones respecto del cumplimiento de los requisitos de admisibilidad de la demanda de amparo, en particular, en lo referido al agotamiento de la vía judicial previa. Sin embargo, señala, no concurre el referido motivo de inadmisibilidad toda vez que junto al argumento de la imposibilidad de determinación de las cuotas, y, por tanto, de las sanciones, los demandantes alegan también que el art. 15.4 de la Ley 10/1989, supone una aplicación retroactiva de las normas, que si bien es admisible en cuanto se refiere a la deuda tributaria, es contraria, sin embargo, al principio de legalidad e irretroactividad de las normas sancionadoras -arts. 25.1 y 9.3 C.E.-. </w:t>
      </w:r>
    </w:p>
    <w:p w:rsidR="008107C7" w:rsidRDefault="008107C7" w:rsidP="008107C7">
      <w:pPr>
        <w:pStyle w:val="TextoNormal"/>
      </w:pPr>
      <w:r>
        <w:t xml:space="preserve">En cuanto al fondo, el Ministerio Fiscal refiere, en primer término, que el art. 9.3 C.E. está fuera de los preceptos que regulan los derechos fundamentales susceptibles de recurso de amparo y, en segundo lugar, que las normas auténticamente sancionadoras son las integradas en los arts. 77 y ss. de la L.G.T., en la redacción dada por la Ley 10/1985, que, por estar vigentes en el momento de cometerse los hechos calificados como infracción grave, no se han aplicado retroactivamente. Los Acuerdos sancionados califican como infracción tributaria grave conforme al art. 79 a) de la L.G.T., precepto que debe ponerse en relación, por una parte, con el art. 36.2 de la Ley Reguladora del I.R.P.F., y de otra, con el art. 145 del Reglamento, que establece los plazos de presentación de las declaraciones. De este modo, las infracciones sancionadas, supuestamente en forma retroactiva, se cometieron en las fechas de presentación de las declaraciones autoliquidadoras a ingresar simultáneamente, es decir, en los meses de mayo-junio de los años inmediatamente siguientes a los de los períodos que se referían y, por tanto, con anterioridad a la STC 45/1989. </w:t>
      </w:r>
    </w:p>
    <w:p w:rsidR="008107C7" w:rsidRDefault="008107C7" w:rsidP="008107C7">
      <w:pPr>
        <w:pStyle w:val="TextoNormal"/>
      </w:pPr>
      <w:r>
        <w:t xml:space="preserve">Finalmente, la normativa surgida como consecuencia de dicha Sentencia aborda las cuestiones relativas al régimen transitorio de los períodos impositivos anteriores a 1988, normas que, de una parte sancionan la intangibilidad de las autoliquidaciones no recurridas antes de dicha Sentencia y de las liquidaciones administrativas que hubieran adquirido firmeza y, de otra, van encaminadas a poder establecer la deuda tributaria con los correspondientes recargos y, en su caso, sanciones respecto de aquellas que no concurrieron dichas circunstancias, </w:t>
      </w:r>
      <w:r>
        <w:lastRenderedPageBreak/>
        <w:t>incluso con efectos, en principio, beneficiosos, para quienes incumplieron sus obligaciones tributarias, pues pudieron optar por el régimen de tributación conjunta o separada, que no pudieron hacerlo quienes cumplieron con dichas obligaciones de acuerdo con el art. 15.1 de la Ley 20/1989: en consecuencia, no establecen en sí mismas normas aplicables a hechos anteriores a su vigencia y, por tanto, no vulneran el principio de legalidad sancionadora y de irretroactividad de las normas de este carácter, razones por las que el Fiscal interesa a este Tribunal que dicte Sentencia desestimando el recurso de amparo.</w:t>
      </w:r>
    </w:p>
    <w:p w:rsidR="008107C7" w:rsidRDefault="008107C7" w:rsidP="008107C7">
      <w:pPr>
        <w:pStyle w:val="TextoNormal"/>
      </w:pPr>
    </w:p>
    <w:p w:rsidR="008107C7" w:rsidRDefault="008107C7" w:rsidP="008107C7">
      <w:pPr>
        <w:pStyle w:val="TextoNormal"/>
      </w:pPr>
      <w:r w:rsidRPr="008107C7">
        <w:rPr>
          <w:rStyle w:val="NumeroAFNegritaCaracter"/>
        </w:rPr>
        <w:t>13</w:t>
      </w:r>
      <w:r>
        <w:t xml:space="preserve">. Mediante escrito registrado en este -Tribunal el día 11 de enero de 1995 don Roberto Granizo Palomeque, Procurador de los Tribunales y de don Alberto Valverde Díez interpuso demanda de amparo contra el Acuerdo del Jefe de la Dependencia de Inspección de la Delegación de Hacienda de Valladolid, de 27 de diciembre de 1990, sobre el Impuesto General sobre la Renta de las Personas Físicas, ejercicio 1985. </w:t>
      </w:r>
    </w:p>
    <w:p w:rsidR="008107C7" w:rsidRDefault="008107C7" w:rsidP="008107C7">
      <w:pPr>
        <w:pStyle w:val="TextoNormal"/>
      </w:pPr>
      <w:r>
        <w:t xml:space="preserve">Los hechos que se alegan en la demanda de amparo son, en síntesis, los siguientes: </w:t>
      </w:r>
    </w:p>
    <w:p w:rsidR="008107C7" w:rsidRDefault="008107C7" w:rsidP="008107C7">
      <w:pPr>
        <w:pStyle w:val="TextoNormal"/>
      </w:pPr>
      <w:r>
        <w:t xml:space="preserve">a) Por la Inspección de la Delegación de Hacienda de Valladolid se incoó Acta contra el actor por el Impuesto sobre la Renta de las Personas Físicas, ejercicio 1985, resultando una cuota a ingresar de 1.037.779 ptas. </w:t>
      </w:r>
    </w:p>
    <w:p w:rsidR="008107C7" w:rsidRDefault="008107C7" w:rsidP="008107C7">
      <w:pPr>
        <w:pStyle w:val="TextoNormal"/>
      </w:pPr>
      <w:r>
        <w:t xml:space="preserve">Al no estar conforme el actor con los intereses y la sanción, se formalizó la correspondiente Acta de Disconformidad que comprendía intereses de demora, por importe de 595.789 ptas., una sanción de 1.297.224 ptas, con un total de 1.893.013 ptas. </w:t>
      </w:r>
    </w:p>
    <w:p w:rsidR="008107C7" w:rsidRDefault="008107C7" w:rsidP="008107C7">
      <w:pPr>
        <w:pStyle w:val="TextoNormal"/>
      </w:pPr>
      <w:r>
        <w:t xml:space="preserve">b) Contra esta decisión, el recurrente en amparo formuló reclamación económico-administrativa, que fue desestimada por el Tribunal Económico-Administrativo de Castilla y León de 29 de enero de 1992. </w:t>
      </w:r>
    </w:p>
    <w:p w:rsidR="008107C7" w:rsidRDefault="008107C7" w:rsidP="008107C7">
      <w:pPr>
        <w:pStyle w:val="TextoNormal"/>
      </w:pPr>
      <w:r>
        <w:t xml:space="preserve">c) Contra esta Resolución el actor interpuso recurso contencioso- administrativo que fue desestimado por Sentencia de la Sala de lo Contencioso- Administrativo del Tribunal Superior de Justicia de Castilla y León de 28 de diciembre de 1994. </w:t>
      </w:r>
    </w:p>
    <w:p w:rsidR="008107C7" w:rsidRDefault="008107C7" w:rsidP="008107C7">
      <w:pPr>
        <w:pStyle w:val="TextoNormal"/>
      </w:pPr>
      <w:r>
        <w:t xml:space="preserve">En la demanda de amparo se invoca que la Resolución administrativa impugnada, el Acuerdo de la Dependencia de la Delegación de Hacienda de Valladolid, vulnera el art. 25.1 C.E., en cuanto aplica el art. 15.4 c) de la Ley 20/1989, de Adaptación del Impuesto sobre la Renta de las Personas Físicas. </w:t>
      </w:r>
    </w:p>
    <w:p w:rsidR="008107C7" w:rsidRDefault="008107C7" w:rsidP="008107C7">
      <w:pPr>
        <w:pStyle w:val="TextoNormal"/>
      </w:pPr>
      <w:r>
        <w:t xml:space="preserve">Se afirma, que la STC 45/1989 generó un vacío legislativo que impedía a los contribuyentes reconocer con exactitud la cuantía de la deuda tributaria en relación con los ejercicios anteriores a los que se refiere dicha Sentencia, y que ese vacío normativo vino a ser suplido por la Ley 20/1989, respecto a la que se admite su aplicación retroactiva en cuanto a las bases imponibles, pero no en cuanto a lo que se refiere a las sanciones por las omisiones de ingreso, toda vez que, como se ha expuesto, no podía saberse la cuantía exacta de la cantidad debida. En conclusión, se sostiene que la imposición de la sanción a la que habilita el art. 15.4 c) de la Ley 20/89 con carácter retroactivo, infringe el art. 25.1 C.E., razonando en idénticos términos respecto a los intereses de demora. </w:t>
      </w:r>
    </w:p>
    <w:p w:rsidR="008107C7" w:rsidRDefault="008107C7" w:rsidP="008107C7">
      <w:pPr>
        <w:pStyle w:val="TextoNormal"/>
      </w:pPr>
      <w:r>
        <w:t xml:space="preserve">Por providencia de la Sección Cuarta de 27 de marzo de 1995, se acordó admitir a trámite la demanda de amparo (r.a. 99/95) y, a tenor de lo dispuesto en el art. 50 LOTC, dirigir atenta comunicación al Tribunal Económico Administrativo Regional de Castilla-León, a fin de que remitiera certificación o fotocopia adverada de las actuaciones correspondientes al expediente administrativo tramitado con motivo de la reclamación efectuada por la recurrente en amparo. </w:t>
      </w:r>
    </w:p>
    <w:p w:rsidR="008107C7" w:rsidRDefault="008107C7" w:rsidP="008107C7">
      <w:pPr>
        <w:pStyle w:val="TextoNormal"/>
      </w:pPr>
      <w:r>
        <w:t xml:space="preserve">Por providencia de 13 de julio de 1995 se acordó dar vista de las actuaciones recibidas al recurrente, el Abogado del Estado y el Ministerio Fiscal un plazo de veinte días a fin de que pudieran formular las alegaciones pertinentes conforme determina el art. 52.1 LOTC. </w:t>
      </w:r>
    </w:p>
    <w:p w:rsidR="008107C7" w:rsidRDefault="008107C7" w:rsidP="008107C7">
      <w:pPr>
        <w:pStyle w:val="TextoNormal"/>
      </w:pPr>
      <w:r>
        <w:lastRenderedPageBreak/>
        <w:t xml:space="preserve">Por escrito registrado el día 1 de agosto de 1995 el recurrente en amparo formuló sus alegaciones, limitándose a reiterar los hechos y la fundamentación jurídica de la demanda de amparo. </w:t>
      </w:r>
    </w:p>
    <w:p w:rsidR="008107C7" w:rsidRDefault="008107C7" w:rsidP="008107C7">
      <w:pPr>
        <w:pStyle w:val="TextoNormal"/>
      </w:pPr>
      <w:r>
        <w:t xml:space="preserve">El Abogado del Estado presentó su escrito de alegaciones el día 2 de agosto de 1995, que coincidían sustancialmente con lo manifestado en los recursos de amparo tramitados bajo los núms. 3.393 a 3.397/93, por lo que, solicitó que se denegara el amparo, e interesó por otrosí la acumulación del recurso a los citados recursos. </w:t>
      </w:r>
    </w:p>
    <w:p w:rsidR="008107C7" w:rsidRDefault="008107C7" w:rsidP="008107C7">
      <w:pPr>
        <w:pStyle w:val="TextoNormal"/>
      </w:pPr>
      <w:r>
        <w:t>Por su parte el Ministerio Fiscal presentó sus alegaciones el día 11 de septiembre de 1995, que, igualmente, coincidían con lo sostenido en los recursos núms. 3393 a 3397/1993, por lo que daba por reproducidas sus alegaciones y solicitaba que se dictara Sentencia denegando el amparo solicitado.</w:t>
      </w:r>
    </w:p>
    <w:p w:rsidR="008107C7" w:rsidRDefault="008107C7" w:rsidP="008107C7">
      <w:pPr>
        <w:pStyle w:val="TextoNormal"/>
      </w:pPr>
    </w:p>
    <w:p w:rsidR="008107C7" w:rsidRDefault="008107C7" w:rsidP="008107C7">
      <w:pPr>
        <w:pStyle w:val="TextoNormal"/>
      </w:pPr>
      <w:r w:rsidRPr="008107C7">
        <w:rPr>
          <w:rStyle w:val="NumeroAFNegritaCaracter"/>
        </w:rPr>
        <w:t>14</w:t>
      </w:r>
      <w:r>
        <w:t xml:space="preserve">. Por providencia de 21 de septiembre de 1995 la Sección acordó conceder al recurrente en amparo, al Abogado del Estado y al Ministerio Fiscal un plazo común de tres días para que alegaran lo que estimaran pertinente sobre la acumulación al recurso tramitado con el núm. 3.393/93. </w:t>
      </w:r>
    </w:p>
    <w:p w:rsidR="008107C7" w:rsidRDefault="008107C7" w:rsidP="008107C7">
      <w:pPr>
        <w:pStyle w:val="TextoNormal"/>
      </w:pPr>
      <w:r>
        <w:t xml:space="preserve">Mediante escritos de 26 y 29 de septiembre de 1995 la representación del recurrente, el Abogado del Estado y el Ministerio Fiscal, manifestaron que concurrían los requisitos para la acumulación de los recursos de amparo. </w:t>
      </w:r>
    </w:p>
    <w:p w:rsidR="008107C7" w:rsidRDefault="008107C7" w:rsidP="008107C7">
      <w:pPr>
        <w:pStyle w:val="TextoNormal"/>
      </w:pPr>
      <w:r>
        <w:t>Por Auto de 23 de octubre de 1995 la Sala Segunda de este Tribunal acordó, de conformidad con lo dispuesto en el art. 83 LOTC, la acumulación del recurso de amparo núm. 99/95, al tramitado con el núm. 3.393/93.</w:t>
      </w:r>
    </w:p>
    <w:p w:rsidR="008107C7" w:rsidRDefault="008107C7" w:rsidP="008107C7">
      <w:pPr>
        <w:pStyle w:val="TextoNormal"/>
      </w:pPr>
    </w:p>
    <w:p w:rsidR="008107C7" w:rsidRDefault="008107C7" w:rsidP="008107C7">
      <w:pPr>
        <w:pStyle w:val="TextoNormal"/>
      </w:pPr>
      <w:r w:rsidRPr="008107C7">
        <w:rPr>
          <w:rStyle w:val="NumeroAFNegritaCaracter"/>
        </w:rPr>
        <w:t>15</w:t>
      </w:r>
      <w:r>
        <w:t>. Por providencia de 3 de abril de 1997, se señaló para deliberación y fallo el día 7 siguiente.</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Se impugnan en los presentes recursos de amparo acumulados las Resoluciones del Jefe de la Dependencia de Inspección de Tributos de la Delegación de Hacienda de Valladolid, de 27 de diciembre de 1990, que aprobaron las liquidaciones del Impuesto sobre la Renta de las Personas Físicas, correspondientes a los ejercicios de 1984 a 1987.</w:t>
      </w:r>
    </w:p>
    <w:p w:rsidR="008107C7" w:rsidRDefault="008107C7" w:rsidP="008107C7">
      <w:pPr>
        <w:pStyle w:val="TextoNormal"/>
      </w:pPr>
      <w:r>
        <w:t>Sostienen los conyuges demandantes de amparo que de la STC 45/1989, que declaró la inconstitucionalidad de varios preceptos de la Ley 44/1978, reguladora del referido Impuesto sobre la Renta de las Personas Físicas, se derivó la consecuencia de la imposibilidad de cuantificar la deuda tributaria en todos aquellos supuestos en que los sujetos pasivos integraran una unidad familiar, supuesto en el que se encuentran los actores. Y asimismo, se deriva la imposibilidad de concretar las infracciones tributarias tipificadas en función de la deuda tributaria defraudada.</w:t>
      </w:r>
    </w:p>
    <w:p w:rsidR="008107C7" w:rsidRDefault="008107C7" w:rsidP="008107C7">
      <w:pPr>
        <w:pStyle w:val="TextoNormal"/>
      </w:pPr>
      <w:r>
        <w:t>Así pues, las Resoluciones administrativas impugnadas, que determinan la cuota de los referidos ejercicios tributarios 1984 a 1987, con los intereses de demora y la imposición de una sanción, por la aplicación retroactiva a estos efectos de la Ley 20/1989, de adaptación del Impuesto de la Renta sobre las Personas Físicas, vulneran el art. 25.1 C.E.</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La cuestión que se plantea en los presentes recursos de amparo, ha sido resuelta en la reciente Sentencia del Pleno de este Tribunal STC 38/1997.  Decíamos en ella que la STC </w:t>
      </w:r>
      <w:r>
        <w:lastRenderedPageBreak/>
        <w:t>45/1989, al declarar la inconstitucionalidad de diversos preceptos de la Ley 44/1978, reguladores de la tributación conjunta en el I.R.P.F., no produjo una "laguna legal" que impidiese liquidar la deuda tributaria de las unidades familiares en los ejercicios anteriores a 1988.</w:t>
      </w:r>
    </w:p>
    <w:p w:rsidR="008107C7" w:rsidRDefault="008107C7" w:rsidP="008107C7">
      <w:pPr>
        <w:pStyle w:val="TextoNormal"/>
      </w:pPr>
      <w:r>
        <w:t>Declaramos en dicha Sentencia que la denominada "laguna parcial" no se refiere a la existencia de la deuda tributaria, ni, en consecuencia, a las infracciones y las correspondientes sanciones que, en caso de incumplimiento, se hallaban legalmente establecidas. La ausencia temporal de las reglas para la determinación de la cuota que producía dicha Sentencia y la imposibilidad transitoria de fijar la cuantía concreta de la misma y de la sanción impuesta en función de su importe, desapareció cuando, de acuerdo con la STC 45/1989 y en cumplimiento de la misma, se promulgó la Ley 20/1989.</w:t>
      </w:r>
    </w:p>
    <w:p w:rsidR="008107C7" w:rsidRDefault="008107C7" w:rsidP="008107C7">
      <w:pPr>
        <w:pStyle w:val="TextoNormal"/>
      </w:pPr>
      <w:r>
        <w:t>Por tanto, no se produjo laguna punitiva alguna al existir predeterminación legal tanto de la infracción como de la sanción inherente a la misma. Sobre la citada Ley 20/1989, afirmábamos en la STC 38/1997, que su aplicación a períodos anteriores a su entrada en vigor, no ha significado formalmente innovación alguna del tipo de la infracción definido en el art. 79 a) de la Ley General Tributaria, ni incide en el tipo infractor descrito en el referido precepto, dado que éste se produce por el mero hecho de dejar de ingresar todo o parte de la deuda tributaria, por falta de presentación de la declaración o la presentación de la misma con omisiones o falsedades. Por último, añadíamos que la aplicación del art. 15.3 de la referida Ley, en tanto norma que integra otra de carácter sancionador, por tratarse de una retroacción in bonus, no supone una aplicación retroactiva que vulnere los arts. 9.3 y 25 de la Constitución.</w:t>
      </w:r>
    </w:p>
    <w:p w:rsidR="008107C7" w:rsidRDefault="008107C7" w:rsidP="008107C7">
      <w:pPr>
        <w:pStyle w:val="TextoNormal"/>
      </w:pPr>
      <w:r>
        <w:t>En consecuencia, como hemos dicho, por aplicación de la doctrina contenida en la STC 38/1997, dictada por el Pleno de este Tribunal, que resumidamente ha quedado expuesta y a la que nos remitimos en su integridad, las resoluciones impugnadas no inciden en las infracciones que se denuncian en los recursos de amparo.</w:t>
      </w:r>
    </w:p>
    <w:p w:rsidR="008107C7" w:rsidRDefault="008107C7" w:rsidP="008107C7">
      <w:pPr>
        <w:pStyle w:val="TextoNormal"/>
      </w:pPr>
    </w:p>
    <w:p w:rsidR="008107C7" w:rsidRDefault="008107C7" w:rsidP="008107C7">
      <w:pPr>
        <w:pStyle w:val="TextoNormal"/>
      </w:pPr>
      <w:r w:rsidRPr="008107C7">
        <w:rPr>
          <w:rStyle w:val="NumeroAFNegritaCaracter"/>
        </w:rPr>
        <w:t>3</w:t>
      </w:r>
      <w:r>
        <w:t>. Finalmente, resta decir que también ha de rechazarse la alegación formulada en relación con los intereses de demora, toda vez que, como es sabido - y así lo declaramos en la STC 76/1990, fundamento jurídico 9º-, no tienen naturaleza sancionadora, y, por ello, su inclusión en las liquidaciones impugnadas en nada vulneran el invocado art. 25 C.E.</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Desestimar los presentes recursos de amparo, interpuestos por don Alberto Valverde Díez y doña Nicanora Travieso del Campo.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siete de abril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67" w:name="SENTENCIA_1997_64"/>
      <w:r>
        <w:lastRenderedPageBreak/>
        <w:t>SENTENCIA 64/1997, de 7 de abril de 1997</w:t>
      </w:r>
    </w:p>
    <w:bookmarkEnd w:id="67"/>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114, de 13 de mayo de 1997)</w:t>
      </w:r>
    </w:p>
    <w:p w:rsidR="008107C7" w:rsidRDefault="008107C7" w:rsidP="008107C7">
      <w:pPr>
        <w:pStyle w:val="TtuloBOE"/>
      </w:pPr>
    </w:p>
    <w:p w:rsidR="008107C7" w:rsidRDefault="008107C7" w:rsidP="008107C7">
      <w:pPr>
        <w:pStyle w:val="SntesisDescriptiva"/>
      </w:pPr>
      <w:r>
        <w:t>ECLI:ES:TC:1997:64</w:t>
      </w:r>
    </w:p>
    <w:p w:rsidR="008107C7" w:rsidRDefault="008107C7" w:rsidP="008107C7">
      <w:pPr>
        <w:pStyle w:val="SntesisDescriptiva"/>
      </w:pPr>
    </w:p>
    <w:p w:rsidR="008107C7" w:rsidRDefault="008107C7" w:rsidP="008107C7">
      <w:pPr>
        <w:pStyle w:val="SntesisDescriptiva"/>
      </w:pPr>
      <w:r>
        <w:t>Recurso de amparo 1.854/1994. Contra Sentencia de la Sala de lo Contencioso-Administrativo del T.S.J. de Murcia desestimatoria de la impugnación deducida frente a la orden de baja en el Ejército.</w:t>
      </w:r>
    </w:p>
    <w:p w:rsidR="008107C7" w:rsidRDefault="008107C7" w:rsidP="008107C7">
      <w:pPr>
        <w:pStyle w:val="SntesisDescriptiva"/>
      </w:pPr>
    </w:p>
    <w:p w:rsidR="008107C7" w:rsidRDefault="008107C7" w:rsidP="008107C7">
      <w:pPr>
        <w:pStyle w:val="SntesisAnaltica"/>
      </w:pPr>
      <w:r>
        <w:t>Supuesta vulneración de los derechos a la tutela judicial efectiva y a un proceso con todas las garantías.</w:t>
      </w:r>
    </w:p>
    <w:p w:rsidR="008107C7" w:rsidRDefault="008107C7" w:rsidP="008107C7">
      <w:pPr>
        <w:pStyle w:val="SntesisAnaltica"/>
      </w:pPr>
    </w:p>
    <w:p w:rsidR="008107C7" w:rsidRDefault="008107C7" w:rsidP="008107C7">
      <w:pPr>
        <w:pStyle w:val="Extracto"/>
      </w:pPr>
      <w:r>
        <w:t>1.</w:t>
      </w:r>
      <w:r>
        <w:tab/>
        <w:t>El derecho al Juez ordinario predeterminado por la ley no ha sido conculcado en el supuesto que nos ocupa por la atribución del proceso «a quo» a una de las Secciones, la Primera, en que se desdobló la Sala de lo Contencioso-Administrativo del Tribunal Superior de Justicia de Murcia y la subsiguiente reasignación de los turnos de ponencia, que condujo en el proceso núm. 1.482/91 al oportuno cambio de Ponente (providencias en que se consignaban, respectivamente, los nombres del Ponente inicialmente designado y de aquel a quien finalmente se adjudicó la ponencia). [F.J. 2]</w:t>
      </w:r>
    </w:p>
    <w:p w:rsidR="008107C7" w:rsidRDefault="008107C7" w:rsidP="008107C7">
      <w:pPr>
        <w:pStyle w:val="Extracto"/>
      </w:pPr>
    </w:p>
    <w:p w:rsidR="008107C7" w:rsidRDefault="008107C7" w:rsidP="008107C7">
      <w:pPr>
        <w:pStyle w:val="Extracto"/>
      </w:pPr>
      <w:r>
        <w:t>2.</w:t>
      </w:r>
      <w:r>
        <w:tab/>
        <w:t>En principio, y a la luz de nuestra STC 282/1993 -que nos recuerda los términos en los que la infracción de los deberes de comunicación prevenidos en los arts. 202 y 203 L.O.P.J. y 326 L.E.C. irradia su trascendencia sobre el «derecho a un proceso con todas las garantías»-, las circunstancias del caso parecen tener virtualidad bastante para estimar, «prima facie», vulnerado el art. 24.2 C.E. derivada de la real incidencia de la aludida falta de comunicación en el derecho de articular la pertinente recusación. Mas, para que tal constatación permita conducir efectivamente a la mencionada declaración de vulneración, preciso es que el actor razone acerca de la «concurrencia de una causa de recusación concreta, de cuyo ejercicio se ha visto impedido a causa de aquel desconocimiento y omisión», causa de recusación que, «ictu oculi», no ha de resultar descartable, aun cuando su concreta virtualidad no pueda ser prejuzgada en esta sede (SSTC 230/1992 y STC 282/1993). [F.J. 4]</w:t>
      </w:r>
    </w:p>
    <w:p w:rsidR="008107C7" w:rsidRDefault="008107C7" w:rsidP="008107C7">
      <w:pPr>
        <w:pStyle w:val="Extracto"/>
      </w:pPr>
    </w:p>
    <w:p w:rsidR="008107C7" w:rsidRDefault="008107C7" w:rsidP="008107C7">
      <w:pPr>
        <w:pStyle w:val="Extracto"/>
      </w:pPr>
      <w:r>
        <w:t>3.</w:t>
      </w:r>
      <w:r>
        <w:tab/>
        <w:t xml:space="preserve">Dada la imperiosa necesidad de que, en contextos como el presente, para declarar conculcado el derecho al Juez imparcial el interesado ponga de manifiesto la concreta relación que media entre el componente del órgano judicial cuya parcialidad se denuncia y el objeto del proceso o su relación orgánica o funcional con el mismo o con las partes (STC 32/1994), relación que debe poner en cuestión la indispensable imparcialidad de aquél, sin que a estos efectos la mera exposición de suposiciones o de hipotéticos juicios de inferencia, concretados en alusiones genéricas y estrictamente especulativas, sea suficiente para considerar transgredido el derecho a un proceso con todas las garantías, cuya asunción, por el contrario, conduciría a la práctica paralización de la Administración de Justicia. La condición de militar </w:t>
      </w:r>
      <w:r>
        <w:lastRenderedPageBreak/>
        <w:t>del Magistrado no se halla en cuanto tal incluida en ninguna de las causas de recusación previstas en los arts. 219 y 220 de la L.O.P.J., ni constituye tampoco elemento alguno que sin mayores precisiones permita poner en tela de juicio la imparcialidad del Juez . [F.J. 4]</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1.854/94, interpuesto por don Juan Carlos Martínez Martínez, representado por el Procurador don Carlos de Zulueta Cebrián y bajo la dirección del Letrado don José Hernández-Mora Fernández, contra la Sentencia, recaída en el proceso núm. 1.482/91, de la Sección Primera de la Sala de lo Contencioso-Administrativo del Tribunal Superior de Justicia de Murcia, de 14 de marzo de 1994. Ha intervenido el Ministerio Fiscal y ha sido parte, en la representación que legalmente ostenta, el Abogado del Estado. Ha sido Ponente el Magistrado don Carles Viver Pi-Sunyer,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presentado en el Juzgado de Guardia de Madrid el día 7 de julio de 1995, y registrado ante este Tribunal el siguiente 11, el Procurador de los Tribunales don Carlos de Zulueta Cebrián, en nombre y representación del meritado en el encabezamiento, formuló demanda de amparo constitucional contra la Sentencia allí citada, desestimatoria de la impugnación en su momento deducida frente a la orden de baja en el Ejército.</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hechos de que trae causa la presente demanda de amparo relevantes para la resolución del caso son, en síntesis, los siguientes: </w:t>
      </w:r>
    </w:p>
    <w:p w:rsidR="008107C7" w:rsidRDefault="008107C7" w:rsidP="008107C7">
      <w:pPr>
        <w:pStyle w:val="TextoNormal"/>
      </w:pPr>
      <w:r>
        <w:t xml:space="preserve">a) El interesado, Cabo Primero de Ingenieros, ingresó como voluntario en el Ejército al amparo de la Ley de 22 de diciembre de 1955, que en su art. 6 preveía que el número máximo de períodos bienales de reenganche de que pueden disfrutar los Cabos Primeros es de cuatro, de suerte que al cumplimiento del cuarto se producirá la licencia forzosa. Cuarto período de reenganche conferido en favor de aquél por Orden 304/14442/86, de 9 de julio, con antigüedad de 15 de junio de 1986, que, sin embargo, se vio alterado en 7 de octubre de 1987, por la lesión sufrida en acto de servicio. La pertinente declaración de exclusión temporal, de fecha 24 de mayo de 1989, fue seguida de orden cursada por la Capitanía General de la Región de Murcia al Coronel Jefe de la Zona de Movilización de Murcia, a fin de que </w:t>
      </w:r>
      <w:r>
        <w:lastRenderedPageBreak/>
        <w:t xml:space="preserve">se procediera a la incoación del procedimiento prevenido en los arts. 167, 185 y concordantes del Reglamento del Servicio Militar, aprobado por Real Decreto 611/1986, sobre rescisión del compromiso formalizado entre el hoy actor y la Administración militar. </w:t>
      </w:r>
    </w:p>
    <w:p w:rsidR="008107C7" w:rsidRDefault="008107C7" w:rsidP="008107C7">
      <w:pPr>
        <w:pStyle w:val="TextoNormal"/>
      </w:pPr>
      <w:r>
        <w:t xml:space="preserve">b) Desestimada la solicitud por aquél formulada sobre pase a la situación de reemplazo por herido, como mecanismo previo al ulterior en la de reserva, mediante Resolución dictada en 30 de julio de 1991 por el Coronel de la Zona de Movilización de Murcia, en cumplimiento del Acuerdo de la Capitanía General de la Región de Murcia de 17 de julio de 1991, y de conformidad con el informe de la Asesoría Jurídica de aquélla de 10 de julio de 1991, se decreta la baja del interesado en la correspondiente unidad, de un lado, y, de otro, se procede a la comunicación de la solicitud de apertura del expediente prevenido en el Real Decreto 1.234/1990, a fin de dilucidar las prestaciones económicas que pudieran corresponder al hoy recurrente. Apertura cuya pertinencia es declarada por la Resolución del Jefe del Estado Mayor del Ejército de Tierra de 9 de abril de 1992. </w:t>
      </w:r>
    </w:p>
    <w:p w:rsidR="008107C7" w:rsidRDefault="008107C7" w:rsidP="008107C7">
      <w:pPr>
        <w:pStyle w:val="TextoNormal"/>
      </w:pPr>
      <w:r>
        <w:t xml:space="preserve">c) Deducida la correspondiente impugnación contencioso- administrativa frente a las meritadas resoluciones de 17 y 30 de julio de 1991, así como contra la desestimación presunta por silencio de la alzada entablada contra aquéllas, por providencia de la Sala de lo Contencioso-Administrativo del Tribunal Superior de Justicia de Murcia, de 12 de diciembre de 1991, se procede a la notificación de la designación del Magistrado Ponente en el proceso núm. 1.482/91, bajo el que se tramitaba la referida impugnación, designación que recayó en don Nicolás Maurandi Guillén. Ulteriormente, y una vez formalizados los escritos de demanda y de contestación a ésta, por providencia, no notificada al interesado, de la Sección Primera de la Sala de lo Contencioso- Administrativo del Tribunal Superior de Justicia de Murcia, de 4 de marzo de 1994, se hace constar que, en virtud de la autorización conferida por la Comisión Permanente del Consejo General del Poder Judicial en su sesión del día 1 de febrero de 1994, sobre constitución de dos Secciones en la citada Sala, y consecuente reparto de asuntos, el conocimiento del proceso núm. 1.482/91 correspondía a la Sección primera, integrada por los Magistrados don José Abellán Murcia, Presidente, don Nicolás Maurandi Guillén y don Luis Federico Alcázar y Vieyra de Abréu, encomendándose la ponencia del mencionado asunto a este último y señalándose para votación y fallo el día 4 de marzo de 1994. </w:t>
      </w:r>
    </w:p>
    <w:p w:rsidR="008107C7" w:rsidRDefault="008107C7" w:rsidP="008107C7">
      <w:pPr>
        <w:pStyle w:val="TextoNormal"/>
      </w:pPr>
      <w:r>
        <w:t>d) El asunto concluyó por la Sentencia, aquí impugnada, de 14 de marzo de 1994, cuyo pronunciamiento desestimatorio trae causa de la apreciación de no concurrencia en las resoluciones cuestionadas de la causa de nulidad prevenida en el art. 47.1 c) de la Ley de Procedimiento Administrativo de 1958, al estimarse que la de Capitanía de 17 de julio de 1991, y de la que la de 30 de julio de 1991 se erigía en mera ejecución, había sido adoptada al amparo de los arts. 6 y 7 de la arriba mencionada Ley de 1995. Asimismo, y ante la imputación de transgresión, por la no aplicación en vía administrativa, del art. 217.3 del Reglamento del Servicio Militar de 1986, entiende el órgano a quo que del tenor de éste no cabe deducir la improcedencia de acordar la rescisión del compromiso de reenganche del interesado en la tesitura, como la que nos ocupa, de permanencia de secuelas derivadas de lesión en acto de servicio, en la medida en que, de conformidad con la Ley de 1955, la conclusión de la relación que ligaba a aquél con la Administración militar dimanaba de la expiración del término fijado, sin que, por ende, fuera de aplicación, según la tesis postulada por el recurrente, el pase a la situación de reemplazo por herido contemplada en el entonces vigente Real Decreto 734/1979, dado que el ámbito subjetivo de éste no permite su extensión, por venir referido a determinadas escalas militares, al caso enjuiciado.</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3</w:t>
      </w:r>
      <w:r>
        <w:t>. Mediante escrito presentado en el Registro General de este Tribunal, el 30 de mayo de 1994, el recurrente interesa la promoción del presente amparo, a tenor de los motivos en él consignados y que sustancialmente reproducirá en el que articula la demanda, el reconocimiento del beneficio de justicia gratuita y, en su consecuencia, el otorgamiento del pertinente plazo a fin de formalizar aquélla.</w:t>
      </w:r>
    </w:p>
    <w:p w:rsidR="008107C7" w:rsidRDefault="008107C7" w:rsidP="008107C7">
      <w:pPr>
        <w:pStyle w:val="TextoNormal"/>
      </w:pPr>
    </w:p>
    <w:p w:rsidR="008107C7" w:rsidRDefault="008107C7" w:rsidP="008107C7">
      <w:pPr>
        <w:pStyle w:val="TextoNormal"/>
      </w:pPr>
      <w:r w:rsidRPr="008107C7">
        <w:rPr>
          <w:rStyle w:val="NumeroAFNegritaCaracter"/>
        </w:rPr>
        <w:t>4</w:t>
      </w:r>
      <w:r>
        <w:t>. Por providencia, de 11 de julio de 1994, la Sección Cuarta acuerda dirigir escrito al Consejo General de la Abogacía y al Decano del Colegio de Procuradores de Madrid a fin de que procedieran al nombramiento de los que por turno correspondiese. Efectuados los oportunos nombramientos, y de conformidad con lo prevenido en la providencia de la Sección Cuarta, de 19 de septiembre de 1994, el Letrado designado en turno de oficio excusa la pertinente defensa al entender insostenible la acción intentada (escrito registrado en 30 de septiembre de 1994), criterio que, asimismo, mantuvieron el Colegio de Abogados de Madrid en 7 de marzo de 1995, en cumplimiento de la providencia de la Sección Cuarta de 21 de noviembre de 1994, y el Ministerio Fiscal, en virtud de escrito registrado el día 7 de abril de 1995, en el trámite conferido por la providencia de la Sección Cuarta de 3 de abril de 1995.</w:t>
      </w:r>
    </w:p>
    <w:p w:rsidR="008107C7" w:rsidRDefault="008107C7" w:rsidP="008107C7">
      <w:pPr>
        <w:pStyle w:val="TextoNormal"/>
      </w:pPr>
    </w:p>
    <w:p w:rsidR="008107C7" w:rsidRDefault="008107C7" w:rsidP="008107C7">
      <w:pPr>
        <w:pStyle w:val="TextoNormal"/>
      </w:pPr>
      <w:r w:rsidRPr="008107C7">
        <w:rPr>
          <w:rStyle w:val="NumeroAFNegritaCaracter"/>
        </w:rPr>
        <w:t>5</w:t>
      </w:r>
      <w:r>
        <w:t>. Mediante providencia de la Sección Cuarta, de 4 de mayo de 1995, se acuerda incorporar al proceso el dictamen emitido por el Ministerio Fiscal, denegar al demandante de amparo el beneficio de justicia gratuita y conferirle el término de diez días para que pudiera comparecer en forma por medio de Procurador y asistido de Abogado, ambos de su libre designación y a sus expensas, con apercibimiento del archivo de actuaciones de no procederse en el modo indicado.</w:t>
      </w:r>
    </w:p>
    <w:p w:rsidR="008107C7" w:rsidRDefault="008107C7" w:rsidP="008107C7">
      <w:pPr>
        <w:pStyle w:val="TextoNormal"/>
      </w:pPr>
    </w:p>
    <w:p w:rsidR="008107C7" w:rsidRDefault="008107C7" w:rsidP="008107C7">
      <w:pPr>
        <w:pStyle w:val="TextoNormal"/>
      </w:pPr>
      <w:r w:rsidRPr="008107C7">
        <w:rPr>
          <w:rStyle w:val="NumeroAFNegritaCaracter"/>
        </w:rPr>
        <w:t>6</w:t>
      </w:r>
      <w:r>
        <w:t>. En 12 de junio de 1995 la Sección Cuarta acuerda incorporar al proceso el escrito, presentado en el Juzgado de Guardia de Madrid el día 5 de junio y registrado ante este Tribunal el siguiente 7, del Procurador don Carlos de Zulueta Cebrián, en cuya virtud, en nombre y representación del solicitante de amparo, insta ser tenido por parte en aquél, y conceder un plazo de veinte días a fin de, bajo dirección letrada, proceder a la formalización de la oportuna demanda.</w:t>
      </w:r>
    </w:p>
    <w:p w:rsidR="008107C7" w:rsidRDefault="008107C7" w:rsidP="008107C7">
      <w:pPr>
        <w:pStyle w:val="TextoNormal"/>
      </w:pPr>
    </w:p>
    <w:p w:rsidR="008107C7" w:rsidRDefault="008107C7" w:rsidP="008107C7">
      <w:pPr>
        <w:pStyle w:val="TextoNormal"/>
      </w:pPr>
      <w:r w:rsidRPr="008107C7">
        <w:rPr>
          <w:rStyle w:val="NumeroAFNegritaCaracter"/>
        </w:rPr>
        <w:t>7</w:t>
      </w:r>
      <w:r>
        <w:t xml:space="preserve">. Formalización que acaece por escrito presentado en el Juzgado de Guardia de Madrid el día 7 de julio de 1995 y recibido en este Tribunal el siguiente 11. La articulación de la meritada se basa en la invocación del art. 24.1 y 2 C.E., cuya conculcación, de acuerdo con el sentir del recurrente, puede exponerse del modo que sigue. </w:t>
      </w:r>
    </w:p>
    <w:p w:rsidR="008107C7" w:rsidRDefault="008107C7" w:rsidP="008107C7">
      <w:pPr>
        <w:pStyle w:val="TextoNormal"/>
      </w:pPr>
      <w:r>
        <w:t xml:space="preserve">En primer lugar, entiende que aquella vulneración dimana del hecho de que el Ponente de la Sentencia resolutoria del proceso a quo sea un Magistrado distinto del inicialmente designado, cambio que, amén de entender efectuado con carácter ad hoc, no fue puesto en su conocimiento, de suerte que, en esta tesitura, la privación de la posibilidad de articular la oportuna recusación, cuyo fundamento localiza en la condición de militar del Magistrado Ponente, condición que, en su inteligencia, permite inferir la eventual relación de amistad con el titular del órgano que dictó la resolución impugnada en vía contencioso- administrativa, traduce una infracción del derecho al Juez ordinario predeterminado por la Ley ex art. 24.2 C.E. (SSTC 47/1982, 199/1987, 13/1989, 138/1989). </w:t>
      </w:r>
    </w:p>
    <w:p w:rsidR="008107C7" w:rsidRDefault="008107C7" w:rsidP="008107C7">
      <w:pPr>
        <w:pStyle w:val="TextoNormal"/>
      </w:pPr>
      <w:r>
        <w:t xml:space="preserve">En segundo lugar, y desde la imputación de la descrita omisión de la comunicación de Magistrado Ponente y de la, en su opinión, falta de señalamiento en el proceso a quo para </w:t>
      </w:r>
      <w:r>
        <w:lastRenderedPageBreak/>
        <w:t xml:space="preserve">votación y fallo, denuncia la transgresión del art. 24.1 C.E. por la situación de indefensión a que se ha visto abocado, dada la imposibilidad de articular un medio impugnatorio frente a las meritadas omisiones, en la medida en que ninguna actuación del órgano a quo debidamente notificada medió en el lapso comprendido entre el trámite de conclusiones y el dictado de la Sentencia aquí recurrida. </w:t>
      </w:r>
    </w:p>
    <w:p w:rsidR="008107C7" w:rsidRDefault="008107C7" w:rsidP="008107C7">
      <w:pPr>
        <w:pStyle w:val="TextoNormal"/>
      </w:pPr>
      <w:r>
        <w:t xml:space="preserve">Finalmente, tilda de conculcadores de las exigencias inherentes a la tutela judicial efectiva ex art. 24.1 C.E. a los avatares procedimentales conducentes a la emanación de las resoluciones administrativas llevadas al conocimiento de lo contencioso-administrativo debido, en su opinión, por la manifiesta incompetencia del órgano que dictó la resolución de 30 de julio de 1991, producida, según el tenor de aquélla, en ejecución de la de Capitanía del inmediato anterior 17 de julio, y que, por tanto, se halla incursa en la causa de nulidad prevenida en el art. 47.1 c) de la Ley de Procedimiento Administrativo de 1958 y, en su discurso, en el art. 238.3 de la L.O.P.J. Asimismo, idéntica infracción es anudada a la Sentencia traída a esta sede, en la medida en que ha preterido el art. 217.3 del Reglamento del Servicio Militar de 1986, de consuno con la no toma en consideración de unos informes médicos que avalaban la pertinencia del pase a la situación de reemplazo por herido, pretensión desestimada por el órgano judicial en virtud de la aplicación, indebida, según el interesado, de la Ley de 22 de diciembre de 1955. </w:t>
      </w:r>
    </w:p>
    <w:p w:rsidR="008107C7" w:rsidRDefault="008107C7" w:rsidP="008107C7">
      <w:pPr>
        <w:pStyle w:val="TextoNormal"/>
      </w:pPr>
      <w:r>
        <w:t>En atención a lo expuesto, impetra el otorgamiento del amparo y, en su consecuencia, la anulación de las resoluciones administrativas y judicial combatidas.</w:t>
      </w:r>
    </w:p>
    <w:p w:rsidR="008107C7" w:rsidRDefault="008107C7" w:rsidP="008107C7">
      <w:pPr>
        <w:pStyle w:val="TextoNormal"/>
      </w:pPr>
    </w:p>
    <w:p w:rsidR="008107C7" w:rsidRDefault="008107C7" w:rsidP="008107C7">
      <w:pPr>
        <w:pStyle w:val="TextoNormal"/>
      </w:pPr>
      <w:r w:rsidRPr="008107C7">
        <w:rPr>
          <w:rStyle w:val="NumeroAFNegritaCaracter"/>
        </w:rPr>
        <w:t>8</w:t>
      </w:r>
      <w:r>
        <w:t>. Mediante providencia, de 11 de diciembre de 1995, la Sección Cuarta acuerda otorgar al demandante de amparo y al Ministerio Fiscal un plazo común de diez días a fin de que alegaran lo que estimasen conveniente acerca de la eventual concurrencia del motivo de inadmisión prevenido en el art. 50.1 c) LOTC.</w:t>
      </w:r>
    </w:p>
    <w:p w:rsidR="008107C7" w:rsidRDefault="008107C7" w:rsidP="008107C7">
      <w:pPr>
        <w:pStyle w:val="TextoNormal"/>
      </w:pPr>
    </w:p>
    <w:p w:rsidR="008107C7" w:rsidRDefault="008107C7" w:rsidP="008107C7">
      <w:pPr>
        <w:pStyle w:val="TextoNormal"/>
      </w:pPr>
      <w:r w:rsidRPr="008107C7">
        <w:rPr>
          <w:rStyle w:val="NumeroAFNegritaCaracter"/>
        </w:rPr>
        <w:t>9</w:t>
      </w:r>
      <w:r>
        <w:t>. En 28 de diciembre de 1995, mediante escrito registrado el siguiente 30, el demandante interesa, en virtud de una exposición sintética de lo aducido en el de demanda, la admisión del presente recurso de amparo. Por su parte, el Fiscal, después de rechazar que la invocada falta de comunicación de la fecha fijada para deliberación y fallo ostente virtualidad bastante para integrar la denunciada transgresión del art. 24.2 C.E., apreciación que, igualmente, desde la perspectiva del art. 24.1 C.E., hace extensiva a la concreta argumentación desarrollada en la Sentencia, solicita sean reclamadas las correspondientes actuaciones judiciales, así como el oportuno expediente administrativo, a fin de verificar si el cambio de Magistrado Ponente y la concreta composición de la Sección que enjuició el asunto pudieran revestir relevancia desde la óptica del derecho a un proceso con todas las garantías, aquí en su concreción de la imparcialidad del Juez, dadas las alegaciones vertidas por el recurrente acerca de la imposibilidad de articular la pertinente recusación del Magistrado Ponente, a cuyo efecto insta sea requerido informe sobre la fecha de toma de posesión como Magistrado de quien fuera Ponente en el proceso judicial, don Luis Federico Alcázar y Vieyra de Abréu.</w:t>
      </w:r>
    </w:p>
    <w:p w:rsidR="008107C7" w:rsidRDefault="008107C7" w:rsidP="008107C7">
      <w:pPr>
        <w:pStyle w:val="TextoNormal"/>
      </w:pPr>
    </w:p>
    <w:p w:rsidR="008107C7" w:rsidRDefault="008107C7" w:rsidP="008107C7">
      <w:pPr>
        <w:pStyle w:val="TextoNormal"/>
      </w:pPr>
      <w:r w:rsidRPr="008107C7">
        <w:rPr>
          <w:rStyle w:val="NumeroAFNegritaCaracter"/>
        </w:rPr>
        <w:t>10</w:t>
      </w:r>
      <w:r>
        <w:t xml:space="preserve">. Por providencia, de 15 de enero de 1996, la Sección Cuarta acuerda incorporar a las actuaciones el escrito del Fiscal descrito en el epígrafe precedente y, de conformidad con lo en él instado, recabar de la Sección Primera de la Sala de lo Contencioso-Administrativo del Tribunal Superior de Justicia de Murcia certificación o fotocopia adverada de las actuaciones correspondientes al proceso núm. 1.482/91, resuelto por Sentencia de 14 de marzo </w:t>
      </w:r>
      <w:r>
        <w:lastRenderedPageBreak/>
        <w:t>de 1994; recabar del Excmo. Sr. General Jefe de la Región Militar de Levante certificación o fotocopia adverada de las actuaciones que dieron lugar a las resoluciones impugnadas en el meritado proceso; recabar del Excmo. Sr. Presidente del Tribunal Superior de Justicia de Murcia certificación acreditativa de la fecha de toma de posesión de don Luis Federico Alcázar y Vieyra de Abréu como Magistrado de dicho Tribunal y Sala del mismo a que pertenece.</w:t>
      </w:r>
    </w:p>
    <w:p w:rsidR="008107C7" w:rsidRDefault="008107C7" w:rsidP="008107C7">
      <w:pPr>
        <w:pStyle w:val="TextoNormal"/>
      </w:pPr>
    </w:p>
    <w:p w:rsidR="008107C7" w:rsidRDefault="008107C7" w:rsidP="008107C7">
      <w:pPr>
        <w:pStyle w:val="TextoNormal"/>
      </w:pPr>
      <w:r w:rsidRPr="008107C7">
        <w:rPr>
          <w:rStyle w:val="NumeroAFNegritaCaracter"/>
        </w:rPr>
        <w:t>11</w:t>
      </w:r>
      <w:r>
        <w:t>. Mediante providencia, de 12 de febrero de 1996, la Sección Cuarta acuerda tener por recibidas las actuaciones de que se hace mención en el epígrafe anterior, así como dar vista de las mismas al solicitante de amparo y al Ministerio Fiscal a fin de que procedieran, respectivamente, a completar las alegaciones presentadas, si a su derecho conviniere, y dar cumplimiento a lo dispuesto en la de 11 de diciembre de 1995, mediante la presentación de las alegaciones oportunas.</w:t>
      </w:r>
    </w:p>
    <w:p w:rsidR="008107C7" w:rsidRDefault="008107C7" w:rsidP="008107C7">
      <w:pPr>
        <w:pStyle w:val="TextoNormal"/>
      </w:pPr>
    </w:p>
    <w:p w:rsidR="008107C7" w:rsidRDefault="008107C7" w:rsidP="008107C7">
      <w:pPr>
        <w:pStyle w:val="TextoNormal"/>
      </w:pPr>
      <w:r w:rsidRPr="008107C7">
        <w:rPr>
          <w:rStyle w:val="NumeroAFNegritaCaracter"/>
        </w:rPr>
        <w:t>12</w:t>
      </w:r>
      <w:r>
        <w:t xml:space="preserve">. En virtud de escrito registrado el día 27 de febrero de 1996 el Fiscal formula sus alegaciones a los efectos meritados. Después de dar por reproducidas las vertidas en su anterior de 10 de enero de 1996, estima, de un lado, a la vista de la certificación remitida por el Tribunal Superior de Justicia de Murcia, que no se atisban indicios de vulneración del derecho al Juez ordinario predeterminado por la ley, dada la regularidad del procedimiento de designación, en particular, en lo atinente a los períodos de nombramiento y fechas de toma de posesión, de don Luis Federico Alcázar y Vieyra de Abréu como Magistrado suplente, adscrito a la Sala de lo Contencioso- Administrativo del Tribunal Superior de Justicia de Murcia, y, de otro, que no es de apreciar vulneración del art. 24.1 C.E. atendiendo al concreto contenido del pronunciamiento recurrido. </w:t>
      </w:r>
    </w:p>
    <w:p w:rsidR="008107C7" w:rsidRDefault="008107C7" w:rsidP="008107C7">
      <w:pPr>
        <w:pStyle w:val="TextoNormal"/>
      </w:pPr>
      <w:r>
        <w:t>Diferente conclusión alcanza el Ministerio Público a la luz de las consideraciones efectuadas acerca del derecho a un proceso con todas las garantías ex art. 24.2 C.E., aquí en la específica vertiente de la imparcialidad del órgano juzgador. En efecto, sostiene aquél, dada la división de la Sala de lo Contencioso-Administrativo en dos Secciones, que acarreó la atribución de los autos a la Primera, así como el cambio de Magistrado Ponente, circunstancias que no fueron puestas en conocimiento del interesado, la infracción de lo prevenido en los arts. 202 y 203.2 de la L.O.P.J., que ordenan la pertinente comunicación de la composición del órgano juzgador cuando aquélla venga integrada con Magistrados no pertenecientes a la plantilla de la Sala, así como del Magistrado encargado de la Ponencia, ostenta en el caso presente virtualidad bastante para entender vulnerado, según los criterios vertidos al efecto por este Tribunal, el derecho que ahora y aquí nos ocupa (STC 282/1993), dada la imposibilidad manifiesta de articular la oportuna recusación (STC 230/1992), la no constancia de dato alguno que permita inferir que el hoy actor pudo, de conformidad con la diligencia debida, tener conocimiento de la composición del órgano juzgador y del nombre del Magistrado Ponente (STC 110/1993), y, finalmente, la improcedencia de descartar a radice la eventual concurrencia de un motivo de recusación (STC 230/1992), acerca de cuya viabilidad sólo a los órganos judiciales compete su apreciación (STC 282/1993). En consecuencia, el Fiscal interesa, por lo expuesto, la admisión a trámite del presente recurso de amparo.</w:t>
      </w:r>
    </w:p>
    <w:p w:rsidR="008107C7" w:rsidRDefault="008107C7" w:rsidP="008107C7">
      <w:pPr>
        <w:pStyle w:val="TextoNormal"/>
      </w:pPr>
    </w:p>
    <w:p w:rsidR="008107C7" w:rsidRDefault="008107C7" w:rsidP="008107C7">
      <w:pPr>
        <w:pStyle w:val="TextoNormal"/>
      </w:pPr>
      <w:r w:rsidRPr="008107C7">
        <w:rPr>
          <w:rStyle w:val="NumeroAFNegritaCaracter"/>
        </w:rPr>
        <w:t>13</w:t>
      </w:r>
      <w:r>
        <w:t xml:space="preserve">. Admisión a trámite decretada por providencia de la Sección Cuarta de 22 de abril de 1996, que, a la vista de que las actuaciones correspondientes al oportuno expediente administrativo y a los autos del proceso núm. 1.482/91 se encontraban en la Sala, acuerda, de </w:t>
      </w:r>
      <w:r>
        <w:lastRenderedPageBreak/>
        <w:t>conformidad con el art. 51 LOTC, dirigir comunicación a la Sección Primera de la Sala de lo Contencioso-Administrativo del Tribunal Superior de Justicia de Murcia a fin de que procediera a emplazar, para que en el término de diez días pudieran comparecer en el proceso de amparo, a quienes fueron parte en el proceso contencioso-administrativo, con excepción del solicitante de amparo.</w:t>
      </w:r>
    </w:p>
    <w:p w:rsidR="008107C7" w:rsidRDefault="008107C7" w:rsidP="008107C7">
      <w:pPr>
        <w:pStyle w:val="TextoNormal"/>
      </w:pPr>
    </w:p>
    <w:p w:rsidR="008107C7" w:rsidRDefault="008107C7" w:rsidP="008107C7">
      <w:pPr>
        <w:pStyle w:val="TextoNormal"/>
      </w:pPr>
      <w:r w:rsidRPr="008107C7">
        <w:rPr>
          <w:rStyle w:val="NumeroAFNegritaCaracter"/>
        </w:rPr>
        <w:t>14</w:t>
      </w:r>
      <w:r>
        <w:t>. Por providencia de la Sección Cuarta, de 16 de septiembre de 1996, se acuerda dar vista de las actuaciones recibidas a la parte recurrente, al Abogado del Estado, cuya personación se produjo mediante escrito registrado en 30 de abril de 1996, y al Ministerio Fiscal por plazo común de veinte días, a fin de que en dicho término pudieran formular las alegaciones pertinentes, de acuerdo con el art. 52.1 LOTC.</w:t>
      </w:r>
    </w:p>
    <w:p w:rsidR="008107C7" w:rsidRDefault="008107C7" w:rsidP="008107C7">
      <w:pPr>
        <w:pStyle w:val="TextoNormal"/>
      </w:pPr>
    </w:p>
    <w:p w:rsidR="008107C7" w:rsidRDefault="008107C7" w:rsidP="008107C7">
      <w:pPr>
        <w:pStyle w:val="TextoNormal"/>
      </w:pPr>
      <w:r w:rsidRPr="008107C7">
        <w:rPr>
          <w:rStyle w:val="NumeroAFNegritaCaracter"/>
        </w:rPr>
        <w:t>15</w:t>
      </w:r>
      <w:r>
        <w:t>. Mediante escrito presentado en el Juzgado de Guardia de Madrid el día 11 de octubre de 1996, y registrado ante este Tribunal el siguiente 15, el solicitante de amparo, en virtud de una somera síntesis de las alegaciones vertidas en sus escritos precedentes, impetra el otorgamiento de aquél.</w:t>
      </w:r>
    </w:p>
    <w:p w:rsidR="008107C7" w:rsidRDefault="008107C7" w:rsidP="008107C7">
      <w:pPr>
        <w:pStyle w:val="TextoNormal"/>
      </w:pPr>
    </w:p>
    <w:p w:rsidR="008107C7" w:rsidRDefault="008107C7" w:rsidP="008107C7">
      <w:pPr>
        <w:pStyle w:val="TextoNormal"/>
      </w:pPr>
      <w:r w:rsidRPr="008107C7">
        <w:rPr>
          <w:rStyle w:val="NumeroAFNegritaCaracter"/>
        </w:rPr>
        <w:t>16</w:t>
      </w:r>
      <w:r>
        <w:t xml:space="preserve">. El Abogado del Estado formula sus alegaciones el 3 de octubre de 1996. El examen de las consideraciones realizadas por la demanda de amparo aparece vertebrado en dos apartados, uno, atinente a la incidencia que las denunciadas falta de votación y fallo y cambio en la composición del órgano encargado de fallar el proceso pudieran desplegar en los derechos invocados por el recurrente, y, otro, referido a la eventual conculcación del derecho a un proceso con todas las garantías derivado de la no comunicación al interesado de la mentada composición y, en particular, de la designación de Magistrado Ponente. </w:t>
      </w:r>
    </w:p>
    <w:p w:rsidR="008107C7" w:rsidRDefault="008107C7" w:rsidP="008107C7">
      <w:pPr>
        <w:pStyle w:val="TextoNormal"/>
      </w:pPr>
      <w:r>
        <w:t xml:space="preserve">Pues bien, el primero de los descritos no es susceptible, en la inteligencia del Abogado del Estado, de fundar la oportuna tacha de inconstitucionalidad, en la medida en que la invocada falta de votación y fallo no deja de erigirse en mera petición de principio, carente de base objetiva y razonable, justamente en atención a los datos dimanantes del pronunciamiento impugnado, en tanto que ninguna conculcación del derecho al Juez ordinario predeterminado por la ley ex art. 24.2 C.E. es dado contemplar en el caso presente, supuesta la regular composición del órgano juzgador, que enerva, de este modo, la sedicente designación ad hoc del Magistrado Ponente a que el interesado conduce el cambio en su designación, mera consecuencia de los pertinentes turnos de ponencia derivados del desdoblamiento de la Sala en dos Secciones. </w:t>
      </w:r>
    </w:p>
    <w:p w:rsidR="008107C7" w:rsidRDefault="008107C7" w:rsidP="008107C7">
      <w:pPr>
        <w:pStyle w:val="TextoNormal"/>
      </w:pPr>
      <w:r>
        <w:t xml:space="preserve">Justamente, la individualización, en el seno de la argumentación relativa a la composición del órgano juzgador y designación de Ponente, del extremo afectante a la falta de notificación al interesado de aquellas composición y designación, legitima el examen autónomo de la eventual conculcación del derecho a un proceso con todas las garantías, en los términos arriba expuestos. Examen que el Abogado del Estado aborda desde la constatación del incumplimiento de lo prevenido, a efectos de notificación, en los arts. 326 de la L.E.C. y 202 de la L.O.P.J., y cuya incidencia en el consignado derecho deriva de la eventual sustracción al recurrente de la posibilidad de articular la oportuna recusación, facultad enderezada, precisamente, a permitir la integridad y efectividad de la imparcialidad del Juez. En este sentido, razona aquél, no es pertinente acceder al otorgamiento del amparo, cuyo alcance estriba en la anulación de un pronunciamiento firme, dado que tal conclusión únicamente es de lícita asunción de venir razonadamente fundada en esta sede de amparo la efectiva concurrencia de un motivo de recusación, circunstancia que aquí no acaece, dadas las vagas e </w:t>
      </w:r>
      <w:r>
        <w:lastRenderedPageBreak/>
        <w:t>inconcretas referencias en que el interesado apoya su pretensión, cifradas en la mera apelación a la posible amistad del Ponente, dada su condición profesional, con los titulares de los órganos que dictaron las resoluciones administrativas impugnadas luego en vía judicial, y que, en consecuencia, no permiten articular de un modo preciso el necesario juicio acerca de la puesta en cuestión de la imparcialidad debida. En atención a lo expuesto solicita la denegación del amparo pedido.</w:t>
      </w:r>
    </w:p>
    <w:p w:rsidR="008107C7" w:rsidRDefault="008107C7" w:rsidP="008107C7">
      <w:pPr>
        <w:pStyle w:val="TextoNormal"/>
      </w:pPr>
    </w:p>
    <w:p w:rsidR="008107C7" w:rsidRDefault="008107C7" w:rsidP="008107C7">
      <w:pPr>
        <w:pStyle w:val="TextoNormal"/>
      </w:pPr>
      <w:r w:rsidRPr="008107C7">
        <w:rPr>
          <w:rStyle w:val="NumeroAFNegritaCaracter"/>
        </w:rPr>
        <w:t>17</w:t>
      </w:r>
      <w:r>
        <w:t>. En virtud de escrito registrado el día 10 de octubre de 1996 el Fiscal procede a desarrollar los argumentos vertidos con ocasión del trámite del art. 50.3 LOTC. En síntesis, impetra la estimación parcial del presente recurso de amparo por vulneración del derecho a un proceso con todas las garantías, aquí en la vertiente del Juez imparcial, al estimar indebidamente sustraída la facultad de formular la pertinente recusación ante la no notificación de la providencia en que se concretaba la composición del órgano juzgador y se procedía a la nueva designación de Magistrado Ponente. En consecuencia, entiende, a contrario, que los derechos al Juez ordinario predeterminado por la ley ex art. 24.2 C.E. y a la tutela judicial efectiva sin indefensión no han sido conculcados, dada, en el primer caso, la regular composición de la Sección que conoció del proceso a quo y la procedente investidura jurisdiccional del Magistrado Ponente, así como la impertinencia, en el segundo, de anudar tacha de inconstitucionalidad a los concretos pronunciamientos de la Sentencia recurrida, en méritos de la atribución en exclusiva a los órganos judiciales de la potestad de determinación del sistema de fuentes aplicable.</w:t>
      </w:r>
    </w:p>
    <w:p w:rsidR="008107C7" w:rsidRDefault="008107C7" w:rsidP="008107C7">
      <w:pPr>
        <w:pStyle w:val="TextoNormal"/>
      </w:pPr>
    </w:p>
    <w:p w:rsidR="008107C7" w:rsidRDefault="008107C7" w:rsidP="008107C7">
      <w:pPr>
        <w:pStyle w:val="TextoNormal"/>
      </w:pPr>
      <w:r w:rsidRPr="008107C7">
        <w:rPr>
          <w:rStyle w:val="NumeroAFNegritaCaracter"/>
        </w:rPr>
        <w:t>18</w:t>
      </w:r>
      <w:r>
        <w:t>. Por providencia de 3 de abril de 1997, se señaló para deliberación y votación de la presente Sentencia el día 7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Los extremos a los que el recurrente anuda la denunciada conculcación de los arts.24.1 y 24.2 C.E. son, en primer lugar, la falta de notificación de la fecha para votación y fallo del proceso a quo, así como la no comunicación de la composición del órgano juzgador y del Magistrado a quien se asignó definitivamente la ponencia, distinto del inicialmente designado; en segundo lugar, la indebida sustracción de la facultad de articular la oportuna recusación del Magistrado Ponente, consecuencia de la denunciada omisión de comunicación; y, finalmente, los específicos términos a que se contrae el pronunciamiento recurrido, vulneradores de la tutela judicial efectiva por indebida selección de la norma aplicable y preterición de los informes que apoyaban la pretensión deducida en la vía contencioso-administrativa.</w:t>
      </w:r>
    </w:p>
    <w:p w:rsidR="008107C7" w:rsidRDefault="008107C7" w:rsidP="008107C7">
      <w:pPr>
        <w:pStyle w:val="TextoNormal"/>
      </w:pPr>
      <w:r>
        <w:t xml:space="preserve">A juicio del recurrente la composición del órgano juzgador, trasunto del desdoblamiento en dos Secciones de la Sala de lo Contencioso-Administrativo del Tribunal Superior de Justicia de Murcia y de la consiguiente atribución del proceso a quo a la Primera, así como las específicas circunstancias concurrentes en el Magistrado Ponente, don Luis Federico Alcázar y Vieyra de Abréu, vulneran su derecho al Juez ordinario predeterminado por la ley ex art.  24.2 C.E. La denuncia vertida acerca de la privación de la facultad de articular la oportuna recusación se inscribe en el marco del derecho a un proceso con todas las garantías, cuyo contenido viene, entre otros, integrado con el derecho al Juez imparcial. Finalmente, </w:t>
      </w:r>
      <w:r>
        <w:lastRenderedPageBreak/>
        <w:t>las consideraciones expuestas sobre el desarrollo argumental y fallo alcanzado de la Sentencia impugnada deben enjuiciarse desde la óptica del derecho a la tutela judicial efectiva que el recurrente considera conculcado.</w:t>
      </w:r>
    </w:p>
    <w:p w:rsidR="008107C7" w:rsidRDefault="008107C7" w:rsidP="008107C7">
      <w:pPr>
        <w:pStyle w:val="TextoNormal"/>
      </w:pPr>
    </w:p>
    <w:p w:rsidR="008107C7" w:rsidRDefault="008107C7" w:rsidP="008107C7">
      <w:pPr>
        <w:pStyle w:val="TextoNormal"/>
      </w:pPr>
      <w:r w:rsidRPr="008107C7">
        <w:rPr>
          <w:rStyle w:val="NumeroAFNegritaCaracter"/>
        </w:rPr>
        <w:t>2</w:t>
      </w:r>
      <w:r>
        <w:t>. De acuerdo con una constante y reiterada doctrina constitucional, el derecho al Juez ordinario predeterminado por la Ley "exige, en primer término,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 (STC 47/1983, fundamento jurídico 2º; línea jurisprudencial desarrollada sin solución de continuidad por este Tribunal: entre otras muchas, SSTC 22/1982, 101/1984, 111/1984, 23/1986, 148/1987, 199/1987, y, como último pronunciamiento, STC 6/1997). En el caso presente, resultan incontrovertidas la jurisdicción y competencia de la Sala de lo Contencioso- Administrativo del Tribunal Superior de Justicia de Murcia para conocer de los autos de que esta litis trae causa, derivando la atribución de su conocimiento a la Sección Primera de la misma del oportuno Acuerdo de la Comisión Permanente del Consejo General del Poder Judicial, que en su sesión del día 1 de febrero de 1994 (según consta en la providencia de la Sección Primera de la Sala de lo Contencioso-Administrativo del Tribunal Superior de Justicia de Murcia de 4 de marzo de 1994, y ratifica la certificación expedida por el Secretario de Gobierno de aquel Tribunal en 31 de enero de 1996, certificación registrada en este Tribunal el siguiente 7 de febrero) acordó la constitución en aquélla de dos Secciones, así como la adscripción a la misma, durante seis meses, de don Luis Federico Alcázar y Vieyra de Abréu, adscripción renovada por Acuerdo de 3 de noviembre de 1994. Precisamente, en el referido Magistrado, Ponente de la Sentencia objeto de este amparo, concurría, para los años judiciales 93/94, 94/95 y 95/96, la condición de Magistrado suplente, en virtud de los oportunos nombramientos de la Comisión Permanente del Consejo General del Poder Judicial, tal y como refleja la certificación arriba meritada.</w:t>
      </w:r>
    </w:p>
    <w:p w:rsidR="008107C7" w:rsidRDefault="008107C7" w:rsidP="008107C7">
      <w:pPr>
        <w:pStyle w:val="TextoNormal"/>
      </w:pPr>
      <w:r>
        <w:t>Pues bien, del precedente relato se desprende sin dificultad que el derecho al Juez ordinario predeterminado por la ley no ha sido conculcado en el supuesto que nos ocupa por la atribución del proceso a quo a una de las Secciones, la Primera, en que se desdobló la Sala de lo Contencioso-Administrativo del Tribunal Superior de Justicia de Murcia y la subsiguiente reasignación de los turnos de ponencia, que condujo en el proceso núm.  1.482/91 al oportuno cambio de Ponente (providencias de 12 de diciembre de 1991 y 4 de marzo de 1994, en que se consignaban, respectivamente, los nombres del Ponente inicialmente designado y de aquél a quien finalmente se adjudicó la ponencia). La eventual incidencia, que pasamos a analizar de inmediato, que en los derechos fundamentales del interesado despliegue la concreta composición del órgano juzgador y determinación del Magistrado Ponente ha de ser enjuiciada, supuesta la omisión de la tempestiva comunicación de aquellos extremos, a la luz del derecho consagrado bajo la veste del "proceso con todas las garantías" del art. 24.2 C.E., en concreto, según se ha expuesto, desde la vertiente de la imparcialidad del Juez, a cuyo aseguramiento se dirige, precisamente, el mecanismo de la abstención/recusación.</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El caso que concita este proceso guarda un estrecho paralelismo con el resuelto por la STC 282/1993. De modo idéntico a como allí acontecía "la mencionada falta de notificación supone un incumplimiento de lo previsto en los arts. 202 y 203.2 L.O.P.J., que disponen, respectivamente, el deber de comunicar a las partes la designación de los Magistrados que </w:t>
      </w:r>
      <w:r>
        <w:lastRenderedPageBreak/>
        <w:t>no constituyan plantilla de la Sala y el de comunicarles igualmente el nombre del Magistrado Ponente", si bien la relevancia constitucional de la omisión de estos deberes del órgano judicial, cuya conexión con el derecho de las partes a recusar a los Magistrados que integran aquél (art. 202 L.O.P.J., STC 180/1991, fundamento jurídico 6º) deviene inexcusable, implica su proyección "en el derecho a tener un proceso público con todas las garantías, el cual exige la presencia de un Juez imparcial" (STC 282/1993, fundamento jurídico 2º).</w:t>
      </w:r>
    </w:p>
    <w:p w:rsidR="008107C7" w:rsidRDefault="008107C7" w:rsidP="008107C7">
      <w:pPr>
        <w:pStyle w:val="TextoNormal"/>
      </w:pPr>
      <w:r>
        <w:t>La aludida imbricación de la facultad de articular la oportuna recusación en el derecho al Juez imparcial, como dimensión atinente al derecho a un proceso con todas las garantías, ha sido recientemente puesta de manifiesto por la STC 7/1997, cuyo fundamento jurídico 3º, en lo que aquí interesa, se pronuncia así: "Este Tribunal ha incluido, en el ámbito del derecho a un proceso con todas las garantías, el derecho a un Juez imparcial (por todas, SSTC 145/1984 y 164/1988). «Desde el principio yconapoyo en la jurisprudencia del T.E.D.H. (asunto Piersack, de 1 de octubre de 1982, y De Cubber, de 26 de octubre de 1984), hemos distinguido en este derecho una doble vertiente: La subjetiva, que trata de evitar la parcialidad del criterio del Juez -osumera sospecha- derivada de sus relaciones con las partes, y la objetiva, que trata de evitar esa misma parcialidad derivada de su relación con el objeto del proceso o de su relación orgánica o funcional con el mismo» (STC 32/1994).</w:t>
      </w:r>
    </w:p>
    <w:p w:rsidR="008107C7" w:rsidRDefault="008107C7" w:rsidP="008107C7">
      <w:pPr>
        <w:pStyle w:val="TextoNormal"/>
      </w:pPr>
      <w:r>
        <w:t>También es doctrina reiterada de este Tribunal que las causas de abstención y recusación tienden, precisamente, a asegurar la imparcialidad del Juez (por todas, SSTC 145/1988, 119/1990), siendo el incidente de recusación "el único cauce previsto por el ordenamiento procesal para obtener el restablecimiento por los Tribunales ordinarios de este derecho fundamental o evitar la consumación de su lesión" (STC 137/1994, fundamento jurídico 2º)".</w:t>
      </w:r>
    </w:p>
    <w:p w:rsidR="008107C7" w:rsidRDefault="008107C7" w:rsidP="008107C7">
      <w:pPr>
        <w:pStyle w:val="TextoNormal"/>
      </w:pPr>
      <w:r>
        <w:t xml:space="preserve">La citada STC 282/1993 nos recuerda los términos en que la infracción de los deberes de comunicación prevenidos en los arts. 202 y 203.2 de la L.O.P.J. y 326 de la L.E.C. irradia su trascendencia sobre el derecho consignado en el art. 24.2 C.E.  bajo el nomen "derecho a un proceso con todas las garantías".  Este es su pronunciamiento, "Tal incidencia material, esto es, la trascendencia de las mencionadas faltas de notificación en relación a la posible violación de un derecho fundamental, se ha de apreciar cuando a la denuncia sobre la ausencia de comunicación de la composición de la Sala o del Magistrado Ponente se acompaña "manifestación expresa de la parte de la eventual concurrencia de una causa de recusación concreta, de cuyo ejercicio se ha visto impedida a causa de aquel desconocimiento y omisión" y cuando, además, tal causa de recusación no resulta prima facie descartable (STC 230/1992, fundamento jurídico 4º). En tales casos no se estaría, pues, ante una infracción procesal meramente formal, centrada en la simple ignorancia de los miembros que componen la Sala o del nombre de Ponente, sino que se incidiría, de hecho, en el ejercicio del derecho a recusar en un momento procesal idóneo, derecho que, de otro lado, por estar previsto para preservar la imparcialidad del juzgador (SSTC 138/1985, 145/1988, 136/1992, entre otras muchas), integra el contenido del derecho a un proceso público con todas las garantías reconocido en el art. 24.2 C.E. La vulneración del art. 24.2 C.E.  procedería, por lo tanto, no como una consecuencia necesaria del incumplimiento formal acusado, sino de la imposibilidad que en el caso concreto pudiera constatarse de ejercer el derecho a recusar a un Juez; derecho que ha de ponerse en conexión con una garantía esencial del proceso vinculada a la imparcialidad, pues como ya hemos afirmado la privación de la posibilidad de ejercer la recusación "implica la restricción de una garantía esencial que aparece establecida legalmente con el fin de salvaguardar aquella imparcialidad del juzgador protegida constitucionalmente" (STC 230/1992, fundamento jurídico 4º).  Por último, al evaluar la trascendencia constitucional de la falta de notificación debe considerarse si la parte pudo conocer de hecho, por otras vías, la alteración de la composición del órgano judicial o el </w:t>
      </w:r>
      <w:r>
        <w:lastRenderedPageBreak/>
        <w:t>nombramiento del Ponente y si en este caso obró de forma diligente al objeto de que pudieran adoptarse las medidas oportunas para subsanar la irregularidad posteriormente denunciada (STC 110/1993)".</w:t>
      </w:r>
    </w:p>
    <w:p w:rsidR="008107C7" w:rsidRDefault="008107C7" w:rsidP="008107C7">
      <w:pPr>
        <w:pStyle w:val="TextoNormal"/>
      </w:pPr>
    </w:p>
    <w:p w:rsidR="008107C7" w:rsidRDefault="008107C7" w:rsidP="008107C7">
      <w:pPr>
        <w:pStyle w:val="TextoNormal"/>
      </w:pPr>
      <w:r w:rsidRPr="008107C7">
        <w:rPr>
          <w:rStyle w:val="NumeroAFNegritaCaracter"/>
        </w:rPr>
        <w:t>4</w:t>
      </w:r>
      <w:r>
        <w:t>. Aplicando esta doctrina al caso presente, pocas dudas pueden albergarse acerca de la imposibilidad de articular la oportuna recusación (STC 230/1992, fundamento jurídico 4º), dado el breve lapso que medió entre el dictado de la providencia, no notificada al interesado, en que se consignaba la Sección a cuyo conocimiento se atribuyó el proceso a quo y el nombre del Magistrado Ponente (el día 4 de marzo de 1994) y la fecha de la correspondiente Sentencia (el 14 de marzo de 1994) lapso temporal en el que se no practicó ninguna otra actuación, formalmente comunicada al hoy actor.  Asimismo, no es lícito presumir que éste pudo tener, por otros medios distintos de la exigida notificación judicial, cabal y cumplido conocimiento de la composición del órgano juzgador y del nombre del Magistrado Ponente (STC 119/1993, fundamento jurídico 4º).</w:t>
      </w:r>
    </w:p>
    <w:p w:rsidR="008107C7" w:rsidRDefault="008107C7" w:rsidP="008107C7">
      <w:pPr>
        <w:pStyle w:val="TextoNormal"/>
      </w:pPr>
      <w:r>
        <w:t>Así, pues, en principio, las precedentes consideraciones parecen tener virtualidad bastante para estimar, prima facie, vulnerado el art. 24.2 C.E.  derivada de la real incidencia de la aludida falta de comunicación en el derecho de articular la pertinente recusación. Mas, para que tal constatación permita conducir efectivamente a la mencionada declaración de vulneración, preciso es que el actor razone acerca de la "concurrencia de una causa de recusación concreta, de cuyo ejercicio se ha visto impedido a causa de aquel desconocimiento y omisión", causa de recusación que, ictu oculi, no ha de resultar descartable, aun cuando su concreta virtualidad no pueda ser prejuzgada en esta sede, (STC 230/1992, fundamento jurídico 4º; STC 282/1993, fundamento jurídico 3º). Razonamiento que aquí se cifra por el interesado en la mera apelación a la condición de militar del Magistrado Ponente, que, en su sentir, permite concluir en la eventualidad de una relación amistosa con los titulares de los órganos de la Administración militar que dictaron las resoluciones impugnadas en vía contencioso- administrativa.</w:t>
      </w:r>
    </w:p>
    <w:p w:rsidR="008107C7" w:rsidRDefault="008107C7" w:rsidP="008107C7">
      <w:pPr>
        <w:pStyle w:val="TextoNormal"/>
      </w:pPr>
      <w:r>
        <w:t>Pues bien, este argumento no puede ser acogido, dada la imperiosa necesidad de que, en contextos como el presente, para declarar conculcado el derecho al Juez imparcial el interesado ponga de manifiesto la concreta relación que media entre el componente del órgano judicial cuya parcialidad se denuncia y el objeto del proceso o su relación orgánica o funcional con el mismo o con las partes (STC 32/1994), relación que debe poner en cuestión la indispensable imparcialidad de aquél, sin que a estos efectos la mera exposición de suposiciones o de hipotéticos juicios de inferencia, concretados en alusiones genéricas y estrictamente especulativas, sea suficiente para considerar transgredido el derecho a un proceso con todas las garantías, cuya asunción, por el contrario, conduciría a la práctica paralización de la Administración de Justicia. La condición de militar del Magistrado no se halla en cuanto tal incluida en ninguna de las causas de recusación previstas en los arts. 219 y 220 de la L.O.P.J., ni constituye tampoco elemento alguno que sin mayores precisiones permita poner en tela de juicio la imparcialidad del Juez.</w:t>
      </w:r>
    </w:p>
    <w:p w:rsidR="008107C7" w:rsidRDefault="008107C7" w:rsidP="008107C7">
      <w:pPr>
        <w:pStyle w:val="TextoNormal"/>
      </w:pPr>
      <w:r>
        <w:t>Procede, pues, desestimar la pretensión de que sea declarada la vulneración del art. 24.2 C.E.</w:t>
      </w:r>
    </w:p>
    <w:p w:rsidR="008107C7" w:rsidRDefault="008107C7" w:rsidP="008107C7">
      <w:pPr>
        <w:pStyle w:val="TextoNormal"/>
      </w:pPr>
    </w:p>
    <w:p w:rsidR="008107C7" w:rsidRDefault="008107C7" w:rsidP="008107C7">
      <w:pPr>
        <w:pStyle w:val="TextoNormal"/>
      </w:pPr>
      <w:r w:rsidRPr="008107C7">
        <w:rPr>
          <w:rStyle w:val="NumeroAFNegritaCaracter"/>
        </w:rPr>
        <w:t>5</w:t>
      </w:r>
      <w:r>
        <w:t xml:space="preserve">. Finalmente, aduce el interesado la violación del art. 24.1 C.E. por la Sentencia impugnada, en la medida en que su pronunciamiento desestimatorio de la pretensión por él articulada (el reconocimiento de su derecho de pase a la situación de reemplazo por herido, en lugar de la declaración administrativa de extinción del vínculo que le ligaba con la Administración militar) trae causa de la indebida aplicación de la ley de 22 de diciembre de 1955, </w:t>
      </w:r>
      <w:r>
        <w:lastRenderedPageBreak/>
        <w:t>en lugar del Reglamento del Servicio Militar de 1986, norma, en su inteligencia, improcedentemente preterida, amén del desconocimiento del alcance de los informes médicos aportados al proceso en apoyo de la pretensión meritada.</w:t>
      </w:r>
    </w:p>
    <w:p w:rsidR="008107C7" w:rsidRDefault="008107C7" w:rsidP="008107C7">
      <w:pPr>
        <w:pStyle w:val="TextoNormal"/>
      </w:pPr>
      <w:r>
        <w:t>La alegación no puede prosperar, pues, de conformidad con lo reiteradamente expuesto por este Tribunal, la selección e interpretación de las disposiciones aplicables, así como la valoración de las pruebas es tarea que compete en exclusión a los órganos del Poder Judicial ex art. 117 C.E. y este Tribunal, que no es una última instancia judicial ni un Tribunal de casación, no puede revisar salvo que las resoluciones impugnadas hayan incurrido en error patente, sean manifiestamente irrazonables o carezcan de toda motivación.  Ninguna de estas circunstancias se produce en el presente caso, por lo que también por este motivo debe denegarse el amparo solicitado.</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Denegar el amparo solicitado.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siete de abril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68" w:name="SENTENCIA_1997_65"/>
      <w:r>
        <w:lastRenderedPageBreak/>
        <w:t>SENTENCIA 65/1997, de 7 de abril de 1997</w:t>
      </w:r>
    </w:p>
    <w:bookmarkEnd w:id="68"/>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114, de 13 de mayo de 1997)</w:t>
      </w:r>
    </w:p>
    <w:p w:rsidR="008107C7" w:rsidRDefault="008107C7" w:rsidP="008107C7">
      <w:pPr>
        <w:pStyle w:val="TtuloBOE"/>
      </w:pPr>
    </w:p>
    <w:p w:rsidR="008107C7" w:rsidRDefault="008107C7" w:rsidP="008107C7">
      <w:pPr>
        <w:pStyle w:val="SntesisDescriptiva"/>
      </w:pPr>
      <w:r>
        <w:t>ECLI:ES:TC:1997:65</w:t>
      </w:r>
    </w:p>
    <w:p w:rsidR="008107C7" w:rsidRDefault="008107C7" w:rsidP="008107C7">
      <w:pPr>
        <w:pStyle w:val="SntesisDescriptiva"/>
      </w:pPr>
    </w:p>
    <w:p w:rsidR="008107C7" w:rsidRDefault="008107C7" w:rsidP="008107C7">
      <w:pPr>
        <w:pStyle w:val="SntesisDescriptiva"/>
      </w:pPr>
      <w:r>
        <w:t>Recurso de amparo 377/1995. Contra Auto de la Sala de lo Contencioso-Administrativo del T.S.J. de las Islas Baleares desestimatorio del recurso de súplica interpuesto contra providencia  por la que se acordó el archivo de las actuaciones.</w:t>
      </w:r>
    </w:p>
    <w:p w:rsidR="008107C7" w:rsidRDefault="008107C7" w:rsidP="008107C7">
      <w:pPr>
        <w:pStyle w:val="SntesisDescriptiva"/>
      </w:pPr>
    </w:p>
    <w:p w:rsidR="008107C7" w:rsidRDefault="008107C7" w:rsidP="008107C7">
      <w:pPr>
        <w:pStyle w:val="SntesisAnaltica"/>
      </w:pPr>
      <w:r>
        <w:t>Vulneración del derecho a la tutela judicial efectiva: subsanabilidad de la omisión de comunicación previa que exige el art. 57.2 f) de la Ley reguladora de la Jurisdicción Contencioso-Administrativa.</w:t>
      </w:r>
    </w:p>
    <w:p w:rsidR="008107C7" w:rsidRDefault="008107C7" w:rsidP="008107C7">
      <w:pPr>
        <w:pStyle w:val="SntesisAnaltica"/>
      </w:pPr>
    </w:p>
    <w:p w:rsidR="008107C7" w:rsidRDefault="008107C7" w:rsidP="008107C7">
      <w:pPr>
        <w:pStyle w:val="Extracto"/>
      </w:pPr>
      <w:r>
        <w:t>1.</w:t>
      </w:r>
      <w:r>
        <w:tab/>
        <w:t>La cuestión que se plantea en el presente recurso de amparo ha sido resuelta en la Sentencia del Pleno de este Tribunal (STC 76/1996), cuya doctrina ha sido reiterada en posteriores Sentencias de Sala (SSTC 83/1996, 84/1996, 87/1996, 125/1996 y 19/1997). En la mencionada Sentencia del Pleno declaramos la constitucionalidad del art. 110.3 de la Ley 30/1992, y del art. 57.2 f) de la Ley Reguladora de la Jurisdicción Contencioso-Administrativa, siempre que se interpretaran en el sentido que señala el párrafo 2. del fundamento jurídico 7. de la referida resolución. [F.J. 2]</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Rafael de Mendizabal Allende, don Julio Diego González Campos,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377/95, promovido por don Juan Luis Cebrián Echarri, representado por el Procurador de los Tribunales don Argimiro Vázquez Guillén, contra el Auto de la Sala de lo Contencioso Administrativo del Tribunal Superior de Justicia de las Islas Baleares, de 10 de enero de 1995, desestimatorio del recurso de súplica interpuesto contra providencia de 20 de diciembre de 1994, por la que se acordó el archivo de las actuaciones. Ha intervenido el Ministerio Fiscal. Ha sido Ponente el Magistrado don José Gabaldón López, quien expresa el parecer de la Sala.</w:t>
      </w:r>
    </w:p>
    <w:p w:rsidR="008107C7" w:rsidRDefault="008107C7" w:rsidP="008107C7">
      <w:pPr>
        <w:pStyle w:val="TextoNormal"/>
      </w:pPr>
    </w:p>
    <w:p w:rsidR="008107C7" w:rsidRDefault="008107C7" w:rsidP="008107C7">
      <w:pPr>
        <w:pStyle w:val="TextoNormalNegritaCentrado"/>
        <w:keepNext/>
      </w:pPr>
      <w:r>
        <w:lastRenderedPageBreak/>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Por medio de escrito registrado en el Juzgado de Guardia el 2 de febrero de 1995, don Argimiro Vázquez Guillén, Procurador de los Tribunales y de don Juan Luis Cebrián Echarri interpone recurso de amparo contra el Auto, de fecha 10 de enero de 1995, dictado por el Tribunal Superior de Justicia de las islas Baleares en el recurso núm. 1.722/94.</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La demanda se fundamenta, en síntesis, en los siguientes hechos: </w:t>
      </w:r>
    </w:p>
    <w:p w:rsidR="008107C7" w:rsidRDefault="008107C7" w:rsidP="008107C7">
      <w:pPr>
        <w:pStyle w:val="TextoNormal"/>
      </w:pPr>
      <w:r>
        <w:t xml:space="preserve">a) El Ayuntamiento de Mahón incoó expediente en el que, con fecha 25 de enero de 1994, dicta Resolución sancionadora a don Juan Luis Cebrián Echarri, con multa de doscientas dieciocho mil quinientas veinte pesetas, correspondiente al 10 por 100 del valor de la obra por éste efectuada en Camí de Baix, núm. 1, por carecer de preceptiva licencia municipal, lo que, según la Resolución recurrida, constituye la infracción urbanística prevista en el art. 53 del Reglamento de disciplina urbanística sancionable de conformidad con el art. 76.1 del mismo cuerpo legal. </w:t>
      </w:r>
    </w:p>
    <w:p w:rsidR="008107C7" w:rsidRDefault="008107C7" w:rsidP="008107C7">
      <w:pPr>
        <w:pStyle w:val="TextoNormal"/>
      </w:pPr>
      <w:r>
        <w:t xml:space="preserve">b) Contra la citada resolución sancionadora interpuso recurso de reposición en el cual, entre otras argumentaciones, alegó prescripción. </w:t>
      </w:r>
    </w:p>
    <w:p w:rsidR="008107C7" w:rsidRDefault="008107C7" w:rsidP="008107C7">
      <w:pPr>
        <w:pStyle w:val="TextoNormal"/>
      </w:pPr>
      <w:r>
        <w:t xml:space="preserve">El Ayuntamiento de Mahón, en Resolución de fecha 14 de septiembre de 1994, lo desestimó, manteniendo la sanción. </w:t>
      </w:r>
    </w:p>
    <w:p w:rsidR="008107C7" w:rsidRDefault="008107C7" w:rsidP="008107C7">
      <w:pPr>
        <w:pStyle w:val="TextoNormal"/>
      </w:pPr>
      <w:r>
        <w:t xml:space="preserve">c) Mediante escrito de fecha 18 de noviembre de 1994, interpuso recurso contencioso-administrativo ante la Sala de lo Contencioso-Administrativo del Tribunal Superior de Justicia de las Islas Baleares contra la Resolución del Ayuntamiento de Mahón, de 25 de enero de 1994, por la que se sancionó al recurrente con multa de 218.520 pesetas por realización de obras, y contra la de 14 de septiembre de 1994, por la que se desestimó el recurso de reposición interpuesto contra la Resolución sancionadora. </w:t>
      </w:r>
    </w:p>
    <w:p w:rsidR="008107C7" w:rsidRDefault="008107C7" w:rsidP="008107C7">
      <w:pPr>
        <w:pStyle w:val="TextoNormal"/>
      </w:pPr>
      <w:r>
        <w:t xml:space="preserve">d) La Sala de lo Contencioso-Administrativo del Tribunal Superior de Justicia de las Islas Baleares, dictó providencia, de fecha 7 de septiembre de 1994, por la que se acordó que antes de la admisión a trámite del recurso contencioso- administrativo interpuesto, se acreditara haberse efectuado la comunicación a que se refiere el art. 110, núm. 3 de la Ley 30/1992, bajo apercibimiento de archivo. </w:t>
      </w:r>
    </w:p>
    <w:p w:rsidR="008107C7" w:rsidRDefault="008107C7" w:rsidP="008107C7">
      <w:pPr>
        <w:pStyle w:val="TextoNormal"/>
      </w:pPr>
      <w:r>
        <w:t xml:space="preserve">e) La comunicación al Ayuntamiento de Mahón se efectuó el 13 de diciembre de 1994, es decir, después de interpuesto el recurso contencioso-administrativo. </w:t>
      </w:r>
    </w:p>
    <w:p w:rsidR="008107C7" w:rsidRDefault="008107C7" w:rsidP="008107C7">
      <w:pPr>
        <w:pStyle w:val="TextoNormal"/>
      </w:pPr>
      <w:r>
        <w:t xml:space="preserve">La Sala de lo Contencioso dicta providencia el 20 de diciembre de 1994, en la que se resuelve que, acreditado que la comunicación exigida por los arts. 110, núm. 3, de la Ley 30/1992 y 57, apartado f), de la Ley de la Jurisdicción Contenciosa lo ha sido con carácter posterior y no previo a la interposición del presente recurso, se estima no subsanado tal defecto y en consecuencia se ordena el archivo de las actuaciones. </w:t>
      </w:r>
    </w:p>
    <w:p w:rsidR="008107C7" w:rsidRDefault="008107C7" w:rsidP="008107C7">
      <w:pPr>
        <w:pStyle w:val="TextoNormal"/>
      </w:pPr>
      <w:r>
        <w:t xml:space="preserve">f) Contra la providencia de 20 de diciembre de 1994, el demandante de amparo interpuso recurso de súplica, alegando, fundamentalmente, que en el plazo otorgado por la providencia se había comunicado al Ayuntamiento de Mahón la interposición del recurso y que en todo caso el incumplimiento del requisito de forma era de carácter subsanable, conforme a las normas procesales que regula el proceso contencioso-administrativo. </w:t>
      </w:r>
    </w:p>
    <w:p w:rsidR="008107C7" w:rsidRDefault="008107C7" w:rsidP="008107C7">
      <w:pPr>
        <w:pStyle w:val="TextoNormal"/>
      </w:pPr>
      <w:r>
        <w:t>g) La Sala, mediante Auto de 10 de enero de 1995, que es el recurrido en amparo, acordó desestimar el recurso de súplica interpuesto contra la providencia de 20 de diciembre de 1994, quedando de esta forma agotada la vía administrativa.</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3</w:t>
      </w:r>
      <w:r>
        <w:t>. La parte recurrente en amparo alega la vulneración del derecho a la tutela judicial efectiva con arreglo a lo dispuesto en el párrafo primero del art. 24 C.E., concretado en la interpretación excesivamente rigurosa de un requisito de forma que debe tener carácter subsanable, produciendose indefensión. Estima que el defecto de comunicación previa fue subsanado por la que se efectuó al Ayuntamiento de Mahón en el plazo de diez días que concedió el Tribunal para que se acreditara haberlo efectuado. La providencia del Tribunal, de 20 de diciembre de 1994, estimando que el defecto meramente procesal era insubsanable y ordenando, en consecuencia, el archivo de las actuaciones, es extremamente rigorista y formalista, así como vulneradora del derecho fundamental alegado. Lo mismo puede decirse, según el recurrente, del Auto que resolvió el recurso de súplica contra esa providencia, Auto que es ahora recurrido en amparo.</w:t>
      </w:r>
    </w:p>
    <w:p w:rsidR="008107C7" w:rsidRDefault="008107C7" w:rsidP="008107C7">
      <w:pPr>
        <w:pStyle w:val="TextoNormal"/>
      </w:pPr>
    </w:p>
    <w:p w:rsidR="008107C7" w:rsidRDefault="008107C7" w:rsidP="008107C7">
      <w:pPr>
        <w:pStyle w:val="TextoNormal"/>
      </w:pPr>
      <w:r w:rsidRPr="008107C7">
        <w:rPr>
          <w:rStyle w:val="NumeroAFNegritaCaracter"/>
        </w:rPr>
        <w:t>4</w:t>
      </w:r>
      <w:r>
        <w:t>. Por providencia de 22 de septiembre de 1995, la Sección Tercera acordó admitir a trámite la demanda de amparo y dirigir comunicación al Tribunal Superior de Justicia de Baleares a fin de que, en plazo que no excediera de diez días, remitiera certificación o fotocopia adverada de las actuaciones correspondientes al recurso contencioso administrativo núm. 1.722/94; así como emplazar, para que en el plazo de diez días pudieran comparecer, si lo deseaban, a quienes hubieran sido parte en el procedimiento, excepto la parte recurrente en amparo.</w:t>
      </w:r>
    </w:p>
    <w:p w:rsidR="008107C7" w:rsidRDefault="008107C7" w:rsidP="008107C7">
      <w:pPr>
        <w:pStyle w:val="TextoNormal"/>
      </w:pPr>
    </w:p>
    <w:p w:rsidR="008107C7" w:rsidRDefault="008107C7" w:rsidP="008107C7">
      <w:pPr>
        <w:pStyle w:val="TextoNormal"/>
      </w:pPr>
      <w:r w:rsidRPr="008107C7">
        <w:rPr>
          <w:rStyle w:val="NumeroAFNegritaCaracter"/>
        </w:rPr>
        <w:t>5</w:t>
      </w:r>
      <w:r>
        <w:t>. La Sección Tercera, por providencia de 23 de octubre de 1995, acordó emplazar al Ayuntamiento de Mahón para que en el plazo de diez días pudiera comparecer en el presente recurso de amparo y defender sus derechos, interesando, asimismo, que remitiera certificación o fotocopia adverada de las actuaciones correspondientes al expediente núm. 43/88, sobre sanción impuesta a don Juan Luis Cebrian Echarri.</w:t>
      </w:r>
    </w:p>
    <w:p w:rsidR="008107C7" w:rsidRDefault="008107C7" w:rsidP="008107C7">
      <w:pPr>
        <w:pStyle w:val="TextoNormal"/>
      </w:pPr>
    </w:p>
    <w:p w:rsidR="008107C7" w:rsidRDefault="008107C7" w:rsidP="008107C7">
      <w:pPr>
        <w:pStyle w:val="TextoNormal"/>
      </w:pPr>
      <w:r w:rsidRPr="008107C7">
        <w:rPr>
          <w:rStyle w:val="NumeroAFNegritaCaracter"/>
        </w:rPr>
        <w:t>6</w:t>
      </w:r>
      <w:r>
        <w:t>. La Sección Tercera, por providencia de 8 de febrero de 1996, acordó dar vista de las actuaciones remitidas por el Tribunal Superior de Justicia de Baleares y por el Ayuntamiento de Mahón a la parte recurrente y al Ministerio Fiscal por plazo común de veinte días, dentro de los cuales podrían presentar las alegaciones que estimaran pertinentes, conforme determina el art. 52.1 de la Ley Orgánica de este Tribunal.</w:t>
      </w:r>
    </w:p>
    <w:p w:rsidR="008107C7" w:rsidRDefault="008107C7" w:rsidP="008107C7">
      <w:pPr>
        <w:pStyle w:val="TextoNormal"/>
      </w:pPr>
    </w:p>
    <w:p w:rsidR="008107C7" w:rsidRDefault="008107C7" w:rsidP="008107C7">
      <w:pPr>
        <w:pStyle w:val="TextoNormal"/>
      </w:pPr>
      <w:r w:rsidRPr="008107C7">
        <w:rPr>
          <w:rStyle w:val="NumeroAFNegritaCaracter"/>
        </w:rPr>
        <w:t>7</w:t>
      </w:r>
      <w:r>
        <w:t>. Por escrito registrado en este Tribunal el 17 de febrero de 1996, la parte recurrente en amparo se ratifica, en síntesis, en su demanda de amparo.</w:t>
      </w:r>
    </w:p>
    <w:p w:rsidR="008107C7" w:rsidRDefault="008107C7" w:rsidP="008107C7">
      <w:pPr>
        <w:pStyle w:val="TextoNormal"/>
      </w:pPr>
    </w:p>
    <w:p w:rsidR="008107C7" w:rsidRDefault="008107C7" w:rsidP="008107C7">
      <w:pPr>
        <w:pStyle w:val="TextoNormal"/>
      </w:pPr>
      <w:r w:rsidRPr="008107C7">
        <w:rPr>
          <w:rStyle w:val="NumeroAFNegritaCaracter"/>
        </w:rPr>
        <w:t>8</w:t>
      </w:r>
      <w:r>
        <w:t xml:space="preserve">. El Ministerio Fiscal, por escrito que tuvo entrada en este Tribunal el 7 de marzo de 1996, rectificado por mero error informático por otro de 13 de marzo de 1997, interesa que se otorgue el amparo por lesión del derecho a la tutela judicial efectiva del demandante. </w:t>
      </w:r>
    </w:p>
    <w:p w:rsidR="008107C7" w:rsidRDefault="008107C7" w:rsidP="008107C7">
      <w:pPr>
        <w:pStyle w:val="TextoNormal"/>
      </w:pPr>
      <w:r>
        <w:t xml:space="preserve">Según el Ministerio Fiscal el problema que se suscita en el presente recurso de amparo consiste en determinar si la providencia de la Sala de lo Contencioso-Administrativo, acordando el archivo de las actuaciones, confirmada por el Auto que desestima el recurso de súplica, es una resolución de inadmisión razonada y razonable, en cuyo caso no existiría la violación denunciada, conforme tiene declarado reiteradamente este Tribunal, que ha manifestado que el derecho a la tutela judicial efectiva puede verse satisfecho incluso con una resolución de inadmisión, o si -por el contrario, responde a un formalismo enervante que, al impedir el acceso a la jurisdicción, conlleva una violación del derecho a la tutela judicial </w:t>
      </w:r>
      <w:r>
        <w:lastRenderedPageBreak/>
        <w:t xml:space="preserve">efectiva, ya que, teniendo en cuenta que la resolución de archivo significa necesariamente la inadmisión del recurso contencioso-Administrativo, sería de aplicación la doctrina establecida en la STC 53/1992. </w:t>
      </w:r>
    </w:p>
    <w:p w:rsidR="008107C7" w:rsidRDefault="008107C7" w:rsidP="008107C7">
      <w:pPr>
        <w:pStyle w:val="TextoNormal"/>
      </w:pPr>
      <w:r>
        <w:t xml:space="preserve">Para el Ministerio Fiscal puede observarse como la Sala de lo Contencioso-Administrativo ha procedido a una interpretación literal de los arts. 110.3 de la Ley 30/1992 y 57.2 f) de la Ley de la Jurisdicción Contencioso-Administrativa, en cuanto ambos preceptos exigen que la comunicación de la interposición del recurso contencioso-administrativo al órgano que dictó el acto impugnado tenga carácter previo, y -por ello- considera insubsanable el defecto. </w:t>
      </w:r>
    </w:p>
    <w:p w:rsidR="008107C7" w:rsidRDefault="008107C7" w:rsidP="008107C7">
      <w:pPr>
        <w:pStyle w:val="TextoNormal"/>
      </w:pPr>
      <w:r>
        <w:t xml:space="preserve">Frente a dicha interpretación literal, dice el Ministerio Fiscal, es preciso tener en cuenta que el art. 57.3 de la Ley Reguladora de la Jurisdicción Contencioso-Administrativa dispone que: "Si con el escrito de interposición del recurso no se acompañan los documentos anteriormente expresados o los presentado son incompletos y, en general, siempre que el Tribunal estime que no concurren los requisitos exigidos por la Ley para la validez de la comparecencia, señalará un plazo de diez días para que el recurrente pueda subsanar el defecto, y si no lo hace ordenará el archivo de las actuaciones". </w:t>
      </w:r>
    </w:p>
    <w:p w:rsidR="008107C7" w:rsidRDefault="008107C7" w:rsidP="008107C7">
      <w:pPr>
        <w:pStyle w:val="TextoNormal"/>
      </w:pPr>
      <w:r>
        <w:t xml:space="preserve">La Sala de lo Contencioso-Administrativo se ha atenido a la literalidad de los artículos citados de la Ley 30/1992 y de la reguladora de la jurisdicción contencioso-administrativa, considerando que el defecto de no haber efectuado la comunicación al órgano que dictó los actos recurridos con carácter previo a la interposición del recurso contencioso-administrativo constituye un defecto insubsanable, que da lugar al archivo de las actuaciones, y -en consecuencia- a la admisión del recurso. Siguiendo la doctrina sentada por la STC 53/1992, entiende el Fiscal que, si bien las resoluciones recurridas en amparo no se basan en un motivo inexistente para acordar la inadmisión del recurso Contencioso-Administrativo, sí que incurren en el defecto de irrazonabilidad que conlleva necesariamente la vulneración del derecho a la tutela judicial efectiva y ello por las siguientes razones: </w:t>
      </w:r>
    </w:p>
    <w:p w:rsidR="008107C7" w:rsidRDefault="008107C7" w:rsidP="008107C7">
      <w:pPr>
        <w:pStyle w:val="TextoNormal"/>
      </w:pPr>
      <w:r>
        <w:t xml:space="preserve">a) En primer término, porque, al basarse exclusivamente en el adjetivo "previa", utilizado tanto por el art. 110.3 de la Ley 30/1992 como por el 57.2 f) de la Ley de la Jurisdicción Contencioso-Administrativa, ha realizado la interpretación de dichos preceptos más claramente contraria a la efectividad del derecho fundamental de acceso al proceso. </w:t>
      </w:r>
    </w:p>
    <w:p w:rsidR="008107C7" w:rsidRDefault="008107C7" w:rsidP="008107C7">
      <w:pPr>
        <w:pStyle w:val="TextoNormal"/>
      </w:pPr>
      <w:r>
        <w:t xml:space="preserve">b) En segundo lugar porque la Sala de lo Contencioso- Administrativo ha acudido exclusivamente a la interpretación literal de los preceptos, pero no ha tenido en cuenta otros posibles instrumentos de interpretación, igualmente aceptados por nuestro ordenamiento jurídico que, a juicio del Fiscal, hubieran llevado a la consideración de que la comunicación efectuada posteriormente a la interposición del recurso -incluso después del requerimiento efectuado al efecto por la Sala- supondrían la subsanación de un defecto procesal referido a un requisito que permitiría tal actuación. </w:t>
      </w:r>
    </w:p>
    <w:p w:rsidR="008107C7" w:rsidRDefault="008107C7" w:rsidP="008107C7">
      <w:pPr>
        <w:pStyle w:val="TextoNormal"/>
      </w:pPr>
      <w:r>
        <w:t xml:space="preserve">Desde este punto de vista, la Sala de lo Contencioso- Administrativo debió preguntarse por la finalidad de dichos preceptos. No puede olvidarse que, en el presente caso, se había dictado un acto que había puesto fin a la vía administrativa; pero incluso en los supuestos de silencio, la interposición del recurso Contencioso-Administrativo exige la previa expedición de la certificación de actos presuntos, prevista en el art. 44 de la Ley 30/1992, o -al menos- el transcurso del plazo para expedirla, a partir del cual la Administración no puede resolver expresamente. Tanto en un caso como en otro, se ha agotado la vía administrativa, y -en consecuencia- la finalidad de la comunicación previa al recurso judicial no pretende que se dicte una resolución administrativa. Dichas normas parecen tener como ratio únicamente que el órgano administrativo autor del acto recurrido en vía Contencioso-Administrativa tenga conocimiento de la voluntad de interponer el recurso judicial, a efectos -si se </w:t>
      </w:r>
      <w:r>
        <w:lastRenderedPageBreak/>
        <w:t xml:space="preserve">solicita así- de la posible suspensión en vía administrativa del acto recurrido, y de preparación del expediente administrativo para su remisión a la Sala una vez ésta lo reclame y se cumpla con el emplazamiento de los interesados (art. 64 L.J.C.A.). </w:t>
      </w:r>
    </w:p>
    <w:p w:rsidR="008107C7" w:rsidRDefault="008107C7" w:rsidP="008107C7">
      <w:pPr>
        <w:pStyle w:val="TextoNormal"/>
      </w:pPr>
      <w:r>
        <w:t xml:space="preserve">Para el Ministerio Fiscal tales consideraciones llevan a entender que, a los efectos de las normas citadas, pese al tenor literal de los preceptos, no es un requisito absolutamente esencial e ineludible que la comunicación tenga carácter previo. Incluso parece que hubiera sido más lógica una regulación que impusiera al recurrente -si acaso- la comunicación a la Administración del recurso ya interpuesto, con identificación del Tribunal ante el que se hizo y del número de recurso contencioso- administrativo, aunque sigue sin ser completamente explicable dicha obligación de comunicación, pues la Administración conocerá la existencia del recurso contencioso-administrativo tan pronto como el Tribunal le reclame el procedimiento, que constituye el acto de emplazamiento de aquélla (art. 63.1 L.J.C.A.). </w:t>
      </w:r>
    </w:p>
    <w:p w:rsidR="008107C7" w:rsidRDefault="008107C7" w:rsidP="008107C7">
      <w:pPr>
        <w:pStyle w:val="TextoNormal"/>
      </w:pPr>
      <w:r>
        <w:t>Lo expuesto en el apartado anterior lleva a la representación pública a estimar que la interpretación de los citados preceptos hecha por la Sala de lo Contencioso- Administrativo del Tribunal Superior de Justicia de Baleares, si bien parece acorde con la literalidad de los preceptos, incurre en un formalismo exagerado e irrazonable que -al cerrar el paso a la admisión del recurso contencioso-administrativo interpuesto- ha vulnerado el derecho a la tutela judicial efectiva del recurrente.</w:t>
      </w:r>
    </w:p>
    <w:p w:rsidR="008107C7" w:rsidRDefault="008107C7" w:rsidP="008107C7">
      <w:pPr>
        <w:pStyle w:val="TextoNormal"/>
      </w:pPr>
    </w:p>
    <w:p w:rsidR="008107C7" w:rsidRDefault="008107C7" w:rsidP="008107C7">
      <w:pPr>
        <w:pStyle w:val="TextoNormal"/>
      </w:pPr>
      <w:r w:rsidRPr="008107C7">
        <w:rPr>
          <w:rStyle w:val="NumeroAFNegritaCaracter"/>
        </w:rPr>
        <w:t>9</w:t>
      </w:r>
      <w:r>
        <w:t>. Por providencia de 3 de abril de 1997, se señaló para deliberación y votación de la presente Sentencia el día 7 del mismo mes.</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La demanda de amparo se interpone contra el Auto de 10 de enero de 1995 de la Sala de lo Contencioso-Administrativo del Tribunal Superior de Justicia de las Islas Baleares, en el que se desestimó el recurso de súplica interpuesto contra providencia de 20 de diciembre de 1994 que había acordado el archivo de las actuaciones por falta de comunicación previa a la Administración e inadmitiendo a trámite el recurso contencioso-administrativo interpuesto contra resolución de 25 de enero de 1994, del Ayuntamiento de Mahón.</w:t>
      </w:r>
    </w:p>
    <w:p w:rsidR="008107C7" w:rsidRDefault="008107C7" w:rsidP="008107C7">
      <w:pPr>
        <w:pStyle w:val="TextoNormal"/>
      </w:pPr>
      <w:r>
        <w:t>Para el recurrente en amparo se vulneró el derecho a la tutela judicial efectiva por la interpretación rigurosa que hizo el órgano judicial de un requisito de forma subsanable.  Entiende que la falta de comunicación previa quedó subsanada por la comunicación que efectuó al Ayuntamiento de Mahón en el plazo de diez días concedidos por el Tribunal para que acreditara haberlo efectuado.  Por ello manifiesta que la providencia, de 20 de diciembre de 1994, al estimar que ese defecto era insubsanable, y el Auto que confirmó lo dispuesto en esa providencia, provocando el archivo definitivo de las actuaciones, incurren en la vulneración de ese derecho fundamental.</w:t>
      </w:r>
    </w:p>
    <w:p w:rsidR="008107C7" w:rsidRDefault="008107C7" w:rsidP="008107C7">
      <w:pPr>
        <w:pStyle w:val="TextoNormal"/>
      </w:pPr>
    </w:p>
    <w:p w:rsidR="008107C7" w:rsidRDefault="008107C7" w:rsidP="008107C7">
      <w:pPr>
        <w:pStyle w:val="TextoNormal"/>
      </w:pPr>
      <w:r w:rsidRPr="008107C7">
        <w:rPr>
          <w:rStyle w:val="NumeroAFNegritaCaracter"/>
        </w:rPr>
        <w:t>2</w:t>
      </w:r>
      <w:r>
        <w:t>. La cuestión que se plantea en el presente recurso de amparo ha sido resuelta en la Sentencia del Pleno de este Tribunal (STC 76/1996), cuya doctrina ha sido reiterada en posteriores Sentencias de Sala (SSTC 83/1996, 84/1996, 87/1996, 125/1996 y 19/1997).  En la mencionada Sentencia del Pleno declaramos la constitucionalidad del art. 110.3 de la Ley 30/1992, y del art.  57.2 f) de la Ley Reguladora de la Jurisdicción Contencioso-Administrativa, siempre que se interpretaran en el sentido que señala el párrafo 2º del fundamento jurídico 7º de la referida resolución.</w:t>
      </w:r>
    </w:p>
    <w:p w:rsidR="008107C7" w:rsidRDefault="008107C7" w:rsidP="008107C7">
      <w:pPr>
        <w:pStyle w:val="TextoNormal"/>
      </w:pPr>
      <w:r>
        <w:lastRenderedPageBreak/>
        <w:t>Decíamos en la misma que "de entre las distintas interpretaciones posibles de las normas cuestionadas ha de prevalecer, no la que sostienen los Autos de planteamiento de la cuestión de inconstitucionalidad que determina la inadmisión del recurso contencioso-administrativo impidiendo la resolución jurisdiccional de fondo, sino la que viene a hacer viable esta resolución con plena efectividad del derecho a la tutela judicial efectiva que reconoce el art. 24.1 C.E. y que se traduce en una configuración de la omisión de la comunicación previa como un defecto subsanable".</w:t>
      </w:r>
    </w:p>
    <w:p w:rsidR="008107C7" w:rsidRDefault="008107C7" w:rsidP="008107C7">
      <w:pPr>
        <w:pStyle w:val="TextoNormal"/>
      </w:pPr>
      <w:r>
        <w:t>En el presente caso, la Sala de lo Contencioso Administrativo del Tribunal Superior de Justicia de las Islas Baleares ha optado por una interpretación puramente literal de los referidos preceptos, interpretación que determinó la inadmisión del recurso contencioso formulado por el actor.  Por consiguiente, de conformidad con la doctrina contenida en la indicada STC 76/1996 ha de declararse que tal interpretación, que impide la obtención de una resolución de fondo, no resulta conforme a las exigencias derivadas del derecho a la tutela judicial efectiva.  Lo cual determina la procedencia de otorgar el amparo solicitado y retrotraer las actuaciones al momento anterior al que acordó el archivo de las mismas, a fin de que la Sala proceda a dictar nueva resolución según la interpretación contenida en la citada STC 76/1996 y conforme al derecho fundamental a la tutela judicial efectiva.</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LA CONFIERE LA CONSTITUCIÓN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otorgar el amparo solicitado y, en consecuencia,</w:t>
      </w:r>
    </w:p>
    <w:p w:rsidR="008107C7" w:rsidRDefault="008107C7" w:rsidP="008107C7">
      <w:pPr>
        <w:pStyle w:val="TextoNormal"/>
      </w:pPr>
      <w:r>
        <w:t>1º.  Declarar que se ha lesionado al recurrente su derecho a la tutela judicial efectiva.</w:t>
      </w:r>
    </w:p>
    <w:p w:rsidR="008107C7" w:rsidRDefault="008107C7" w:rsidP="008107C7">
      <w:pPr>
        <w:pStyle w:val="TextoNormal"/>
      </w:pPr>
      <w:r>
        <w:t>2º.  Restablecerle en su derecho y, a este fin, declarar la nulidad del Auto de 10 de enero de 1995 y de la providencia de 20 de diciembre de 1994 dictados por la Sala de lo Contencioso-Administrativo del Tribunal Superior de Justicia de las Islas Baleares y retrotraer las actuaciones al momento anterior a dictarse los mismos a fin de que por la referida Sala se resuelva el recurso contencioso administrativo interpuesto por el recurrente en amparo.</w:t>
      </w:r>
    </w:p>
    <w:p w:rsidR="008107C7" w:rsidRDefault="008107C7" w:rsidP="008107C7">
      <w:pPr>
        <w:pStyle w:val="TextoNormal"/>
      </w:pPr>
    </w:p>
    <w:p w:rsidR="008107C7" w:rsidRDefault="008107C7" w:rsidP="008107C7">
      <w:pPr>
        <w:pStyle w:val="TextoNormal"/>
      </w:pPr>
      <w:r>
        <w:t>Publíquese esta Sentencia en el "Boletin Oficial del Estado".</w:t>
      </w:r>
    </w:p>
    <w:p w:rsidR="008107C7" w:rsidRDefault="008107C7" w:rsidP="008107C7">
      <w:pPr>
        <w:pStyle w:val="TextoNormal"/>
      </w:pPr>
      <w:r>
        <w:t>Dada en Madrid, a siete de abril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69" w:name="SENTENCIA_1997_66"/>
      <w:r>
        <w:lastRenderedPageBreak/>
        <w:t>SENTENCIA 66/1997, de 7 de abril de 1997</w:t>
      </w:r>
    </w:p>
    <w:bookmarkEnd w:id="69"/>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114, de 13 de mayo de 1997)</w:t>
      </w:r>
    </w:p>
    <w:p w:rsidR="008107C7" w:rsidRDefault="008107C7" w:rsidP="008107C7">
      <w:pPr>
        <w:pStyle w:val="TtuloBOE"/>
      </w:pPr>
    </w:p>
    <w:p w:rsidR="008107C7" w:rsidRDefault="008107C7" w:rsidP="008107C7">
      <w:pPr>
        <w:pStyle w:val="SntesisDescriptiva"/>
      </w:pPr>
      <w:r>
        <w:t>ECLI:ES:TC:1997:66</w:t>
      </w:r>
    </w:p>
    <w:p w:rsidR="008107C7" w:rsidRDefault="008107C7" w:rsidP="008107C7">
      <w:pPr>
        <w:pStyle w:val="SntesisDescriptiva"/>
      </w:pPr>
    </w:p>
    <w:p w:rsidR="008107C7" w:rsidRDefault="008107C7" w:rsidP="008107C7">
      <w:pPr>
        <w:pStyle w:val="SntesisDescriptiva"/>
      </w:pPr>
      <w:r>
        <w:t>Recurso de amparo 829/1996. Contra Auto de la Audiencia Provincial de Las Palmas confirmatorio en apelación del del Juzgado de Instrucción núm. 6 de la misma ciudad denegatorio de libertad provisional.</w:t>
      </w:r>
    </w:p>
    <w:p w:rsidR="008107C7" w:rsidRDefault="008107C7" w:rsidP="008107C7">
      <w:pPr>
        <w:pStyle w:val="SntesisDescriptiva"/>
      </w:pPr>
    </w:p>
    <w:p w:rsidR="008107C7" w:rsidRDefault="008107C7" w:rsidP="008107C7">
      <w:pPr>
        <w:pStyle w:val="SntesisAnaltica"/>
      </w:pPr>
      <w:r>
        <w:t>Vulneración del derecho a la libertad: motivación insuficiente de la privación de libertad.</w:t>
      </w:r>
    </w:p>
    <w:p w:rsidR="008107C7" w:rsidRDefault="008107C7" w:rsidP="008107C7">
      <w:pPr>
        <w:pStyle w:val="SntesisAnaltica"/>
      </w:pPr>
    </w:p>
    <w:p w:rsidR="008107C7" w:rsidRDefault="008107C7" w:rsidP="008107C7">
      <w:pPr>
        <w:pStyle w:val="Extracto"/>
      </w:pPr>
      <w:r>
        <w:t>1.</w:t>
      </w:r>
      <w:r>
        <w:tab/>
        <w:t>Como hemos acentuado en diversas ocasiones (SSTC 128/1995, 37/1996 y 62/1996), el paso del tiempo tiene una incidencia peculiar en el propio sustento de la medida de prisión provisional, por la influencia que en su justificación tienen los nuevos avatares procesales, el mayor conocimiento de las circunstancias concretas del caso investigado y las personales del imputado, y el cómputo de la privación provisional de libertad para el de la hipotética pena futura. Esta incidencia obliga a posibilitar en todo momento el replanteamiento procesal de la situación personal del imputado y, por así expresarlo, a relativizar o circunscribir el efecto de la firmeza de las resoluciones judiciales al respecto con la integración del factor tiempo en el objeto del incidente . [F.J. 1]</w:t>
      </w:r>
    </w:p>
    <w:p w:rsidR="008107C7" w:rsidRDefault="008107C7" w:rsidP="008107C7">
      <w:pPr>
        <w:pStyle w:val="Extracto"/>
      </w:pPr>
    </w:p>
    <w:p w:rsidR="008107C7" w:rsidRDefault="008107C7" w:rsidP="008107C7">
      <w:pPr>
        <w:pStyle w:val="Extracto"/>
      </w:pPr>
      <w:r>
        <w:t>2.</w:t>
      </w:r>
      <w:r>
        <w:tab/>
        <w:t>Coherentemente, esta delimitación afecta también a esta jurisdicción de amparo, que no puede extender su análisis a lo que no constituye objeto del proceso ni desde una perspectiva formal ni, según lo afirmado, desde una perspectiva material. Las resoluciones judiciales de prisión que sean anteriores a las impugnadas y que se refieran al mismo imputado en el mismo procedimiento podrán ser tenidas en cuenta sólo cuando su fundamentación integre por remisión la de las cuestionadas en amparo y sólo en esa medida. Las decisiones judiciales posteriores, de carácter provisional o definitivo, caen también fuera del procedimiento de amparo que trae causa en las anteriores, si bien, como es obvio a partir de las consideraciones precedentes y como se razonará «in extenso» en el último fundamento de esta Sentencia, pueden incidir en las consecuencias prácticas de una hipotética Sentencia de amparo estimatoria en el supuesto de que constituyan nuevos títulos para la privación de libertad . [F.J. 1]</w:t>
      </w:r>
    </w:p>
    <w:p w:rsidR="008107C7" w:rsidRDefault="008107C7" w:rsidP="008107C7">
      <w:pPr>
        <w:pStyle w:val="Extracto"/>
      </w:pPr>
    </w:p>
    <w:p w:rsidR="008107C7" w:rsidRDefault="008107C7" w:rsidP="008107C7">
      <w:pPr>
        <w:pStyle w:val="Extracto"/>
      </w:pPr>
      <w:r>
        <w:t>3.</w:t>
      </w:r>
      <w:r>
        <w:tab/>
        <w:t xml:space="preserve">Se ha de recordar que, más allá de la interdicción de la indefensión procesal, lo que está prioritariamente en juego en la fundamentación y en la motivación de las respuestas judiciales a las demandas de libertad frente a su privación de origen judicial es, precisamente, la libertad misma. Esta confluencia, típica de las resoluciones judiciales restrictivas de derechos fundamentales no comporta la de las perspectivas constitucionales de análisis, pues cada derecho sigue conservando la que responde a su específico contenido. Así, la indemnidad del derecho a la libertad requiere una motivación más exigente que la que impondría la sóla perspectiva del art. 24.1 C.E., de modo que, por una parte, la observancia de este último canon implica la del que impone el art. 17 y, por otra, es posible que un Auto de prisión </w:t>
      </w:r>
      <w:r>
        <w:lastRenderedPageBreak/>
        <w:t>sea lesivo del derecho a la libertad y, además, constitutivo de un vacío de tutela judicial. [F.J. 2]</w:t>
      </w:r>
    </w:p>
    <w:p w:rsidR="008107C7" w:rsidRDefault="008107C7" w:rsidP="008107C7">
      <w:pPr>
        <w:pStyle w:val="Extracto"/>
      </w:pPr>
    </w:p>
    <w:p w:rsidR="008107C7" w:rsidRDefault="008107C7" w:rsidP="008107C7">
      <w:pPr>
        <w:pStyle w:val="Extracto"/>
      </w:pPr>
      <w:r>
        <w:t>4.</w:t>
      </w:r>
      <w:r>
        <w:tab/>
        <w:t>No puede coincidirse con el recurrente en que, con independencia de la justificación de la medida de prisión, la duración de la misma ha devenido irrazonable. Y no sólo porque la concisa argumentación de su queja no aporta más datos que el estrictamente objetivo de la comparación del tiempo de estancia en prisión (casi dieciocho meses en el momento de interposición del recurso de amparo) con la entidad y la gravedad de la imputación, comparación que depara «prima facie» un juicio de razonabilidad de aquel plazo a la vista de que se mantiene dentro del legalmente establecido. Debe señalarse también, en cualquier caso, que los datos que sobresalen de las actuaciones que nos constan no permiten variar dicho juicio, pues la prisión se enmarca en la instrucción de una causa con relativas complejidades de tipo mercantil, con múltiples perjudicados y con una amenaza de pena para el mayor de los delitos imputados de hasta ocho años de prisión. [F.J. 3]</w:t>
      </w:r>
    </w:p>
    <w:p w:rsidR="008107C7" w:rsidRDefault="008107C7" w:rsidP="008107C7">
      <w:pPr>
        <w:pStyle w:val="Extracto"/>
      </w:pPr>
    </w:p>
    <w:p w:rsidR="008107C7" w:rsidRDefault="008107C7" w:rsidP="008107C7">
      <w:pPr>
        <w:pStyle w:val="Extracto"/>
      </w:pPr>
      <w:r>
        <w:t>5.</w:t>
      </w:r>
      <w:r>
        <w:tab/>
        <w:t>Ninguna tacha constitucional cabe oponer a la constatación judicial de, en la dicción del art. 503.3 L.E.Crim., «motivos bastantes para creer responsable criminalmente del delito» al recurrente. En el primero de los Autos combatidos se consignan los hechos provisoriamente acreditados y las fuentes de los mismos, siquiera por remisión al escrito de acusación del Ministerio Fiscal, por entonces ya formalizado, y a un Auto anterior. A partir de aquel relato y de estos datos no cabe calificar de ilógica o de argumentalmente insuficiente la inferencia de indicios de responsabilidad criminal del recurrente, sin que ningún otro juicio al respecto competa a este Tribunal desde la perspectiva del amparo del derecho a la libertad . [F.J. 5]</w:t>
      </w:r>
    </w:p>
    <w:p w:rsidR="008107C7" w:rsidRDefault="008107C7" w:rsidP="008107C7">
      <w:pPr>
        <w:pStyle w:val="Extracto"/>
      </w:pPr>
    </w:p>
    <w:p w:rsidR="008107C7" w:rsidRDefault="008107C7" w:rsidP="008107C7">
      <w:pPr>
        <w:pStyle w:val="Extracto"/>
      </w:pPr>
      <w:r>
        <w:t>6.</w:t>
      </w:r>
      <w:r>
        <w:tab/>
        <w:t>Por lo que se refiere a la razonabilidad de la motivación de las resoluciones judiciales de denegación de libertad por la búsqueda del fin que legitime la prisión, debemos señalar al respecto que la invocación judicial de la «evidente alarma social» que habrían originado los hechos investigados no contiene un fin constitucionalmente legítimo y congruente con la naturaleza de la prisión provisional. Con independencia del correspondiente juicio que pueda merecer la finalidad de mitigación de otras alarmas sociales que posean otros contenidos, lo cierto es que la genérica alarma social presuntamente ocasionada por un delito constituye el contenido de un fin exclusivo de la pena -la prevención general- y, so pena de que su apaciguamiento corra el riesgo de ser precisamente alarmante por la quiebra de principios y garantías jurídicas fundamentales, presupone un juicio previo de antijuridicidad y de culpabilidad del correspondiente órgano judicial tras un procedimiento rodeado de plenas garantías de imparcialidad y defensa . [F.J. 6]</w:t>
      </w:r>
    </w:p>
    <w:p w:rsidR="008107C7" w:rsidRDefault="008107C7" w:rsidP="008107C7">
      <w:pPr>
        <w:pStyle w:val="Extracto"/>
      </w:pPr>
    </w:p>
    <w:p w:rsidR="008107C7" w:rsidRDefault="008107C7" w:rsidP="008107C7">
      <w:pPr>
        <w:pStyle w:val="Extracto"/>
      </w:pPr>
      <w:r>
        <w:t>7.</w:t>
      </w:r>
      <w:r>
        <w:tab/>
        <w:t xml:space="preserve">De los motivos invocados por el Auto de apelación, sólo los referentes a la penalidad y a lo avanzado de la tramitación podrían justificar realmente el riesgo de fuga. Respecto a la elevada penalidad solicitada, ya hemos dicho (STC 128/1995) que «la relevancia de la gravedad del delito y de la pena para la evaluación de los riesgos de fuga -y con ello, de frustración de la acción de la Administración de la Justicia- resulta innegable... Sin embargo, ese dato objetivo inicial y fundamental </w:t>
      </w:r>
      <w:r>
        <w:lastRenderedPageBreak/>
        <w:t>no puede operar como único criterio -de aplicación objetiva y puramente mecánica- a tener en cuenta al ponderar el peligro de fuga, sino que debe ponerse en relación con otros datos relativos tanto a las características personales del inculpado -como el arraigo familiar, profesional y social, las conexiones en otros países, los medios económicos de los que dispone, etc.-, como a las que concurren en el caso enjuiciado» . [F.J. 6]</w:t>
      </w:r>
    </w:p>
    <w:p w:rsidR="008107C7" w:rsidRDefault="008107C7" w:rsidP="008107C7">
      <w:pPr>
        <w:pStyle w:val="Extracto"/>
      </w:pPr>
    </w:p>
    <w:p w:rsidR="008107C7" w:rsidRDefault="008107C7" w:rsidP="008107C7">
      <w:pPr>
        <w:pStyle w:val="Extracto"/>
      </w:pPr>
      <w:r>
        <w:t>8.</w:t>
      </w:r>
      <w:r>
        <w:tab/>
        <w:t>Tampoco la referencia a lo avanzado de la tramitación de la causa tras la acusación y la conveniencia de asegurar la celebración del próximo juicio oral resultan suficientes. Que la tramitación se halle avanzada y la vista próxima es en sí mismo considerado un dato ambivalente a los efectos de nuestro enjuiciamiento: es cierto que el paso del tiempo, con el avance de la instrucción y la perfilación de la imputación, puede ir dotando de solidez a ésta, lo que podría a su vez incrementar la probabilidad de una efectiva condena y, con ello, el riesgo de fuga. Sin embargo, no es menos cierto que en otras circunstancias el transcurso del tiempo puede producir efectos contrarios a los que acabamos de indicar, no sólo porque el devenir del procedimiento puede debilitar los indicios que apuntan a la culpabilidad del acusado, sino también porque, como se razonó en la STC 128/1995, con amplia cita de Sentencias del Tribunal Europeo de Derechos Humanos, el argumento del peligro de fuga «se debilita por el propio paso del tiempo y la consiguiente disminución de las consecuencias punitivas que puede sufrir el preso». Esta ambivalencia es precisamente la que obliga a que, cuando se alude a lo avanzado de la tramitación y al aseguramiento de la celebración del juicio oral -dato puramente objetivo-, se concreten las circunstancias específicas derivadas de la tramitación que en cada caso abonan o no la hipótesis de que, en el supuesto enjuiciado, el transcurso del tiempo puede llevar a la fuga del imputado. La simple referencia a lo avanzado de la tramitación carece como tal de fuerza argumentativa para afirmar la posibilidad de que el imputado huya . [F.J. 6]</w:t>
      </w:r>
    </w:p>
    <w:p w:rsidR="008107C7" w:rsidRDefault="008107C7" w:rsidP="008107C7">
      <w:pPr>
        <w:pStyle w:val="Extracto"/>
      </w:pPr>
    </w:p>
    <w:p w:rsidR="008107C7" w:rsidRDefault="008107C7" w:rsidP="008107C7">
      <w:pPr>
        <w:pStyle w:val="Extracto"/>
      </w:pPr>
      <w:r>
        <w:t>9.</w:t>
      </w:r>
      <w:r>
        <w:tab/>
        <w:t xml:space="preserve">Tampoco la simple alusión a que ya se ha formulado la acusación constituye un argumento suficiente para cimentar un efectivo riesgo de fuga que justifique la privación provisional de libertad; sólo la consolidación de la imputación mediante Sentencia condenatoria no firme unida a la gravedad de su contenido podría justificar la continuación de una prisión provisional ya prolongada con independencia de cualquier otra circunstancia de tipo subjetivo o más concreto de índole objetiva. La extensión de este planteamiento a los supuestos en los que simplemente se ha exteriorizado y formalizado la acusación desconocería el fuerte potencial argumentativo «pro libertate» subyacente en este tipo de supuestos de prisiones prolongadas con instrucciones avanzadas y traicionaría el carácter excepcional y particularizado, ajeno a cualquier tipo de automatismo, que debe ostentar la decisión de prisión provisional. En esta situación, pues, no es que la referida argumentación de la Audiencia se revele ilógica o arbitraria, sino que resulta insuficiente para sostener una medida que por su gravedad y por la condición de inocente de su destinatario debe ser sólo utilizada excepcional, subsidiaria, provisional y proporcionadamente. De ahí que, en suma, el mantenimiento de la prisión provisional sin ulteriores matices y la soledad argumentativa de la motivación relativa a la gravedad de la pena, siquiera formalmente solicitada, conviertan a los Autos recurridos en expresión larvada de un automatismo en el decreto de la prisión provisional </w:t>
      </w:r>
      <w:r>
        <w:lastRenderedPageBreak/>
        <w:t>abiertamente contrario a los principios ya indicados que deben presidir la institución. Procede, en consecuencia, el otorgamiento del amparo en este punto . [F.J. 6]</w:t>
      </w:r>
    </w:p>
    <w:p w:rsidR="008107C7" w:rsidRDefault="008107C7" w:rsidP="008107C7">
      <w:pPr>
        <w:pStyle w:val="Extracto"/>
      </w:pPr>
    </w:p>
    <w:p w:rsidR="008107C7" w:rsidRDefault="008107C7" w:rsidP="008107C7">
      <w:pPr>
        <w:pStyle w:val="Extracto"/>
      </w:pPr>
      <w:r>
        <w:t>10.</w:t>
      </w:r>
      <w:r>
        <w:tab/>
        <w:t>La anulación de los Autos impugnados se produce por insuficiencias en su motivación, no porque este Tribunal aprecie que no concurran los presupuestos para adoptar esta medida, ya que ésta es una cuestión en la que, en principio, nos está vedado entrar. Por el contrario, los Autos posteriores de 23 de julio y 22 de septiembre de 1996, aportados a este proceso por el recurrente para solicitar su suspensión, ponen de manifiesto, a través de su motivación, que respecto a un momento posterior y en atención a circunstancias específicas concurrentes se han exteriorizado suficientemente los presupuestos constitucionalmente exigidos para decretar la prisión provisional y, por tanto, pueden constituir títulos legítimos para mantener esta medida de privación de libertad . [F.J. 7]</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829/96, promovido por don Javier Guerra Dapena, representado por el Procurador de los Tribunales don Argimiro Vázquez Guillén y asistido por los Abogados doña Ana Calzada González y don José Manuel Rivero Pérez, contra el Auto de la Sección Tercera de la Audiencia Provincial de Las Palmas 11/96, de 29 de enero, confirmatorio en apelación del Auto del Juzgado de Instrucción núm. 6 de la misma ciudad, de 27 de noviembre de 1995, denegatorio de libertad provisional. Ha intervenido el Ministerio Fiscal. Ha sido Ponente el Magistrado don Carles Viver Pi-Sunyer,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registrado en este Tribunal el día 29 de febrero de 1996, don Argimiro Vázquez Guillén, Procurador de los Tribunales, interpone recurso de amparo en nombre de don Javier Guerra Dapena, contra la resolución mencionada en el encabezamiento. En la demanda se incluye asimismo solicitud de suspensión de la ejecución del Auto recurrido.</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2</w:t>
      </w:r>
      <w:r>
        <w:t xml:space="preserve">. Los hechos que fundamentan la demanda de amparo, en síntesis y según se deducen de la pieza de situación personal del recurrente, requerida por providencia de la Sección Tercera de este Tribunal de 30 de mayo de 1996, son los siguientes: </w:t>
      </w:r>
    </w:p>
    <w:p w:rsidR="008107C7" w:rsidRDefault="008107C7" w:rsidP="008107C7">
      <w:pPr>
        <w:pStyle w:val="TextoNormal"/>
      </w:pPr>
      <w:r>
        <w:t xml:space="preserve">a) Como consecuencia de la instrucción de diligencias previas núm. 1.908/94 por el Juzgado de Instrucción núm. 6 de Las Palmas por delitos de apropiación indebida y alzamiento de bienes, el 3 de septiembre de 1994 se dictó Auto imponiendo la prisión provisional comunicada y sin fianza del hoy recurrente. Dicho Auto, en su fundamento único, y tras argumentar las fuertes sospechas de comisión de los citados delitos que recaen sobre el recurrente, argumenta la imposición de la medida con el siguiente razonamiento: </w:t>
      </w:r>
    </w:p>
    <w:p w:rsidR="008107C7" w:rsidRDefault="008107C7" w:rsidP="008107C7">
      <w:pPr>
        <w:pStyle w:val="TextoNormal"/>
      </w:pPr>
      <w:r>
        <w:t xml:space="preserve">"A las figuras delictivas referidas asocia nuestra legislación penal pena superior a prisión menor (...); penalidad la referida a la que la LECr. asocia en su art. 503 los efectos de adopción como norma general de la medida cautelar de prisión preventiva. Por otro lado, se declara expresamente no aplicable lo dispuesto en el párrafo segundo del art. 504 de la citada ley procesal, toda vez que los delitos que se le imputan (...) han originado una evidente alarma social, con un importante número de perjudicados". </w:t>
      </w:r>
    </w:p>
    <w:p w:rsidR="008107C7" w:rsidRDefault="008107C7" w:rsidP="008107C7">
      <w:pPr>
        <w:pStyle w:val="TextoNormal"/>
      </w:pPr>
      <w:r>
        <w:t xml:space="preserve">b) Interpuesto recurso de reforma, el Auto de 18 de octubre de 1994 confirmó la anterior resolución, argumentando, de nuevo, la seriedad de los indicios delictivos, la gravedad de la pena a imponer y el que la Ley de Enjuiciamiento Criminal conecta a estas circunstancias la imposición de prisión provisional, salvo que se den las circunstancias previstas en el art. 504, párrafo segundo, lo que de nuevo se niega con base en la "evidente alarma social con más de cien perjudicados" provocada por los hechos perseguidos (fundamento jurídico 1º). </w:t>
      </w:r>
    </w:p>
    <w:p w:rsidR="008107C7" w:rsidRDefault="008107C7" w:rsidP="008107C7">
      <w:pPr>
        <w:pStyle w:val="TextoNormal"/>
      </w:pPr>
      <w:r>
        <w:t xml:space="preserve">c) Interpuesto recurso de queja, durante su tramitación se presentaron hasta cuatro nuevas solicitudes de libertad, denegadas por sucesivas providencias de fechas 13 de noviembre de 1994, 17 de enero y 6 y 7 de febrero de 1995. </w:t>
      </w:r>
    </w:p>
    <w:p w:rsidR="008107C7" w:rsidRDefault="008107C7" w:rsidP="008107C7">
      <w:pPr>
        <w:pStyle w:val="TextoNormal"/>
      </w:pPr>
      <w:r>
        <w:t xml:space="preserve">El Auto resolutorio del recurso de queja, de fecha 12 de diciembre de 1994, confirmó la imposición de la prisión provisional, limitando su análisis, en lo que se refiere a este extremo, a comprobar la existencia de hechos delictivos imputables al recurrente y la gravedad de la pena hipotéticamente imponible; únicamente se añaden ciertas consideraciones sobre la dificultad y complejidad de la instrucción. </w:t>
      </w:r>
    </w:p>
    <w:p w:rsidR="008107C7" w:rsidRDefault="008107C7" w:rsidP="008107C7">
      <w:pPr>
        <w:pStyle w:val="TextoNormal"/>
      </w:pPr>
      <w:r>
        <w:t xml:space="preserve">d) Una sexta solicitud de libertad fue nuevamente denegada por Auto del Juzgado de Instrucción de 27 de noviembre de 1995, que de nuevo razona exclusivamente sobre la imputación de los hechos al recurrente con base en indicios serios y sobre la gravedad de la pena que hipotéticamente se le podría imponer, que el escrito de acusación del Ministerio Fiscal, ya formulado, sitúa en once años de prisión mayor por un delito continuado de apropiación indebida y en tres años de prisión menor por un delito de alzamiento de bienes. </w:t>
      </w:r>
    </w:p>
    <w:p w:rsidR="008107C7" w:rsidRDefault="008107C7" w:rsidP="008107C7">
      <w:pPr>
        <w:pStyle w:val="TextoNormal"/>
      </w:pPr>
      <w:r>
        <w:t xml:space="preserve">e) El Auto de la Audiencia, de 29 de enero de 1996, resolutorio de la apelación intentada contra el mismo y objeto formal próximo de la demanda de amparo, confirma una vez más el criterio del Instructor. Las razones sustanciales en que basa la Audiencia su resolución son ahora, literalmente, las siguientes (fundamento jurídico 1º): </w:t>
      </w:r>
    </w:p>
    <w:p w:rsidR="008107C7" w:rsidRDefault="008107C7" w:rsidP="008107C7">
      <w:pPr>
        <w:pStyle w:val="TextoNormal"/>
      </w:pPr>
      <w:r>
        <w:t>"(...) no han variado las razones que llevaron al Instructor en su día a decretar la prisión provisional (...). Así, pese a lo expuesto por la defensa, estima la Sala que la posibilidad de que el acusado trate de sustraerse a la acción de la justicia no es descabellada; existe alarma social, por cuanto que es cuantioso el número de perjudicados, y se trata de un tema que sensibiliza la opinión pública; tal y como se expone por el Juez a quo, la penalidad solicitada por las partes acusadoras es bastante elevada, y además, habiéndose formulado ya escrito de acusación está muy avanzada la tramitación de la causa, siendo conveniente asegurar la próxima celebración del juicio oral".</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3</w:t>
      </w:r>
      <w:r>
        <w:t>. De modo asimétrico, con diferentes invocaciones en el encabezamiento, en la fundamentación y en el suplico, se fundamenta la demanda de amparo en los derechos a la libertad personal, a la presunción de inocencia, a un proceso sin dilaciones indebidas y a la efectividad de la tutela judicial. La práctica totalidad de la argumentación, sin embargo, se refiere al primero de los derechos citados. Con numerosas referencias a la jurisprudencia constitucional, se exponen los siguientes argumentos sustanciales: a) inexistencia de peligro de fuga, de supresión de pruebas o de comisión de nuevas infracciones por el demandante; b) completa ausencia de alarma social; c) imposibilidad de basar la imposición de la prisión en la mera gravedad de la pena solicitada por la acusación; d) necesidad de que la prisión provisional no exceda de un plazo razonable, debiendo los Tribunales extremar el celo en la tramitación sin dilaciones de sumarios en los que existe encartado en prisión; e) carácter excepcional subsidiario, provisional y proporcional de la prisión provisional, que en ningún caso puede tener fines punitivos o de anticipación de la pena, y que sólo ha de durar mientras subsistan los motivos que la hayan ocasionado.</w:t>
      </w:r>
    </w:p>
    <w:p w:rsidR="008107C7" w:rsidRDefault="008107C7" w:rsidP="008107C7">
      <w:pPr>
        <w:pStyle w:val="TextoNormal"/>
      </w:pPr>
    </w:p>
    <w:p w:rsidR="008107C7" w:rsidRDefault="008107C7" w:rsidP="008107C7">
      <w:pPr>
        <w:pStyle w:val="TextoNormal"/>
      </w:pPr>
      <w:r w:rsidRPr="008107C7">
        <w:rPr>
          <w:rStyle w:val="NumeroAFNegritaCaracter"/>
        </w:rPr>
        <w:t>4</w:t>
      </w:r>
      <w:r>
        <w:t>. Mediante escrito de 19 de septiembre de 1996, la representación del recurrente solicita la suspensión del nuevo Auto de la Sección Segunda de la Audiencia Provincial de Las Palmas, de 23 de julio, por el que se deniega una nueva petición de libertad provisional y se acuerda además la prórroga de la situación de prisión por otros dos años más. En dicho Auto se argumenta la existencia de riesgo cierto de que el procesado se sustraiga a la justicia con base en una supuesta falta de arraigo personal, familiar y profesional en Gran Canaria, así como en la posibilidad de que disponga de cuantiosos recursos, lo que facilitaría una "vida muy cómoda y holgada en cualquier país extranjero". El Auto fue confirmado en súplica mediante otro de 12 de septiembre.</w:t>
      </w:r>
    </w:p>
    <w:p w:rsidR="008107C7" w:rsidRDefault="008107C7" w:rsidP="008107C7">
      <w:pPr>
        <w:pStyle w:val="TextoNormal"/>
      </w:pPr>
    </w:p>
    <w:p w:rsidR="008107C7" w:rsidRDefault="008107C7" w:rsidP="008107C7">
      <w:pPr>
        <w:pStyle w:val="TextoNormal"/>
      </w:pPr>
      <w:r w:rsidRPr="008107C7">
        <w:rPr>
          <w:rStyle w:val="NumeroAFNegritaCaracter"/>
        </w:rPr>
        <w:t>5</w:t>
      </w:r>
      <w:r>
        <w:t>. Mediante providencia de 23 de septiembre de 1996, la Sección Tercera de este Tribunal acuerda admitir a trámite la demanda de amparo y dirigir comunicación a la Sección Segunda de la Audiencia Provincial de Las Palmas a fin de que remita testimonio de las actuaciones correspondientes a la pieza de situación personal del recurrente en amparo que se hayan producido con posterioridad a las ya remitidas, y de que emplace a quienes hubieran sido parte en el procedimiento en el que aquélla se enmarca.</w:t>
      </w:r>
    </w:p>
    <w:p w:rsidR="008107C7" w:rsidRDefault="008107C7" w:rsidP="008107C7">
      <w:pPr>
        <w:pStyle w:val="TextoNormal"/>
      </w:pPr>
    </w:p>
    <w:p w:rsidR="008107C7" w:rsidRDefault="008107C7" w:rsidP="008107C7">
      <w:pPr>
        <w:pStyle w:val="TextoNormal"/>
      </w:pPr>
      <w:r w:rsidRPr="008107C7">
        <w:rPr>
          <w:rStyle w:val="NumeroAFNegritaCaracter"/>
        </w:rPr>
        <w:t>6</w:t>
      </w:r>
      <w:r>
        <w:t>. Mediante nueva providencia de 23 de septiembre de 1996, la Sección acuerda la apertura de la pieza separada de suspensión y, conforme determina el art. 56 LOTC, concede un plazo común de tres días a la parte demandante y al Ministerio Fiscal para que aleguen lo que estimen pertinente sobre la misma. Recibidos los correspondientes escritos -el del Ministerio Fiscal en postulación de la denegación de la suspensión-, la Sala Segunda del Tribunal Constitucional acuerda no acceder a la suspensión interesada por la parte recurrente (Auto de 14 de octubre de 1996).</w:t>
      </w:r>
    </w:p>
    <w:p w:rsidR="008107C7" w:rsidRDefault="008107C7" w:rsidP="008107C7">
      <w:pPr>
        <w:pStyle w:val="TextoNormal"/>
      </w:pPr>
    </w:p>
    <w:p w:rsidR="008107C7" w:rsidRDefault="008107C7" w:rsidP="008107C7">
      <w:pPr>
        <w:pStyle w:val="TextoNormal"/>
      </w:pPr>
      <w:r w:rsidRPr="008107C7">
        <w:rPr>
          <w:rStyle w:val="NumeroAFNegritaCaracter"/>
        </w:rPr>
        <w:t>7</w:t>
      </w:r>
      <w:r>
        <w:t>. Recibidas las actuaciones, la Sección Cuarta acuerda dar vista de las mismas a las partes, con concesión de un plazo común de veinte días para la presentación de las alegaciones previstas en el art. 52.1 LOTC (providencia de 7 de noviembre de 1996).</w:t>
      </w:r>
    </w:p>
    <w:p w:rsidR="008107C7" w:rsidRDefault="008107C7" w:rsidP="008107C7">
      <w:pPr>
        <w:pStyle w:val="TextoNormal"/>
      </w:pPr>
    </w:p>
    <w:p w:rsidR="008107C7" w:rsidRDefault="008107C7" w:rsidP="008107C7">
      <w:pPr>
        <w:pStyle w:val="TextoNormal"/>
      </w:pPr>
      <w:r w:rsidRPr="008107C7">
        <w:rPr>
          <w:rStyle w:val="NumeroAFNegritaCaracter"/>
        </w:rPr>
        <w:t>8</w:t>
      </w:r>
      <w:r>
        <w:t xml:space="preserve">. El escrito de la representación del recurrente, registrado el día 27 de noviembre de 1996, contiene tres alegaciones. La primera versa sobre la superación del plazo razonable </w:t>
      </w:r>
      <w:r>
        <w:lastRenderedPageBreak/>
        <w:t>de prisión provisional, a la vista de que la nueva prórroga permite su mantenimiento hasta el límite mínimo de la pena que podría corresponder al acusado por el delito más grave imputado. La segunda alegación incide en la falta de "razón legitimadora" para el mantenimiento de la prisión no habría riesgo de fuga, al disminuir con el paso del tiempo las posibles consecuencias punitivas para el procesado; la instrucción ha terminado, por lo que no hay riesgo de obstrucción, el recurrente carece de antecedentes penales y de conexiones en el extranjero, colaboró con los órganos judiciales, y tiene sólido arraigo personal y profesional en Las Palmas; la invocación genérica de la alarma social no puede sustentar la prisión; el Ministerio Fiscal no se opuso a la libertad en su informe previo al Auto de la Audiencia de 23 de julio. En su tercera alegación afirma la representación del recurrente que la Sección Segunda de la Audiencia carece de imparcialidad para ser la encargada de enjuiciar la causa -lo que fue objeto de una recusación-, y que parte para su resolución de prisión de una presunción de culpabilidad, como lo demostraría su apreciación, contraria a un informe pericial que obra en las actuaciones, de que el acusado puede poseer una "más que notable cantidad de dinero".</w:t>
      </w:r>
    </w:p>
    <w:p w:rsidR="008107C7" w:rsidRDefault="008107C7" w:rsidP="008107C7">
      <w:pPr>
        <w:pStyle w:val="TextoNormal"/>
      </w:pPr>
    </w:p>
    <w:p w:rsidR="008107C7" w:rsidRDefault="008107C7" w:rsidP="008107C7">
      <w:pPr>
        <w:pStyle w:val="TextoNormal"/>
      </w:pPr>
      <w:r w:rsidRPr="008107C7">
        <w:rPr>
          <w:rStyle w:val="NumeroAFNegritaCaracter"/>
        </w:rPr>
        <w:t>9</w:t>
      </w:r>
      <w:r>
        <w:t>. El Fiscal concluye su informe de 9 de diciembre interesando la desestimación de la demanda. Argumenta para ello, en primer lugar, que las resoluciones impugnadas muestran una motivación y que la misma no es "estereotipada, estampillada o meramente formularia", sino que "especifica peculiaridades del caso concreto". Segundo soporte de su conclusión es que en dichas resoluciones se alega como fin el riesgo de fuga y que el mismo aparece "fundamentado en diversos condicionantes", con consideración concreta de las circunstancias del caso y personales del imputado.</w:t>
      </w:r>
    </w:p>
    <w:p w:rsidR="008107C7" w:rsidRDefault="008107C7" w:rsidP="008107C7">
      <w:pPr>
        <w:pStyle w:val="TextoNormal"/>
      </w:pPr>
    </w:p>
    <w:p w:rsidR="008107C7" w:rsidRDefault="008107C7" w:rsidP="008107C7">
      <w:pPr>
        <w:pStyle w:val="TextoNormal"/>
      </w:pPr>
      <w:r w:rsidRPr="008107C7">
        <w:rPr>
          <w:rStyle w:val="NumeroAFNegritaCaracter"/>
        </w:rPr>
        <w:t>10</w:t>
      </w:r>
      <w:r>
        <w:t>. Mediante providencia de 3 de abril de 1997, se señaló para deliberación y votación de la presente Sentencia el día 7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El demandante de amparo se queja en esencia de la duración y de la falta de justificación de la situación de prisión provisional en la que se encuentra desde el día 3 de septiembre de 1994. Haciendo uso de la posibilidad que le ofrece el ordenamiento, ha solicitado su libertad en varias ocasiones durante los dos últimos años, lo que ha dado lugar a diversas resoluciones judiciales en el marco de tres incidentes sobre su situación personal. El segundo de ellos es el que ha motivado este procedimiento de amparo (Autos del Juzgado de Instrucción de 27 de noviembre de 1995 y de la Audiencia Provincial de 29 de enero de 1996). Con posterioridad a su inicio el día 29 de febrero de 1996, se ha producido una nueva denegación de libertad acompañada de prórroga (Auto de la Audiencia Provincial de 23 de julio de 1996) y confirmada en súplica (Auto de 12 de septiembre).</w:t>
      </w:r>
    </w:p>
    <w:p w:rsidR="008107C7" w:rsidRDefault="008107C7" w:rsidP="008107C7">
      <w:pPr>
        <w:pStyle w:val="TextoNormal"/>
      </w:pPr>
      <w:r>
        <w:t xml:space="preserve">La finalidad de la anterior descripción introductoria, que es la de enmarcar sucintamente el conflicto que ha dado lugar a la reclamación de amparo ante este Tribunal, requiere aún alguna precisión. Como hemos acentuado en diversas ocasiones (SSTC 128/1995, 37/1996, 62/1996), el paso del tiempo tiene una incidencia peculiar en el propio sustento de la medida de prisión provisional, por la influencia que en su justificación tienen los nuevos avatares procesales, el mayor conocimiento de las circunstancias concretas del caso investigado y las personales del imputado, y el cómputo de la privación provisional de libertad para el de la </w:t>
      </w:r>
      <w:r>
        <w:lastRenderedPageBreak/>
        <w:t>hipotética pena futura. Esta incidencia obliga a posibilitar en todo momento el replanteamiento procesal de la situación personal del imputado y, por así expresarlo, a relativizar o circunscribir el efecto de la firmeza de las resoluciones judiciales al respecto con la integración del factor tiempo en el objeto del incidente.</w:t>
      </w:r>
    </w:p>
    <w:p w:rsidR="008107C7" w:rsidRDefault="008107C7" w:rsidP="008107C7">
      <w:pPr>
        <w:pStyle w:val="TextoNormal"/>
      </w:pPr>
      <w:r>
        <w:t>Coherentemente, esta delimitación afecta también a esta jurisdicción de amparo, que no puede extender su análisis a lo que no constituye objeto del proceso ni desde una perspectiva formal, ni, según lo afirmado, desde una perspectiva material. Las resoluciones judiciales de prisión que sean anteriores a las impugnadas y que se refieran al mismo imputado en el mismo procedimiento podrán ser tenidas en cuenta sólo cuando su fundamentación integre por remisión la de las cuestionadas en amparo y sólo en esa medida.  Las decisiones judiciales posteriores, de carácter provisional o definitivo, caen también fuera del procedimiento de amparo que trae causa en las anteriores, si bien, como es obvio a partir de las consideraciones precedentes y como se razonará in extenso en el último fundamento de esta Sentencia, pueden incidir en las consecuencias prácticas de una hipotética Sentencia de amparo estimatoria en el supuesto de que constituyan nuevos títulos para la privación de libertad.</w:t>
      </w:r>
    </w:p>
    <w:p w:rsidR="008107C7" w:rsidRDefault="008107C7" w:rsidP="008107C7">
      <w:pPr>
        <w:pStyle w:val="TextoNormal"/>
      </w:pPr>
    </w:p>
    <w:p w:rsidR="008107C7" w:rsidRDefault="008107C7" w:rsidP="008107C7">
      <w:pPr>
        <w:pStyle w:val="TextoNormal"/>
      </w:pPr>
      <w:r w:rsidRPr="008107C7">
        <w:rPr>
          <w:rStyle w:val="NumeroAFNegritaCaracter"/>
        </w:rPr>
        <w:t>2</w:t>
      </w:r>
      <w:r>
        <w:t>. Con una mención ciertamente asimétrica, que varía del encabezamiento a la fundamentación y al suplico de la demanda, y del escrito de demanda al de alegaciones, cabe inferir finalmente que el recurrente atribuye a los Autos impugnados la vulneración de cuatro derechos fundamentales: derecho a la libertad, derecho a la tutela judicial efectiva, derecho a un proceso sin dilaciones indebidas y derecho a la presunción de inocencia. De estos cuatro motivos es la reivindicación del derecho a la libertad la que cruza constantemente la demanda y la que funda la casi totalidad de su argumentación. Menor enjundia y alegato tienen los otros tres motivos, que analizaremos en primer lugar, comenzando, en este fundamento, con el relativo al derecho a la tutela judicial efectiva. Bajo su cobertura se reprocha a los Autos de prisión impugnados, al parecer, su falta de fundamentación.</w:t>
      </w:r>
    </w:p>
    <w:p w:rsidR="008107C7" w:rsidRDefault="008107C7" w:rsidP="008107C7">
      <w:pPr>
        <w:pStyle w:val="TextoNormal"/>
      </w:pPr>
      <w:r>
        <w:t>Por supuesto que, como cualquier otra resolución judicial, los Autos de decreto o mantenimiento de la situación de prisión provisional pueden generar una infracción del art. 24.1 C.E. en la medida en que constituyan una respuesta a la pretensión aducida que sea arbitraria, manifiestamente irrazonable o fruto de un error patente y que hayan generado indefensión. Sin embargo, sentado lo anterior, se ha de recordar que, más allá de la interdicción de la indefensión procesal, lo que está prioritariamente en juego en la fundamentación y en la motivación de las respuestas judiciales a las demandas de libertad frente a su privación de origen judicial es, precisamente, la libertad misma [SSTC 128/1995, fundamento jurídico 4º a); 37/1996, fundamento jurídico 5º; 62/1996, fundamento jurídico 2º; 158/1996, fundamento jurídico 3º]. Esta confluencia, típica de las resoluciones judiciales restrictivas de derechos fundamentales, no comporta la de las perspectivas constitucionales de análisis, pues cada derecho sigue conservando la que responde a su específico contenido. Así, la indemnidad del derecho a la libertad requiere una motivación más exigente que la que impondría la sóla perspectiva del art. 24.1 C.E., de modo que, por una parte, la observancia de este último canon implica la del que impone el art.  17 y, por otra, es posible que un Auto de prisión sea lesivo del derecho a la libertad y, además, constitutivo de un vacío de tutela judicial.</w:t>
      </w:r>
    </w:p>
    <w:p w:rsidR="008107C7" w:rsidRDefault="008107C7" w:rsidP="008107C7">
      <w:pPr>
        <w:pStyle w:val="TextoNormal"/>
      </w:pPr>
      <w:r>
        <w:t xml:space="preserve">En la demanda a la que ahora damos respuesta carece de toda fundamentación autónoma la invocación como vulnerado del derecho a la tutela judicial efectiva, lo que ya sería suficiente para proceder a la desestimación del motivo que le correspondería.  Pero es que, además, como señala el Ministerio Fiscal, del análisis de la motivación de las resoluciones impugnadas, que se expondrá con detalle más adelante en relación con el motivo atinente al </w:t>
      </w:r>
      <w:r>
        <w:lastRenderedPageBreak/>
        <w:t>derecho a la libertad, no se constata ni el vacío de tutela ni la indefensión proscritas en el art. 24.1 C.E.</w:t>
      </w:r>
    </w:p>
    <w:p w:rsidR="008107C7" w:rsidRDefault="008107C7" w:rsidP="008107C7">
      <w:pPr>
        <w:pStyle w:val="TextoNormal"/>
      </w:pPr>
    </w:p>
    <w:p w:rsidR="008107C7" w:rsidRDefault="008107C7" w:rsidP="008107C7">
      <w:pPr>
        <w:pStyle w:val="TextoNormal"/>
      </w:pPr>
      <w:r w:rsidRPr="008107C7">
        <w:rPr>
          <w:rStyle w:val="NumeroAFNegritaCaracter"/>
        </w:rPr>
        <w:t>3</w:t>
      </w:r>
      <w:r>
        <w:t>. La alegación relativa al derecho a un proceso sin dilaciones indebidas se desliza en el escrito de alegaciones hacia el de la sujeción de la prisión provisional a un plazo razonable, con el que "guarda un estrecho paralelismo (...), viniendo a superponerse y a constituir una doble garantía constitucional: si bien hay que desterrar las dilaciones indebidas en cualquier tipo de procedimiento, el celo de la autoridad judicial en obtener la rapidez del procedimiento todavía ha de ser mucho mayor en las causas con preso (STC 18/1983), porque, de otro modo, y por aplicación de los arts. 17 y 24 de la Constitución, procedería acordar su puesta en libertad" (STC 8/1990, fundamento jurídico 4º). El plazo razonable "es integrado por el legislador, al fijar unos límites temporales máximos a la medida de prisión provisional en el art. 504 L.E.Crim. que, sin embargo, no agotan la garantía constitucional.  Pues, por aplicación directa de los preceptos constitucionales mencionados, interpretados de conformidad con el Convenio Europeo de Derechos Humanos y la jurisprudencia de su Tribunal (art. 10.2 C.E.), el plazo razonable en una causa determinada puede ser sensiblemente menor al plazo máximo legal, atendiendo a la complejidad de la causa, la actividad desplegada por el órgano judicial, y el comportamiento del recurrente (SSTC 206/1991, fundamentos jurídicos 4º y 5º, y 8/1990, fundamentos jurídicos 4º y 5º)" (STC 41/1996, fundamento jurídico 2º).</w:t>
      </w:r>
    </w:p>
    <w:p w:rsidR="008107C7" w:rsidRDefault="008107C7" w:rsidP="008107C7">
      <w:pPr>
        <w:pStyle w:val="TextoNormal"/>
      </w:pPr>
      <w:r>
        <w:t>No puede coincidirse con el recurrente en que, con independencia de la justificación de la medida de prisión, la duración de la misma ha devenido irrazonable. Y no sólo porque la concisa argumentación de su queja no aporta más datos que el estrictamente objetivo de la comparación del tiempo de estancia en prisión (casi dieciocho meses en el momento de interposición del recurso de amparo) con la entidad y la gravedad de la imputación, comparación que depara prima facie un juicio de razonabilidad de aquel plazo a la vista de que se mantiene dentro del legalmente establecido. Debe señalarse también, en cualquier caso, que los datos que sobresalen de las actuaciones que nos constan no permiten variar dicho juicio, pues la prisión se enmarca en la instrucción de una causa con relativas complejidades de tipo mercantil, con múltiples perjudicados y con una amenaza de pena para el mayor de los delitos imputados de hasta ocho años de prisión.</w:t>
      </w:r>
    </w:p>
    <w:p w:rsidR="008107C7" w:rsidRDefault="008107C7" w:rsidP="008107C7">
      <w:pPr>
        <w:pStyle w:val="TextoNormal"/>
      </w:pPr>
    </w:p>
    <w:p w:rsidR="008107C7" w:rsidRDefault="008107C7" w:rsidP="008107C7">
      <w:pPr>
        <w:pStyle w:val="TextoNormal"/>
      </w:pPr>
      <w:r w:rsidRPr="008107C7">
        <w:rPr>
          <w:rStyle w:val="NumeroAFNegritaCaracter"/>
        </w:rPr>
        <w:t>4</w:t>
      </w:r>
      <w:r>
        <w:t>. El grueso de la demanda se refiere a la falta de fundamentación suficiente de la denegación judicial de la libertad provisional solicitada. Este motivo se cobija en la invocación del derecho a la libertad, donde también debe situarse el que se presenta en el recurso como vulneración del derecho a la presunción de inocencia. En efecto, no es adecuada tal presentación, pues ninguna declaración de culpabilidad se ha producido: a lo que se refiere la queja del recurrente es a un defecto de justificación de la relevante probabilidad de culpabilidad, que constituye "conditio sine qua non de la adopción y del mantenimiento de tan drástica medida" (STC 128/1995, fundamento jurídico 3º).</w:t>
      </w:r>
    </w:p>
    <w:p w:rsidR="008107C7" w:rsidRDefault="008107C7" w:rsidP="008107C7">
      <w:pPr>
        <w:pStyle w:val="TextoNormal"/>
      </w:pPr>
      <w:r>
        <w:t>En lo que sigue nuestra Sentencia analizará desde la perspectiva constitucional que nos es propia la fundamentación del citado presupuesto (fundamento jurídico 5º) y de la finalidad o finalidades que persigue en este caso la prisión (fundamento jurídico 6º). Instrumento previo lo será el recuerdo de la jurisprudencia constitucional relevante al respecto, que abordamos a continuación.</w:t>
      </w:r>
    </w:p>
    <w:p w:rsidR="008107C7" w:rsidRDefault="008107C7" w:rsidP="008107C7">
      <w:pPr>
        <w:pStyle w:val="TextoNormal"/>
      </w:pPr>
      <w:r>
        <w:t xml:space="preserve">a) En relación con el sustento jurídico de la adopción de la medida de prisión provisional destacábamos en la STC 128/1995 que, además de su legalidad (arts.  17.1 y 17.4 C.E.), "la </w:t>
      </w:r>
      <w:r>
        <w:lastRenderedPageBreak/>
        <w:t>legitimidad constitucional de la prisión provisional exige que su configuración y su aplicación tengan, como presupuesto, la existencia de indicios racionales de la comisión de una acción delictiva; como objetivo, la consecución de fines constitucionalmente legítimos y congruentes con la naturaleza de la medida" (también, STC 62/1996, fundamento jurídico 5º). El propio fundamento jurídico 3º de esta Sentencia, al que pertenece el entrecomillado anterior, concretaba como constitutiva de estos fines la conjuración de ciertos riesgos relevantes que para el desarrollo normal del proceso, para la ejecución del fallo o, en general, para la sociedad, parten del imputado: "su sustracción de la acción de la Administración de Justicia, la obstrucción de la instrucción penal y, en un plano distinto aunque íntimamente relacionado, la reiteración delictiva".</w:t>
      </w:r>
    </w:p>
    <w:p w:rsidR="008107C7" w:rsidRDefault="008107C7" w:rsidP="008107C7">
      <w:pPr>
        <w:pStyle w:val="TextoNormal"/>
      </w:pPr>
      <w:r>
        <w:t>b) Las decisiones relativas a la adopción y al mantenimiento de la prisión provisional deben expresarse en una resolución judicial motivada (SSTC 41/1982, 56/1987, 3/1992, 128/1995). Esta motivación ha de ser suficiente y razonable, "entendiendo por tal que al adoptar y mantener esta medida se haya ponderado la concurrencia de todos los extremos que justifican su adopción y que esta ponderación o, si se quiere, que esta subsunción, no sea arbitraria, en el sentido de que sea acorde con las pautas del normal razonamiento lógico y, muy especialmente, con los fines que justifican la institución de la prisión provisional" [STC 128/1995, fundamento jurídico 4º b)]. La suficiencia y la razonabilidad serán, en definitiva, el resultado de la ponderación de los intereses en juego -la libertad de una persona cuya inocencia se presume, por un lado; la realización de la administración de la justicia penal y la evitación de hechos delictivos, por otro- a partir de toda la información disponible en el momento en el que ha de adoptarse la decisión, de las reglas del razonamiento lógico y del entendimiento de la prisión provisional como "una medida de aplicación excepcional, subsidiaria, provisional y proporcionada a la consecución de los fines" referidos en el párrafo anterior (STC 128/1995, fundamento jurídico 3º).</w:t>
      </w:r>
    </w:p>
    <w:p w:rsidR="008107C7" w:rsidRDefault="008107C7" w:rsidP="008107C7">
      <w:pPr>
        <w:pStyle w:val="TextoNormal"/>
      </w:pPr>
      <w:r>
        <w:t>Concreción obvia de las anteriores directrices es la indispensabilidad de la expresión del presupuesto de la medida y del fin constitucionalmente legítimo perseguido. Más allá, la STC 128/1995 indicaba dos criterios de enjuiciamiento de la motivación de la constatación del peligro de fuga. El primero consiste en que deberán "tomarse en consideración, además de las características y la gravedad del delito imputado y de la pena con que se le amenaza, las circunstancias concretas del caso y las personales del imputado". El segundo matiza parcialmente el anterior y se refiere a la consideración del transcurso del tiempo en la toma de la decisión de mantenimiento de la prisión, de modo que, si bien es cierto que "en un primer momento, la necesidad de preservar los fines constitucionalmente legítimos de la prisión provisional (...), así como los datos con los que en ese instante cuenta el instructor, pueden justificar que el decreto de la prisión se lleve a cabo atendiendo solamente al tipo de delito y a la gravedad de la pena", también lo es que "el transcurso del tiempo modifica estas circunstancias" y obliga a ponderar "los datos personales así como los del caso concreto" [fundamento jurídico 4º b); también, SSTC 37/1996, fundamento jurídico 6º A); 62/1996, fundamento jurídico 5º].</w:t>
      </w:r>
    </w:p>
    <w:p w:rsidR="008107C7" w:rsidRDefault="008107C7" w:rsidP="008107C7">
      <w:pPr>
        <w:pStyle w:val="TextoNormal"/>
      </w:pPr>
      <w:r>
        <w:t>En coherencia con las directrices reseñadas, la STC 62/1996 realizó una nueva aportación a la especificación del canon de enjuiciamiento de la motivación de la prisión provisional para un grupo diferente de supuestos -prisión provisional por riesgo de fuga tras Sentencia condenatoria-, al indicar que el sólo dictado de una inicial Sentencia condenatoria por un delito grave puede constituir un dato suficiente que justifique razonable y suficientemente la concurrencia de un riesgo de sustracción a la acción de la justicia (fundamento jurídico 7º).</w:t>
      </w:r>
    </w:p>
    <w:p w:rsidR="008107C7" w:rsidRDefault="008107C7" w:rsidP="008107C7">
      <w:pPr>
        <w:pStyle w:val="TextoNormal"/>
      </w:pPr>
      <w:r>
        <w:lastRenderedPageBreak/>
        <w:t>c) Por razones prácticas de conocimiento e inmediación, y de reparto eficaz de las tareas institucionales de protección de los derechos fundamentales, "no corresponde (...)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[STC 128/1995, fundamento jurídico 4º b)].</w:t>
      </w:r>
    </w:p>
    <w:p w:rsidR="008107C7" w:rsidRDefault="008107C7" w:rsidP="008107C7">
      <w:pPr>
        <w:pStyle w:val="TextoNormal"/>
      </w:pPr>
    </w:p>
    <w:p w:rsidR="008107C7" w:rsidRDefault="008107C7" w:rsidP="008107C7">
      <w:pPr>
        <w:pStyle w:val="TextoNormal"/>
      </w:pPr>
      <w:r w:rsidRPr="008107C7">
        <w:rPr>
          <w:rStyle w:val="NumeroAFNegritaCaracter"/>
        </w:rPr>
        <w:t>5</w:t>
      </w:r>
      <w:r>
        <w:t>. Ninguna tacha constitucional cabe oponer a la constatación judicial de, en la dicción del art. 503.3ª L.E.Crim., "motivos bastantes para creer responsable criminalmente del delito" al recurrente. En el primero de los Autos combatidos, el del Juzgado de Instrucción, de 27 de noviembre de 1995, se consignan los hechos provisoriamente acreditados y las fuentes de los mismos, siquiera por remisión al escrito de acusación del Ministerio Fiscal, por entonces ya formalizado, y a un Auto anterior. A partir de aquel relato y de estos datos no cabe calificar de ilógica o de argumentalmente insuficiente la inferencia de indicios de responsabilidad criminal del recurrente, sin que ningún otro juicio al respecto competa a este Tribunal desde la perspectiva del amparo del derecho a la libertad.</w:t>
      </w:r>
    </w:p>
    <w:p w:rsidR="008107C7" w:rsidRDefault="008107C7" w:rsidP="008107C7">
      <w:pPr>
        <w:pStyle w:val="TextoNormal"/>
      </w:pPr>
    </w:p>
    <w:p w:rsidR="008107C7" w:rsidRDefault="008107C7" w:rsidP="008107C7">
      <w:pPr>
        <w:pStyle w:val="TextoNormal"/>
      </w:pPr>
      <w:r w:rsidRPr="008107C7">
        <w:rPr>
          <w:rStyle w:val="NumeroAFNegritaCaracter"/>
        </w:rPr>
        <w:t>6</w:t>
      </w:r>
      <w:r>
        <w:t>. Debemos continuar el análisis de la suficiencia y la razonabilidad de la motivación de las resoluciones judiciales de denegación de libertad por la búsqueda del fin que legitime la prisión. Como indicábamos anteriormente, sin ese fin no cabe justificación alguna del sacrificio de la libertad que supone la prisión provisional, ni es posible por ello la aprobación constitucional de la misma.</w:t>
      </w:r>
    </w:p>
    <w:p w:rsidR="008107C7" w:rsidRDefault="008107C7" w:rsidP="008107C7">
      <w:pPr>
        <w:pStyle w:val="TextoNormal"/>
      </w:pPr>
      <w:r>
        <w:t>La búsqueda es estéril respecto del primero de los Autos, que se limita a precisar el sustento de la imputación y la legalidad de la medida, y a consignar, por remisión a un Auto anterior, la "evidente alarma social" que habrían originado los hechos investigados. En este dato de la alarma social insiste también, sin especificación alguna, el Auto de la Audiencia impugnado.  Sin embargo, debemos señalar al respecto que esta invocación, al menos tal como se encuentra formulada, no contiene un fin constitucionalmente legítimo y congruente con la naturaleza de la prisión provisional. Con independencia del correspondiente juicio que pueda merecer la finalidad de mitigación de otras alarmas sociales que posean otros contenidos -la alarma social que se concreta en disturbios sociales, por ejemplo- y otros orígenes -la fuga del imputado o su libertad provisional-, juicio en el que ahora no es pertinente entrar, lo cierto es que la genérica alarma social presuntamente ocasionada por un delito constituye el contenido de un fin exclusivo de la pena -la prevención general- y, so pena de que su apaciguamiento corra el riesgo de ser precisamente alarmante por la quiebra de principios y garantías jurídicas fundamentales, presupone un juicio previo de antijuridicidad y de culpabilidad del correspondiente órgano judicial tras un procedimiento rodeado de plenas garantías de imparcialidad y defensa.</w:t>
      </w:r>
    </w:p>
    <w:p w:rsidR="008107C7" w:rsidRDefault="008107C7" w:rsidP="008107C7">
      <w:pPr>
        <w:pStyle w:val="TextoNormal"/>
      </w:pPr>
      <w:r>
        <w:t>En el Auto de apelación sí que se menciona un fin constitucionalmente válido para la prisión con la afirmación de "que la posibilidad de que el acusado trate de sustraerse a la acción de la justicia no es descabellada". Sin embargo, si bien la Audiencia suple con ello la correspondiente laguna del Auto del Juzgado de Instrucción, no hace lo propio con la ausencia de una motivación suficiente y razonable en lo que respecta a la efectiva concurrencia del fin invocado, motivación que habrá de esperar hasta los posteriores Autos de 23 de julio y de 12 de septiembre de 1996.</w:t>
      </w:r>
    </w:p>
    <w:p w:rsidR="008107C7" w:rsidRDefault="008107C7" w:rsidP="008107C7">
      <w:pPr>
        <w:pStyle w:val="TextoNormal"/>
      </w:pPr>
      <w:r>
        <w:t xml:space="preserve">En el escueto razonamiento del Auto -parquedad que brilla en su comparación con el extenso recurso al que responde y con los posteriores Autos a los que acabamos de hacer referencia- se alude a las razones que llevaron al Juez instructor al decreto de la prisión y se </w:t>
      </w:r>
      <w:r>
        <w:lastRenderedPageBreak/>
        <w:t>menciona, amén del riesgo de fuga, la ya referida alarma social, la elevada penalidad solicitada y lo avanzado de la tramitación de la causa, tras la formulación del escrito de acusación, unida a la conveniencia de asegurar la próxima celebración del juicio oral.</w:t>
      </w:r>
    </w:p>
    <w:p w:rsidR="008107C7" w:rsidRDefault="008107C7" w:rsidP="008107C7">
      <w:pPr>
        <w:pStyle w:val="TextoNormal"/>
      </w:pPr>
      <w:r>
        <w:t>De estos motivos sólo los referentes a la penalidad y a lo avanzado de la tramitación podrían justificar realmente el riesgo de fuga, pues la incidencia de la alarma social en el mismo es ciertamente indirecta y lejana -en efecto, la alarma social no incrementa per se el riesgo de fuga, si bien, al magnificar el daño de una posible sustracción del imputado a la acción de la administración de justicia penal, engrandece el riesgo que para la frustración de ésta supondría la huida-. Sin embargo, ninguno de estos dos motivos resulta en este caso suficiente para justificar, desde la perspectiva del art. 17 C.E., la medida de privación de libertad habida cuenta de que cuando se dictan los Autos impugnados había transcurrido más de un año desde el ingreso en prisión.</w:t>
      </w:r>
    </w:p>
    <w:p w:rsidR="008107C7" w:rsidRDefault="008107C7" w:rsidP="008107C7">
      <w:pPr>
        <w:pStyle w:val="TextoNormal"/>
      </w:pPr>
      <w:r>
        <w:t>En efecto, respecto a la elevada penalidad solicitada, ya hemos dicho en la STC 128/1995 que "la relevancia de la gravedad del delito y de la pena para la evaluación de los riesgos de fuga -y con ello, de frustración de la acción de la Administración de la Justicia- resulta innegable tanto por el hecho de que, a mayor gravedad, más intensa cabe presumir la tentación de la huida, cuanto por el hecho de que a mayor gravedad de la acción cuya reiteración o cuya falta de enjuiciamiento se teme, mayor será el perjuicio que, en el caso de materializarse la fuga, sufrirían los fines perseguidos por la Justicia. Sin embargo, ese dato objetivo inicial y fundamental, no puede operar como único criterio -de aplicación objetiva y puramente mecánica- a tener en cuenta al ponderar el peligro de fuga, sino que debe ponerse en relación con otros datos relativos tanto a las características personales del inculpado -como el arraigo familiar, profesional y social, las conexiones en otros países, los medios económicos de los que dispone, etc.-, como a las que concurren en el caso enjuiciado (Sentencias del T.E.D.H. de 27 de junio de 1968, caso Neumeister; de 10 de noviembre de 1969, caso Matznetter; de 10 de noviembre de 1969, caso Stögmüller; de 26 de junio de 1991, caso Letellier; de 27 de agosto de 1992, caso Tomasi; de 26 de enero de 1993, caso W. contra Suiza)". La posibilidad de que se aduzca una distinta justificación de la medida de privación de libertad según el tiempo transcurrido ha sido la ratio decidendi en numerosas resoluciones de amparo entre las que cabe citar la reciente STC 44/1997.</w:t>
      </w:r>
    </w:p>
    <w:p w:rsidR="008107C7" w:rsidRDefault="008107C7" w:rsidP="008107C7">
      <w:pPr>
        <w:pStyle w:val="TextoNormal"/>
      </w:pPr>
      <w:r>
        <w:t>Pues bien, en los Autos enjuiciados se omite toda referencia a estas circunstancias y se alude únicamente a la gravedad del delito y a la penalidad solicitada, a diferencia de los ulteriores Autos de 23 de julio y 12 de septiembre de 1996 en los que se hace referencia a circunstancias personales como la falta de arraigo personal, familiar y profesional en Gran Canaria del recurrente, así como a la posibilidad de que disponga de cuantiosos recursos, lo que le facilitaría una cómoda vida en el extranjero.</w:t>
      </w:r>
    </w:p>
    <w:p w:rsidR="008107C7" w:rsidRDefault="008107C7" w:rsidP="008107C7">
      <w:pPr>
        <w:pStyle w:val="TextoNormal"/>
      </w:pPr>
      <w:r>
        <w:t xml:space="preserve">Tampoco la referencia a lo avanzado de la tramitación de la causa tras la acusación y la conveniencia de asegurar la celebración del próximo juicio oral resultan suficientes. Que la tramitación se halle avanzada y la vista próxima es en sí mismo considerado un dato ambivalente a los efectos de nuestro enjuiciamiento: es cierto que el paso del tiempo, con el avance de la instrucción y la perfilación de la imputación, puede ir dotando de solidez a ésta, lo que podría a su vez incrementar la probabilidad de una efectiva condena y, con ello, el riesgo de fuga. Sin embargo, no es menos cierto que en otras circunstancias el transcurso del tiempo puede producir efectos contrarios a los que acabamos de indicar, no sólo porque el devenir del procedimiento puede debilitar los indicios que apuntan a la culpabilidad del acusado, sino también porque, como se razonó en la STC 128/1995 con amplia cita de Sentencias del Tribunal Europeo de Derechos Humanos, el argumento del peligro de fuga "se debilita por el propio paso del tiempo y la consiguiente disminución de las consecuencias </w:t>
      </w:r>
      <w:r>
        <w:lastRenderedPageBreak/>
        <w:t>punitivas que puede sufrir el preso (Sentencias del T.E.D.H. de 27 de junio de 1968, caso Wemhoff; de 27 de junio de 1968, caso Neumeister; de 10 de noviembre de 1969, caso Matznetter)" [fundamento jurídico 4º b)]. Esta ambivalencia es precisamente la que obliga a que, cuando se alude a lo avanzado de la tramitación y al aseguramiento de la celebración del juicio oral -dato puramente objetivo-, se concreten las circunstancias específicas derivadas de la tramitación que en cada caso abonan o no la hipótesis de que, en el supuesto enjuiciado, el transcurso del tiempo puede llevar a la fuga del imputado. La simple referencia a lo avanzado de la tramitación carece como tal de fuerza argumentativa para afirmar la posibilidad de que el imputado huya.</w:t>
      </w:r>
    </w:p>
    <w:p w:rsidR="008107C7" w:rsidRDefault="008107C7" w:rsidP="008107C7">
      <w:pPr>
        <w:pStyle w:val="TextoNormal"/>
      </w:pPr>
      <w:r>
        <w:t>Tampoco la simple alusión a que ya se ha formulado la acusación constituye un argumento suficiente para cimentar un efectivo riesgo de fuga que justifique la privación provisional de libertad. Como recordábamos en el punto b) del fundamento jurídico 4º, sólo la consolidación de la imputación mediante Sentencia condenatoria no firme unida a la gravedad de su contenido podría justificar la continuación de una prisión provisional ya prolongada con independencia de cualquier otra circunstancia de tipo subjetivo o más concreto de índole objetiva. La extensión de este planteamiento a los supuestos en los que simplemente se ha exteriorizado y formalizado la acusación desconocería el fuerte potencial argumentativo pro libertate subyacente en este tipo de supuestos de prisiones prolongadas con instrucciones avanzadas y traicionaría el carácter excepcional y particularizado, ajeno a cualquier tipo de automatismo, que debe ostentar la decisión de prisión provisional.</w:t>
      </w:r>
    </w:p>
    <w:p w:rsidR="008107C7" w:rsidRDefault="008107C7" w:rsidP="008107C7">
      <w:pPr>
        <w:pStyle w:val="TextoNormal"/>
      </w:pPr>
      <w:r>
        <w:t>En esta situación, pues, no es que la referida argumentación de la Audiencia se revele ilógica o arbitraria, sino que resulta insuficiente para sostener una medida que por su gravedad y por la condición de inocente de su destinatario debe ser sólo utilizada excepcional, subsidiaria, provisional y proporcionadamente. No se trataba, pues, de mostrar que la posibilidad de fuga del imputado -y, con ello, la medida de prisión- "no era descabellada", sino, acaso al contrario, de enervar con un razonamiento explicitado y objetiva y subjetivamente particularizado la fuerte presunción a favor de su libertad. De ahí que, en suma, al igual que sucedía en el supuesto que dio lugar a la STC 128/1995, el mantenimiento de la prisión provisional sin ulteriores matices y la soledad argumentativa de la motivación relativa a la gravedad de la pena, siquiera formalmente solicitada, conviertan a los Autos recurridos en expresión larvada de un automatismo en el decreto de la prisión provisional abiertamente contrario a los principios ya indicados que deben presidir la institución. Procede en consecuencia, el otorgamiento del amparo en este punto.</w:t>
      </w:r>
    </w:p>
    <w:p w:rsidR="008107C7" w:rsidRDefault="008107C7" w:rsidP="008107C7">
      <w:pPr>
        <w:pStyle w:val="TextoNormal"/>
      </w:pPr>
    </w:p>
    <w:p w:rsidR="008107C7" w:rsidRDefault="008107C7" w:rsidP="008107C7">
      <w:pPr>
        <w:pStyle w:val="TextoNormal"/>
      </w:pPr>
      <w:r w:rsidRPr="008107C7">
        <w:rPr>
          <w:rStyle w:val="NumeroAFNegritaCaracter"/>
        </w:rPr>
        <w:t>7</w:t>
      </w:r>
      <w:r>
        <w:t>. De acuerdo con lo afirmado en el primer fundamento, debemos en este último precisar el alcance del amparo otorgado, que debe comprender la declaración de la vulneración del derecho a la libertad del recurrente y la anulación de los Autos impugnados.</w:t>
      </w:r>
    </w:p>
    <w:p w:rsidR="008107C7" w:rsidRDefault="008107C7" w:rsidP="008107C7">
      <w:pPr>
        <w:pStyle w:val="TextoNormal"/>
      </w:pPr>
      <w:r>
        <w:t xml:space="preserve">Con todo, esta anulación no imposibilita el dictado de nuevas resoluciones relativas a la situación personal del acusado, ni arrastra necesariamente la de otras que se han dictado al respecto posteriormente, atendiendo a nuevas circunstancias, aunque formalmente éstas últimas se autocalifiquen como de prórroga de la medida adoptada por los Autos anulados.  En efecto, la anulación de los Autos impugnados se produce por insuficiencias en su motivación, no porque este Tribunal aprecie que no concurran los presupuestos para adoptar esta medida, ya que esta es una cuestión en la que, en principio, nos está vedado entrar. Por el contrario, los Autos posteriores de 23 de julio y 22 de septiembre de 1996, aportados a este proceso por el recurrente para solicitar su suspensión, ponen de manifiesto, a través de su motivación, que respecto a un momento posterior y en atención a circunstancias específicas concurrentes se han exteriorizado suficientemente los presupuestos constitucionalmente </w:t>
      </w:r>
      <w:r>
        <w:lastRenderedPageBreak/>
        <w:t>exigidos para decretar la prisión provisional y, por tanto, pueden constituir títulos legítimos para mantener esta medida de privación de libertad.</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Estimar el presente recurso de amparo y, en consecuencia:</w:t>
      </w:r>
    </w:p>
    <w:p w:rsidR="008107C7" w:rsidRDefault="008107C7" w:rsidP="008107C7">
      <w:pPr>
        <w:pStyle w:val="TextoNormal"/>
      </w:pPr>
      <w:r>
        <w:t>1º. Declarar que el Auto del Juzgado de Instrucción núm. 6 de Las Palmas, de 27 de noviembre de 1995, y el Auto de la Sección Tercera de la Audiencia Provincial de Las Palmas 11/96, de 29 de enero, han vulnerado el derecho a la libertad del recurrente.</w:t>
      </w:r>
    </w:p>
    <w:p w:rsidR="008107C7" w:rsidRDefault="008107C7" w:rsidP="008107C7">
      <w:pPr>
        <w:pStyle w:val="TextoNormal"/>
      </w:pPr>
      <w:r>
        <w:t>2º. Anular los Autos mencionados y los anteriores que decretaban o confirmaban la prisión provisional del recurrente (Autos del Juzgado de Instrucción núm. 6 de Las Palmas, de 3 de septiembre y de 18 de octubre de 1995, y de la Sección Tercera de la Audiencia Provincial de Las Palmas, de 12 de diciembre de 1994), con los efectos expuestos en el fundamento jurídico 7º.</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siete de abril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70" w:name="SENTENCIA_1997_67"/>
      <w:r>
        <w:lastRenderedPageBreak/>
        <w:t>SENTENCIA 67/1997, de 7 de abril de 1997</w:t>
      </w:r>
    </w:p>
    <w:bookmarkEnd w:id="70"/>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114, de 13 de mayo de 1997)</w:t>
      </w:r>
    </w:p>
    <w:p w:rsidR="008107C7" w:rsidRDefault="008107C7" w:rsidP="008107C7">
      <w:pPr>
        <w:pStyle w:val="TtuloBOE"/>
      </w:pPr>
    </w:p>
    <w:p w:rsidR="008107C7" w:rsidRDefault="008107C7" w:rsidP="008107C7">
      <w:pPr>
        <w:pStyle w:val="SntesisDescriptiva"/>
      </w:pPr>
      <w:r>
        <w:t>ECLI:ES:TC:1997:67</w:t>
      </w:r>
    </w:p>
    <w:p w:rsidR="008107C7" w:rsidRDefault="008107C7" w:rsidP="008107C7">
      <w:pPr>
        <w:pStyle w:val="SntesisDescriptiva"/>
      </w:pPr>
    </w:p>
    <w:p w:rsidR="008107C7" w:rsidRDefault="008107C7" w:rsidP="008107C7">
      <w:pPr>
        <w:pStyle w:val="SntesisDescriptiva"/>
      </w:pPr>
      <w:r>
        <w:t>Recurso de amparo 2.012/1996. Contra Autos de la Audiencia Provincial de Alicante por los que se acordó mantener la situación de prisión provisional del demandante acordada en el sumario que tramita el Juzgado de Instrucción núm. 2 de San Vicente de Raspeig.</w:t>
      </w:r>
    </w:p>
    <w:p w:rsidR="008107C7" w:rsidRDefault="008107C7" w:rsidP="008107C7">
      <w:pPr>
        <w:pStyle w:val="SntesisDescriptiva"/>
      </w:pPr>
    </w:p>
    <w:p w:rsidR="008107C7" w:rsidRDefault="008107C7" w:rsidP="008107C7">
      <w:pPr>
        <w:pStyle w:val="SntesisAnaltica"/>
      </w:pPr>
      <w:r>
        <w:t>Vulneración del derecho a la libertad: motivación insuficiente de la privación de libertad.</w:t>
      </w:r>
    </w:p>
    <w:p w:rsidR="008107C7" w:rsidRDefault="008107C7" w:rsidP="008107C7">
      <w:pPr>
        <w:pStyle w:val="SntesisAnaltica"/>
      </w:pPr>
    </w:p>
    <w:p w:rsidR="008107C7" w:rsidRDefault="008107C7" w:rsidP="008107C7">
      <w:pPr>
        <w:pStyle w:val="Extracto"/>
      </w:pPr>
      <w:r>
        <w:t>1.</w:t>
      </w:r>
      <w:r>
        <w:tab/>
        <w:t>Al analizar el contenido del art. 17 de la C.E., en relación con la prisión provisional, hemos destacado la inexcusabilidad de concebirla «tanto en su adopción como en su mantenimiento, como una medida estrictamente necesaria, de aplicación subsidiaria, provisional y proporcionada a los fines que, constitucionalmente la justifican y delimitan. Se trata de una medida justificada, en esencia, por la necesidad de asegurar el proceso y ese fundamento justificativo traza la línea de demarcación con otro tipo de privaciones de libertad y condiciona, a la vez, su régimen jurídico» (STC 128/1995). [F.J. 2]</w:t>
      </w:r>
    </w:p>
    <w:p w:rsidR="008107C7" w:rsidRDefault="008107C7" w:rsidP="008107C7">
      <w:pPr>
        <w:pStyle w:val="Extracto"/>
      </w:pPr>
    </w:p>
    <w:p w:rsidR="008107C7" w:rsidRDefault="008107C7" w:rsidP="008107C7">
      <w:pPr>
        <w:pStyle w:val="Extracto"/>
      </w:pPr>
      <w:r>
        <w:t>2.</w:t>
      </w:r>
      <w:r>
        <w:tab/>
        <w:t>Como reiteradamente hemos destacado, la adopción de tan drástica medida, además de partir de la existencia de indicios racionales de la comisión de una acción delictiva, haya de perseguir algún fin constitucionalmente legítimo, que responda a la necesidad de conjurar ciertos riesgos relevantes para el proceso ( peligro de fuga, obstrucción de la investigación, reincidencia, etc.). Por consiguiente, la motivación ha de reflejar no sólo la concurrencia de indicios racionales de criminalidad, sino también la existencia de alguno de esos fines justificativos que puede inferirse a través de los datos obrantes en la causa. De ahí que, con referencia al riesgo de fuga y a la evitación de la desaparición de pruebas, hemos distinguido entre el momento inicial (en el que ante la carencia de información acerca de las circunstancias personales del imputado, la gravedad de la pena podría ser suficiente para afirmar tales riesgos y, en consecuencia, decretar la prisión) y la situación posterior (en la que el transcurso del tiempo suficiente para obtener los datos personales del caso y del imputado, no permite ya operar en términos objetivos o genéricos sino que obliga necesariamente a efectuar una ponderación concreta) (STC 128/1995). [F.J. 2]</w:t>
      </w:r>
    </w:p>
    <w:p w:rsidR="008107C7" w:rsidRDefault="008107C7" w:rsidP="008107C7">
      <w:pPr>
        <w:pStyle w:val="Extracto"/>
      </w:pPr>
    </w:p>
    <w:p w:rsidR="008107C7" w:rsidRDefault="008107C7" w:rsidP="008107C7">
      <w:pPr>
        <w:pStyle w:val="Extracto"/>
      </w:pPr>
      <w:r>
        <w:t>3.</w:t>
      </w:r>
      <w:r>
        <w:tab/>
        <w:t xml:space="preserve">Como dijimos en la Sentencia antes citada, «no corresponde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Por consiguiente, sólo a través de la motivación de las resoluciones que la acuerdan puede este Tribunal controlar la legitimidad constitucional de su uso y el cumplimiento de dichos requisitos. Nuestra tarea se ciñe, pues, a constatar si la que las resoluciones judiciales exponen es suficientemente (por referirse a todos los extremos que autorizan </w:t>
      </w:r>
      <w:r>
        <w:lastRenderedPageBreak/>
        <w:t>y justifican la medida), razonada (por expresar el proceso lógico que individualiza la aplicación de la ley al caso concreto) y proporcionada (esto es, si ha ponderado los derechos e intereses en conflicto del modo menos gravoso para la libertad). [F.J. 2]</w:t>
      </w:r>
    </w:p>
    <w:p w:rsidR="008107C7" w:rsidRDefault="008107C7" w:rsidP="008107C7">
      <w:pPr>
        <w:pStyle w:val="Extracto"/>
      </w:pPr>
    </w:p>
    <w:p w:rsidR="008107C7" w:rsidRDefault="008107C7" w:rsidP="008107C7">
      <w:pPr>
        <w:pStyle w:val="Extracto"/>
      </w:pPr>
      <w:r>
        <w:t>4.</w:t>
      </w:r>
      <w:r>
        <w:tab/>
        <w:t>Las resoluciones impugnadas no se hallan suficientemente motivadas ni razonadas, pues no contienen referencia alguna a los fines que concretamente legitiman la limitación de la libertad personal que se acuerda ni expresan el juicio de ponderación que justifica la adopción de medida tan gravosa ni valoran las circunstancias particulares del caso y del imputado. La insuficiencia de la motivación aludida adquiere aquí un especial relieve, pues no nos encontramos en el momento inicial del proceso. En efecto, el demandante de amparo fue detenido el 7 de abril de 1995 por lo que, cuando se dictó la primera de las resoluciones impugnadas llevaba casi un año en situación de privación de libertad. Por lo que ha de concluirse que se ha vulnerado el derecho del recurrente a la libertad personal (art. 17.1 C.E.) y, en consecuencia, procede estimar la pretensión de amparo. [F.J. 3]</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 Regueral, don Julio Diego González Campos, don Rafael de Mendizábal y Allende,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2.012/96 promovido por don Jose Angel Tomás Cerdán, representado por el Procurador de los Tribunales don Francisco Javier Rodríguez Tadey y asistido del Letrado don Enrique Javier Botella Soria, contra los Autos de la Sección Primera de la Audiencia Provincial de Alicante, de 28 de marzo y 19 de abril de 1996, por los que se acordó mantener la situación de prisión provisional del demandante acordada en el sumario núm. 2/95 que tramita el Juzgado de Instrucción núm. 2 de San Vicente del Raspeig. Ha sido parte el Ministerio Fiscal, siendo Ponente el Magistrado don Tomás S. Vives Antón,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Mediante escrito que tuvo entrada en este Tribunal el día 17 de mayo de 1996, don José Angel Tomás Cerdán, representado por el Procurador de los Tribunales don Francisco Javier Rodríguez Tadey y asistido del Letrado don Enrique Javier Botella Soria presentó demanda de amparo contra los Autos de la Sección Primera de la Audiencia Provincial de </w:t>
      </w:r>
      <w:r>
        <w:lastRenderedPageBreak/>
        <w:t>Alicante, de 28 de marzo y 19 de abril de 1996, por los que se acordó mantener la situación de prisión provisional del demandante acordada en el sumario núm. 2/95.</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hechos relevantes, tal como se desprenden de la demanda y documentos que la acompañan así como de las actuaciones reclamadas son los siguientes: </w:t>
      </w:r>
    </w:p>
    <w:p w:rsidR="008107C7" w:rsidRDefault="008107C7" w:rsidP="008107C7">
      <w:pPr>
        <w:pStyle w:val="TextoNormal"/>
      </w:pPr>
      <w:r>
        <w:t xml:space="preserve">a) El demandante fue detenido el pasado 7 de septiembre de 1995, junto a otras tres personas, en el marco de la investigación policial de un delito contra la salud pública por tráfico de drogas. El Juzgado de Instrucción núm. 2 de San Vicente del Raspeig elevó la detención a prisión provisional, y procesó posteriormente -el 4 de octubre de 1995- a los cuatro imputados como presuntos autores de un delito de los previstos en el art. 344 del Código Penal, en su redacción anterior a la hoy vigente, por tráfico de drogas que causan grave daño a la salud (713 kg. de cocaína), manteniendo la prisión provisional incondicional para todos los procesados. Recurrido en reforma y apelación el auto de procesamiento y solicitada la libertad provisional de los procesados, la Sección Primera de la Audiencia Provincial de Alicante, ratificó los procesamientos pero acordó la libertad provisional bajo fianza de tres millones de pesetas de uno de los procesados. Recurrida en súplica esta decisión, la Audiencia Provincial acordó la libertad bajo fianza de cinco y veinte millones de pesetas de dos de los tres procesados que restaban en prisión provisional. </w:t>
      </w:r>
    </w:p>
    <w:p w:rsidR="008107C7" w:rsidRDefault="008107C7" w:rsidP="008107C7">
      <w:pPr>
        <w:pStyle w:val="TextoNormal"/>
      </w:pPr>
      <w:r>
        <w:t xml:space="preserve">b) El 20 de marzo de 1996 la representación procesal del demandante de amparo solicitó de nuevo su libertad provisional, que fue denegada por Auto de 28 de marzo de 1996, en el que, en relación con esta petición se contenía la siguiente fundamentación: "Y respecto a la libertad provisional solicitada por la defensa de José Angel Tomás Cerdán, no ha lugar a la misma". Tal decisión fue recurrida en súplica alegando que la misma vulneraba los arts. 14, 17 y 24 de la C.E., al entender que se estaba dando un trato desigual a su representado en relación con el resto de procesados cuya libertad provisional bajo fianza había sido decretada, que el Auto recurrido carecía totalmente de fundamentación y que la medida de prisión provisional se estaba alargando injustificadamente sin respetar su carácter limitado y excepcional. </w:t>
      </w:r>
    </w:p>
    <w:p w:rsidR="008107C7" w:rsidRDefault="008107C7" w:rsidP="008107C7">
      <w:pPr>
        <w:pStyle w:val="TextoNormal"/>
      </w:pPr>
      <w:r>
        <w:t>c) La Sección Primera de la Audiencia Provincial de Alicante desestimó el recurso de súplica mediante Auto de fecha 19 de abril de 1996, que fundamentó el mantenimiento del procesado en situación de prisión provisional con los siguientes argumentos que se transcriben literalmente: "La prisión provisional es una medida cautelar de carácter personal, en virtud de la cual se priva a una determinada persona de su libertad individual a fin de asegurar su presencia en el acto del juicio oral y garantizar el cumplimiento de la posible condena que pudiera ser impuesta, estableciendo el art. 503,2º de la Ley de Enjuiciamiento Criminal que el Juez podrá acordar la prisión provisional cuando el delito imputado tenga señalada pena superior a la de prisión menor, previniendo el art. 504 que procederá también la prisión provisional en todos aquellos supuestos en que se pueda creer fundadamente que el procesado tratará de sustraerse a la acción de la Justicia. En el presente supuesto y de lo actuado se desprende indicios de participación del procesado en los hechos, prima facie y sin prejuzgar el enjuiciamiento sobre el particular que corresponde a una fase más avanzada de las actuaciones, como es la del juicio oral, por haber alquilado las naves en que la droga fue aprehendida y efectuando operaciones de traslado de la misma"</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A juicio del recurrente, las resoluciones judiciales impugnadas han vulnerado los arts. 14, 17 y 24 de la C.E. por las siguientes razones que se recogen en la demanda: </w:t>
      </w:r>
    </w:p>
    <w:p w:rsidR="008107C7" w:rsidRDefault="008107C7" w:rsidP="008107C7">
      <w:pPr>
        <w:pStyle w:val="TextoNormal"/>
      </w:pPr>
      <w:r>
        <w:t xml:space="preserve">a) Se denuncia la violación del art. 14 C.E. al entender el demandante que se están tratando supuestos iguales de forma desigual, en la medida en que el resto de los procesados </w:t>
      </w:r>
      <w:r>
        <w:lastRenderedPageBreak/>
        <w:t xml:space="preserve">han obtenido la libertad bajo fianza. Se afirma que los indicios y el grado de participación de todos los procesados es el mismo sin que la Audiencia haya justificado la desigualdad de trato en perjuicio de su derecho a la libertad. Insiste en que las circunstancias del hecho imputado son iguales para todos los procesados y por tanto debe recibir el mismo trato en la aplicación de la Ley. </w:t>
      </w:r>
    </w:p>
    <w:p w:rsidR="008107C7" w:rsidRDefault="008107C7" w:rsidP="008107C7">
      <w:pPr>
        <w:pStyle w:val="TextoNormal"/>
      </w:pPr>
      <w:r>
        <w:t xml:space="preserve">b) Se considera vulnerado el derecho a la tutela judicial efectiva por falta de motivación de las resoluciones que acuerdan su prisión provisional, las cuales provocan que el demandante desconozca los motivos por los que se encuentra sometido a esta medida cautelar. Destaca que el Auto de 19 de abril de 1996 fundamenta la privación de libertad en la existencia de indicios racionales de criminalidad, los cuales son suficientes para decretar el procesamiento pero no la prisión provisional. </w:t>
      </w:r>
    </w:p>
    <w:p w:rsidR="008107C7" w:rsidRDefault="008107C7" w:rsidP="008107C7">
      <w:pPr>
        <w:pStyle w:val="TextoNormal"/>
      </w:pPr>
      <w:r>
        <w:t xml:space="preserve">c) Por último considera violado su derecho a la libertad personal por resultar arbitraria la privación de la misma que ha sido acordada por no fundamentarse en ningún motivo. En apoyo de tales tesis hace mención expresa de la doctrina sentada por este Tribunal en las SSTC 128/1995 y 37/1996. </w:t>
      </w:r>
    </w:p>
    <w:p w:rsidR="008107C7" w:rsidRDefault="008107C7" w:rsidP="008107C7">
      <w:pPr>
        <w:pStyle w:val="TextoNormal"/>
      </w:pPr>
      <w:r>
        <w:t>Concluye la demanda con la solicitud de que, otorgando el amparo, sea dictada Sentencia que anule los Autos recurridos por haberse vulnerado el derecho constitucional a la igualdad, la libertad personal, la tutela judicial efectiva, la presunción de inocencia, el derecho de defensa y aun proceso con todas las garantías, y ordene que se le reponga en sus derechos, esto es que sea puesto en libertad. Por otrosí, solicitó la suspensión de la ejecución de las resoluciones impugnadas.</w:t>
      </w:r>
    </w:p>
    <w:p w:rsidR="008107C7" w:rsidRDefault="008107C7" w:rsidP="008107C7">
      <w:pPr>
        <w:pStyle w:val="TextoNormal"/>
      </w:pPr>
    </w:p>
    <w:p w:rsidR="008107C7" w:rsidRDefault="008107C7" w:rsidP="008107C7">
      <w:pPr>
        <w:pStyle w:val="TextoNormal"/>
      </w:pPr>
      <w:r w:rsidRPr="008107C7">
        <w:rPr>
          <w:rStyle w:val="NumeroAFNegritaCaracter"/>
        </w:rPr>
        <w:t>4</w:t>
      </w:r>
      <w:r>
        <w:t>. Por providencia de 21 de octubre de 1996, la Sección Tercera (Sala Segunda) de este Tribunal acordó admitir a trámite la demanda de amparo y solicitar de los órganos jurisdiccionales certificación de las actuaciones correspondientes a la pieza de situación personal del recurrente, debiendo previamente emplazarse a quienes hubieron sido parte en el procedimiento para que pudieran comparecer en el recurso de amparo y defender sus derechos. Por providencia de la misma fecha se acordó formar la oportuna pieza separada de suspensión, resuelta mediante Auto de fecha 11 de noviembre de 1996 en el que se acordó no acceder a la suspensión interesada.</w:t>
      </w:r>
    </w:p>
    <w:p w:rsidR="008107C7" w:rsidRDefault="008107C7" w:rsidP="008107C7">
      <w:pPr>
        <w:pStyle w:val="TextoNormal"/>
      </w:pPr>
    </w:p>
    <w:p w:rsidR="008107C7" w:rsidRDefault="008107C7" w:rsidP="008107C7">
      <w:pPr>
        <w:pStyle w:val="TextoNormal"/>
      </w:pPr>
      <w:r w:rsidRPr="008107C7">
        <w:rPr>
          <w:rStyle w:val="NumeroAFNegritaCaracter"/>
        </w:rPr>
        <w:t>5</w:t>
      </w:r>
      <w:r>
        <w:t>. Por providencia de 21 de noviembre de 1996, la Sección Cuarta (Sala Segunda) acordó dar vista de las actuaciones remitidas a las partes personadas y al Ministerio Fiscal por plazo común de veinte días, para que presentaran las alegaciones que estimasen pertinentes, conforme determina el art. 52.1 de la LOTC.</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El Fiscal ante el Tribunal Constitucional formula sus alegaciones en escrito registrado el 19 de diciembre de 1996, y en él solicita que se dicte Sentencia que desestime el recurso interpuesto al entender que no se han producido las vulneraciones de derechos fundamentales denunciadas. Señala al respecto, y en resumen, que en relación con la alegada quiebra del principio de igualdad debe recordarse el carácter personalísimo de la responsabilidad criminal que dificulta la generalización de los criterios por los que cabe decretar la libertad provisional. Por ello entiende inadecuado el término de comparación que se presenta al ser distintas las circunstancias personales de cada uno de los implicados en los hechos. Rechaza también la vulneración del art. 24.1 C.E. reconduciendo las alegaciones de falta de motivación suficiente a la alegada vulneración del art. 17 C.E. y recuerda que los defectos de motivación en la adopción de resoluciones limitativas de derechos fundamentales afectan a </w:t>
      </w:r>
      <w:r>
        <w:lastRenderedPageBreak/>
        <w:t xml:space="preserve">éstos mismos, por lo que considera que tal alegación debe ser analizada junto a la referida al art. 17 C.E. </w:t>
      </w:r>
    </w:p>
    <w:p w:rsidR="008107C7" w:rsidRDefault="008107C7" w:rsidP="008107C7">
      <w:pPr>
        <w:pStyle w:val="TextoNormal"/>
      </w:pPr>
      <w:r>
        <w:t xml:space="preserve">En tal ámbito, y en relación con la denunciada ausencia de motivación de las resoluciones impugnadas, destaca que "el análisis de la resolución impugnada nos ofrece una motivación que podría tildarse de escasa o lacónica, pero que en cierta forma viene a justificar los motivos por los que la Sala entiende que debe de mantenerse la privación de libertad. Es cierto que no hay una profusa exposición de motivos, pero por lo menos sí se alega la existencia de unos indicios de participación del procesado en los hechos, que se entienden bastantes para mantener la situación de prisión". Concluye por ello que no puede hablarse de carencia de motivación. Al analizar si dicha motivación se encuentra en alguno de los fines o causas a los que se refiere el art. 17.1 C.E. concluye afirmativamente al constatar que en las resoluciones impugnadas se pone de manifiesto la existencia de razonables sospechas de la comisión del delito que se imputa al destinatario de la medida, y que con ello se persiguen fines constitucionalmente legítimos y congruentes con la naturaleza de la medida, y así, la gravedad del delito que se imputa y el tiempo transcurrido desde la privación de libertad justifican el mantenimiento de la medida. </w:t>
      </w:r>
    </w:p>
    <w:p w:rsidR="008107C7" w:rsidRDefault="008107C7" w:rsidP="008107C7">
      <w:pPr>
        <w:pStyle w:val="TextoNormal"/>
      </w:pPr>
      <w:r>
        <w:t>Por lo expuesto, solicita del Tribunal Constitucional que dicte Sentencia, de conformidad con lo que previene el art. 53 b) de la LOTC y concordantes, denegando el amparo pretendido.</w:t>
      </w:r>
    </w:p>
    <w:p w:rsidR="008107C7" w:rsidRDefault="008107C7" w:rsidP="008107C7">
      <w:pPr>
        <w:pStyle w:val="TextoNormal"/>
      </w:pPr>
    </w:p>
    <w:p w:rsidR="008107C7" w:rsidRDefault="008107C7" w:rsidP="008107C7">
      <w:pPr>
        <w:pStyle w:val="TextoNormal"/>
      </w:pPr>
      <w:r w:rsidRPr="008107C7">
        <w:rPr>
          <w:rStyle w:val="NumeroAFNegritaCaracter"/>
        </w:rPr>
        <w:t>7</w:t>
      </w:r>
      <w:r>
        <w:t>. Por escrito, registrado el 5 de diciembre de 1996, el demandante solicita que se tengan por reproducidas las alegaciones contenidas en el escrito de interposición del recurso de amparo que reitera resumidamente, puntualizando únicamente que, en relación con la alegada vulneración del principio de igualdad, el órgano judicial cuyas resoluciones se entienden discriminatorias es el mismo, los sujetos que se ofrecen como término de comparación aparecen procesados en la misma causa con el mismo grado de participación, sobre los mismos pesan los mismos indicios racionales de criminalidad sobre idéntico mismo tipo delictivo, y en ningún caso las resoluciones citadas han valorado circunstancias subjetivas de los procesados, y de hacerlo, en alguno de ellos, dada su nacionalidad, se dan algunas circunstancias que no concurren en el demandante. Añade que ninguna de las resoluciones judiciales dictadas a lo largo del proceso justifican el distinto trato dado a unos procesados en relación con los otros en lo que se refiere a la necesidad de su privación cautelar de libertad.</w:t>
      </w:r>
    </w:p>
    <w:p w:rsidR="008107C7" w:rsidRDefault="008107C7" w:rsidP="008107C7">
      <w:pPr>
        <w:pStyle w:val="TextoNormal"/>
      </w:pPr>
    </w:p>
    <w:p w:rsidR="008107C7" w:rsidRDefault="008107C7" w:rsidP="008107C7">
      <w:pPr>
        <w:pStyle w:val="TextoNormal"/>
      </w:pPr>
      <w:r w:rsidRPr="008107C7">
        <w:rPr>
          <w:rStyle w:val="NumeroAFNegritaCaracter"/>
        </w:rPr>
        <w:t>8</w:t>
      </w:r>
      <w:r>
        <w:t>. Por providencia de 3 de abril de 1997, se acordó señalar el día siete del mismo mes y año para la deliberación y votación de la presente Sentencia.</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El demandante de amparo considera que los Autos de 28 de marzo y 19 de abril de 1996, dictados por la Sección Primera de la Audiencia Provincial de Alicante, por los que, respectivamente, desestimó su petición de libertad provisional y el recurso de súplica subsiguiente, vulneran el principio de igualdad en la aplicación de la ley al tratarle de forma discriminatoria en comparación con el resto de los procesados en la misma causa, y también estima que lesionan su derecho a la libertad personal y a obtener la tutela judicial efectiva por carecer de motivación que justifique la medida cautelar adoptada.</w:t>
      </w:r>
    </w:p>
    <w:p w:rsidR="008107C7" w:rsidRDefault="008107C7" w:rsidP="008107C7">
      <w:pPr>
        <w:pStyle w:val="TextoNormal"/>
      </w:pPr>
      <w:r>
        <w:t xml:space="preserve">El Sr. Tomás Cerdán se encuentra en situación de prisión provisional desde el 8 de septiembre de 1995, tras ser detenido, junto con otras tres personas, como presunto autor de un </w:t>
      </w:r>
      <w:r>
        <w:lastRenderedPageBreak/>
        <w:t>delito contra la salud pública por tráfico de droga que causa grave daño a la salud (cocaína) en cantidad superior a los 700 kilogramos. En el sumario que al efecto se instruye se acordó el pasado 4 de octubre de 1995 su procesamiento y el de los otros tres imputados, ratificando entonces su situación de prisión provisional.  Desde entonces sus sucesivas peticiones de libertad han sido desestimadas (la primera de ellas, de 12 de enero de 1996, lo fue en Auto de 6 de febrero del mismo año) mientras que los otros tres procesados han obtenido la libertad provisional bajo fianza de tres, cinco y veinte millones de pesetas. La petición de libertad que aquí se analiza fue formulada ante la Audiencia provincial el 20 de marzo de 1996, mientras se tramitaba el recurso de apelación planteado contra el Auto de procesamiento, el cual fue rechazado.</w:t>
      </w:r>
    </w:p>
    <w:p w:rsidR="008107C7" w:rsidRDefault="008107C7" w:rsidP="008107C7">
      <w:pPr>
        <w:pStyle w:val="TextoNormal"/>
      </w:pPr>
      <w:r>
        <w:t>Con posterioridad a la presentación de la demanda de amparo, tal y como aparece en el testimonio de actuaciones que ha sido remitido, el demandante ha pedido de nuevo la libertad provisional por escrito de 4 de julio de 1996. La petición ha sido también desestimada (Auto de 15 de julio de 1996), decisión ratificada en reforma y apelación (Autos de 9 de agosto y 5 de noviembre de 1996).  En relación con estos últimos pronunciamientos sobre la situación personal del procesado, parece oportuno precisar que el objeto de este proceso de amparo se extiende únicamente, tal y como lo delimita formalmente la demanda, al incidente que sobre su situación procesal se resolvió con las resoluciones impugnadas. Ni las anteriores a éstas, que en el inicio del proceso acordaron y ratificaron su privación de libertad, ni las posteriores a la demanda pueden aquí ser analizadas puesto que en ellas han podido tenerse en cuenta cuestiones distintas dado el avance de la investigación, las nuevas circunstancias del caso o de la persona del imputado que se hayan conocido y la influencia que el mero transcurso del tiempo tiene en el enjuiciamiento de las decisiones acerca de la prisión provisional (factor éste que fue expresamente destacado en las SSTC 128/1995, 37/1996 y 62/1996).</w:t>
      </w:r>
    </w:p>
    <w:p w:rsidR="008107C7" w:rsidRDefault="008107C7" w:rsidP="008107C7">
      <w:pPr>
        <w:pStyle w:val="TextoNormal"/>
      </w:pPr>
    </w:p>
    <w:p w:rsidR="008107C7" w:rsidRDefault="008107C7" w:rsidP="008107C7">
      <w:pPr>
        <w:pStyle w:val="TextoNormal"/>
      </w:pPr>
      <w:r w:rsidRPr="008107C7">
        <w:rPr>
          <w:rStyle w:val="NumeroAFNegritaCaracter"/>
        </w:rPr>
        <w:t>2</w:t>
      </w:r>
      <w:r>
        <w:t>. Una vez más la cuestión esencial planteada se refiere a la falta de motivación adecuada de una medida restrictiva de derechos fundamentales (en concreto de la libertad personal) acordada durante la investigación de un hecho delictivo. Dada su manifiesta falta de fundamentación, así como el hecho de no haber sido invocados en la vía judicial precedente, deben descartarse las alegaciones referidas a los derechos a la presunción de inocencia, a la defensa y a un proceso con todas las garantías, pues además, tal y como han sido planteadas, se reconducen a la eventual lesión del art. 17 C.E. Por esta última razón ha de desecharse también la alegada vulneración del derecho a la tutela judicial efectiva ya que, cuando de resoluciones limitativas de derechos fundamentales se trata, la falta de motivación de las mismas infringe, ya, por esta sola causa, los derechos fundamentales afectados (SSTC 26/1981, 8/1990, 12/1994, 50/1995 y 170/1996, entre otras). Sólo desde esta perspectiva, la del contenido constitucional del derecho fundamental afectado, puede adquirir relevancia la queja acerca de la motivación de las resoluciones impugnadas.</w:t>
      </w:r>
    </w:p>
    <w:p w:rsidR="008107C7" w:rsidRDefault="008107C7" w:rsidP="008107C7">
      <w:pPr>
        <w:pStyle w:val="TextoNormal"/>
      </w:pPr>
      <w:r>
        <w:t>En las Sentencias antes citadas hemos dicho y reiterado que cualquier restricción en el ejercicio de un derecho fundamental necesita encontrar una causa específica prevista por la ley y que el hecho o la razón que la justifique debe explicitarse para hacer cognoscibles los motivos que la legitiman: en esa medida, la motivación es un requisito indispensable del acto limitativo del derecho.</w:t>
      </w:r>
    </w:p>
    <w:p w:rsidR="008107C7" w:rsidRDefault="008107C7" w:rsidP="008107C7">
      <w:pPr>
        <w:pStyle w:val="TextoNormal"/>
      </w:pPr>
      <w:r>
        <w:t xml:space="preserve">En concreto, al analizar el contenido del art. 17 de la C.E. en relación con la prisión provisional hemos destacado la inexcusabilidad de concebirla "tanto en su adopción como en su mantenimiento, como una medida estrictamente necesaria, de aplicación subsidiaria, provisional y proporcionada a los fines que, constitucionalmente la justifican y delimitan. </w:t>
      </w:r>
      <w:r>
        <w:lastRenderedPageBreak/>
        <w:t>Se trata de una medida justificada en esencia por la necesidad de asegurar el proceso y ese fundamento justificativo traza la línea de demarcación con otro tipo de privaciones de libertad y condiciona, a la vez, su régimen jurídico" (STC 128/1995, fundamento jurídico 3º).</w:t>
      </w:r>
    </w:p>
    <w:p w:rsidR="008107C7" w:rsidRDefault="008107C7" w:rsidP="008107C7">
      <w:pPr>
        <w:pStyle w:val="TextoNormal"/>
      </w:pPr>
      <w:r>
        <w:t>Desde la perspectiva de la Constitución, la prisión provisional es, pues, una medida cautelar cuya profunda incidencia en la libertad personal condiciona su aplicación en términos muy estrictos. Pero es que, además, la presunción de inocencia, que opera en el proceso como regla de juicio y constituye, a la vez, una regla de tratamiento del imputado (STC 109/1986) impone a la adopción y mantenimiento de la prisión ciertos límites infranqueables. "En cuanto regla de juicio, la presunción de inocencia exige que la prisión provisional no recaiga sino en supuestos donde la pretensión acusatoria tiene un fundamento razonable, esto es, allí donde existan indicios racionales de criminalidad; pues, de lo contrario, vendría a garantizarse nada menos que a costa de la libertad, un proceso cuyo objeto pudiera desvanecerse. Como regla de tratamiento, el hecho de que el imputado haya de ser considerado no culpable, obliga a no castigarle por medio de la prisión preventiva. Y eso quiere decir que ésta ni puede tener carácter retributivo de una infracción que aún no se halla jurídicamente establecida. Y, con mayor razón, proscribe la utilización de la prisión con la finalidad de impulsar la investigación del delito, obtener pruebas o declaraciones, etc., ya que utilizar con tales fines la privación de libertad excede los límites constitucionales" (STC 128/1995, fundamento jurídico 3º).</w:t>
      </w:r>
    </w:p>
    <w:p w:rsidR="008107C7" w:rsidRDefault="008107C7" w:rsidP="008107C7">
      <w:pPr>
        <w:pStyle w:val="TextoNormal"/>
      </w:pPr>
      <w:r>
        <w:t>De todo lo expuesto se desprende que, como reiteradamente hemos destacado, la adopción de tan drástica medida, además de partir de la existencia de indicios racionales de la comisión de una acción delictiva, haya de perseguir algún fin constitucionalmente legítimo, que responda a la necesidad de conjurar ciertos riesgos relevantes para el proceso (peligro de fuga, obstrucción de la investigación, reincidencia, etc.). Por consiguiente, la motivación ha de reflejar no sólo la concurrencia de indicios racionales de criminalidad, sino también la existencia de alguno de esos fines justificativos que puede inferirse a través de los datos obrantes en la causa. De ahí que, con referencia al riesgo de fuga y a la evitación de la desaparición de pruebas, hemos distinguido entre el momento inicial (en el que ante la carencia de información acerca de las circunstancias personales del imputado, la gravedad de la pena podría ser suficiente para afirmar tales riesgos y, en consecuencia, decretar la prisión) y la situación posterior (en la que el transcurso del tiempo suficiente para obtener los datos personales del caso y del imputado, no permite ya operar en términos objetivos o genéricos sino que obliga necesariamente a efectuar una ponderación concreta) (STC 128/1995, fundamento jurídico 4º).</w:t>
      </w:r>
    </w:p>
    <w:p w:rsidR="008107C7" w:rsidRDefault="008107C7" w:rsidP="008107C7">
      <w:pPr>
        <w:pStyle w:val="TextoNormal"/>
      </w:pPr>
      <w:r>
        <w:t>Como dijimos en la Sentencia antes citada (fundamento jurídico 4º) "no corresponde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Por consiguiente, sólo a través de la motivación de las resoluciones que la acuerdan puede este Tribunal controlar la legitimidad constitucional de su uso y el cumplimiento de dichos requisitos.  Nuestra tarea se ciñe, pues, a constatar si la que las resoluciones judiciales exponen es suficiente (por referirse a todos los extremos que autorizan y justifican la medida), razonada (por expresar el proceso lógico que individualiza la aplicación de la ley al caso concreto) y proporcionada (esto es, si ha ponderado los derechos e intereses en conflicto del modo menos gravoso para la libertad).</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Aplicando esta doctrina al supuesto sometido a nuestra consideración cabe destacar que las resoluciones impugnadas -cuya fundamentación se recoge en el antecedente 2º- se </w:t>
      </w:r>
      <w:r>
        <w:lastRenderedPageBreak/>
        <w:t>refieren al marco legal de cobertura que permite la adopción de la prisión provisional, pues se remiten a la regulación de ésta en la Ley de Enjuiciamiento Criminal; pero, no expresan el razonamiento seguido para llegar a la decisión limitativa del derecho a la libertad personal del demandante.</w:t>
      </w:r>
    </w:p>
    <w:p w:rsidR="008107C7" w:rsidRDefault="008107C7" w:rsidP="008107C7">
      <w:pPr>
        <w:pStyle w:val="TextoNormal"/>
      </w:pPr>
      <w:r>
        <w:t>La primera de dichas resoluciones (el Auto de 28 de marzo de 1996) carece absolutamente de motivación: se limita a hacer expresa la decisión del Tribunal, aunque ésta aparezca sistemáticamente ubicada en la fundamentación jurídica, al señalar que "no ha lugar" a la petición de libertad provisional solicitada. La motivación de la segunda resolución impugnada -el Auto de 19 de abril de 1996 que resuelve el recurso de súplica- es manifiestamente insuficiente, ya que en ella, tras recordar los perfiles de la institución que aplica y describir de forma incompleta la habilitación que ofrecen los arts.  503 y 504 de la LECrim. para decretar la prisión provisional, únicamente se afirma que de lo actuado se desprenden indicios de participación del procesado en los hechos investigados por haber alquilado las naves en las que la droga fue aprehendida y haber efectuado operaciones de traslado de la misma.</w:t>
      </w:r>
    </w:p>
    <w:p w:rsidR="008107C7" w:rsidRDefault="008107C7" w:rsidP="008107C7">
      <w:pPr>
        <w:pStyle w:val="TextoNormal"/>
      </w:pPr>
      <w:r>
        <w:t>De todo ello se deduce inequívocamente que las resoluciones impugnadas no se hallan suficientemente motivadas ni razonadas, pues no contienen referencia alguna a los fines que concretamente legitiman la limitación de la libertad personal que se acuerda, ni expresan el juicio de ponderación que justifica la adopción de medida tan gravosa, ni valoran las circunstancias particulares del caso y del imputado.</w:t>
      </w:r>
    </w:p>
    <w:p w:rsidR="008107C7" w:rsidRDefault="008107C7" w:rsidP="008107C7">
      <w:pPr>
        <w:pStyle w:val="TextoNormal"/>
      </w:pPr>
      <w:r>
        <w:t>La insuficiencia de la motivación aludida adquiere aquí un especial relieve, pues no nos encontramos en el momento inicial del proceso. En efecto, el demandante de amparo fue detenido el 7 de abril de 1995 por lo que, cuando se dictó la primera de las resoluciones impugnadas llevaba casi un año en situación de privación de libertad. Por lo que ha de concluirse que se ha vulnerado el derecho del recurrente a la libertad personal (art.  17.1 C.E.)  y, en consecuencia, procede estimar la pretensión de amparo.</w:t>
      </w:r>
    </w:p>
    <w:p w:rsidR="008107C7" w:rsidRDefault="008107C7" w:rsidP="008107C7">
      <w:pPr>
        <w:pStyle w:val="TextoNormal"/>
      </w:pPr>
      <w:r>
        <w:t>La estimación de la pretensión de amparo por esta causa hace innecesario el estudio en esta sede de las alegaciones referidas al principio de igualdad en la aplicación de la ley, que subsidiariamente han sido planteadas.</w:t>
      </w:r>
    </w:p>
    <w:p w:rsidR="008107C7" w:rsidRDefault="008107C7" w:rsidP="008107C7">
      <w:pPr>
        <w:pStyle w:val="TextoNormal"/>
      </w:pPr>
    </w:p>
    <w:p w:rsidR="008107C7" w:rsidRDefault="008107C7" w:rsidP="008107C7">
      <w:pPr>
        <w:pStyle w:val="TextoNormal"/>
      </w:pPr>
      <w:r w:rsidRPr="008107C7">
        <w:rPr>
          <w:rStyle w:val="NumeroAFNegritaCaracter"/>
        </w:rPr>
        <w:t>4</w:t>
      </w:r>
      <w:r>
        <w:t>. La carencia de motivación suficiente, desde la perspectiva constitucional, de las resoluciones impugnadas constituye, sin lugar a dudas, una vulneración del derecho a la libertad personal al hallarse ausente uno de los elementos esenciales del supuesto que habilita para decretar la privación provisional de libertad. Debe, por consiguiente, reconocerse la vulneración del derecho fundamental, procediendo anular las resoluciones impugnadas que mantuvieron su limitación, con el efecto inmediato de que no pueda mantenerse con base en ellas la situación de prisión. Sin embargo, ello no implica automáticamente,en este caso, la puesta del recurrente en situación de libertad por este Tribunal tal y como se postula en el suplico de la demanda. Pues, como hemos recordado anteriormente, aquí se dilucida sólo la procedencia o improcedencia de unas resoluciones de prisión acordadas por referencia a un momento concreto de una causa cuya tramitación ha seguido y en la que pueden haberse concretado circunstancias o datos que sólo a la jurisdicción ordinaria corresponde valorar, debiendo ser sus órganos, por lo tanto, los que resuelvan conforme a los criterios antes expuestos y atendiendo a las circunstancias actuales, acerca de la adopción o mantenimiento, con base a ellos, de las medidas cautelares procedentes.</w:t>
      </w:r>
    </w:p>
    <w:p w:rsidR="008107C7" w:rsidRDefault="008107C7" w:rsidP="008107C7">
      <w:pPr>
        <w:pStyle w:val="TextoNormal"/>
      </w:pPr>
    </w:p>
    <w:p w:rsidR="008107C7" w:rsidRDefault="008107C7" w:rsidP="008107C7">
      <w:pPr>
        <w:pStyle w:val="TextoNormalCentrado"/>
        <w:keepNext/>
      </w:pPr>
      <w:r>
        <w:lastRenderedPageBreak/>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Otorgar el amparo solicitado y en consecuencia:</w:t>
      </w:r>
    </w:p>
    <w:p w:rsidR="008107C7" w:rsidRDefault="008107C7" w:rsidP="008107C7">
      <w:pPr>
        <w:pStyle w:val="TextoNormal"/>
      </w:pPr>
      <w:r>
        <w:t>1º Reconocer el derecho del recurrente a la libertad del art. 17.1 C.E.</w:t>
      </w:r>
    </w:p>
    <w:p w:rsidR="008107C7" w:rsidRDefault="008107C7" w:rsidP="008107C7">
      <w:pPr>
        <w:pStyle w:val="TextoNormal"/>
      </w:pPr>
      <w:r>
        <w:t>2º Anular los Autos de 28 de marzo y 19 de abril de 1996 dictados por la Sección Primera de la Audiencia Provincial de Alicante (rollo de Sala 144/95, sumario 2/95 del Juzgado de Instrucción núm. 2 de San Vicente del Raspeig) por los que se desestimó su petición de libertad provisional.</w:t>
      </w:r>
    </w:p>
    <w:p w:rsidR="008107C7" w:rsidRDefault="008107C7" w:rsidP="008107C7">
      <w:pPr>
        <w:pStyle w:val="TextoNormal"/>
      </w:pPr>
    </w:p>
    <w:p w:rsidR="008107C7" w:rsidRDefault="008107C7" w:rsidP="008107C7">
      <w:pPr>
        <w:pStyle w:val="TextoNormal"/>
      </w:pPr>
      <w:r>
        <w:t>Publíquese esta Sentencia en el "Boletín Oficial del Estado" y comunicar al órgano judicial que esté conociendo de la causa.</w:t>
      </w:r>
    </w:p>
    <w:p w:rsidR="008107C7" w:rsidRDefault="008107C7" w:rsidP="008107C7">
      <w:pPr>
        <w:pStyle w:val="TextoNormal"/>
      </w:pPr>
      <w:r>
        <w:t>Dada en Madrid, a siete de abril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71" w:name="SENTENCIA_1997_68"/>
      <w:r>
        <w:lastRenderedPageBreak/>
        <w:t>SENTENCIA 68/1997, de 8 de abril de 1997</w:t>
      </w:r>
    </w:p>
    <w:bookmarkEnd w:id="71"/>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114, de 13 de mayo de 1997)</w:t>
      </w:r>
    </w:p>
    <w:p w:rsidR="008107C7" w:rsidRDefault="008107C7" w:rsidP="008107C7">
      <w:pPr>
        <w:pStyle w:val="TtuloBOE"/>
      </w:pPr>
    </w:p>
    <w:p w:rsidR="008107C7" w:rsidRDefault="008107C7" w:rsidP="008107C7">
      <w:pPr>
        <w:pStyle w:val="SntesisDescriptiva"/>
      </w:pPr>
      <w:r>
        <w:t>ECLI:ES:TC:1997:68</w:t>
      </w:r>
    </w:p>
    <w:p w:rsidR="008107C7" w:rsidRDefault="008107C7" w:rsidP="008107C7">
      <w:pPr>
        <w:pStyle w:val="SntesisDescriptiva"/>
      </w:pPr>
    </w:p>
    <w:p w:rsidR="008107C7" w:rsidRDefault="008107C7" w:rsidP="008107C7">
      <w:pPr>
        <w:pStyle w:val="SntesisDescriptiva"/>
      </w:pPr>
      <w:r>
        <w:t>Recurso de amparo 1.310/1995. Contra Sentencias de la Sala Segunda del Tribunal Supremo y de la Audiencia Provincial de Sevilla en causa por delito de tráfico de drogas.</w:t>
      </w:r>
    </w:p>
    <w:p w:rsidR="008107C7" w:rsidRDefault="008107C7" w:rsidP="008107C7">
      <w:pPr>
        <w:pStyle w:val="SntesisDescriptiva"/>
      </w:pPr>
    </w:p>
    <w:p w:rsidR="008107C7" w:rsidRDefault="008107C7" w:rsidP="008107C7">
      <w:pPr>
        <w:pStyle w:val="SntesisAnaltica"/>
      </w:pPr>
      <w:r>
        <w:t>Vulneración del derecho a la tutela judicial efectiva: incongruencia interna de la segunda Sentencia impugnada.</w:t>
      </w:r>
    </w:p>
    <w:p w:rsidR="008107C7" w:rsidRDefault="008107C7" w:rsidP="008107C7">
      <w:pPr>
        <w:pStyle w:val="SntesisAnaltica"/>
      </w:pPr>
    </w:p>
    <w:p w:rsidR="008107C7" w:rsidRDefault="008107C7" w:rsidP="008107C7">
      <w:pPr>
        <w:pStyle w:val="Extracto"/>
      </w:pPr>
      <w:r>
        <w:t>1.</w:t>
      </w:r>
      <w:r>
        <w:tab/>
        <w:t>Resulta evidente el carácter internamente contradictorio de la Sentencia del Tribunal Supremo, pues niega y afirma, simultáneamente, la condición de adicto a las drogas del condenado, que en este caso constituye un «elemento imprescindible para el enjuiciamiento, dada la importancia que tal condición o enfermedad del acusado tiene para la acreditación del delito y para la apreciación de una circunstancia modificativa de la responsabilidad criminal», como afirma el Fiscal, utilizándose en un caso para justificar la condena y en otro para acoger una atenuante. Como hemos dicho en reiteradas ocasiones, «la obtención de una conclusión, basamento del pertinente fallo, en detrimento de la requerida coherencia con el punto de partida adoptado, produce una quiebra lógica en el razonamiento que puede eventualmente implicar el reproche de irrazonabilidad y, por ende, anudar a la correspondiente decisión la tacha de conculcadora de las exigencias inmanentes al art. 24.1 C.E. (STC 117/1996, con cita de la STC 22/1994) . [F.J. 4]</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Alvaro Rodríguez Bereijo, Presidente, don Vicente Gimeno Sendra, don Pedro Cruz Villalón,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1.310/95, promovido por don Antonio Gavilán Rodríguez, representado por la Procuradora de los Tribunales doña María Martín Espinosa y asistido por el Letrado don Ignacio Ganso Herranz, contra las Sentencias de la Sala Segunda del Tribunal Supremo, de 3 de marzo de 1995, y de la Sección Séptima de la Audiencia Provincial de Sevilla, de 17 de mayo de 1993. Ha sido parte el Ministerio Fiscal y actuado como Ponente el Magistrado don Manuel Jiménez de Parga y Cabrera, quien expresa el parecer de la Sala.</w:t>
      </w:r>
    </w:p>
    <w:p w:rsidR="008107C7" w:rsidRDefault="008107C7" w:rsidP="008107C7">
      <w:pPr>
        <w:pStyle w:val="TextoNormal"/>
      </w:pPr>
    </w:p>
    <w:p w:rsidR="008107C7" w:rsidRDefault="008107C7" w:rsidP="008107C7">
      <w:pPr>
        <w:pStyle w:val="TextoNormalNegritaCentrado"/>
        <w:keepNext/>
      </w:pPr>
      <w:r>
        <w:lastRenderedPageBreak/>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presentado en el Juzgado de Guardia el 7 de abril de 1995 y registrado en este Tribunal el 10 de abril de 1995, el Letrado don Ignacio Ganso Herranz, en nombre de don Antonio Gavilán Rodríguez, interpuso recurso de amparo contra la Sentencia de la Sala Segunda del Tribunal Supremo de 3 de marzo de 1995 y de la Sección Séptima de la Audiencia Provincial de Sevilla de 17 de mayo de 1993, en causa por delito de tráfico de drogas, solicitando al mismo tiempo en dicho escrito la designación de Procurador del turno de oficio para el recurrente, así como la suspensión de la ejecución de las Sentencias recurridas.</w:t>
      </w:r>
    </w:p>
    <w:p w:rsidR="008107C7" w:rsidRDefault="008107C7" w:rsidP="008107C7">
      <w:pPr>
        <w:pStyle w:val="TextoNormal"/>
      </w:pPr>
    </w:p>
    <w:p w:rsidR="008107C7" w:rsidRDefault="008107C7" w:rsidP="008107C7">
      <w:pPr>
        <w:pStyle w:val="TextoNormal"/>
      </w:pPr>
      <w:r w:rsidRPr="008107C7">
        <w:rPr>
          <w:rStyle w:val="NumeroAFNegritaCaracter"/>
        </w:rPr>
        <w:t>2</w:t>
      </w:r>
      <w:r>
        <w:t>. Previos los trámites pertinentes para su designación, la Procuradora de los Tribunales doña Ana María Martín Espinosa, en nombre y representación de don Antonio Gavilán Rodríguez, formuló, mediante escrito registrado en este Tribunal el 8 de agosto de 1995, demanda de amparo contra las Sentencias antes indicadas, dando por reproducidas las alegaciones y peticiones contenidas en su escrito inicial de interposición del recurso, añadiendo algunas consideraciones adicionales.</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El recurso tiene su origen en los siguientes antecedentes de hecho: </w:t>
      </w:r>
    </w:p>
    <w:p w:rsidR="008107C7" w:rsidRDefault="008107C7" w:rsidP="008107C7">
      <w:pPr>
        <w:pStyle w:val="TextoNormal"/>
      </w:pPr>
      <w:r>
        <w:t xml:space="preserve">A) El recurrente, Antonio Gavilán Rodríguez, fue detenido por agentes de la policía local de La Rinconada (Sevilla) sobre las 11,30 horas del día 23 de octubre de 1992 en el Parque de los Pintores de dicha localidad, zona conocida como lugar en el que habitualmente se realizan ventas de estupefacientes, cuando llevaba en una de sus manos tres papelinas de un polvo ocre. Al percatarse de la presencia de los policías trató de huir en un ciclomotor, al que logró subirse y acelerarlo para marcharse, impidiéndolo uno de aquéllos, que tuvo que sujetar el manillar del vehículo. Trasladado el detenido a las dependencias policiales, al ser cacheado le fueron ocupadas diez papelinas de polvo ocre que ocultaba en su ropa interior. </w:t>
      </w:r>
    </w:p>
    <w:p w:rsidR="008107C7" w:rsidRDefault="008107C7" w:rsidP="008107C7">
      <w:pPr>
        <w:pStyle w:val="TextoNormal"/>
      </w:pPr>
      <w:r>
        <w:t xml:space="preserve">B) Los hechos anteriormente relatados dieron lugar a la incoación de las diligencias previas 4.876/92, por el Juzgado de Instrucción núm. 11 de Sevilla, que se transformaron en el procedimiento abreviado núm. 311/92, cuyo enjuiciamiento correspondió a la Audiencia Provincial de Sevilla, Sección Séptima, que dictó Sentencia el 17 de mayo de 1993, condenando al hoy recurrente por delito contra la salud pública en su modalidad de tráfico de drogas que causan grave daño a la salud, a las penas de dos años, cuatro meses y un día de prisión menor, con las accesorias de suspensión de todo cargo público y del derecho de sufragio durante el tiempo de la condena y multa de un millón de pesetas, con veinte días de arresto sustitutorio en caso de impago, y con imposición de las costas. </w:t>
      </w:r>
    </w:p>
    <w:p w:rsidR="008107C7" w:rsidRDefault="008107C7" w:rsidP="008107C7">
      <w:pPr>
        <w:pStyle w:val="TextoNormal"/>
      </w:pPr>
      <w:r>
        <w:t xml:space="preserve">C) La Sentencia de la Audiencia Provincial de Sevilla declaró como hecho probado: "Las trece papelinas, que resultaron destruidas al analizarse en el Servicio de Restricción de Estupefacientes, contenían un total de 0´5330 gramos de polvo con un porcentaje de heroína del 42´78 por cien, toda esta sustancia, a la que no consta que sea adicto el acusado, la destinaba el mismo a su distribución a terceros. En su poder se hallaron mil setecientas pesetas, que fueron intervenidas, sin constar que procedieran de esa actividad". </w:t>
      </w:r>
    </w:p>
    <w:p w:rsidR="008107C7" w:rsidRDefault="008107C7" w:rsidP="008107C7">
      <w:pPr>
        <w:pStyle w:val="TextoNormal"/>
      </w:pPr>
      <w:r>
        <w:t xml:space="preserve">En sus fundamentos jurídicos, la Audiencia infiere de la falta de prueba de la adicción del recurrente a la heroína y de la justificación dada por el recurrente a sus declaraciones contradictorias basadas en tal circunstancia ("estar con el mono"), que el acusado destinaba las papelinas incautadas a su venta a terceros. </w:t>
      </w:r>
    </w:p>
    <w:p w:rsidR="008107C7" w:rsidRDefault="008107C7" w:rsidP="008107C7">
      <w:pPr>
        <w:pStyle w:val="TextoNormal"/>
      </w:pPr>
      <w:r>
        <w:lastRenderedPageBreak/>
        <w:t xml:space="preserve">D) Contra la Sentencia de la Audiencia se interpuso recurso de casación por infracción de Ley, fundamentado en tres motivos, el primero por vulneración del art. 17.1 y 2 de la Constitución, en relación con el art. 9.3 C.E.; el segundo, por vulneración del derecho a la presunción de inocencia (art. 24.2); y el tercero, visto lo dispuesto en el art. 849 L.E.Crim., por error de hecho en la apreciación de la prueba. </w:t>
      </w:r>
    </w:p>
    <w:p w:rsidR="008107C7" w:rsidRDefault="008107C7" w:rsidP="008107C7">
      <w:pPr>
        <w:pStyle w:val="TextoNormal"/>
      </w:pPr>
      <w:r>
        <w:t xml:space="preserve">E) La Sala Segunda del Tribunal Supremo, en su primera Sentencia de tres de marzo de 1995, estimó el motivo interpuesto al amparo del núm. 2 del art. 849 de la Ley de Enjuiciamiento Criminal, error de hecho en la apreciación de la prueba, declarando expresamente, en el fundamento de Derecho tercero: "En el caso que examinamos se observa que todos los dictámenes médicos son coincidentes sobre la adicción del acusado al consumo de opiáceos que data además de épocas muy anteriores, lo que explica y justifica la alteración de sus facultades volitivas y el deterioro de su personalidad que son merecedores de una valoración positiva en el sentido de atenuar su responsabilidad en el grado de atenuante analógica que debió ser apreciada por la Sala Sentenciadora....". </w:t>
      </w:r>
    </w:p>
    <w:p w:rsidR="008107C7" w:rsidRDefault="008107C7" w:rsidP="008107C7">
      <w:pPr>
        <w:pStyle w:val="TextoNormal"/>
      </w:pPr>
      <w:r>
        <w:t xml:space="preserve">Respecto del segundo motivo de casación, fundado en la vulneración del derecho a la presunción de inocencia (art. 24.2 C.E.), declara: "El hecho probado (de la Sentencia de la Audiencia Provincial) afirma tajantemente que las papelinas las destinaba el acusado a terceros consumidores, descartando cualquier adicción que justificase la tenencia para el autoconsumo. Para llegar a esta conclusión se basa fundamentalmente en las contradicciones observadas en las sucesivas declaraciones del acusado, descartando como base probatoria el hallazgo de las mil setecientas pesetas, ya que considera que no eran producto de la venta de la droga. Sobre esta base fáctica y argumental no es posible estimar la tesis del acusado, por lo que el motivo debe ser desestimado". </w:t>
      </w:r>
    </w:p>
    <w:p w:rsidR="008107C7" w:rsidRDefault="008107C7" w:rsidP="008107C7">
      <w:pPr>
        <w:pStyle w:val="TextoNormal"/>
      </w:pPr>
      <w:r>
        <w:t>F) Una segunda Sentencia, dictada, a continuación de la primera, por la Sala de lo Penal del Tribunal Supremo, declara en su Unico Antecedente de Hecho: «Se dan por reproducidos los antecedentes de hecho de la Sentencia recurrida en la redacción del hecho probado, al que se añadirá como complemento que: "el acusado era adicto habitual al consumo de heroína con incidencia sobre su capacidad volitiva derivada de la dependencia de esta sustancia"», y, en su fundamento de Derecho único, da por reproducidos igualmente los fundamentos de Derecho de la Sentencia recurrida y el fundamento de Derecho tercero de la Sentencia antecedente, del mismo Tribunal Supremo, donde se estima que concurre la atenuante analógica de drogadicción.</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El recurso de amparo se fundamenta en tres motivos: vulneración del derecho fundamental a la libertad, del art. 17.1 C.E., en relación con los arts. 9.3 C.E. y 11.1 L.O.P.J.; vulneración por las dos Sentencias del Tribunal Supremo y por la de la Audiencia del derecho a la presunción de inocencia del art. 24.2 C.E., y vulneración por la segunda Sentencia de la Sala de lo Penal del Tribunal Supremo del derecho a la tutela judicial efectiva sin indefensión, del art. 24.1 C.E., por incongruencia interna. </w:t>
      </w:r>
    </w:p>
    <w:p w:rsidR="008107C7" w:rsidRDefault="008107C7" w:rsidP="008107C7">
      <w:pPr>
        <w:pStyle w:val="TextoNormal"/>
      </w:pPr>
      <w:r>
        <w:t xml:space="preserve">La vulneración del derecho a la libertad (art. 17.1 C.E.) se fundamenta en la arbitrariedad de la detención del recurrente practicada por la policía, argumentando que se produjo a partir de denuncias anónimas y tras actos de investigación con resultado negativo, por lo que tuvo lugar sin justificación razonable. </w:t>
      </w:r>
    </w:p>
    <w:p w:rsidR="008107C7" w:rsidRDefault="008107C7" w:rsidP="008107C7">
      <w:pPr>
        <w:pStyle w:val="TextoNormal"/>
      </w:pPr>
      <w:r>
        <w:t>El segundo motivo de amparo, vulneración del derecho a la presunción de inocencia se fundamenta en la falta de prueba sobre uno de los elementos del tipo penal del art. 344 C.P. (intención de destinar la sustancia estupefaciente ocupada al tráfico), puesto que tanto la Sentencia de instancia como la primera dictada en casación por el Tribunal Supremo, dedu</w:t>
      </w:r>
      <w:r>
        <w:lastRenderedPageBreak/>
        <w:t xml:space="preserve">cen dicho elemento de un único indicio (la no adicción del acusado a la sustancia intervenida), indicio que posteriormente es destruido por el Tribunal Supremo al estimar el tercer motivo de casación fundado en error de hecho en la apreciación de la prueba, declarando probada la adicción del acusado a la sustancia hallada en su poder. </w:t>
      </w:r>
    </w:p>
    <w:p w:rsidR="008107C7" w:rsidRDefault="008107C7" w:rsidP="008107C7">
      <w:pPr>
        <w:pStyle w:val="TextoNormal"/>
      </w:pPr>
      <w:r>
        <w:t>El tercer motivo de amparo, vulneración del derecho a la tutela judicial efectiva sin indefensión (art. 24.1 C.E.), fundado en la incongruencia interna que se atribuye a la segunda Sentencia del Tribunal Supremo, toda vez que estima el motivo de casación referido al error de hecho en la apreciación de la prueba, declarando probada la adicción del recurrente a la heroína, y desestima el motivo relativo a la presunción de inocencia, cuando la condena del acusado se fundamentó en la presunción de tráfico porque el acusado no era consumidor.</w:t>
      </w:r>
    </w:p>
    <w:p w:rsidR="008107C7" w:rsidRDefault="008107C7" w:rsidP="008107C7">
      <w:pPr>
        <w:pStyle w:val="TextoNormal"/>
      </w:pPr>
    </w:p>
    <w:p w:rsidR="008107C7" w:rsidRDefault="008107C7" w:rsidP="008107C7">
      <w:pPr>
        <w:pStyle w:val="TextoNormal"/>
      </w:pPr>
      <w:r w:rsidRPr="008107C7">
        <w:rPr>
          <w:rStyle w:val="NumeroAFNegritaCaracter"/>
        </w:rPr>
        <w:t>5</w:t>
      </w:r>
      <w:r>
        <w:t>. La Sección segunda, mediante providencia de 22 de noviembre de 1995, acordó admitir a trámite la demanda de amparo y, a tenor de lo dispuesto en el art. 51 de la Ley Orgánica del Tribunal Constitucional, requerir atentamente al Tribunal Supremo y a la Audiencia Provincial de Sevilla, para que en el plazo de diez días remitiesen, respectivamente, testimonio del recurso de casación y del rollo de Sala, interesando al propio tiempo que se emplazare a quienes fueron parte en el procedimiento, con excepción del recurrente en amparo, para que, en el plazo de diez días, pudieran comparecer en el presente proceso constitucional.</w:t>
      </w:r>
    </w:p>
    <w:p w:rsidR="008107C7" w:rsidRDefault="008107C7" w:rsidP="008107C7">
      <w:pPr>
        <w:pStyle w:val="TextoNormal"/>
      </w:pPr>
    </w:p>
    <w:p w:rsidR="008107C7" w:rsidRDefault="008107C7" w:rsidP="008107C7">
      <w:pPr>
        <w:pStyle w:val="TextoNormal"/>
      </w:pPr>
      <w:r w:rsidRPr="008107C7">
        <w:rPr>
          <w:rStyle w:val="NumeroAFNegritaCaracter"/>
        </w:rPr>
        <w:t>6</w:t>
      </w:r>
      <w:r>
        <w:t>. Por escrito registrado el 12 de diciembre de 1995, la representación procesal del recurrente reiteró la solicitud de suspensión de las Sentencias recurridas efectuadas en sus anteriores escritos. La Sección Segunda, conforme lo solicitado, acordó formar la correspondiente pieza separada, para la sustanciación del incidente de suspensión, por providencia de 18 de diciembre de 1995. Por otra providencia de la misma fecha se acordó conceder un plazo común de tres días al Ministerio Fiscal y al solicitante de amparo, para que, dentro de dicho término, alegaren lo que estimaren pertinente en relación con la petición de suspensión interesada.</w:t>
      </w:r>
    </w:p>
    <w:p w:rsidR="008107C7" w:rsidRDefault="008107C7" w:rsidP="008107C7">
      <w:pPr>
        <w:pStyle w:val="TextoNormal"/>
      </w:pPr>
    </w:p>
    <w:p w:rsidR="008107C7" w:rsidRDefault="008107C7" w:rsidP="008107C7">
      <w:pPr>
        <w:pStyle w:val="TextoNormal"/>
      </w:pPr>
      <w:r w:rsidRPr="008107C7">
        <w:rPr>
          <w:rStyle w:val="NumeroAFNegritaCaracter"/>
        </w:rPr>
        <w:t>7</w:t>
      </w:r>
      <w:r>
        <w:t>. Mediante sendos escritos de fecha 26 y 27 de diciembre de 1995, el Ministerio Fiscal y el demandante de amparo presentaron sus alegaciones en el incidente de suspensión, reiterando el recurrente lo expuesto en sus escritos y manifestando el Fiscal su no oposición al otorgamiento de la suspensión de las resoluciones impugnadas.</w:t>
      </w:r>
    </w:p>
    <w:p w:rsidR="008107C7" w:rsidRDefault="008107C7" w:rsidP="008107C7">
      <w:pPr>
        <w:pStyle w:val="TextoNormal"/>
      </w:pPr>
    </w:p>
    <w:p w:rsidR="008107C7" w:rsidRDefault="008107C7" w:rsidP="008107C7">
      <w:pPr>
        <w:pStyle w:val="TextoNormal"/>
      </w:pPr>
      <w:r w:rsidRPr="008107C7">
        <w:rPr>
          <w:rStyle w:val="NumeroAFNegritaCaracter"/>
        </w:rPr>
        <w:t>8</w:t>
      </w:r>
      <w:r>
        <w:t>. Por Auto de 15 de enero de 1996, la Sala Primera, en la pieza separada, acordó la suspensión de la ejecución de la Sentencia de la Sala Segunda del Tribunal Supremo de 3 de marzo de 1995.</w:t>
      </w:r>
    </w:p>
    <w:p w:rsidR="008107C7" w:rsidRDefault="008107C7" w:rsidP="008107C7">
      <w:pPr>
        <w:pStyle w:val="TextoNormal"/>
      </w:pPr>
    </w:p>
    <w:p w:rsidR="008107C7" w:rsidRDefault="008107C7" w:rsidP="008107C7">
      <w:pPr>
        <w:pStyle w:val="TextoNormal"/>
      </w:pPr>
      <w:r w:rsidRPr="008107C7">
        <w:rPr>
          <w:rStyle w:val="NumeroAFNegritaCaracter"/>
        </w:rPr>
        <w:t>9</w:t>
      </w:r>
      <w:r>
        <w:t>. Por providencia de 22 de enero de 1996 la Sección Segunda, a tenor de lo dispuesto en el art. 52 de la Ley Orgánica del Tribunal Constitucional, acordó dar vista de todas las actuaciones del presente recurso de amparo en la Secretaría de la Sala Primera, por un plazo común de veinte días, al Ministerio Fiscal y al solicitante de amparo, para que dentro de dicho término alegaren lo que a su derecho conviniere.</w:t>
      </w:r>
    </w:p>
    <w:p w:rsidR="008107C7" w:rsidRDefault="008107C7" w:rsidP="008107C7">
      <w:pPr>
        <w:pStyle w:val="TextoNormal"/>
      </w:pPr>
    </w:p>
    <w:p w:rsidR="008107C7" w:rsidRDefault="008107C7" w:rsidP="008107C7">
      <w:pPr>
        <w:pStyle w:val="TextoNormal"/>
      </w:pPr>
      <w:r w:rsidRPr="008107C7">
        <w:rPr>
          <w:rStyle w:val="NumeroAFNegritaCaracter"/>
        </w:rPr>
        <w:t>10</w:t>
      </w:r>
      <w:r>
        <w:t xml:space="preserve">. El Ministerio Fiscal, mediante escrito presentado el 6 de febrero de 1996, interesó, en virtud del art. 89 LOTC, con interrupción del plazo concedido para efectuar alegaciones, </w:t>
      </w:r>
      <w:r>
        <w:lastRenderedPageBreak/>
        <w:t>que se recabaran como prueba las actuaciones del Juzgado de Instrucción núm. 11 de Sevilla y la concesión de un nuevo plazo al efecto, cuando éstas fuesen remitidas al Tribunal Constitucional.</w:t>
      </w:r>
    </w:p>
    <w:p w:rsidR="008107C7" w:rsidRDefault="008107C7" w:rsidP="008107C7">
      <w:pPr>
        <w:pStyle w:val="TextoNormal"/>
      </w:pPr>
    </w:p>
    <w:p w:rsidR="008107C7" w:rsidRDefault="008107C7" w:rsidP="008107C7">
      <w:pPr>
        <w:pStyle w:val="TextoNormal"/>
      </w:pPr>
      <w:r w:rsidRPr="008107C7">
        <w:rPr>
          <w:rStyle w:val="NumeroAFNegritaCaracter"/>
        </w:rPr>
        <w:t>11</w:t>
      </w:r>
      <w:r>
        <w:t>. La Sección Segunda, accedió, mediante providencia de 19 de febrero de 1996, a lo solicitado por el Ministerio Fiscal en el escrito antes referido, y una vez recibido el testimonio de actuaciones, acordó, por providencia de 23 de septiembre de 1996, dar vista de todas las actuaciones del presente recurso, por un plazo común de veinte días al Ministerio Fiscal y al solicitante de amparo, para que, dentro de dicho término, pudiesen presentar nuevas alegaciones o ampliar las ya presentadas.</w:t>
      </w:r>
    </w:p>
    <w:p w:rsidR="008107C7" w:rsidRDefault="008107C7" w:rsidP="008107C7">
      <w:pPr>
        <w:pStyle w:val="TextoNormal"/>
      </w:pPr>
    </w:p>
    <w:p w:rsidR="008107C7" w:rsidRDefault="008107C7" w:rsidP="008107C7">
      <w:pPr>
        <w:pStyle w:val="TextoNormal"/>
      </w:pPr>
      <w:r w:rsidRPr="008107C7">
        <w:rPr>
          <w:rStyle w:val="NumeroAFNegritaCaracter"/>
        </w:rPr>
        <w:t>12</w:t>
      </w:r>
      <w:r>
        <w:t>. En su escrito de alegaciones registrado el 16 de febrero de 1996, la representación del recurrente reiteró sustancialmente las ya formuladas en la demanda de amparo.</w:t>
      </w:r>
    </w:p>
    <w:p w:rsidR="008107C7" w:rsidRDefault="008107C7" w:rsidP="008107C7">
      <w:pPr>
        <w:pStyle w:val="TextoNormal"/>
      </w:pPr>
    </w:p>
    <w:p w:rsidR="008107C7" w:rsidRDefault="008107C7" w:rsidP="008107C7">
      <w:pPr>
        <w:pStyle w:val="TextoNormal"/>
      </w:pPr>
      <w:r w:rsidRPr="008107C7">
        <w:rPr>
          <w:rStyle w:val="NumeroAFNegritaCaracter"/>
        </w:rPr>
        <w:t>13</w:t>
      </w:r>
      <w:r>
        <w:t xml:space="preserve">. El Ministerio Fiscal, en su escrito registrado el 15 de octubre de 1996, manifiesta que el contenido del recurso de amparo debe centrarse en la presunta vulneración del derecho a la tutela judicial efectiva (art. 24.1 C.E.) por contradicción o incongruencia interna de la segunda Sentencia de la Sala de lo Penal del Tribunal Supremo, toda vez que, si se estimare la demanda, la consecuencia sería la anulación de dicha Sentencia, lo que tendría incidencia, al menos, en el derecho a la presunción de inocencia, ya que una motivación eventual, en este caso, podría dejar sin cobertura argumental la vulneración denunciada, teniendo oportunidad el Tribunal Supremo de subsanar la lesión de este último derecho fundamental. </w:t>
      </w:r>
    </w:p>
    <w:p w:rsidR="008107C7" w:rsidRDefault="008107C7" w:rsidP="008107C7">
      <w:pPr>
        <w:pStyle w:val="TextoNormal"/>
      </w:pPr>
      <w:r>
        <w:t xml:space="preserve">Tampoco considera necesario el Fiscal el examen del derecho fundamental a la libertad (art. 17.1), dado el alcance del amparo, y ello sin perjuicio de que se estime que la demanda, en este punto, carece de argumentación suficiente. </w:t>
      </w:r>
    </w:p>
    <w:p w:rsidR="008107C7" w:rsidRDefault="008107C7" w:rsidP="008107C7">
      <w:pPr>
        <w:pStyle w:val="TextoNormal"/>
      </w:pPr>
      <w:r>
        <w:t xml:space="preserve">No obstante considera que existe una íntima relación entre el motivo de amparo relativo a la presunción de inocencia y a la tutela judicial efectiva. </w:t>
      </w:r>
    </w:p>
    <w:p w:rsidR="008107C7" w:rsidRDefault="008107C7" w:rsidP="008107C7">
      <w:pPr>
        <w:pStyle w:val="TextoNormal"/>
      </w:pPr>
      <w:r>
        <w:t xml:space="preserve">Entiende que la segunda Sentencia del Tribunal Supremo incurre en incongruencia, debiendo entenderse por tal, no sólo el desacuerdo de la resolución judicial, con las pretensiones ejercitadas por las partes, sino también el "desacuerdo sustancial entre los distintos presupuestos y proposiciones de un mismo discurso", lo que haría merecedoras de amparo "aquellas resoluciones que con manifiesta irrazonabilidad se desvían del iter lógico que conduce al pronunciamiento final". En apoyo de esta tesis, cita la doctrina de este Tribunal recogida, entre otras, en las SSTC 218/1992 y 117/1996. </w:t>
      </w:r>
    </w:p>
    <w:p w:rsidR="008107C7" w:rsidRDefault="008107C7" w:rsidP="008107C7">
      <w:pPr>
        <w:pStyle w:val="TextoNormal"/>
      </w:pPr>
      <w:r>
        <w:t xml:space="preserve">Expresa el Fiscal el fundamento de la lesión del derecho a la tutela judicial efectiva, alegado en el presente recurso de amparo, en los siguientes términos: la primera Sentencia del Tribunal Supremo, al analizar el motivo de casación consistente en error en la apreciación de la prueba, entiende que los distintos dictámenes médicos abonan la drogadicción del recurrente. Consecuentemente añade en la segunda Sentencia a la redacción de hechos probados la expresión: "el acusado era adicto al consumo de heroína...". Sin embargo, da por reproducidos los hechos probados de la Sentencia de la Audiencia Provincial en la que se dice: "toda esta sustancia a la que no consta sea adicto el acusado... ". Por lo que, según el Fiscal "en un mismo texto, el mantenido y el agregado, se está negando y afirmando la condición de adicto a las drogas del condenado lo que trasciende, en este caso, del mero defecto formal para integrarse en el elemento imprescindible para el enjuiciamiento, dada la importancia que tal condición o enfermedad del acusado tiene para la acreditación del </w:t>
      </w:r>
      <w:r>
        <w:lastRenderedPageBreak/>
        <w:t xml:space="preserve">delito y para la apreciación de una circunstancia modificativa de la responsabilidad criminal...". </w:t>
      </w:r>
    </w:p>
    <w:p w:rsidR="008107C7" w:rsidRDefault="008107C7" w:rsidP="008107C7">
      <w:pPr>
        <w:pStyle w:val="TextoNormal"/>
      </w:pPr>
      <w:r>
        <w:t xml:space="preserve">Asimismo considera el Fiscal que "la incongruencia de la Sentencia parte de la desconexión entre los distintos motivos de casación y su falta de tratamiento conjunto, y que el excesivo formalismo consistente en analizar separadamente los motivos de casación para seguir los correlativos del recurrente, han dado lugar a la ruptura de la arquitectura de la Sentencia que, de este modo, se convierte en difícilmente entendible para el justiciable que no alcanza a entender por qué es considerado traficante para ser condenado y consumidor -enfermo- no traficante para apreciarle una circunstancia atenuante". </w:t>
      </w:r>
    </w:p>
    <w:p w:rsidR="008107C7" w:rsidRDefault="008107C7" w:rsidP="008107C7">
      <w:pPr>
        <w:pStyle w:val="TextoNormal"/>
      </w:pPr>
      <w:r>
        <w:t>Por ello, concluye, que el alcance del amparo debe llevar a la anulación de la segunda Sentencia del Tribunal Supremo para que dicte otra acorde al derecho fundamental a la tutela judicial efectiva, lo que impide el examen del motivo relativo a la presunción de inocencia, puesto que corresponde a dicho órgano determinar si existen pruebas de cargo constitucionalmente aptas para fundamentar la condena del acusado, al margen de la drogadicción, o no existen dichas pruebas.</w:t>
      </w:r>
    </w:p>
    <w:p w:rsidR="008107C7" w:rsidRDefault="008107C7" w:rsidP="008107C7">
      <w:pPr>
        <w:pStyle w:val="TextoNormal"/>
      </w:pPr>
    </w:p>
    <w:p w:rsidR="008107C7" w:rsidRDefault="008107C7" w:rsidP="008107C7">
      <w:pPr>
        <w:pStyle w:val="TextoNormal"/>
      </w:pPr>
      <w:r w:rsidRPr="008107C7">
        <w:rPr>
          <w:rStyle w:val="NumeroAFNegritaCaracter"/>
        </w:rPr>
        <w:t>14</w:t>
      </w:r>
      <w:r>
        <w:t>. Por providencia de 7 de abril de 1997 se señaló el siguiente día 8 del mismo mes y año para deliberación y votación de la presente Sentencia.</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En la demanda se alega, en primer término, vulneración del derecho a la libertad (art. 17.1).</w:t>
      </w:r>
    </w:p>
    <w:p w:rsidR="008107C7" w:rsidRDefault="008107C7" w:rsidP="008107C7">
      <w:pPr>
        <w:pStyle w:val="TextoNormal"/>
      </w:pPr>
      <w:r>
        <w:t>El recurrente entiende que la detención practicada por agentes de la Policía Municipal fue arbitraria, desproporcionada y falta de causa que la justificare. Pone de manifiesto que en el atestado policial se hizo constar que la detención se efectuó por presunto delito contra la salud pública a consecuencia de la recepción de denuncias anónimas, comprobando posteriormente la policía dichas informaciones tras la correspondiente vigilancia llevada a cabo sobre el acusado, y, sin embargo, en el acto del juicio oral los agentes firmantes de dicho atestado, pese a ratificarse en el mismo, al ser preguntados sobre las circunstancias concretas de la detención, dijeron desconocerlas. Según el quejoso, el atestado, no ratificado por los agentes intervinientes, carece de valor probatorio, no quedando acreditada ni la comisión del delito ni que se fuera a cometer y, consecuentemente, no se dieron los presupuestos necesarios para proceder a su detención, conforme lo establecido en el art. 492 L.E.Crim., vulnerando así su derecho fundamental a la libertad.</w:t>
      </w:r>
    </w:p>
    <w:p w:rsidR="008107C7" w:rsidRDefault="008107C7" w:rsidP="008107C7">
      <w:pPr>
        <w:pStyle w:val="TextoNormal"/>
      </w:pPr>
      <w:r>
        <w:t>Ahora bien, la detención constituyó una medida dirigida, en este caso, a la averiguación de un hecho delictivo (delito contra la salud pública) respecto al cual la policía había recibido denuncias y había efectuado las oportunas averiguaciones para constatar su realidad y la participación del recurrente en el mismo antes de proceder a su detención, según se reflejó en el atestado. De todo esto se deduce que no existió arbitrariedad en su práctica, ni estaba exenta de justificación, siendo acorde con las normas que regulan tal medida restrictiva de libertad.</w:t>
      </w:r>
    </w:p>
    <w:p w:rsidR="008107C7" w:rsidRDefault="008107C7" w:rsidP="008107C7">
      <w:pPr>
        <w:pStyle w:val="TextoNormal"/>
      </w:pPr>
      <w:r>
        <w:t>Cosa distinta es el valor probatorio de las declaraciones de los agentes de policía en el acto de juicio oral, en orden a fundamentar la condena del hoy recurrente por el delito del que fue acusado, lo que incidirá en el derecho a la presunción de inocencia (art. 24.2), pero no en el derecho a la libertad (art. 17.1).</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2</w:t>
      </w:r>
      <w:r>
        <w:t>. Los otros dos motivos que se articulan en la demanda, relativos a la vulneración del derecho a la presunción de inocencia (art. 24.2) y a la tutela judicial efectiva (art. 24.1 C.E.), se encuentran, en el presente recurso, como ha expuesto el Fiscal en su escrito de alegaciones, directamente entrelazados. Por ello conviene, en primer término, examinar la queja referente a la presunta vulneración del derecho a la tutela judicial efectiva, toda vez que, si se apreciare que la segunda Sentencia dictada por el Tribunal Supremo incurre en contradicción o en incongruencia interna, como aducen tanto el recurrente como el Ministerio Fiscal, la estimación del presente recurso conduciría a la anulación de dicha resolución judicial.</w:t>
      </w:r>
    </w:p>
    <w:p w:rsidR="008107C7" w:rsidRDefault="008107C7" w:rsidP="008107C7">
      <w:pPr>
        <w:pStyle w:val="TextoNormal"/>
      </w:pPr>
    </w:p>
    <w:p w:rsidR="008107C7" w:rsidRDefault="008107C7" w:rsidP="008107C7">
      <w:pPr>
        <w:pStyle w:val="TextoNormal"/>
      </w:pPr>
      <w:r w:rsidRPr="008107C7">
        <w:rPr>
          <w:rStyle w:val="NumeroAFNegritaCaracter"/>
        </w:rPr>
        <w:t>3</w:t>
      </w:r>
      <w:r>
        <w:t>. La segunda Sentencia de la Sala de lo Penal del Tribunal Supremo, en su parte dispositiva, establece: "Fallamos que debemos condenar y condenamos a Antonio Gavilán Rodríguez como autor responsable de un delito contra la salud pública ya definido, con la concurrencia de la atenuante analógica de drogadicción...".</w:t>
      </w:r>
    </w:p>
    <w:p w:rsidR="008107C7" w:rsidRDefault="008107C7" w:rsidP="008107C7">
      <w:pPr>
        <w:pStyle w:val="TextoNormal"/>
      </w:pPr>
      <w:r>
        <w:t>Dicho fallo, como enseguida veremos, pone de manifiesto la contradicción interna de la argumentación contenida en la segunda Sentencia de la Sala de lo Penal del Tribunal Supremo, que vulnera el derecho a obtener una resolución razonada y razonable, tuteladora efectiva como tal (art. 24.1 C.E.).</w:t>
      </w:r>
    </w:p>
    <w:p w:rsidR="008107C7" w:rsidRDefault="008107C7" w:rsidP="008107C7">
      <w:pPr>
        <w:pStyle w:val="TextoNormal"/>
      </w:pPr>
      <w:r>
        <w:t>En efecto, la primera Sentencia del Tribunal Supremo declara en su fundamento jurídico segundo: "El hecho probado afirma tajantemente que las papelinas las destinaba el acusado a terceros consumidores, descartando cualquier adicción que justificase la tenencia para el autoconsumo. Para llegar a esta conclusión se basa fundamentalmente en las contradicciones observadas en las sucesivas declaraciones del acusado, descartando como base probatoria el hallazgo de las mil setecientas pesetas encontradas en su poder, ya que considera que no eran producto de la venta de la droga".</w:t>
      </w:r>
    </w:p>
    <w:p w:rsidR="008107C7" w:rsidRDefault="008107C7" w:rsidP="008107C7">
      <w:pPr>
        <w:pStyle w:val="TextoNormal"/>
      </w:pPr>
      <w:r>
        <w:t>La misma Sentencia, en su fundamento jurídico tercero, afirma: "En el caso que examinamos se observa que todos los dictámenes médicos son coincidentes sobre la adicción del acusado al consumo de opiáceos que data además de épocas muy anteriores, lo que explica y justifica la alteración de sus facultades volitivas y el deterioro de su personalidad que son merecedoras de una valoración positiva, en el sentido de atenuar su responsabilidad en el grado de atenuante analógica que debió ser apreciado por la Sala Sentenciadora.  Aunque la incidencia sobre la pena es imperceptible, la apreciaremos en segunda Sentencia, a los efectos que puedan ser favorables al acusado".</w:t>
      </w:r>
    </w:p>
    <w:p w:rsidR="008107C7" w:rsidRDefault="008107C7" w:rsidP="008107C7">
      <w:pPr>
        <w:pStyle w:val="TextoNormal"/>
      </w:pPr>
      <w:r>
        <w:t>Pues bien, la segunda Sentencia del Tribunal Supremo, como afirma el Fiscal, presenta "un desacuerdo sustancial entre los distintos presupuestos y proposiciones de un mismo discurso", pues, de una parte, se dan por reproducidos los hechos probados de la Sentencia recurrida, añadiéndole como complemento que "el acusado era adicto habitual al consumo de heroína..."; de otra, da por reproducidos los fundamentos de derecho de la misma Sentencia la Audiencia Provincial de Sevilla, que, en el fundamento jurídico 2º, afirmó: "... nos encontramos con que el acusado, sin estar suficientemente probado que sea adicto a tal sustancia, tenía en su poder trece papelinas de heroína".</w:t>
      </w:r>
    </w:p>
    <w:p w:rsidR="008107C7" w:rsidRDefault="008107C7" w:rsidP="008107C7">
      <w:pPr>
        <w:pStyle w:val="TextoNormal"/>
      </w:pPr>
      <w:r>
        <w:t>Más aún: la segunda Sentencia del Tribunal Supremo reproduce el fundamento jurídico 3º de su primera Sentencia, relativo al error en la apreciación de la prueba, estimando la concurrencia de la atenuante analógica de drogadicción (art. 9.10, en relación con el art. 9.1 C.P. de 1973).</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4</w:t>
      </w:r>
      <w:r>
        <w:t>. Resulta evidente, en suma, el carácter internamente contradictorio de la segunda Sentencia del Tribunal Supremo, pues, niega y afirma, simultáneamente, la condición de adicto a las drogas del condenado, que en este caso constituye un "elemento imprescindible para el enjuiciamiento, dada la importancia que tal condición o enfermedad del acusado tiene para la acreditación del delito y para la apreciación de una circunstancia modificativa de la responsabilidad criminal", como afirma el Fiscal, utilizándose en un caso para justificar la condena y en otro para acoger una atenuante.</w:t>
      </w:r>
    </w:p>
    <w:p w:rsidR="008107C7" w:rsidRDefault="008107C7" w:rsidP="008107C7">
      <w:pPr>
        <w:pStyle w:val="TextoNormal"/>
      </w:pPr>
      <w:r>
        <w:t>Como hemos dicho en reiteradas ocasiones, "la obtención de una conclusión, basamento del pertinente fallo, en detrimento de la requerida coherencia con el punto de partida adoptado, produce una quiebra lógica en el razonamiento que puede eventualmente implicar el reproche de irrazonabilidad y, por ende, anudar a la correspondiente decisión la tacha de conculcadora de las exigencias inmanentes al art. 24.1 C.E. (STC 117/1996, con cita de la STC 22/1994).</w:t>
      </w:r>
    </w:p>
    <w:p w:rsidR="008107C7" w:rsidRDefault="008107C7" w:rsidP="008107C7">
      <w:pPr>
        <w:pStyle w:val="TextoNormal"/>
      </w:pPr>
      <w:r>
        <w:t>En consonancia con lo anteriormente expuesto, el presente recurso de amparo ha de ser estimado por vulnerar la segunda Sentencia del Tribunal Supremo, de 3 de marzo de 1995, el derecho del quejoso a la tutela judicial efectiva.</w:t>
      </w:r>
    </w:p>
    <w:p w:rsidR="008107C7" w:rsidRDefault="008107C7" w:rsidP="008107C7">
      <w:pPr>
        <w:pStyle w:val="TextoNormal"/>
      </w:pPr>
    </w:p>
    <w:p w:rsidR="008107C7" w:rsidRDefault="008107C7" w:rsidP="008107C7">
      <w:pPr>
        <w:pStyle w:val="TextoNormal"/>
      </w:pPr>
      <w:r w:rsidRPr="008107C7">
        <w:rPr>
          <w:rStyle w:val="NumeroAFNegritaCaracter"/>
        </w:rPr>
        <w:t>5</w:t>
      </w:r>
      <w:r>
        <w:t>. Apreciada la violación del derecho fundamental a la tutela judicial efectiva (art. 24.1 C.E.), no hay que considerar las otras posibles conculcaciones de derechos denunciadas por el recurrente.</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Estimar el presente recurso de amparo y, en consecuencia,</w:t>
      </w:r>
    </w:p>
    <w:p w:rsidR="008107C7" w:rsidRDefault="008107C7" w:rsidP="008107C7">
      <w:pPr>
        <w:pStyle w:val="TextoNormal"/>
      </w:pPr>
      <w:r>
        <w:t>1. Reconocer el derecho del demandante a la tutela judicial efectiva (art.  24.1).</w:t>
      </w:r>
    </w:p>
    <w:p w:rsidR="008107C7" w:rsidRDefault="008107C7" w:rsidP="008107C7">
      <w:pPr>
        <w:pStyle w:val="TextoNormal"/>
      </w:pPr>
      <w:r>
        <w:t>2. Anular la segunda Sentencia de la Sala de lo Penal del Tribunal Supremo, de 3 de marzo de 1995, en el recurso de casación núm. 3.519/94.</w:t>
      </w:r>
    </w:p>
    <w:p w:rsidR="008107C7" w:rsidRDefault="008107C7" w:rsidP="008107C7">
      <w:pPr>
        <w:pStyle w:val="TextoNormal"/>
      </w:pPr>
      <w:r>
        <w:t>3. Retrotraer las actuaciones al momento posterior al pronunciamiento de la primera Sentencia de la Sala Segunda del Tribunal Supremo, el 3 de marzo de 1995, para que el citado órgano judicial proceda a dictar nueva resolución, en forma de segunda Sentencia, con respeto al derecho del recurrente a la tutela judicial efectiva.</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ocho de abril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72" w:name="SENTENCIA_1997_69"/>
      <w:r>
        <w:lastRenderedPageBreak/>
        <w:t>SENTENCIA 69/1997, de 8 de abril de 1997</w:t>
      </w:r>
    </w:p>
    <w:bookmarkEnd w:id="72"/>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114, de 13 de mayo de 1997)</w:t>
      </w:r>
    </w:p>
    <w:p w:rsidR="008107C7" w:rsidRDefault="008107C7" w:rsidP="008107C7">
      <w:pPr>
        <w:pStyle w:val="TtuloBOE"/>
      </w:pPr>
    </w:p>
    <w:p w:rsidR="008107C7" w:rsidRDefault="008107C7" w:rsidP="008107C7">
      <w:pPr>
        <w:pStyle w:val="SntesisDescriptiva"/>
      </w:pPr>
      <w:r>
        <w:t>ECLI:ES:TC:1997:69</w:t>
      </w:r>
    </w:p>
    <w:p w:rsidR="008107C7" w:rsidRDefault="008107C7" w:rsidP="008107C7">
      <w:pPr>
        <w:pStyle w:val="SntesisDescriptiva"/>
      </w:pPr>
    </w:p>
    <w:p w:rsidR="008107C7" w:rsidRDefault="008107C7" w:rsidP="008107C7">
      <w:pPr>
        <w:pStyle w:val="SntesisDescriptiva"/>
      </w:pPr>
      <w:r>
        <w:t>Recurso de amparo 1.830/1995. Contra diversas resoluciones del Juzgado de lo Social núm. 14 de Madrid que inadmitieron demanda sobre reclamación de cantidad contra RENFE por no acreditar el cumplimiento del requisito de conciliación previa.</w:t>
      </w:r>
    </w:p>
    <w:p w:rsidR="008107C7" w:rsidRDefault="008107C7" w:rsidP="008107C7">
      <w:pPr>
        <w:pStyle w:val="SntesisDescriptiva"/>
      </w:pPr>
    </w:p>
    <w:p w:rsidR="008107C7" w:rsidRDefault="008107C7" w:rsidP="008107C7">
      <w:pPr>
        <w:pStyle w:val="SntesisAnaltica"/>
      </w:pPr>
      <w:r>
        <w:t>Vulneración del derecho a la tutela judicial efectiva: subsanabilidad de la omisión del requisito procesal advertida.</w:t>
      </w:r>
    </w:p>
    <w:p w:rsidR="008107C7" w:rsidRDefault="008107C7" w:rsidP="008107C7">
      <w:pPr>
        <w:pStyle w:val="SntesisAnaltica"/>
      </w:pPr>
    </w:p>
    <w:p w:rsidR="008107C7" w:rsidRDefault="008107C7" w:rsidP="008107C7">
      <w:pPr>
        <w:pStyle w:val="Extracto"/>
      </w:pPr>
      <w:r>
        <w:t>1.</w:t>
      </w:r>
      <w:r>
        <w:tab/>
        <w:t>La utilización de recursos previos en la vía judicial no puede extenderse a la de aquellos que por su naturaleza o por la decisión frente a la que se dirigen, no proporcionan a los órganos jurisdiccionales ocasión de reparar la lesión del derecho fundamental para preservar el carácter subsidiario que corresponde al recurso de amparo constitucional (SSTC 59/1987, 73/1989 y 8/1993). [F.J. 2]</w:t>
      </w:r>
    </w:p>
    <w:p w:rsidR="008107C7" w:rsidRDefault="008107C7" w:rsidP="008107C7">
      <w:pPr>
        <w:pStyle w:val="Extracto"/>
      </w:pPr>
    </w:p>
    <w:p w:rsidR="008107C7" w:rsidRDefault="008107C7" w:rsidP="008107C7">
      <w:pPr>
        <w:pStyle w:val="Extracto"/>
      </w:pPr>
      <w:r>
        <w:t>2.</w:t>
      </w:r>
      <w:r>
        <w:tab/>
        <w:t>Es doctrina consolidada de este Tribunal la de que el cumplimiento de la invocación formal del derecho vulnerado no precisa la cita específica de un concreto precepto del texto constitucional, es decir, no se requiere una especie de «editio actionis», sino que basta para entenderlo cumplido con que se ofrezca base argumental suficiente a fin de que el órgano judicial pueda conocer la vulneración aducida y pronunciarse sobre ella. [F.J. 3]</w:t>
      </w:r>
    </w:p>
    <w:p w:rsidR="008107C7" w:rsidRDefault="008107C7" w:rsidP="008107C7">
      <w:pPr>
        <w:pStyle w:val="Extracto"/>
      </w:pPr>
    </w:p>
    <w:p w:rsidR="008107C7" w:rsidRDefault="008107C7" w:rsidP="008107C7">
      <w:pPr>
        <w:pStyle w:val="Extracto"/>
      </w:pPr>
      <w:r>
        <w:t>3.</w:t>
      </w:r>
      <w:r>
        <w:tab/>
        <w:t>Hemos de tener en cuenta que el recurso de amparo, si bien tiene como finalidad esencial la protección, en sede constitucional, de los derechos fundamentales y libertades a que alude el art. 53.2 C.E., obedece también al designio de la defensa objetiva de la Constitución, «sirviendo de este modo la acción de amparo a un fin que trasciende de lo singular» (STC 1/1981); de tal manera que, aun admitiendo en hipótesis la concurrencia de la modalidad extintiva del proceso constitucional conocida como satisfacción extraprocesal de la pretensión, ello no impediría que este Tribunal, dada la relevancia constitucional que la presente queja pone de relieve, y que extravasa el ámbito subjetivo del recurso de amparo, analizase y decidiera sobre la existencia de la lesión en que tal queja se fundamenta, para atender así a la dimensión objetiva del recurso de amparo constitucional, reconocida por la doctrina constitucional . [F.J. 4]</w:t>
      </w:r>
    </w:p>
    <w:p w:rsidR="008107C7" w:rsidRDefault="008107C7" w:rsidP="008107C7">
      <w:pPr>
        <w:pStyle w:val="Extracto"/>
      </w:pPr>
    </w:p>
    <w:p w:rsidR="008107C7" w:rsidRDefault="008107C7" w:rsidP="008107C7">
      <w:pPr>
        <w:pStyle w:val="Extracto"/>
      </w:pPr>
      <w:r>
        <w:t>4.</w:t>
      </w:r>
      <w:r>
        <w:tab/>
        <w:t xml:space="preserve">Aun apreciando la existencia de lesión del derecho fundamental, la presente queja no pueda ser acogida en lo relativo al restablecimiento o reparación del derecho vulnerado, pues tal reparación ha de entenderse ya producida mediante la ulterior sustanciación ante el órgano judicial competente del correspondiente proceso laboral, obteniendo así el examen y decisión sobre el fondo de la pretensión ejercitada, de manera tal que los pronunciamientos de un eventual fallo estimatorio habrán de limitarse a los que señala el art. 55.1 a) y b) de la LOTC, pues tal precepto </w:t>
      </w:r>
      <w:r>
        <w:lastRenderedPageBreak/>
        <w:t>no impone, claro está, que la Sentencia estimatoria contenga todos los que dicha norma enuncia, sino solo alguno o algunos de ellos ( STC 83/1982) . [F.J. 4]</w:t>
      </w:r>
    </w:p>
    <w:p w:rsidR="008107C7" w:rsidRDefault="008107C7" w:rsidP="008107C7">
      <w:pPr>
        <w:pStyle w:val="Extracto"/>
      </w:pPr>
    </w:p>
    <w:p w:rsidR="008107C7" w:rsidRDefault="008107C7" w:rsidP="008107C7">
      <w:pPr>
        <w:pStyle w:val="Extracto"/>
      </w:pPr>
      <w:r>
        <w:t>5.</w:t>
      </w:r>
      <w:r>
        <w:tab/>
        <w:t>El problema, de relevancia constitucional, radica en determinar si la inadmisión mediante tales resoluciones acordada, impeditiva del acceso al proceso y a una resolución sobre el fondo, en aplicación de la norma procesal sobre subsanación del requisito de la conciliación previa, respetó o no el derecho constitucional a la tutela judicial efectiva, y al principio «pro actione» que debe inspirar tal derecho, cuando se trata del acceso al proceso, por cuanto que, como declara la STC 11/1988, examinando la subsanación de requisitos procesales en la jurisdicción laboral, «la doctrina reiterada de este Tribunal es la de que para que aquellas -las decisiones judiciales de inadmisión- sean constitucionalmente legítimas han de apoyarse en una causa a la que la norma legal anude tal efecto (inadmisión), apreciada razonadamente por el Juez, pero siempre interpretada en el sentido más favorable al ejercicio de la acción» . [F.J. 5]</w:t>
      </w:r>
    </w:p>
    <w:p w:rsidR="008107C7" w:rsidRDefault="008107C7" w:rsidP="008107C7">
      <w:pPr>
        <w:pStyle w:val="Extracto"/>
      </w:pPr>
    </w:p>
    <w:p w:rsidR="008107C7" w:rsidRDefault="008107C7" w:rsidP="008107C7">
      <w:pPr>
        <w:pStyle w:val="Extracto"/>
      </w:pPr>
      <w:r>
        <w:t>6.</w:t>
      </w:r>
      <w:r>
        <w:tab/>
        <w:t>La figura o la técnica procesal de la subsanación de defectos procesales tiene como objeto y esencial finalidad que el proceso no se frustre por el incumplimiento de requisitos susceptibles de posterior realización por la parte y que no se configuran como presupuestos procesales de indeclinable cumplimiento en tiempo y forma; de manera tal que mediante la subsanabilidad, rectamente entendida, se otorga como regla general a la parte que incurrió en el defecto procesal subsanable, la posibilidad de realizar, en el plazo al efecto habilitado, el requisito procesal incumplido o el acto procesal defectuosamente realizado, integrando así o rectificando «ex novo» la actuación procesal inicialmente defectuosa o irregular. De lo anterior se infiere que el plazo habilitado para la subsanación no lo es tan sólo para la simple acreditación formal de que temporáneamente fue cumplido el requisito procesal exigible, sino también para la realización en dicho plazo del acto omitido o la rectificación del defectuosamente practicado . [F.J. 6]</w:t>
      </w:r>
    </w:p>
    <w:p w:rsidR="008107C7" w:rsidRDefault="008107C7" w:rsidP="008107C7">
      <w:pPr>
        <w:pStyle w:val="Extracto"/>
      </w:pPr>
    </w:p>
    <w:p w:rsidR="008107C7" w:rsidRDefault="008107C7" w:rsidP="008107C7">
      <w:pPr>
        <w:pStyle w:val="Extracto"/>
      </w:pPr>
      <w:r>
        <w:t>7.</w:t>
      </w:r>
      <w:r>
        <w:tab/>
        <w:t>La doctrina constitucional ha reconocido la subsanabilidad material y no meramente formal de requisitos procesales a los que el legislador ha configurado como previos al proceso, y en tal sentido la STC 76/1996 ha declarado subsanable de tal forma la omisión de la comunicación previa, requisito exigido por el art. 57.2 f) de la Ley de la Jurisdicción Contencioso-Administrativa, en la redacción dada por la Disposición undécima de la Ley 30/1992; así como también ha subrayado la mencionada Sentencia que la posibilidad de subsanación concedida por el art. 129.3 de la citada Ley alcanza a la ausencia u omisión del recurso administrativo previo de reposición, aunque este tuviera el carácter y la denominación de presupuesto previo a la interposición del recurso contencioso-administrativo, tal como aparecía regulado en los arts. 52.1 y 82 e) de la L.J.C.A. De igual modo, la subsanabilidad «ex post» ha sido declarada por este Tribunal respecto a un requisito del proceso laboral que guarda semejanza con el ahora debatido, cual es la reclamación previa en la vía administrativa cuando se demanda a Entes públicos (SSTC 11/1988, 65/1993 y 120/1993) . [F.J. 6]</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lastRenderedPageBreak/>
        <w:t>La Sala Primera del Tribunal Constitucional, compuesta por don Alvaro Rodríguez Bereijo, Presidente, don Vicente Gimeno Sendra, don Pedro Cruz Villalón, don Enrique Ruíz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1.830/95 interpuesto por don Juan Teba Diaz, representado por el Procurador de los Tribunales, don Fernando Bermudez de Castro Rosillo, y asistido por el Letrado don Joaquin Ruiz-Gimenez Aguilar, contra el Auto del Juzgado de lo Social núm. 14 de Madrid, de 20 de abril de 1995. Han sido partes, además del Ministerio Fiscal, la Red Nacional de los Ferrocarriles Españoles (RENFE) , representada por la Procuradora doña María Luisa Delgado-Iribarren Pastor, y asistida por la Letrada doña Carmen Tornos Oliveros. Ha sido Ponente el Magistrado don Pablo García Manzano,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registrado en el Tribunal el 19 de mayo de 1995, don Juan Teba Diaz, representado por el Procurador de los Tribunales don Fernando Bermudez de Castro Rosillo, interpone recurso de amparo contra el Auto del Juzgado de lo Social núm. 14 de Madrid, de 20 de abril de 1995.</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Constituyen la base fáctica de la demanda los siguientes antecedentes de hecho: </w:t>
      </w:r>
    </w:p>
    <w:p w:rsidR="008107C7" w:rsidRDefault="008107C7" w:rsidP="008107C7">
      <w:pPr>
        <w:pStyle w:val="TextoNormal"/>
      </w:pPr>
      <w:r>
        <w:t xml:space="preserve">a) El recurrente formuló demanda sobre reclamación de cantidad, contra RENFE, solicitando el abono de la indemnización correspondiente por traslado forzoso, tras haber interpuesto reclamación previa en la vía administrativa, sin obtener respuesta alguna. Por providencia de 21 de febrero de 1995, el Juzgado de lo Social núm. 14 de Madrid admitió a trámite provisionalmente la demanda, y requirió a la parte actora para que en el plazo de quince días acreditara, mediante copia certificada del acta, el cumplimiento del requisito de conciliación previa ante el Servicio de Mediación, Arbitraje y Conciliación (S.M.A.C.), bajo apercibimiento de archivo. </w:t>
      </w:r>
    </w:p>
    <w:p w:rsidR="008107C7" w:rsidRDefault="008107C7" w:rsidP="008107C7">
      <w:pPr>
        <w:pStyle w:val="TextoNormal"/>
      </w:pPr>
      <w:r>
        <w:t xml:space="preserve">b) El recurrente interpuso recurso de reposición contra la anterior providencia, alegando la exclusión del requisito de la conciliación previa en procesos que exijan la reclamación previa en vía administrativa (arts. 64.1 y 69.1 de la L.P.L.), como en este caso, dado que RENFE es un organismo dependiente del Estado. </w:t>
      </w:r>
    </w:p>
    <w:p w:rsidR="008107C7" w:rsidRDefault="008107C7" w:rsidP="008107C7">
      <w:pPr>
        <w:pStyle w:val="TextoNormal"/>
      </w:pPr>
      <w:r>
        <w:t xml:space="preserve">c) El recurrente, paralelamente y ad cautelam, intentó la conciliación. Con fecha de 10 de marzo de 1995, ante la incomparecencia de ambas partes, no constando debidamente citado el actor, se dio el acto de conciliación por intentado y sin efecto. Por providencia dictada aquel día, el Juzgado tuvo por no subsanado el defecto "ya que el intento de conciliación ante el S.M.A.C. que se acredita, no tiene la condición de previo a la demanda al </w:t>
      </w:r>
      <w:r>
        <w:lastRenderedPageBreak/>
        <w:t xml:space="preserve">haberse presentado la papeleta de conciliación en fecha de 24 de febrero de 1995 y la demanda el 16 de febrero de 1995". Frente a la misma se interpuso recurso de reposición, aduciendo que, según la ley, sólo es exigible que el intento de conciliación se haga antes de la tramitación del procedimiento, y que en virtud del principio pro actione debe prevalecer el derecho de acceso al proceso. </w:t>
      </w:r>
    </w:p>
    <w:p w:rsidR="008107C7" w:rsidRDefault="008107C7" w:rsidP="008107C7">
      <w:pPr>
        <w:pStyle w:val="TextoNormal"/>
      </w:pPr>
      <w:r>
        <w:t>d) Mediante Auto de 20 de abril de 1995, el Juzgado de lo Social desestimó la reposición solicitada contra las providencias de 21 de febrero y de 10 de marzo de 1995. Razonaba el Juzgado de lo Social que, conteniendo el art. 69.1 de la L.P.L. una enumeración cerrada respecto de las entidades frente a las que ha de efectuarse reclamación previa, por lo que no siendo RENFE un organismo autónomo dependiente del Estado, sino una empresa pública, el intento de conciliación es requisito previo a la tramitación del proceso, siendo obvio que el mismo no se cumplió, pues sólo forzando de forma inadmisible la Ley y la finalidad de la norma, así como el propio instituto de la conciliación previa, puede entenderse cumplido el requisito, presentando una papeleta de conciliación después de la demanda.</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Se interpone recurso de amparo contra el Auto de 20 de abril de 1995 del Juzgado de lo Social núm. 14 de Madrid, interesando su nulidad, y la de las providencias de 21 de febrero y 10 de marzo de 1995, por vulnerar el derecho a la tutela judicial efectiva consagrado en el art. 24.1 de la C.E. </w:t>
      </w:r>
    </w:p>
    <w:p w:rsidR="008107C7" w:rsidRDefault="008107C7" w:rsidP="008107C7">
      <w:pPr>
        <w:pStyle w:val="TextoNormal"/>
      </w:pPr>
      <w:r>
        <w:t>Se argumenta, con cita de la STC 11/1988 resolutoria de una cuestión sustancialmente idéntica, que arbitrariamente y sin explicación ni motivación suficiente, el órgano judicial excluye inapelablemente a RENFE de la que considera lista nominal y enumeración cerrada del art. 69.1 de la L.P.L. y niega al recurrente tutela efectiva, después de que, siguiendo sus recomendaciones, intentó ad cautelam el acto de conciliación; intento que resultó ser tan ineficaz como la precedente reclamación previa, pues RENFE ni contestó a ésta ni acudió al acto de conciliación. Es patente, prosigue el demandante, el excesivo rigor formalista de las resoluciones impugnadas que le negaron arbitrariamente su derecho a una decisión sobre el fondo de la pretensión ejercitada, a pesar de los infructuosos intentos conciliatorios, antes de la sustanciación y tramitación de la demanda, cuya admisión el propio Juez de lo Social había dejado provisionalmente en suspenso hasta la subsanación del defecto advertido.</w:t>
      </w:r>
    </w:p>
    <w:p w:rsidR="008107C7" w:rsidRDefault="008107C7" w:rsidP="008107C7">
      <w:pPr>
        <w:pStyle w:val="TextoNormal"/>
      </w:pPr>
    </w:p>
    <w:p w:rsidR="008107C7" w:rsidRDefault="008107C7" w:rsidP="008107C7">
      <w:pPr>
        <w:pStyle w:val="TextoNormal"/>
      </w:pPr>
      <w:r w:rsidRPr="008107C7">
        <w:rPr>
          <w:rStyle w:val="NumeroAFNegritaCaracter"/>
        </w:rPr>
        <w:t>4</w:t>
      </w:r>
      <w:r>
        <w:t>. Mediante providencia de 14 de febrero de 1996, la Sección Segunda de este Tribunal acordó, conforme determina el art. 50.5 LOTC, conceder al Procurador Sr. Bermudez de Castro Rosillo un plazo de diez días, para que aporte certificación acreditativa de la fecha de notificación del Auto recurrido a la representación legal del recurrente en amparo.</w:t>
      </w:r>
    </w:p>
    <w:p w:rsidR="008107C7" w:rsidRDefault="008107C7" w:rsidP="008107C7">
      <w:pPr>
        <w:pStyle w:val="TextoNormal"/>
      </w:pPr>
    </w:p>
    <w:p w:rsidR="008107C7" w:rsidRDefault="008107C7" w:rsidP="008107C7">
      <w:pPr>
        <w:pStyle w:val="TextoNormal"/>
      </w:pPr>
      <w:r w:rsidRPr="008107C7">
        <w:rPr>
          <w:rStyle w:val="NumeroAFNegritaCaracter"/>
        </w:rPr>
        <w:t>5</w:t>
      </w:r>
      <w:r>
        <w:t xml:space="preserve">. Tras darse cumplimiento al anterior proveído, por providencia de 23 de febrero de 1996, la Sección Segunda acordó admitir a trámite la demanda de amparo, y a tenor de los dispuesto en el art. 51 de la LOTC, requerir al Juzgado de lo Social núm. 14 de Madrid, para que, en el plazo de diez días, remitieran testimonio de los autos núm. 109/95; y para la práctica de los emplazamientos pertinentes. </w:t>
      </w:r>
    </w:p>
    <w:p w:rsidR="008107C7" w:rsidRDefault="008107C7" w:rsidP="008107C7">
      <w:pPr>
        <w:pStyle w:val="TextoNormal"/>
      </w:pPr>
      <w:r>
        <w:t xml:space="preserve">En el escrito registrado el 27 de marzo de 1996, doña María Luisa Delgado-Iribarren Pastor, Procuradora de los Tribunales, se persona en las actuaciones en nombre de RENFE. </w:t>
      </w:r>
    </w:p>
    <w:p w:rsidR="008107C7" w:rsidRDefault="008107C7" w:rsidP="008107C7">
      <w:pPr>
        <w:pStyle w:val="TextoNormal"/>
      </w:pPr>
      <w:r>
        <w:t xml:space="preserve">Por providencia de 15 de abril de 1996, la Sección Segunda acuerda tenerla por personada, y asimismo, acuerda acusar recibo de las actuaciones interesadas en el anterior proveído, y dar vista de las mismas a las partes personadas y al Ministerio Fiscal, por plazo </w:t>
      </w:r>
      <w:r>
        <w:lastRenderedPageBreak/>
        <w:t>común de veinte días, para que presentaran las alegaciones que estimasen pertinentes, de conformidad con lo dispuesto en el art. 52.1 LOTC.</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La representación de RENFE, por escrito registrado el 10 de mayo de 1996, formuló alegaciones interesando la desestimación de la demanda de amparo. Entiende que en el presente supuesto, el recurrente ha obtenido la tutela efectiva de los Jueces y Tribunales en su pretensión de amparo, pues volvió a replantear su demanda, habiendo sido dictada Sentencia desestimatoria de la misma el día 15 de noviembre de 1995, por el Juzgado de lo Social núm. 14 de Madrid, Sentencia que se encuentra en la actualidad recurrida en suplicación ante la Sala de lo Social del T.S.J. de Madrid. Habiendo sido resuelta por la anterior Sentencia la cuestión en cuanto al fondo, el recurrente de amparo obtuvo ya la tutela efectiva de los Jueces y Tribunales en cuanto a su pretensión. </w:t>
      </w:r>
    </w:p>
    <w:p w:rsidR="008107C7" w:rsidRDefault="008107C7" w:rsidP="008107C7">
      <w:pPr>
        <w:pStyle w:val="TextoNormal"/>
      </w:pPr>
      <w:r>
        <w:t>Además, se señala que la demanda de amparo incurrió en los motivos de inadmisión de falta de agotamiento de la vía judicial y de invocación en la vía previa del derecho fundamental presuntamente lesionado.</w:t>
      </w:r>
    </w:p>
    <w:p w:rsidR="008107C7" w:rsidRDefault="008107C7" w:rsidP="008107C7">
      <w:pPr>
        <w:pStyle w:val="TextoNormal"/>
      </w:pPr>
    </w:p>
    <w:p w:rsidR="008107C7" w:rsidRDefault="008107C7" w:rsidP="008107C7">
      <w:pPr>
        <w:pStyle w:val="TextoNormal"/>
      </w:pPr>
      <w:r w:rsidRPr="008107C7">
        <w:rPr>
          <w:rStyle w:val="NumeroAFNegritaCaracter"/>
        </w:rPr>
        <w:t>7</w:t>
      </w:r>
      <w:r>
        <w:t>. Por escrito registrado en el Tribunal el 13 de mayo de 1996, la representación actora se ratifica en las alegaciones de su escrito de demanda.</w:t>
      </w:r>
    </w:p>
    <w:p w:rsidR="008107C7" w:rsidRDefault="008107C7" w:rsidP="008107C7">
      <w:pPr>
        <w:pStyle w:val="TextoNormal"/>
      </w:pPr>
    </w:p>
    <w:p w:rsidR="008107C7" w:rsidRDefault="008107C7" w:rsidP="008107C7">
      <w:pPr>
        <w:pStyle w:val="TextoNormal"/>
      </w:pPr>
      <w:r w:rsidRPr="008107C7">
        <w:rPr>
          <w:rStyle w:val="NumeroAFNegritaCaracter"/>
        </w:rPr>
        <w:t>8</w:t>
      </w:r>
      <w:r>
        <w:t>. El Fiscal ante el Tribunal Constitucional, en el escrito de 14 de mayo de 1996, solicitó el otorgamiento del amparo, al estimar que la resolución impugnada ha vulnerado el art. 24.1 de la C.E.. A su juicio, la resolución judicial, olvidando las circunstancias del demandante (que carecía de Letrado y ha actuado diligentemente), así como la finalidad de la norma y el cumplimiento de ésta a través del trámite que ya se había cumplido, y del trámite que se cumplió a requerimiento del Juez, (aunque no fuera con carácter previo), ha realizado una interpretación de la normativa en exceso rigurosa y formalista, y por tanto contraria al art. 24.1 C.E., teniendo en cuenta, además, la especial flexibilidad que el acceso al proceso exigía en este caso para interpretar las normas en función del cumplimiento de su verdadera finalidad.</w:t>
      </w:r>
    </w:p>
    <w:p w:rsidR="008107C7" w:rsidRDefault="008107C7" w:rsidP="008107C7">
      <w:pPr>
        <w:pStyle w:val="TextoNormal"/>
      </w:pPr>
    </w:p>
    <w:p w:rsidR="008107C7" w:rsidRDefault="008107C7" w:rsidP="008107C7">
      <w:pPr>
        <w:pStyle w:val="TextoNormal"/>
      </w:pPr>
      <w:r w:rsidRPr="008107C7">
        <w:rPr>
          <w:rStyle w:val="NumeroAFNegritaCaracter"/>
        </w:rPr>
        <w:t>9</w:t>
      </w:r>
      <w:r>
        <w:t>. Por providencia de 27 de mayo de 1996, la Sección Segunda de este Tribunal, acordó tener por recibido el escrito de la Procuradora Sra. Delgado- Iribarren Pastor, admitir la prueba documental presentada, y de conformidad con lo prevenido por el art. 88 LOTC, requerir a la Sala de lo Social del T.S.J de Madrid, y al Juzgado de lo Social núm. 14 de Madrid, para que en el plazo de diez días, remitan, respectivamente, testimonio del recurso de suplicación núm. 1638/96, y de los autos 367/95, y del recurso de suplicación núm. 154/95.</w:t>
      </w:r>
    </w:p>
    <w:p w:rsidR="008107C7" w:rsidRDefault="008107C7" w:rsidP="008107C7">
      <w:pPr>
        <w:pStyle w:val="TextoNormal"/>
      </w:pPr>
    </w:p>
    <w:p w:rsidR="008107C7" w:rsidRDefault="008107C7" w:rsidP="008107C7">
      <w:pPr>
        <w:pStyle w:val="TextoNormal"/>
      </w:pPr>
      <w:r w:rsidRPr="008107C7">
        <w:rPr>
          <w:rStyle w:val="NumeroAFNegritaCaracter"/>
        </w:rPr>
        <w:t>10</w:t>
      </w:r>
      <w:r>
        <w:t>. Recibidas las actuaciones interesadas, por providencia de 30 de septiembre de 1996, la Sección Segunda de este Tribunal acordó dar vista de las mismas, por un plazo común de diez días, al Ministerio Fiscal y al solicitante de amparo, para que puedan presentar alegaciones respecto de la prueba admitida, propuesta por la Procuradora Sra. Delgado-Iribarren Pastor.</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11</w:t>
      </w:r>
      <w:r>
        <w:t>. Por escrito presentado ante el Tribunal el 11 de octubre de 1996, la representación actora reitera la solicitud de amparo formulada en su demanda inicial. Entiende que el amparo solicitado se centró en la declaración de nulidad del Auto del Juzgado de lo Social núm. 14 de Madrid, de 20 de abril de 1995, que cerró indebidamente las puertas de acceso al procedimiento judicial pertinente, generándole evidente indefensión, contra lo previsto por el art. 24.1 de la C.E.. Sólo se discute en este proceso de amparo, prosigue el escrito de alegaciones, si el Juzgado de lo Social debió permitir al recurrente acceder al procedimiento judicial. A través de una interpretación rigorista y anticonstitucional de los requisitos exigibles para el acceso al proceso negó, afirma el recurrente, su derecho a obtener la tutela judicial efectiva en un procedimiento con todas las garantías, por lo que tiene derecho, se afirma, como reconoce el Ministerio Fiscal, a que se le otorgue el amparo solicitado, independientemente de cualquier otra acción, afortunada o desafortunada, interpuesta contra RENFE.</w:t>
      </w:r>
    </w:p>
    <w:p w:rsidR="008107C7" w:rsidRDefault="008107C7" w:rsidP="008107C7">
      <w:pPr>
        <w:pStyle w:val="TextoNormal"/>
      </w:pPr>
    </w:p>
    <w:p w:rsidR="008107C7" w:rsidRDefault="008107C7" w:rsidP="008107C7">
      <w:pPr>
        <w:pStyle w:val="TextoNormal"/>
      </w:pPr>
      <w:r w:rsidRPr="008107C7">
        <w:rPr>
          <w:rStyle w:val="NumeroAFNegritaCaracter"/>
        </w:rPr>
        <w:t>12</w:t>
      </w:r>
      <w:r>
        <w:t>. Por escrito registrado en el Tribunal el 15 de octubre de 1996, el Ministerio Fiscal interesó el archivo de la demanda de amparo por carencia sobrevenida de su objeto. A su juicio, los motivos de inadmisión planteados por la representación de la parte recurrida en este proceso, relativos a la falta de agotamiento de la vía judicial y de invocación en la vía previa del derecho fundamental presuntamente lesionado (arts. 44.1 a) y 44. 1 c) LOTC), no pueden prosperar, ya que la resolución impugnada en amparo era irrecurrible y firme (art. 183.2 de la L.P.L.), y el recurrente invocó la presunta vulneración del derecho a obtener la tutela judicial efectiva. Por el contrario, prosigue el escrito de alegaciones, de las actuaciones se deduce que el derecho fundamental que se hizo valer en la demanda de amparo ha sido colmado con posterioridad, pues, como alegara la parte recurrida en este proceso constitucional, el recurrente inició un nuevo proceso sobre el mismo objeto en el mismo Juzgado, y en el que obtuvo una Sentencia sobre el fondo, hoy recurrida en suplicación. Por lo que, de acuerdo con la doctrina de este Tribunal sobre la satisfacción extraprocesal de la pretensión (ATC 281/1995) el proceso constitucional ha quedado sin objeto. Las alegaciones que en su día se vertieron a favor de la estimación del amparo solicitado, concluye el Ministerio Público, se hicieron en el desconocimiento de la realidad procesal ahora descubierta; el amparo, que eventualmente se otorgara, tendría, pues, un carácter totalmente formal y sin efecto práctico alguno para el recurrente.</w:t>
      </w:r>
    </w:p>
    <w:p w:rsidR="008107C7" w:rsidRDefault="008107C7" w:rsidP="008107C7">
      <w:pPr>
        <w:pStyle w:val="TextoNormal"/>
      </w:pPr>
    </w:p>
    <w:p w:rsidR="008107C7" w:rsidRDefault="008107C7" w:rsidP="008107C7">
      <w:pPr>
        <w:pStyle w:val="TextoNormal"/>
      </w:pPr>
      <w:r w:rsidRPr="008107C7">
        <w:rPr>
          <w:rStyle w:val="NumeroAFNegritaCaracter"/>
        </w:rPr>
        <w:t>13</w:t>
      </w:r>
      <w:r>
        <w:t>. Por providencia de fecha 7 de abril de 1997, se señaló para la deliberación y votación de la presente Sentencia el día 8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El presente recurso de amparo tiene por objeto determinar si, como aduce el recurrente, el Auto dictado el 20 de abril de 1995 por el Juzgado de lo Social núm. 14 de Madrid, confirmatorio en su integridad de las providencias de 21 de febrero y 10 de marzo de 1.995, emanadas del mismo órgano jurisdiccional, al declarar la inadmisión a trámite de la demanda promovida por el hoy recurrente Sr.  Teba Díaz, con el consecuente archivo de la misma, en el procedimiento laboral seguido ante dicho Juzgado con el núm. 109/95, ha lesionado el derecho fundamental del recurrente a la tutela judicial efectiva y sin indefensión, garantizado por el art. 24.1 C.E., al impedirle el acceso al proceso laboral iniciado </w:t>
      </w:r>
      <w:r>
        <w:lastRenderedPageBreak/>
        <w:t>mediante la demanda presentada ante dicho Juzgado con fecha 16 de febrero de 1995 en los autos referidos, por entender el Órgano jurisdiccional del orden social que no se había celebrado con anterioridad a dicha demanda el preceptivo acto de conciliación preprocesal con la empresa demandada RENFE, ni, una vez advertida tal omisión y requerido el demandante al efecto, la subsanó eficazmente; cuestión de fondo la expuesta a la que ha de preceder el análisis de las objeciones formales que se oponen a la viabilidad del presente proceso constitucional.</w:t>
      </w:r>
    </w:p>
    <w:p w:rsidR="008107C7" w:rsidRDefault="008107C7" w:rsidP="008107C7">
      <w:pPr>
        <w:pStyle w:val="TextoNormal"/>
      </w:pPr>
    </w:p>
    <w:p w:rsidR="008107C7" w:rsidRDefault="008107C7" w:rsidP="008107C7">
      <w:pPr>
        <w:pStyle w:val="TextoNormal"/>
      </w:pPr>
      <w:r w:rsidRPr="008107C7">
        <w:rPr>
          <w:rStyle w:val="NumeroAFNegritaCaracter"/>
        </w:rPr>
        <w:t>2</w:t>
      </w:r>
      <w:r>
        <w:t>. Procede examinar con carácter previo las objeciones de carácter procesal opuestas por RENFE a la viabilidad del presente proceso constitucional y que constituyen, en tesis de dicha parte, incumplimiento de los requisitos previstos en los apartados a) y c) del art. 44.1 de la LOTC, tales como la falta de agotamiento de todos los recursos utilizables dentro de la vía judicial, y la falta de invocación formal en el proceso a quo del derecho fundamental vulnerado.</w:t>
      </w:r>
    </w:p>
    <w:p w:rsidR="008107C7" w:rsidRDefault="008107C7" w:rsidP="008107C7">
      <w:pPr>
        <w:pStyle w:val="TextoNormal"/>
      </w:pPr>
      <w:r>
        <w:t>La primera de tales objeciones se formula con base en el dato de que el Sr.  Teba Díaz, ahora recurrente, no interpuso recurso de reposición contra el Auto que se dice dictado por el Juzgado de lo Social número 14 de Madrid con fecha 8 de mayo de 1995, posterior al ahora impugnado y por el que se acordó el archivo de las actuaciones procesales. Para rechazar este alegato basta tener en cuenta la carencia de contenido decisorio autónomo de esta última resolución judicial -que no consta, por otra parte, en las actuaciones remitidas por el mencionado Juzgado-, constreñida a formalizar una pura consecuencia procesal derivada de la resolución de inadmisión a trámite de la demanda laboral, producida mediante el Auto impugnado de 20 de abril de 1995, en cuanto confirmatorio de las providencias de 21 de febrero y 10 de marzo del mismo año, al no tener por subsanado el defecto procesal en éstas advertido.  El cierre del proceso y la denegación de acceso al mismo se produjo, pues, por estas resoluciones judiciales y no por la que se limitaba a disponer un simple efecto material dimanante de aquellas, cual el archivo de los autos. La utilización de recursos previos en la vía judicial no puede extenderse a la de aquellos que por su naturaleza o por la decisión frente a la que se dirigen, no proporcionan a los órganos jurisdiccionales ocasión de reparar la lesión del derecho fundamental, para preservar el carácter subsidiario que corresponde al recurso de amparo constitucional (SSTC 59/1987, 73/1989 y 8/1993).</w:t>
      </w:r>
    </w:p>
    <w:p w:rsidR="008107C7" w:rsidRDefault="008107C7" w:rsidP="008107C7">
      <w:pPr>
        <w:pStyle w:val="TextoNormal"/>
      </w:pPr>
    </w:p>
    <w:p w:rsidR="008107C7" w:rsidRDefault="008107C7" w:rsidP="008107C7">
      <w:pPr>
        <w:pStyle w:val="TextoNormal"/>
      </w:pPr>
      <w:r w:rsidRPr="008107C7">
        <w:rPr>
          <w:rStyle w:val="NumeroAFNegritaCaracter"/>
        </w:rPr>
        <w:t>3</w:t>
      </w:r>
      <w:r>
        <w:t>. Idéntica suerte desestimatoria ha de merecer la segunda de las objeciones aducidas, relativa a la ausencia de invocación formal, en el proceso previo, del derecho fundamental vulnerado.</w:t>
      </w:r>
    </w:p>
    <w:p w:rsidR="008107C7" w:rsidRDefault="008107C7" w:rsidP="008107C7">
      <w:pPr>
        <w:pStyle w:val="TextoNormal"/>
      </w:pPr>
      <w:r>
        <w:t>En efecto, es doctrina consolidada de este Tribunal la de que el cumplimiento de este requisito no precisa la cita específica de un concreto precepto del texto constitucional, es decir, no se requiere una especie de editio actionis, sino que basta para entenderlo cumplido con que se ofrezca base argumental suficiente a fin de que el órgano judicial pueda conocer la vulneración aducida y pronunciarse sobre ella, interpretación flexible de dicho requisito que se contiene en las SSTC 17/1982, 117/1983, 75/1984, 10/1986, 75/1988 y 248/1993.</w:t>
      </w:r>
    </w:p>
    <w:p w:rsidR="008107C7" w:rsidRDefault="008107C7" w:rsidP="008107C7">
      <w:pPr>
        <w:pStyle w:val="TextoNormal"/>
      </w:pPr>
      <w:r>
        <w:t xml:space="preserve">Pues bien, en el presente caso, al interponer el recurso de reposición frente a la segunda providencia del Juzgado de lo Social número 14, la dictada en 10 de marzo de 1995, que tenía por no subsanado el defecto procesal de ausencia del acto de conciliación previa, el ahora recurrente en amparo adujo, en el tercero de los motivos fundantes de tal recurso, el derecho constitucional a obtener la tutela efectiva de los Jueces y Tribunales sin indefensión, así como el principio pro actione garantizador del acceso de los ciudadanos a los procesos judiciales mediante una interpretación restrictiva de las trabas procesales, lo que equivale a </w:t>
      </w:r>
      <w:r>
        <w:lastRenderedPageBreak/>
        <w:t>la invocación del art. 24.1 de la C.E., permitiendo así al Órgano jurisdiccional en el proceso a quo el restablecimiento del derecho fundamental al acceso a la jurisdicción, como integrante de la tutela judicial efectiva, garantizado por el mencionado precepto constitucional.</w:t>
      </w:r>
    </w:p>
    <w:p w:rsidR="008107C7" w:rsidRDefault="008107C7" w:rsidP="008107C7">
      <w:pPr>
        <w:pStyle w:val="TextoNormal"/>
      </w:pPr>
    </w:p>
    <w:p w:rsidR="008107C7" w:rsidRDefault="008107C7" w:rsidP="008107C7">
      <w:pPr>
        <w:pStyle w:val="TextoNormal"/>
      </w:pPr>
      <w:r w:rsidRPr="008107C7">
        <w:rPr>
          <w:rStyle w:val="NumeroAFNegritaCaracter"/>
        </w:rPr>
        <w:t>4</w:t>
      </w:r>
      <w:r>
        <w:t>. El Ministerio Fiscal y RENFE se oponen a la válida subsistencia de este proceso constitucional con base en la carencia sobrevenida de objeto, dado que, se aduce, el recurrente, tras impugnar en esta sede constitucional el Auto de 20 de abril de 1995, volvió a presentar demanda ante la jurisdicción social, precedida esta vez del acto previo de conciliación, mediante la que ejercitaba la misma reclamación de cantidad contra RENFE, con idéntica fundamentación que la anterior y que, tras su admisión a trámite y sustanciación en el correspondiente proceso laboral, fue desestimada por Sentencia del Juzgado de lo Social núm. 14 de fecha 15 de noviembre de 1995, recurrida en suplicación por el Sr. Teba Díaz; actuación procesal esta que, a juicio del Ministerio Fiscal y de la empresa pública recurrida, implica la extinción del presente proceso constitucional por satisfacción extraprocesal de la pretensión; alegato al que se ha opuesto el demandante en amparo por entender que las resoluciones judiciales impugnadas, impeditivas del acceso al proceso laboral en los autos 109/95, en cuanto causantes de indefensión, determinan que su demanda de amparo mantenga "sentido, utilidad y validez", insistiendo así en la pretensión ejercitada en sede constitucional.</w:t>
      </w:r>
    </w:p>
    <w:p w:rsidR="008107C7" w:rsidRDefault="008107C7" w:rsidP="008107C7">
      <w:pPr>
        <w:pStyle w:val="TextoNormal"/>
      </w:pPr>
      <w:r>
        <w:t>Hemos de rechazar tal objeción y entender que el proceso no se ha extinguido por carencia sobrevenida de objeto. La dimensión constitucional de este recurso de amparo estriba en dilucidar si se lesionó al Sr. Teba Díaz su derecho fundamental de acceso a la jurisdicción laboral, como manifestación prístina de su derecho constitucional a la tutela judicial efectiva sin indefensión, garantizado por el art. 24.1 C.E. El derecho de acceso se postula respecto de la pretensión contenida en la demanda formulada por aquél en los iniciales autos seguidos ante el Juzgado de lo Social núm. 14 de los de Madrid, tramitados con el núm. 109/95, y por tanto, respecto a la inadmisión a trámite de dicha demanda; en consecuencia, si las resoluciones judiciales que así lo acordaron, cerrando el acceso al proceso laboral iniciado por dicha demanda, son constitucionalmente incompatibles con el citado art. 24.1 C.E., el amparo habría de ser sustancialmente estimado, pues la indefensión, aun en su perspectiva de contenido material, se produce a causa de una inadmisión de la demanda lesiva de dicho derecho fundamental, que hizo necesario el replanteamiento o reiniciación del proceso laboral para no perjudicar el derecho material objeto de la pretensión actora por el transcurso del tiempo, obligando así o condicionando al hoy recurrente a asumir la carga procesal de la iniciación y sustanciación de un segundo procedimiento, a su juicio innecesario por haber respetado los presupuestos procesales de admisibilidad el primeramente promovido.</w:t>
      </w:r>
    </w:p>
    <w:p w:rsidR="008107C7" w:rsidRDefault="008107C7" w:rsidP="008107C7">
      <w:pPr>
        <w:pStyle w:val="TextoNormal"/>
      </w:pPr>
      <w:r>
        <w:t xml:space="preserve">No se ha producido la satisfacción procesal de la pretensión ni el recurso de amparo se ha extinguido por carencia sobrevenida de su objeto. Para ello hemos de tener en cuenta que dicho recurso, si bien tiene como finalidad esencial la protección, en sede constitucional, de los derechos fundamentales y libertades a que alude el art. 53.2 C.E., obedece también al designio de la defensa objetiva de la Constitución, "sirviendo de este modo la acción de amparo a un fin que trasciende de lo singular" (STC 1/1981, fundamento jurídico 2º); de tal manera que, aun admitiendo en hipótesis la concurrencia de la modalidad extintiva del proceso constitucional conocida como satisfacción extraprocesal de la pretensión, ello no impediría que este Tribunal, dada la relevancia constitucional que la presente queja pone de relieve, y que extravasa el ámbito subjetivo del recurso de amparo, analizase y decidiera sobre la existencia de la lesión en que tal queja se fundamenta, para atender así a la dimensión objetiva del recurso de amparo constitucional, reconocida por la doctrina constitucional en las SSTC 163/1986, fundamento jurídico 1º, in fine; 129/1989, fundamento jurídico 3º; </w:t>
      </w:r>
      <w:r>
        <w:lastRenderedPageBreak/>
        <w:t>y 245/1991, fundamento jurídico 5º; asentada en este caso en la trascendencia objetiva que reviste la correcta depuración de los presupuestos procesales del proceso laboral, como es en este caso la conciliación previa a la tramitación de dicho proceso.</w:t>
      </w:r>
    </w:p>
    <w:p w:rsidR="008107C7" w:rsidRDefault="008107C7" w:rsidP="008107C7">
      <w:pPr>
        <w:pStyle w:val="TextoNormal"/>
      </w:pPr>
      <w:r>
        <w:t>Por otra parte, y en corroboración de que no concurre en este caso la satisfacción extraprocesal de la pretensión actora, hemos de recordar que esta modalidad de finalización del proceso administrativo, en el que tiene su específica regulación (art. 90 de la Ley reguladora de la Jurisdicción Contencioso- Administrativa), exige para su correcta apreciación que el acogimiento o satisfacción de la pretensión actuada lo haya sido de manera íntegra o total, siendo así que el reconocimiento íntegro o total de las pretensiones que hace valer en este amparo el actor no se ha producido, dado que el Auto impugnado, de 20 de abril de 1995, y la providencia de inadmisión a trámite de la demanda por aquel confirmada en reposición, subsisten en su plenitud de efectos en cuanto al cierre del acceso al proceso laboral que tales resoluciones acordaron.</w:t>
      </w:r>
    </w:p>
    <w:p w:rsidR="008107C7" w:rsidRDefault="008107C7" w:rsidP="008107C7">
      <w:pPr>
        <w:pStyle w:val="TextoNormal"/>
      </w:pPr>
      <w:r>
        <w:t>Cosa distinta es que, aun apreciando la existencia de lesión del derecho fundamental, la presente queja no pueda ser acogida en lo relativo al restablecimiento o reparación del derecho vulnerado, pues tal reparación ha de entenderse ya producida mediante la ulterior sustanciación ante el órgano judicial competente del correspondiente proceso laboral, obteniendo así el examen y decisión sobre el fondo de la pretensión ejercitada, de manera tal que los pronunciamientos de un eventual fallo estimatorio habrán de limitarse a los que señala el art. 55.1 a) y b) de la LOTC, pues tal precepto no impone, claro está, que la Sentencia estimatoria contenga todos los que dicha norma enuncia, sino solo alguno o algunos de ellos (STC 83/1982).</w:t>
      </w:r>
    </w:p>
    <w:p w:rsidR="008107C7" w:rsidRDefault="008107C7" w:rsidP="008107C7">
      <w:pPr>
        <w:pStyle w:val="TextoNormal"/>
      </w:pPr>
      <w:r>
        <w:t>Han de rechazarse, conforme a lo razonado, las objeciones formales opuestas a la viabilidad del proceso constitucional y procede, por tanto, entrar a examinar el fondo de la cuestión que el presente amparo suscita.</w:t>
      </w:r>
    </w:p>
    <w:p w:rsidR="008107C7" w:rsidRDefault="008107C7" w:rsidP="008107C7">
      <w:pPr>
        <w:pStyle w:val="TextoNormal"/>
      </w:pPr>
    </w:p>
    <w:p w:rsidR="008107C7" w:rsidRDefault="008107C7" w:rsidP="008107C7">
      <w:pPr>
        <w:pStyle w:val="TextoNormal"/>
      </w:pPr>
      <w:r w:rsidRPr="008107C7">
        <w:rPr>
          <w:rStyle w:val="NumeroAFNegritaCaracter"/>
        </w:rPr>
        <w:t>5</w:t>
      </w:r>
      <w:r>
        <w:t>. Esta no atañe a determinar si la demanda laboral promovida contra RENFE por el Sr. Teba Díaz, recurrente en amparo, debía ser precedida, como presupuesto de admisibilidad del proceso ante la jurisdicción laboral, de la reclamación previa en vía administrativa -como entendió el citado demandante-, prevista en el art. 69.1 de la L.P.L. (del entonces aplicable Texto articulado aprobado por Real Decreto Legislativo 521/1990, de 27 de abril), o de la conciliación previa exigida por el art. 63 del mismo texto legal, según apreció el Juzgado de lo Social núm. 14 de Madrid, pues tal cuestión carece de relevancia constitucional y pertenece al plano de la legalidad, de la exclusiva incumbencia de la jurisdicción ordinaria y ajena, por ello, al ámbito del presente recurso de amparo.</w:t>
      </w:r>
    </w:p>
    <w:p w:rsidR="008107C7" w:rsidRDefault="008107C7" w:rsidP="008107C7">
      <w:pPr>
        <w:pStyle w:val="TextoNormal"/>
      </w:pPr>
      <w:r>
        <w:t>Ha de partirse, pues, de que el Juez a quo no aceptó que el presupuesto de admisibilidad de la demanda ejercitada por el actor contra RENFE fuera el de la reclamación previa en la vía administrativa, dada la configuración de la empresa demandada como entidad de Derecho público que actúa como empresa mercantil y somete su actividad al ordenamiento jurídico-privado (art. 1.1 del Estatuto de RENFE, aprobado por Real Decreto 121/1994, de 28 de enero), exigiendo el intento de la conciliación previa frente a dicha Entidad, al no concurrir la excepción para este requisito preprocesal prevista en el art.  64.1 de la L.P.L.</w:t>
      </w:r>
    </w:p>
    <w:p w:rsidR="008107C7" w:rsidRDefault="008107C7" w:rsidP="008107C7">
      <w:pPr>
        <w:pStyle w:val="TextoNormal"/>
      </w:pPr>
      <w:r>
        <w:t>La providencia dictada el 21 de febrero de 1995 se ajustó, así, a lo prevenido por el art. 81.2 de la L.P.L., y, bajo la premisa de la admisión tan solo provisional de la demanda, advirtió al demandante que en el plazo de quince días debería acreditar el cumplimiento del requisito de conciliación previa ante el S.M.A.C., bajo apercibimiento de archivo de la demanda.</w:t>
      </w:r>
    </w:p>
    <w:p w:rsidR="008107C7" w:rsidRDefault="008107C7" w:rsidP="008107C7">
      <w:pPr>
        <w:pStyle w:val="TextoNormal"/>
      </w:pPr>
      <w:r>
        <w:lastRenderedPageBreak/>
        <w:t>Hemos de partir del dato de que el demandante ante la jurisdicción laboral atendió el requerimiento formulado por el Juzgado de lo Social, y subsanó eficazmente la omisión del acto de conciliación frente a la Empresa demandada, habida cuenta de que presentó la "papeleta" de conciliación el 24 de febrero de 1995 y se documentó acta de conciliación el 10 de marzo siguiente, dándose el acto por intentado y sin efecto; constando, asimismo, que la incomparecencia al acto conciliatorio del demandante Sr.  Teba Díaz obedeció a la falta de acreditación de que fuera debidamente citado el actor, como refleja la certificación de referida acta.</w:t>
      </w:r>
    </w:p>
    <w:p w:rsidR="008107C7" w:rsidRDefault="008107C7" w:rsidP="008107C7">
      <w:pPr>
        <w:pStyle w:val="TextoNormal"/>
      </w:pPr>
      <w:r>
        <w:t>Tal subsanación fue acreditada mediante certificación del acta de conciliación ante el órgano jurisdiccional que, por providencia de 10 de marzo de 1995, después confirmada por el impugnado Auto de 20 de abril de 1995, no tuvo por subsanado el defecto procesal advertido "ya que el intento de conciliación ante el S.M.A.C. que se acredita no tiene la condición de previo a la demanda, al haberse presentado la papeleta de conciliación en fecha 24-2-95 y la demanda el 16- 2-95".</w:t>
      </w:r>
    </w:p>
    <w:p w:rsidR="008107C7" w:rsidRDefault="008107C7" w:rsidP="008107C7">
      <w:pPr>
        <w:pStyle w:val="TextoNormal"/>
      </w:pPr>
      <w:r>
        <w:t>El problema, de relevancia constitucional, radica en determinar si la inadmisión mediante tales resoluciones acordada, impeditiva del acceso al proceso y a una resolución sobre el fondo, en aplicación de la norma procesal sobre subsanación del requisito de la conciliación previa, respetó o no el derecho constitucional a la tutela judicial efectiva, y al principio pro actione que debe inspirar tal derecho, cuando se trata del acceso al proceso, por cuanto que, como declara la STC 11/1988, examinando la subsanación de requisitos procesales en la jurisdicción laboral, "la doctrina reiterada de este Tribunal es la de que para que aquellas -las decisiones judiciales de inadmisión- sean constitucionalmente legítimas han de apoyarse en una causa a la que la norma legal anude tal efecto (inadmisión), apreciada razonadamente por el Juez, pero siempre interpretada en el sentido más favorable al ejercicio de la acción (SSTC 43/1985, 19/1986, 146/1986, 139/1987 y 180/1987)".</w:t>
      </w:r>
    </w:p>
    <w:p w:rsidR="008107C7" w:rsidRDefault="008107C7" w:rsidP="008107C7">
      <w:pPr>
        <w:pStyle w:val="TextoNormal"/>
      </w:pPr>
    </w:p>
    <w:p w:rsidR="008107C7" w:rsidRDefault="008107C7" w:rsidP="008107C7">
      <w:pPr>
        <w:pStyle w:val="TextoNormal"/>
      </w:pPr>
      <w:r w:rsidRPr="008107C7">
        <w:rPr>
          <w:rStyle w:val="NumeroAFNegritaCaracter"/>
        </w:rPr>
        <w:t>6</w:t>
      </w:r>
      <w:r>
        <w:t>. En el presente caso, la norma procesal aplicada por el Juez de lo Social en fase de admisión de la demanda, art. 81 L.P.L., confiere al órgano jurisdiccional la vigilancia ex officio de la corrección jurídica de aquel escrito, en cuanto acto procesal esencial y rector del proceso seguido ante la jurisdicción social; vigilancia que atañe no sólo al aspecto jurídico-formal del escrito de demanda, en cuanto a la observancia de los requisitos generales o específicos de la misma, sino que también alcanza a algún presupuesto procesal, como el atinente a la correcta constitución de la relación jurídico-procesal en las situaciones de litisconsorcio pasivo (STC 335/94, fundamento jurídico 5º), y que se extiende en el apartado 2 del citado art.  81, a la posibilidad de subsanación del acto de conciliación preprocesal ante el órgano o servicio administrativo correspondiente cuando tal acto ha sido omitido, concediendo al efecto a la parte demandante el plazo de quince días.</w:t>
      </w:r>
    </w:p>
    <w:p w:rsidR="008107C7" w:rsidRDefault="008107C7" w:rsidP="008107C7">
      <w:pPr>
        <w:pStyle w:val="TextoNormal"/>
      </w:pPr>
      <w:r>
        <w:t>Ahora bien; la figura o la técnica procesal de la subsanación de defectos procesales, aplicada en el caso por el Juzgado de lo Social núm. 14 de Madrid en la primera providencia de 21 de febrero de 1995, tiene como objeto y esencial finalidad que el proceso no se frustre por el incumplimiento de requisitos susceptibles de posterior realización por la parte y que no se configuran como presupuestos procesales de indeclinable cumplimiento en tiempo y forma; de manera tal que mediante la subsanabilidad, rectamente entendida, se otorga como regla general a la parte que incurrió en el defecto procesal subsanable, la posibilidad de realizar, en el plazo al efecto habilitado, el requisito procesal incumplido o el acto procesal defectuosamente realizado, integrando así, o rectificando ex novo la actuación procesal inicialmente defectuosa o irregular.</w:t>
      </w:r>
    </w:p>
    <w:p w:rsidR="008107C7" w:rsidRDefault="008107C7" w:rsidP="008107C7">
      <w:pPr>
        <w:pStyle w:val="TextoNormal"/>
      </w:pPr>
      <w:r>
        <w:lastRenderedPageBreak/>
        <w:t>De lo anterior se infiere que el plazo habilitado para la subsanación no lo es tan solo para la simple acreditación formal de que temporáneamente fue cumplido el requisito procesal exigible, sino también para la realización en dicho plazo del acto omitido o la rectificación del defectuosamente practicado.</w:t>
      </w:r>
    </w:p>
    <w:p w:rsidR="008107C7" w:rsidRDefault="008107C7" w:rsidP="008107C7">
      <w:pPr>
        <w:pStyle w:val="TextoNormal"/>
      </w:pPr>
      <w:r>
        <w:t>La conclusión expuesta no queda enervada por el argumento de que la conciliación ha de ser previa a la demanda, pues, de una parte, el art. 81.2 L.P.L.  no se constriñe a la acreditación formal consistente en la simple aportación de la certificación del acta de conciliación (para lo que resultaría a todas luces excesivo el plazo de quince días, en contraste con el más reducido de cuatro días del apartado 1 del precepto), sino a que se acredite "la celebración o el intento del expresado acto (de conciliación)" en el referido plazo de quince días; y de otra, que la finalidad que inspira dicha carga procesal es la de evitación del proceso, y de aquí que el art. 63 de la L.P.L. no la considere en rigor como requisito previo a la demanda sino "previo para la tramitación del proceso", de tal suerte que lo esencial es conceder a las partes la oportunidad de, antes de tramitarse el proceso, lo que explica la admisión provisional de la demanda tal como señala el citado art. 81.2 L.P.L., someter la controversia a solución extrajudicial intentando la conciliación ante el órgano administrativo correspondiente; se cumple, pues, el designio inspirador del requisito si el demandante, en el plazo otorgado para la subsanación de la omisión, intenta el acto de conciliación presentando la correspondiente "papeleta", para que el empresario demandado, en este caso, RENFE, pueda llegar a una avenencia que evite la sustanciación del litigio. En consecuencia, el órgano jurisdiccional debió dictar resolución teniendo por subsanado el defecto procesal advertido de la omisión del acto de conciliación previa, para dejar así expedito el acceso al proceso, sin oponer trabas que no se ajustan a la finalidad perseguida por la norma ni guardan adecuada proporcionalidad con la razón de ser de ésta, con una consecuencia -la inadmisión de la demanda y archivo de la misma- que no se acomoda al criterio pro actione que debe inspirar la actuación judicial, para no lesionar el derecho constitucional a una tutela judicial efectiva y sin indefensión, proclamado por el art. 24.1 C.E.</w:t>
      </w:r>
    </w:p>
    <w:p w:rsidR="008107C7" w:rsidRDefault="008107C7" w:rsidP="008107C7">
      <w:pPr>
        <w:pStyle w:val="TextoNormal"/>
      </w:pPr>
      <w:r>
        <w:t>En este orden de cosas, la doctrina constitucional ha reconocido la subsanabilidad material y no meramente formal de requisitos procesales a los que el legislador ha configurado como previos al proceso, y en tal sentido la STC 76/1996, en su fundamento jurídico 6º, ha declarado subsanable de tal forma la omisión de la comunicación previa, requisito exigido por el art. 57.2 f) de la Ley de la Jurisdicción Contencioso-Administrativa, en la redacción dada por la Disposición adicional undécima de la Ley 30/1992, de 26 de noviembre, sobre Régimen Jurídico de las Administraciones Públicas y del Procedimiento Administrativo Común; así como también ha subrayado la mencionada sentencia, que la posibilidad de subsanación concedida por el art.  129.3 de la citada L.J.C.A. alcanza a la ausencia u omisión del recurso administrativo previo de reposición, aunque este tuviera el carácter y la denominación de presupuesto previo a la interposición del recurso contencioso-administrativo, tal como aparecía regulado en los arts. 52.1 y 82 e) de la L.J.C.A. De igual modo, la subsanabilidad ex post ha sido declarada por este Tribunal respecto a un requisito del proceso laboral que guarda semejanza con el ahora debatido, cual es la reclamación previa en la vía administrativa cuando se demanda a Entes públicos (SSTC 11/1988, 65/1993 y 120/1993).</w:t>
      </w:r>
    </w:p>
    <w:p w:rsidR="008107C7" w:rsidRDefault="008107C7" w:rsidP="008107C7">
      <w:pPr>
        <w:pStyle w:val="TextoNormal"/>
      </w:pPr>
      <w:r>
        <w:t xml:space="preserve">Hemos de considerar, en fin, que este Tribunal ha flexibilizado la exigencia del acto de conciliación previo en el proceso laboral, teniendo en cuenta la mutación conceptual que el legislador ha atribuido a dicho método autocompositivo, derogando el carácter de presupuesto procesal que se atribuía al acto de conciliación y transformándolo en un acto "intraprocesal" en todos los procesos civiles y buena parte de los laborales, a partir de la reforma </w:t>
      </w:r>
      <w:r>
        <w:lastRenderedPageBreak/>
        <w:t>parcial de la L.E.C. de 1984 o de la nueva L.P.L.  de 1990 (STC 81/1992, fundamento jurídico 4-A).</w:t>
      </w:r>
    </w:p>
    <w:p w:rsidR="008107C7" w:rsidRDefault="008107C7" w:rsidP="008107C7">
      <w:pPr>
        <w:pStyle w:val="TextoNormal"/>
      </w:pPr>
      <w:r>
        <w:t>Ha de concluirse, por lo expuesto, que el Auto impugnado mediante este recurso de amparo, dictado el 20 de abril de 1995 por el Juzgado de lo Social núm.  14 de Madrid, confirmatorio de la providencia de 10 de marzo anterior, por el que se declaró la inadmisión y consecuente archivo de la demanda formulada por el ahora recurrente contra RENFE, sobre reclamación de cantidad, ha lesionado el derecho a la tutela judicial efectiva y sin indefensión del recurrente (art.  24.1 C.E.), lo que determina la estimación del amparo por éste promovido con el alcance que a continuación concretaremos.</w:t>
      </w:r>
    </w:p>
    <w:p w:rsidR="008107C7" w:rsidRDefault="008107C7" w:rsidP="008107C7">
      <w:pPr>
        <w:pStyle w:val="TextoNormal"/>
      </w:pPr>
    </w:p>
    <w:p w:rsidR="008107C7" w:rsidRDefault="008107C7" w:rsidP="008107C7">
      <w:pPr>
        <w:pStyle w:val="TextoNormal"/>
      </w:pPr>
      <w:r w:rsidRPr="008107C7">
        <w:rPr>
          <w:rStyle w:val="NumeroAFNegritaCaracter"/>
        </w:rPr>
        <w:t>7</w:t>
      </w:r>
      <w:r>
        <w:t>. Queda, finalmente, por determinar el alcance del fallo que hemos de emitir y que ha de revestir naturaleza declarativa. No podemos acoger la queja en cuanto ésta pretende el restablecimiento en su integridad del derecho fundamental vulnerado, dado que esta reparación ya se ha producido al presentar el hoy recurrente la misma demanda de reclamación de cantidad ante el Juzgado de lo Social número 14 de Madrid, precedida del acto de conciliación con RENFE, sustanciando dicho órgano judicial el correspondiente proceso laboral y dictando en el mismo Sentencia desestimatoria de la pretensión ejercitada. No cabe, por tanto, solución devolutiva de retroacción de actuaciones para que el órgano judicial admita a trámite y enjuicie el fondo de la pretensión contenida en la demanda presentada en los autos del procedimiento tramitado con el núm. 109/95, pues tal actividad jurisdiccional fue realizada con posterioridad a la interposición de este amparo y mediante la misma se satisface la pretensión de reparación en el mismo formulada; sin que haya lugar, por ende, al pronunciamiento previsto en el art.  55.1 c) de la LOTC, pero sí a los dos restantes del reconocimiento al recurrente de su derecho a la tutela judicial efectiva y sin indefensión, así como al de declaración de nulidad de las resoluciones judiciales que impidieron el pleno ejercicio de tal derecho, por lo que con este alcance y efectos hemos de estimar el recurso de amparo.</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Estimar el recurso de amparo promovido por don Juan Teba Díaz y, en consecuencia:</w:t>
      </w:r>
    </w:p>
    <w:p w:rsidR="008107C7" w:rsidRDefault="008107C7" w:rsidP="008107C7">
      <w:pPr>
        <w:pStyle w:val="TextoNormal"/>
      </w:pPr>
      <w:r>
        <w:t>1º. Reconocer al recurrente el derecho a obtener la tutela judicial efectiva sin indefensión (art. 24.1 C.E.), en el procedimiento laboral seguido ante el Juzgado de lo Social núm. 14 de los de Madrid con el número 109/95.</w:t>
      </w:r>
    </w:p>
    <w:p w:rsidR="008107C7" w:rsidRDefault="008107C7" w:rsidP="008107C7">
      <w:pPr>
        <w:pStyle w:val="TextoNormal"/>
      </w:pPr>
      <w:r>
        <w:t>2º. Declarar la nulidad de la providencia de 10 de marzo de 1995 y del Auto que la confirmó en reposición, dictado el 20 de abril de 1995, por el referido Juzgado de lo Social, por los que, en dicho procedimiento laboral, se inadmitió a trámite y archivó la demanda formulada por el recurrente.</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ocho de abril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73" w:name="SENTENCIA_1997_70"/>
      <w:r>
        <w:lastRenderedPageBreak/>
        <w:t>SENTENCIA 70/1997, de 10 de abril de 1997</w:t>
      </w:r>
    </w:p>
    <w:bookmarkEnd w:id="73"/>
    <w:p w:rsidR="008107C7" w:rsidRDefault="008107C7" w:rsidP="008107C7">
      <w:pPr>
        <w:pStyle w:val="TtuloResolucin"/>
      </w:pPr>
      <w:r>
        <w:t>Pleno</w:t>
      </w:r>
    </w:p>
    <w:p w:rsidR="008107C7" w:rsidRDefault="008107C7" w:rsidP="008107C7">
      <w:pPr>
        <w:pStyle w:val="TtuloResolucin"/>
      </w:pPr>
    </w:p>
    <w:p w:rsidR="008107C7" w:rsidRDefault="008107C7" w:rsidP="008107C7">
      <w:pPr>
        <w:pStyle w:val="TtuloBOE"/>
      </w:pPr>
      <w:r>
        <w:t>("BOE" núm. 114, de 13 de mayo de 1997)</w:t>
      </w:r>
    </w:p>
    <w:p w:rsidR="008107C7" w:rsidRDefault="008107C7" w:rsidP="008107C7">
      <w:pPr>
        <w:pStyle w:val="TtuloBOE"/>
      </w:pPr>
    </w:p>
    <w:p w:rsidR="008107C7" w:rsidRDefault="008107C7" w:rsidP="008107C7">
      <w:pPr>
        <w:pStyle w:val="SntesisDescriptiva"/>
      </w:pPr>
      <w:r>
        <w:t>ECLI:ES:TC:1997:70</w:t>
      </w:r>
    </w:p>
    <w:p w:rsidR="008107C7" w:rsidRDefault="008107C7" w:rsidP="008107C7">
      <w:pPr>
        <w:pStyle w:val="SntesisDescriptiva"/>
      </w:pPr>
    </w:p>
    <w:p w:rsidR="008107C7" w:rsidRDefault="008107C7" w:rsidP="008107C7">
      <w:pPr>
        <w:pStyle w:val="SntesisDescriptiva"/>
      </w:pPr>
      <w:r>
        <w:t>Conflicto positivo de competencia 1.693/89. Promovido por el Gobierno del País Vasco en relación con la Orden del Ministerio de Agricultura, Pesca y Alimentación por la que se modifican parcialmente las normas de aplicación del régimen de ayudas destinado a fomentar la retirada de tierras de la producción.</w:t>
      </w:r>
    </w:p>
    <w:p w:rsidR="008107C7" w:rsidRDefault="008107C7" w:rsidP="008107C7">
      <w:pPr>
        <w:pStyle w:val="SntesisDescriptiva"/>
      </w:pPr>
    </w:p>
    <w:p w:rsidR="008107C7" w:rsidRDefault="008107C7" w:rsidP="008107C7">
      <w:pPr>
        <w:pStyle w:val="SntesisAnaltica"/>
      </w:pPr>
    </w:p>
    <w:p w:rsidR="008107C7" w:rsidRDefault="008107C7" w:rsidP="008107C7">
      <w:pPr>
        <w:pStyle w:val="SntesisAnaltica"/>
      </w:pPr>
    </w:p>
    <w:p w:rsidR="008107C7" w:rsidRDefault="008107C7" w:rsidP="008107C7">
      <w:pPr>
        <w:pStyle w:val="Extracto"/>
      </w:pPr>
      <w:r>
        <w:t>1.</w:t>
      </w:r>
      <w:r>
        <w:tab/>
        <w:t>Hemos declarado en la STC 79/1992, de un lado, que aun estando justificada la centralización de los expedientes relativos a las ayudas, ello «no significa que también lo estén el resto de las operaciones de gestión». Esto es, las relativas a «la recepción de solicitudes, verificación de sus datos, tramitación, liquidación o pago de las ayudas y actividades de inspección o control del cumplimiento de los compromisos contraídos por los beneficiarios». Y cabe observar que el art. 10.1 de la Orden Ministerial aquí cuestionada, al modificar el texto de la precedente, atribuye a las Comunidades Autónomas tanto la recepción de las solicitudes de ayuda como, en virtud del art. 11.1, la competencia para dictar «la correspondiente resolución de concesión». Estando investidas, pues, de la potestad de incoar, instruir y resolver los expedientes administrativos. Por lo que en el presente caso ha de estarse a lo expuesto en la citada Sentencia, donde se ha declarado que el acto de pago es instrumental, pues «lo sustantivo es la decisión que confiere o deniega el derecho a percibir las ayudas»; y por constituir, además, un acto de ejecución, «debe corresponder en principio a las Comunidades Autónomas con competencia en la materia», en este caso la agricultura, sin que pueda menoscabarse indebidamente tal competencia mediante la sustracción de una actuación puramente ejecutoria de una decisión adoptada por ellas. [F.J. 3]</w:t>
      </w:r>
    </w:p>
    <w:p w:rsidR="008107C7" w:rsidRDefault="008107C7" w:rsidP="008107C7">
      <w:pPr>
        <w:pStyle w:val="Extracto"/>
      </w:pPr>
    </w:p>
    <w:p w:rsidR="008107C7" w:rsidRDefault="008107C7" w:rsidP="008107C7">
      <w:pPr>
        <w:pStyle w:val="Extracto"/>
      </w:pPr>
      <w:r>
        <w:t>2.</w:t>
      </w:r>
      <w:r>
        <w:tab/>
        <w:t>De otro lado, como también se ha declarado en la citada Sentencia, es preciso distinguir entre aquellas ayudas de procedencia comunitaria que se cifran en una cantidad global y máxima atribuida a los Estados miembros y las que no contienen dicho tope; sin que se produzca, en el caso de las segundas, el riesgo de sobrepasar la cuantía global de los fondos estatales destinados al sector que haría imprescindible la gestión centralizada (STC 95/1986 y, en el mismo sentido, STC 13/1992). Posibilidad que ha de excluirse en el presente caso, junto a los otros riesgos allí señalados, puesto que el Reglamento (CEE) 1.094/1988 del Consejo ha establecido en el texto modificado del art. 1 bis, apartado 4 a), una cantidad máxima y mínima de la ayuda, por hectárea y año; y al ejercer la facultad de concretar las cantidades que la norma comunitaria deja a los Estados miembros dentro de dichos márgenes, el mismo criterio de hectárea y año se ha recogido en el art. 10 del citado Real Decreto 1.435/1988, de 25 de noviembre. Por lo que ha de concluirse que la competencia para el pago de las ayudas aquí consideradas corresponde a la Comunidad Autónoma del País Vasco. [F.J. 3]</w:t>
      </w:r>
    </w:p>
    <w:p w:rsidR="008107C7" w:rsidRDefault="008107C7" w:rsidP="008107C7">
      <w:pPr>
        <w:pStyle w:val="Extracto"/>
      </w:pPr>
    </w:p>
    <w:p w:rsidR="008107C7" w:rsidRDefault="008107C7" w:rsidP="008107C7">
      <w:pPr>
        <w:pStyle w:val="Extracto"/>
      </w:pPr>
      <w:r>
        <w:t>3.</w:t>
      </w:r>
      <w:r>
        <w:tab/>
        <w:t>Ha de recordarse que la adopción de un único modelo oficial, por tratarse de un aspecto meramente procedimental, no puede considerarse que tenga un carácter básico, como se ha dicho respecto a un supuesto similar en la STC 79/1992) y, asimismo, que la gestión administrativa de las ayudas, en este caso atribuida a las Comunidades Autónomas, comprende, entre otros extremos, la recepción de las solicitudes, la verificación de sus datos y su tramitación, como antes se ha dicho. Competencia de la que sin dificultad se deriva la facultad de la Administración ante la que se tramitan las ayudas para decidir el empleo de los modelos o formularios más apropiados que han de utilizar los solicitantes, así como los que han de utilizarse para resolver sobre su otorgamiento . [F.J. 4]</w:t>
      </w:r>
    </w:p>
    <w:p w:rsidR="008107C7" w:rsidRDefault="008107C7" w:rsidP="008107C7">
      <w:pPr>
        <w:pStyle w:val="Extracto"/>
      </w:pPr>
    </w:p>
    <w:p w:rsidR="008107C7" w:rsidRDefault="008107C7" w:rsidP="008107C7">
      <w:pPr>
        <w:pStyle w:val="Extracto"/>
      </w:pPr>
      <w:r>
        <w:t>4.</w:t>
      </w:r>
      <w:r>
        <w:tab/>
        <w:t>Ha de recordarse la amplia doctrina sentada por este Tribunal (SSTC 32/1983, 42/1983, 90/1985 y 13/1988 y, entre las más recientes, SSTC 102/1995 y 171/1996), conforme a la cual el principio de coordinación permite, en esencia, articular las competencias del Estado y de las Comunidades Autónomas, con la finalidad de evitar contradicciones o reducir disfunciones que, de subsistir, impedirían o dificultarían respectivamente la realidad misma del sistema. En particular, se ha dicho que la coordinación general debe ser entendida como la fijación de medios y de sistemas de relación que hagan posible la información recíproca, la homogeneidad técnica en determinados aspectos y la acción conjunta de las autoridades estatales y comunitarias en el ejercicio de sus respectivas competencias, de tal modo que se logre la integración de los actos parciales en la globalidad del sistema (STC 32/1983, en relación con las competencias en materia de sanidad). Al amparo de este título competencial resulta legítimo que el Estado establezca medidas de coordinación fijando anualmente el listado de explotaciones a controlar . [F.J. 5]</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El Pleno del Tribunal Constitucional, compuesto por don Alvaro Rodríguez Bereijo, Presidente, don José Gabaldón López, don Fernando García- Mon y González-Regueral, don Vicente Gimeno Sendra, don Rafael de Mendizábal Allende, don Julio Diego González Campos, don Pedro Cruz Villalón, don Carles Viver Pi-Sunyer, don Enrique Ruíz Vadillo, don Manuel Jiménez de Parga y Cabrera, don Tomás S. Vives Antón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 xml:space="preserve">En el conflicto positivo de competencia núm. 1.693/89, planteado por el Gobierno del País Vasco, representado por su Letrado don José Antonio Alberdi Larizgoitia, frente a la Orden del Ministerio de Agricultura, Pesca y Alimentación, de 13 de abril de 1989, por la que se modifica parcialmente la de 5 de diciembre de 1988, por la que se establecen las normas de aplicación del régimen de ayudas destinado a fomentar la retirada de tierras de </w:t>
      </w:r>
      <w:r>
        <w:lastRenderedPageBreak/>
        <w:t>la producción ("Boletín Oficial del Estado" núm. 90, de 15 de abril de 1989). Ha comparecido y formulado alegaciones el Abogado del Estado en la representación que legalmente ostenta. Ha sido Ponente el Magistrado don Julio Diego González Campos, quien expresa el parecer del Pleno.</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registrado ante este Tribunal el día 4 de agosto de 1989 el Gobierno del País Vasco formaliza conflicto positivo de competencia en relación con el artículo único de la Orden meritada en el encabezamiento, en lo atinente a los concretos extremos que a continuación se especifican.</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La fundamentación del escrito de formalización del conflicto puede exponerse, en síntesis, del modo que sigue: </w:t>
      </w:r>
    </w:p>
    <w:p w:rsidR="008107C7" w:rsidRDefault="008107C7" w:rsidP="008107C7">
      <w:pPr>
        <w:pStyle w:val="TextoNormal"/>
      </w:pPr>
      <w:r>
        <w:t xml:space="preserve">A) La controversia a que el conflicto deducido se contrae tiene por objeto la retención por el Ministerio de Agricultura, Pesca y Alimentación (en adelante, M.A.P.A.) de la potestad de pago del importe de las pertinentes ayudas (núm. 5 del art. 11 de la Orden de 5 de diciembre de 1988 en la versión introducida por la aquí impugnada); la localización en el indicado Ministerio de la fijación anual del listado de explotaciones que han de ser controladas ex art. 15 del Real Decreto 1.435/1988 (art. 11.7 de la citada Orden, según la redacción dada por la de 13 de abril de 1989); y, finalmente, la sujeción a los modelos oficiales aprobados por la Administración del Estado, y que figuran como Anexos III y IV en la Orden controvertida, de las solicitudes de ayudas dirigidas a los órganos correspondientes de las Comunidades Autónomas, así como la impresión en los mismos de las comunicaciones de solicitudes y de las Resoluciones sobre otorgamiento de ayudas que sean dictadas por aquéllas (arts. 10.1 y 11.1 y 2 de la Orden de 5 de diciembre de 1988, en la redacción incorporada por la de 13 de abril de 1989). </w:t>
      </w:r>
    </w:p>
    <w:p w:rsidR="008107C7" w:rsidRDefault="008107C7" w:rsidP="008107C7">
      <w:pPr>
        <w:pStyle w:val="TextoNormal"/>
      </w:pPr>
      <w:r>
        <w:t xml:space="preserve">En esta tesitura, a juicio del órgano proponente del conflicto la elucidación de la competencia aquí discutida ha de apoyarse en el art. 10.9 del Estatuto del País Vasco (en adelante, E.A.P.V.), que afirma la competencia autonómica en materia de agricultura, sobre la que, eventualmente, podrá incidir la atribuida al Estado ex art. 149.1.13 C.E. Esto es, la atinente a las "bases y coordinación de la planificación general de la actividad económica". De suerte que, en la medida en que la Orden cuestionada, dictada en desarrollo del Real Decreto 1.435/1988, es consecuencia de lo prevenido al efecto en la normativa comunitaria, y, en particular, de lo dispuesto en el Reglamento (CEE) 1.094/1988 del Consejo, de 25 de abril, sobre régimen de retirada de tierras de cultivos herbáceos de la producción, la determinación de la autoridad llamada a ejecutar sus prescripciones ha de resolverse de conformidad con los criterios que pautan el reparto competencial entre el Estado y las Comunidades Autónomas, según el orden constitucional y estatutario de distribución de competencias, sin que, por ende, y a priori, quepa asignar aquella competencia al Estado por el mero hecho de erigirse en garante ex art. 93 C.E. del adecuado cumplimiento de los Tratados internacionales. En suma, pues, la precisa delimitación de la vindicatio potestatis a que se ciñe este conflicto trae causa de la concreta asignación a órganos de la Administración del Estado del ejercicio de las potestades arriba mencionadas, sin que, en consecuencia, aquella vindicatio se extienda a la propia emanación reglamentaria por el Estado de las disposiciones rectoras del otorgamiento de las ayudas para el fomento de la retirada de tierras de la producción dictadas en ejecución de la normativa comunitaria. </w:t>
      </w:r>
    </w:p>
    <w:p w:rsidR="008107C7" w:rsidRDefault="008107C7" w:rsidP="008107C7">
      <w:pPr>
        <w:pStyle w:val="TextoNormal"/>
      </w:pPr>
      <w:r>
        <w:lastRenderedPageBreak/>
        <w:t xml:space="preserve">B) En suma, pues, el punctum saliens de la demanda conflictual confluye en la reivindicación de la gestión íntegra de las ayudas meritadas en favor de la competencia autonómica, de conformidad con la doctrina constitucional acerca de la imbricación en aquélla, como regla general, del desenvolvimiento de las actividades de fomento en materia económica (STC 95/1986), y su correlato de la preceptiva transferencia a los entes autonómicos de los fondos precisos para llevar a cabo aquellas actividades (STC 75/1989). Afirmaciones cuya bondad, a juicio de la Comunidad Autónoma vasca, no resulta enervada por el dato atinente a la procedencia de los fondos en cuestión, parcialmente comunitaria, puesto que no implica desvirtuación alguna del sentado como parámetro rector de la delimitación competencial debatida, esto es, la regla de la mayor descentralización en la gestión de las oportunas ayudas. </w:t>
      </w:r>
    </w:p>
    <w:p w:rsidR="008107C7" w:rsidRDefault="008107C7" w:rsidP="008107C7">
      <w:pPr>
        <w:pStyle w:val="TextoNormal"/>
      </w:pPr>
      <w:r>
        <w:t xml:space="preserve">Aserto que el proponente del conflicto entiende corroborado a la luz del análisis de las normas que, en el seno comunitario, disciplinan la administración y pago de los fondos del F.E.O.G.A. [Reglamento (CEE) 729/1970 del Consejo, de 21 de abril, Reglamento (CEE) 797/1985, del Consejo, norma esta última de que trae causa, en virtud de su modificación por el Reglamento (CEE) 1.094/1988 del Consejo, el régimen de ayudas que aquí nos ocupa), extremos que se canalizan a través de los correspondientes Estados, y de cuya concreta configuración infiere el interesado la consideración del pago como contenido esencial de la competencia de gestión del referido régimen de ayudas, que, por ende, debe residenciarse, mediante la previsión en su caso de las técnicas oportunas, básicamente, los anticipos reintegrables, en el nivel autonómico. En este sentido, la sustracción del indicado nivel no obedece sino al propósito de la Administración estatal de recuperar un protagonismo en un ámbito, la agricultura, de que se ha visto desposeída constitucional y estatutariamente, y en cuyo favor no es lícito esgrimir pretendidas razones técnicas, contables o de gestión presupuestaria. </w:t>
      </w:r>
    </w:p>
    <w:p w:rsidR="008107C7" w:rsidRDefault="008107C7" w:rsidP="008107C7">
      <w:pPr>
        <w:pStyle w:val="TextoNormal"/>
      </w:pPr>
      <w:r>
        <w:t xml:space="preserve">C) La segunda vertiente por la que discurre este conflicto halla su ubicación en la preceptiva consagración de unos modelos oficiales en que han de imprimirse tanto las solicitudes de ayudas como las correspondientes Resoluciones de otorgamiento a efectos de su comunicación a la Administración del Estado. Estima, en esta lógica, la Comunidad vasca que la cuestionada consagración excede del haz de facultades que legítimamente ampara la actuación de los órganos estatales ex art. 149.1.13 C.E. y que cifra en la potestad de coordinación a fin de hacer efectiva la necesaria colaboración entre los niveles estatal y autonómico (STC 144/1985). Coordinación que, si bien es amparable en la garantía de la adecuada y correcta información que ha de suministrarse, y que, por ende, extiende su cobertura a la normalización de los documentos que sirven de soporte a aquélla, no puede, sin embargo, prolongar su radio de influencia a la afección de las relaciones entre la Administración autonómica, competente para otorgar las correspondientes ayudas, y los solicitantes de éstas. Relaciones que, en consecuencia, deben permanecer extramuros de la cuestionada normalización. </w:t>
      </w:r>
    </w:p>
    <w:p w:rsidR="008107C7" w:rsidRDefault="008107C7" w:rsidP="008107C7">
      <w:pPr>
        <w:pStyle w:val="TextoNormal"/>
      </w:pPr>
      <w:r>
        <w:t xml:space="preserve">D) Finalmente, la controversia conflictual encuentra en el art. 11.7 de la Orden de 5 de diciembre de 1988, en la versión dada por la aquí y ahora objeto de debate, su último punto de discusión. Una vez más, la tacha de incompetencia deviene de la pretensión de subsumir en la potestad de coordinación ex art. 149.1.13 C.E. la facultad de fijar anualmente el listado de explotaciones que han de ser controladas, a fin de garantizar la adecuada distribución de la muestra a que se contrae el art. 15 del Real Decreto 1.435/1988, trasunto del art. 14.2 del Reglamento (CEE) 1.272/1988 del Consejo. La objeción puesta a la cuestionada subsunción aparece articulada en torno a la impugnación de la justificación aportada de contrario para </w:t>
      </w:r>
      <w:r>
        <w:lastRenderedPageBreak/>
        <w:t>defender la inconveniencia de desagregar la referida muestra, esto es la exigencia de establecer un mecanismo idóneo garantizador de la representatividad geográfica de aquélla, pues, se aduce, es justamente la desagregación por Comunidades Autónomas de dicha muestra, cifrada en el 5 por 100, la mayor garantía de la preconizada adecuada distribución geográfica. En consecuencia, y a tenor de todo lo expuesto, impetra de este Tribunal la anulación de la Orden impugnada y, en su consecuencia, la declaración de la competencia del País Vasco sobre los extremos a que este conflicto se ciñe.</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Frente a la sintetizada argumentación, el Gobierno de la Nación, en su respuesta al requerimiento de incompetencia en su momento formulado, entiende que las específicas prescripciones sobre las que se traba el conflicto dimanan de la competencia estatal ex art. 149.1.13 C.E., en tanto que configuradas como complemento de unas medidas de ordenación de los mercados agrarios tendentes, en concreto, al objetivo de una paulatina reducción en la producción de sectores excedentarios a fin de permitir la absorción por el mercado de la oferta agraria. En este sentido, se argumenta, y dada la novedad que supone su implantación, la carencia de datos contrastados sobre la evolución de estas políticas en los países de la Comunidad desaconseja la transferencia a las Comunidades Autónomas de las correspondientes partidas que atiendan el pago de las oportunas ayudas. </w:t>
      </w:r>
    </w:p>
    <w:p w:rsidR="008107C7" w:rsidRDefault="008107C7" w:rsidP="008107C7">
      <w:pPr>
        <w:pStyle w:val="TextoNormal"/>
      </w:pPr>
      <w:r>
        <w:t xml:space="preserve">Asimismo, y en el seno de esta lógica, se localiza la justificación de la atribución al M.A.P.A. de la fijación del listado de explotaciones que han de ser objeto de control en el carácter nacional de éste, que impide la desagregación por Comunidades del 5 por 100 en que se fija la pertinente muestra. </w:t>
      </w:r>
    </w:p>
    <w:p w:rsidR="008107C7" w:rsidRDefault="008107C7" w:rsidP="008107C7">
      <w:pPr>
        <w:pStyle w:val="TextoNormal"/>
      </w:pPr>
      <w:r>
        <w:t>Finalmente, la obligatoriedad de los impresos en que han de formularse las solicitudes de ayudas y las Resoluciones que recaigan sobre aquéllas se funda en la necesaria colaboración entre las instancias estatal y autonómicas en el ámbito considerado. Por lo que acordó, en su reunión del día 21 de julio de 1989, no atender, por no estimarlo fundado, el citado requerimiento de incompetencia.</w:t>
      </w:r>
    </w:p>
    <w:p w:rsidR="008107C7" w:rsidRDefault="008107C7" w:rsidP="008107C7">
      <w:pPr>
        <w:pStyle w:val="TextoNormal"/>
      </w:pPr>
    </w:p>
    <w:p w:rsidR="008107C7" w:rsidRDefault="008107C7" w:rsidP="008107C7">
      <w:pPr>
        <w:pStyle w:val="TextoNormal"/>
      </w:pPr>
      <w:r w:rsidRPr="008107C7">
        <w:rPr>
          <w:rStyle w:val="NumeroAFNegritaCaracter"/>
        </w:rPr>
        <w:t>4</w:t>
      </w:r>
      <w:r>
        <w:t>. Por providencia de 18 de septiembre de 1989 la Sección Cuarta del Tribunal acordó admitir a trámite el conflicto positivo de competencia registrado con el núm. 1.693/89; dar traslado de la demanda y de los documentos presentados al Gobierno de la Nación, por conducto de su Presidente, al objeto de que, en el plazo de veinte días y por medio de la representación procesal que determina el art. 82.2 LOTC, aportara cuantos documentos y alegaciones considerase conveniente; dirigir oficio al Presidente de la Audiencia Nacional para conocimiento de su Sala de lo Contencioso-Administrativo, por si ante ella estuviera impugnada o se impugnare la Orden a que se contrae el conflicto, según dispone el art. 61.2 LOTC; y publicar la incoación del conflicto en el "Boletín Oficial del Estado" y en el del País Vasco, para general conocimiento.</w:t>
      </w:r>
    </w:p>
    <w:p w:rsidR="008107C7" w:rsidRDefault="008107C7" w:rsidP="008107C7">
      <w:pPr>
        <w:pStyle w:val="TextoNormal"/>
      </w:pPr>
    </w:p>
    <w:p w:rsidR="008107C7" w:rsidRDefault="008107C7" w:rsidP="008107C7">
      <w:pPr>
        <w:pStyle w:val="TextoNormal"/>
      </w:pPr>
      <w:r w:rsidRPr="008107C7">
        <w:rPr>
          <w:rStyle w:val="NumeroAFNegritaCaracter"/>
        </w:rPr>
        <w:t>5</w:t>
      </w:r>
      <w:r>
        <w:t xml:space="preserve">. En virtud de escrito registrado el 17 de octubre de 1989, el Abogado del Estado formula sus alegaciones en el presente conflicto positivo de competencia, en las que tras sintetizar el núcleo del debate a que éste se contrae, y con anterioridad al desarrollo de los argumentos aducidos en pro de la competencia estatal, cuestiona el representante del Gobierno la pertinencia de los concretos extremos a que se extiende la solicitud de la Comunidad proponente del conflicto. Al estimar, dada la específica articulación de aquélla, que la eventual declaración en favor de la competencia autonómica de la ahora y aquí controvertida no debe imponer la anulación de la Orden impugnada, respecto de la que, en puridad, sólo </w:t>
      </w:r>
      <w:r>
        <w:lastRenderedPageBreak/>
        <w:t xml:space="preserve">parcialmente se predica la meritada declaración de nulidad, sino meramente su inaplicación en el territorio de la Comunidad vasca. </w:t>
      </w:r>
    </w:p>
    <w:p w:rsidR="008107C7" w:rsidRDefault="008107C7" w:rsidP="008107C7">
      <w:pPr>
        <w:pStyle w:val="TextoNormal"/>
      </w:pPr>
      <w:r>
        <w:t xml:space="preserve">En esta tesitura, identifica el Abogado del Estado en el art. 149.1.13 C.E. el título que legitima la emanación por el Estado de la Orden de 13 de abril de 1989, cuya corrección, a la luz de la STC 75/1989, resulta indubitada, en su inteligencia, a fin de "garantizar las mismas posibilidades de obtención y disfrute de sus potenciales destinatarios en todo el territorio nacional", precisión que se halla en la base de la centralización operada por la Orden cuestionada, dada la índole del programa de ayudas diseñado, así como su carácter novedoso y voluntario, circunstancias que, en el momento en que acaece su dictado, desaconsejaban su ordenación de conformidad con criterios descentralizadores. </w:t>
      </w:r>
    </w:p>
    <w:p w:rsidR="008107C7" w:rsidRDefault="008107C7" w:rsidP="008107C7">
      <w:pPr>
        <w:pStyle w:val="TextoNormal"/>
      </w:pPr>
      <w:r>
        <w:t xml:space="preserve">La expuesta comprensión del sistema dibujado proyecta su entendimiento sobre cada uno de los concretos extremos a que se ciñe el conflicto. Así, la retención por la Administración del Estado del acto de pago de las ayudas otorgadas es, según el Abogado del Estado, la consecuencia obligada del reconocimiento, no controvertido, por otro lado, en favor de la competencia estatal de la potestad para normar los diferentes aspectos atinentes al régimen de otorgamiento de las referidas ayudas, así como para verificar la concurrencia de los requisitos que condicionan en cada caso el acceso a su disfrute. </w:t>
      </w:r>
    </w:p>
    <w:p w:rsidR="008107C7" w:rsidRDefault="008107C7" w:rsidP="008107C7">
      <w:pPr>
        <w:pStyle w:val="TextoNormal"/>
      </w:pPr>
      <w:r>
        <w:t xml:space="preserve">De modo análogo al indicado es susceptible de ser explicada la atribución al M.A.P.A. de la fijación del listado de explotaciones sobre las que anualmente ha de recaer el control prevenido en el art. 15 del Real Decreto 1.435/1988 (art. 11.7 de la Orden de 5 de diciembre de 1988, en la versión introducida por la aquí cuestionada). Atribución que halla precisamente en la garantía de "una adecuada distribución geográfica de la muestra" su razón de ser, dado que la desagregación por Comunidades Autónomas del porcentaje a que aquélla muestra se contrae [el 5 por 100 ex art. 14.2 del Reglamento (CEE) 1.272/1988], deviene perturbadora ante la carencia de datos que permitan llevar a cabo las pertinentes evaluaciones. </w:t>
      </w:r>
    </w:p>
    <w:p w:rsidR="008107C7" w:rsidRDefault="008107C7" w:rsidP="008107C7">
      <w:pPr>
        <w:pStyle w:val="TextoNormal"/>
      </w:pPr>
      <w:r>
        <w:t>Finalmente, el establecimiento de los modelos en que han de plasmarse las solicitudes de ayuda y los correspondientes actos de comunicación de las Resoluciones al efecto recaídas se erige, en opinión del Abogado del Estado, en mero correlato del principio de colaboración interadministrativa, requerido en aras de una adecuada consecución de fines y objetivos comunes. Y en atención a lo expuesto solicita el Abogado del Estado la declaración de la titularidad estatal de la competencia controvertida.</w:t>
      </w:r>
    </w:p>
    <w:p w:rsidR="008107C7" w:rsidRDefault="008107C7" w:rsidP="008107C7">
      <w:pPr>
        <w:pStyle w:val="TextoNormal"/>
      </w:pPr>
    </w:p>
    <w:p w:rsidR="008107C7" w:rsidRDefault="008107C7" w:rsidP="008107C7">
      <w:pPr>
        <w:pStyle w:val="TextoNormal"/>
      </w:pPr>
      <w:r w:rsidRPr="008107C7">
        <w:rPr>
          <w:rStyle w:val="NumeroAFNegritaCaracter"/>
        </w:rPr>
        <w:t>6</w:t>
      </w:r>
      <w:r>
        <w:t>. Por providencia de 8 de abril de 1997, se señaló para deliberación y votación de la presente Sentencia el día 10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El presente conflicto positivo de competencia se traba en relación con determinados extremos de la Orden del Ministerio de Agricultura, Pesca y Alimentación de 13 de abril de 1989, en cuya virtud fue modificada parcialmente la de 5 de diciembre de 1988, por la que se habían establecido, en desarrollo del Real Decreto 1.435/1988, las normas de aplicación del régimen de ayudas destinado a fomentar la retirada de tierras de la producción. Disposiciones que, a su vez, traían causa de la normativa comunitaria producida en este ámbito, en particular, el Reglamento (CEE) 1.094/1988, de 25 de abril, del Consejo, y de los Reglamentos, de la Comisión, 1.272/1988 y 1.273/1988, de 29 de abril.</w:t>
      </w:r>
    </w:p>
    <w:p w:rsidR="008107C7" w:rsidRDefault="008107C7" w:rsidP="008107C7">
      <w:pPr>
        <w:pStyle w:val="TextoNormal"/>
      </w:pPr>
      <w:r>
        <w:lastRenderedPageBreak/>
        <w:t>En concreto, la Comunidad Autónoma del País Vasco circunscribe la vindicatio potestatis a tres extremos de la referida Orden Ministerial de 13 de abril de 1989: la Administración a la que corresponde el pago de las ayudas (art. 11 núm. 5); la adopción de los modelos en los que han de consignarse las solicitudes de ayuda y los pertinentes actos de comunicación de dichas solicitudes y de las resoluciones de otorgamiento (Anexos III y IV de la Orden Ministerial, en relación con los arts. 10.1 y 11.1 y 2); y, por último, la fijación del listado de explotaciones sobre las que ha de versar el control anual previsto en el art. 15 del Real Decreto 1.435/1988, de 25 de noviembre, (art. 11.7 de la Orden Ministerial). Extremos que las citadas disposiciones de la Orden Ministerial aquí controvertidas residencian en la Administración del Estado, en contravención, para la promotora del conflicto, de lo previsto en el art. 10.9 E.A.P.V., que atribuye competencia exclusiva a la Comunidad del País Vasco en materia de "agricultura", si bien "de acuerdo con la ordenación general de la economía".</w:t>
      </w:r>
    </w:p>
    <w:p w:rsidR="008107C7" w:rsidRDefault="008107C7" w:rsidP="008107C7">
      <w:pPr>
        <w:pStyle w:val="TextoNormal"/>
      </w:pPr>
    </w:p>
    <w:p w:rsidR="008107C7" w:rsidRDefault="008107C7" w:rsidP="008107C7">
      <w:pPr>
        <w:pStyle w:val="TextoNormal"/>
      </w:pPr>
      <w:r w:rsidRPr="008107C7">
        <w:rPr>
          <w:rStyle w:val="NumeroAFNegritaCaracter"/>
        </w:rPr>
        <w:t>2</w:t>
      </w:r>
      <w:r>
        <w:t>. En relación con el primer extremo de la controversia conviene indicar, con carácter previo, que las ayudas para fomentar la retirada de la producción de tierras de cultivos herbáceos se encuadran sin duda en el genus de la subvención y, por tanto, les son aplicables los criterios sentados por este Tribunal en diversas decisiones respecto a la delimitación entre el Estado y las Comunidades Autónomas de la potestad del gasto público subvencional (STC 13/1992 y, posteriormente, SSTC 79/1992, 91/1992, 237/1992, 330/1993, 213/1994, 59/1995 y 109/1996). En segundo término, como expresa el art. 1.1 del Real Decreto 1.435/1988, de 25 de noviembre, las ayudas aquí consideradas han sido establecidas en esta disposición de conformidad con el Reglamento CEE 1.094/1988 del Consejo y los Reglamentos CEE 1.272/1988 y 1.273/1988, de la Comisión. Procedencia comunitaria de las ayudas que también requiere aplicar, atendidas las circunstancias del presente caso, los criterios señalados en la STC 79/1992 (y reiterados en la SSTC 117/1992 y 213/1994) sobre la territorialización o, en su caso, la centralización de las mismas, atendida esta particularidad.</w:t>
      </w:r>
    </w:p>
    <w:p w:rsidR="008107C7" w:rsidRDefault="008107C7" w:rsidP="008107C7">
      <w:pPr>
        <w:pStyle w:val="TextoNormal"/>
      </w:pPr>
      <w:r>
        <w:t>Por último, ha de tenerse presente que la Comunidad Autónoma que promueve el conflicto no ha cuestionado la facultad del Estado para adoptar las normas reglamentarias antes mencionadas por las que se establece el régimen de las ayudas y, en particular, los requisitos para su otorgamiento. Lo que obvia el problema relativo a la determinación del sujeto competente para efectuar la oportuna traslación o el desarrollo en el ordenamiento español de la normativa comunitaria antes mencionada (SSTC 252/1988, 64/1991, 76/1991, 115/1991, 236/1991 y 79/1992). De suerte que la delimitación competencial en cuanto a este primer extremo ha quedado circunscrita a la determinación del órgano competente para la gestión administrativa y el pago de las cantidades correspondientes a dichas ayudas.</w:t>
      </w:r>
    </w:p>
    <w:p w:rsidR="008107C7" w:rsidRDefault="008107C7" w:rsidP="008107C7">
      <w:pPr>
        <w:pStyle w:val="TextoNormal"/>
      </w:pPr>
    </w:p>
    <w:p w:rsidR="008107C7" w:rsidRDefault="008107C7" w:rsidP="008107C7">
      <w:pPr>
        <w:pStyle w:val="TextoNormal"/>
      </w:pPr>
      <w:r w:rsidRPr="008107C7">
        <w:rPr>
          <w:rStyle w:val="NumeroAFNegritaCaracter"/>
        </w:rPr>
        <w:t>3</w:t>
      </w:r>
      <w:r>
        <w:t>. En relación con este extremo el Abogado del Estado ha justificado la centralización para el abono de las cantidades establecidas por el art. 11.5 de la orden Ministerial de 13 de abril de 1989 en la voluntariedad del régimen diseñado, impeditiva de una evaluación geográfica adecuada del coste de las ayudas. Lo que a su juicio enerva la territorialización de las subvenciones aquí examinadas, aun cuando los criterios rectores del otorgamiento de aquéllas -básicamente el tipo de cultivo que puede acogerse a tales medidas y la cantidad por hectárea a que se contraen las subvenciones- vengan determinados en el Real Decreto 1.435/1988, de 25 de noviembre.</w:t>
      </w:r>
    </w:p>
    <w:p w:rsidR="008107C7" w:rsidRDefault="008107C7" w:rsidP="008107C7">
      <w:pPr>
        <w:pStyle w:val="TextoNormal"/>
      </w:pPr>
      <w:r>
        <w:t xml:space="preserve">Esta justificación, sin embargo, no puede ser acogida aplicando la doctrina de este Tribunal a la que antes se ha hecho referencia. En efecto, hemos declarado, de un lado, que aun estando justificada la centralización de los expedientes relativos a las ayudas, ello "no significa que también lo estén el resto de las operaciones de gestión". Esto es, las relativas a </w:t>
      </w:r>
      <w:r>
        <w:lastRenderedPageBreak/>
        <w:t>"la recepción de solicitudes, verificación de sus datos, tramitación, liquidación o pago de las ayudas y actividades de inspección o control del cumplimiento de los compromisos contraídos por los beneficiarios" (STC 79/1992, fundamento jurídico 4º). Y cabe observar que el art. 10.1 de la Orden Ministerial aquí cuestionada, al modificar el texto de la precedente, atribuye a las Comunidades Autónomas tanto la recepción de las solicitudes de ayuda como, en virtud del art. 11.1, la competencia para dictar "la correspondiente resolución de concesión". Estando investidas, pues, de la potestad de incoar, instruir y resolver los expedientes administrativos. Por lo que en el presente caso ha de estarse a lo expuesto en la citada STC 79/1992, fundamento jurídico 5º, donde se ha declarado que el acto de pago es instrumental, pues "lo sustantivo es la decisión que confiere o deniega el derecho a percibir las ayudas"; y por constituir, además, un acto de ejecución, "debe corresponder en principio a las Comunidades Autónomas con competencia en la materia", en este caso la agricultura, sin que pueda menoscabarse indebidamente tal competencia mediante la sustracción de una actuación puramente ejecutoria de una decisión adoptada por ellas.</w:t>
      </w:r>
    </w:p>
    <w:p w:rsidR="008107C7" w:rsidRDefault="008107C7" w:rsidP="008107C7">
      <w:pPr>
        <w:pStyle w:val="TextoNormal"/>
      </w:pPr>
      <w:r>
        <w:t>De otro lado, como también se ha declarado en la STC 79/1992, fundamento jurídico 4º, es preciso distinguir entre aquellas ayudas de procedencia comunitaria que se cifran en una cantidad global y máxima atribuida a los Estados miembros y las que no contienen dicho tope; sin que se produzca, en el caso de las segundas, el riesgo de sobrepasar la cuantía global de los fondos estatales destinados al sector que haría imprescindible la gestión centralizada [STC 95/1986 y, en el mismo sentido, STC 13/1992, fundamento jurídico 8º d)]. Posibilidad que ha de excluirse en el presente caso, junto a los otros riesgos allí señalados, puesto que el Reglamento (CEE) 1.094/1988 del Consejo ha establecido en el texto modificado del art. 1 bis, apartado 4 a), una cantidad máxima y mínima de la ayuda, por hectárea y año; y al ejercer la facultad de concretar las cantidades que la norma comunitaria deja a los Estados miembros dentro de dichos márgenes, el mismo criterio de hectárea y año se ha recogido en el art. 10 del citado Real Decreto 1.435/1988, de 25 de noviembre. Por lo que ha de concluirse que la competencia para el pago de las ayudas aquí consideradas corresponde a la Comunidad Autónoma del País Vasco.</w:t>
      </w:r>
    </w:p>
    <w:p w:rsidR="008107C7" w:rsidRDefault="008107C7" w:rsidP="008107C7">
      <w:pPr>
        <w:pStyle w:val="TextoNormal"/>
      </w:pPr>
    </w:p>
    <w:p w:rsidR="008107C7" w:rsidRDefault="008107C7" w:rsidP="008107C7">
      <w:pPr>
        <w:pStyle w:val="TextoNormal"/>
      </w:pPr>
      <w:r w:rsidRPr="008107C7">
        <w:rPr>
          <w:rStyle w:val="NumeroAFNegritaCaracter"/>
        </w:rPr>
        <w:t>4</w:t>
      </w:r>
      <w:r>
        <w:t>. Procede abordar seguidamente el segundo extremo de la controversia, esto es, si resulta conforme con el bloque de la constitucionalidad la obligación impuesta a la Comunidad Autónoma de utilizar los impresos oficiales a los que se refieren los arts.  10.1 y 11.1 y cuyo formato se incluye como Anexos 3 y 4 de la Orden Ministerial de 13 de abril de 1989. A lo que el Abogado del Estado ha dado una respuesta positiva amparándose en el principio de colaboración interadministrativa que, a su entender, legitima la imposición de los modelos cuestionados. Mientras que la representación del Gobierno Vasco -aun admitiendo que el principio de coordinación contenido en el art.  149.1.13 C.E.  es aplicable a la información que las Comunidades Autónomas han de suministrar a la Administración del Estado y a los documentos que sirven de soporte a la misma- excluye dicho principio en el ámbito de unas relaciones, las establecidas con los solicitantes de las ayudas, que sólo se desenvuelven en el seno de aquellas Entidades públicas, a quien corresponde su gestión administrativa.</w:t>
      </w:r>
    </w:p>
    <w:p w:rsidR="008107C7" w:rsidRDefault="008107C7" w:rsidP="008107C7">
      <w:pPr>
        <w:pStyle w:val="TextoNormal"/>
      </w:pPr>
      <w:r>
        <w:t xml:space="preserve">Así expuestas las alegaciones de las partes, para su enjuiciamiento ha de recordarse que la adopción de un único modelo oficial, por tratarse de un aspecto meramente procedimental, no puede considerarse que tenga un carácter básico, como se ha dicho respecto a un supuesto similar en la STC 79/1992, fundamento jurídico 6º N) y, asimismo, que la gestión administrativa de las ayudas, en este caso atribuida a las Comunidades Autónomas, comprende, entre otros extremos, la recepción de las solicitudes, la verificación de sus datos y su tramitación, como antes se ha dicho. Competencia de la que sin dificultad se deriva la </w:t>
      </w:r>
      <w:r>
        <w:lastRenderedPageBreak/>
        <w:t>facultad de la Administración ante la que se tramitan las ayudas para decidir el empleo de los modelos o formularios más apropiados que han de utilizar los solicitantes, así como los que han de utilizarse para resolver sobre su otorgamiento.</w:t>
      </w:r>
    </w:p>
    <w:p w:rsidR="008107C7" w:rsidRDefault="008107C7" w:rsidP="008107C7">
      <w:pPr>
        <w:pStyle w:val="TextoNormal"/>
      </w:pPr>
      <w:r>
        <w:t>En el presente caso, es claro que la Administración estatal se ha apartado de esta doctrina, pues respecto del formulario contenido en el Anexo III de la Orden Ministerial objeto del presente conflicto el M.A.P.A. ha adoptado el modelo de solicitudes para la retirada de tierras de cultivos herbáceos que han de emplear los particulares ante la Administración autonómica, aunque la competencia para recibirlas y tramitarlas corresponda a la Comunidad Autónoma del País Vasco (art. 10.1 de la orden Ministerial de 13 de abril de 1989). Y otro tanto cabe decir del modelo incluido como Anexo IV y al que se refiere el art. 11.1 de la citada Orden Ministerial, pues ha de utilizarse para adoptar la resolución concediendo la ayuda, acto administrativo que también corresponde adoptar a dicha Comunidad Autónoma. Sin que frente a las finalidades inherentes a dichos modelos pueda justificarse la intervención estatal en el objetivo adicional de que tanto las solicitudes formuladas por los particulares como las resoluciones concediendo las ayudas hayan de ser comunicadas a la Administración del Estado, según se dispone en los preceptos que se acaban de mencionar. Pues es indudable que la adecuada articulación de las competencias del Estado y de las Comunidades Autónomas en esta materia permite otras posibilidades dentro del marco constitucional y estatutario, sin que corresponda a este Tribunal decidir cual sea la fórmula precisa preferible, pues no es juez de la oportunidad política o técnica (STC 79/1992, fundamento jurídico 4º). Y, en todo caso, enjuiciando la legitimidad de la aquí empleada, ha de excluirse que esa articulación se lleve a cabo mediante la imposición de los referidos modelos, pues si como antes se ha declarado ello supone un menoscabo de la competencia que corresponde a la Comunidad Autónoma del País Vasco, el principio de coordinación, en cambio, exige un "respeto absoluto a su contenido", evitando que se altere o vacíe por esta vía (STC 102/1995, fundamento jurídico 31). Y así hemos declarado respecto al modelo normalizado de solicitudes de ayudas en la STC 79/1992, fundamento jurídico 6º A), que la atribución a la Administración del Estado invade la competencia en materia de agricultura de las Comunidades Autónomas.</w:t>
      </w:r>
    </w:p>
    <w:p w:rsidR="008107C7" w:rsidRDefault="008107C7" w:rsidP="008107C7">
      <w:pPr>
        <w:pStyle w:val="TextoNormal"/>
      </w:pPr>
    </w:p>
    <w:p w:rsidR="008107C7" w:rsidRDefault="008107C7" w:rsidP="008107C7">
      <w:pPr>
        <w:pStyle w:val="TextoNormal"/>
      </w:pPr>
      <w:r w:rsidRPr="008107C7">
        <w:rPr>
          <w:rStyle w:val="NumeroAFNegritaCaracter"/>
        </w:rPr>
        <w:t>5</w:t>
      </w:r>
      <w:r>
        <w:t>. Por último, resta por examinar el extremo del presente conflicto relativo a la fijación del listado anual de las explotaciones que han de ser objeto del control previsto en el art. 15 del Real Decreto 1.435/1988 -de conformidad con el art. 14.2 del Reglamento (CEE) 1.272/1988 de la Comisión europea- y que el art.  11.7 de la Orden Ministerial aquí controvertida atribuye al M.A.P.A. Lo que se ha justificado por la representación del Gobierno de la Nación en la coordinación de la actividad económica como título competencial del Estado ex art. 149.1.13 C.E., para garantizar una adecuada distribución geográfica de la muestra -el 5 por 100 de las explotaciones beneficiarias de la ayuda- en todo el territorio nacional. Mientras que la Comunidad Autónoma que promueve el presente conflicto rechaza la idoneidad de la centralización respecto a la fijación del referido listado, dado que la consecución del objetivo de la normativa comunitaria, en virtud de la pertinente desagregación o territorialización en que se cifre dicho listado, puede ser eficazmente garantizado mediante su definición por cada uno de dichos Entes públicos.</w:t>
      </w:r>
    </w:p>
    <w:p w:rsidR="008107C7" w:rsidRDefault="008107C7" w:rsidP="008107C7">
      <w:pPr>
        <w:pStyle w:val="TextoNormal"/>
      </w:pPr>
      <w:r>
        <w:t xml:space="preserve">La cuestión, por tanto, radica en determinar si el título de coordinación de la actividad económica apodera al Estado para dictar los referidos listados.  Para lo que ha de recordarse la amplia doctrina sentada por este Tribunal (SSTC 32/1983, 42/1983, 90/1985, 13/1988 y, entre las más recientes, SSTC 102/1995 y 171/1996), conforme a la cual el principio de </w:t>
      </w:r>
      <w:r>
        <w:lastRenderedPageBreak/>
        <w:t>coordinación permite, en esencia, articular las competencias del Estado y de las Comunidades Autónomas, con la finalidad de evitar contradicciones o reducir disfunciones que, de subsistir, impedirían o dificultarían respectivamente la realidad misma del sistema. En particular, se ha dicho que la coordinación general debe ser entendida como la fijación de medios y de sistemas de relación que hagan posible la información recíproca, la homogeneidad técnica en determinados aspectos y la acción conjunta de las autoridades estatales y comunitarias en el ejercicio de sus respectivas competencias, de tal modo que se logre la integración de los actos parciales en la globalidad del sistema (STC 32/1983, fundamento jurídico 2º, en relación con las competencias en materia de sanidad).</w:t>
      </w:r>
    </w:p>
    <w:p w:rsidR="008107C7" w:rsidRDefault="008107C7" w:rsidP="008107C7">
      <w:pPr>
        <w:pStyle w:val="TextoNormal"/>
      </w:pPr>
      <w:r>
        <w:t>Al amparo de este título competencial resulta legítimo que el Estado establezca medidas de coordinación fijando anualmente el listado de explotaciones a controlar. Pues si bien existen otras posibilidades para la realización de esta función, como ha alegado la Comunidad Autónoma que plantea el conflicto, no nos corresponde decidir cuál sea la fórmula precisa preferible (STC 79/1992, fundamento jurídico 4º). Y la establecida en el precepto impugnado, que se basa en la adecuada información procedente de la Comunidad Autónoma, en nada menoscaba sus competencias en la materia, siendo su finalidad la de garantizar la adecuada distribución geográfica de la muestra y un tratamiento homogéneo de los datos resultantes de esa verificación en todo el territorio nacional.</w:t>
      </w:r>
    </w:p>
    <w:p w:rsidR="008107C7" w:rsidRDefault="008107C7" w:rsidP="008107C7">
      <w:pPr>
        <w:pStyle w:val="TextoNormal"/>
      </w:pPr>
      <w:r>
        <w:t>Lo que enlaza directamente, además, con el deber que la normativa comunitaria impone a los Estados Miembros de remitir a la Comisión europea un informe anual sobre la aplicación del régimen de las ayudas aquí examinadas, en el que han de constar, entre otros extremos, una síntesis de los resultados de los informes de control y la distribución del número de beneficiarios y de la superficie total retirada de la producción [art. 16.2 del Reglamento (CEE) 1.272/1988, de la Comisión]. Si bien ha de tenerse presente, en contrapartida, que la ejecución de las concretas medidas de verificación previstas en la normativa estatal, una vez determinadas las explotaciones que han de ser controladas en la muestra, corresponde a las Comunidades Autónomas respecto a aquellas explotaciones beneficiarias de las ayudas que radiquen en su territorio como se reconoce en el art. 11.4 de la Orden Ministerial de 13 de abril de 1989; pues se trata de actuaciones de indudable carácter ejecutivo y la adopción por el Estado de una medida de coordinación exige, como antes se ha dicho, el absoluto respeto del contenido de las competencias de dichos Entes públicos, sin menoscabo o vacíamiento de ese contenido.</w:t>
      </w:r>
    </w:p>
    <w:p w:rsidR="008107C7" w:rsidRDefault="008107C7" w:rsidP="008107C7">
      <w:pPr>
        <w:pStyle w:val="TextoNormal"/>
      </w:pPr>
      <w:r>
        <w:t>Ha de llegarse, pues, a la conclusión de que corresponde al Estado fijar el listado de explotaciones que han de ser controladas mediante la muestra prevista en el art. 15.1 del Real Decreto 1.435/1988, de 25 de noviembre, al que se remite el art. 11.7 de la Orden Ministerial aquí controvertida.</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Estimar parcialmente el conflicto positivo de competencia planteado por el Gobierno del País Vasco y, en consecuencia:</w:t>
      </w:r>
    </w:p>
    <w:p w:rsidR="008107C7" w:rsidRDefault="008107C7" w:rsidP="008107C7">
      <w:pPr>
        <w:pStyle w:val="TextoNormal"/>
      </w:pPr>
      <w:r>
        <w:lastRenderedPageBreak/>
        <w:t>1º. Declarar que las competencias controvertidas en relación con el apartado 5 del art. 11, así como respecto a los modelos oficiales a los que se refieren los arts. 10.1 y 11.1 y 2 de la Orden Ministerial de 5 de diciembre de 1988, en la redacción dada por la de 13 de abril de 1989, y que figuran como Anexos III y IV de esta última, corresponden a la Comunidad Autónoma del País Vasco.</w:t>
      </w:r>
    </w:p>
    <w:p w:rsidR="008107C7" w:rsidRDefault="008107C7" w:rsidP="008107C7">
      <w:pPr>
        <w:pStyle w:val="TextoNormal"/>
      </w:pPr>
      <w:r>
        <w:t>2º. Declarar que la competencia controvertida en relación con el art.  11.7 de la Orden Ministerial de 5 de diciembre de 1988, en la redacción dada por la de 13 de abril de 1989, corresponde al Estado.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diez de abril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74" w:name="SENTENCIA_1997_71"/>
      <w:r>
        <w:lastRenderedPageBreak/>
        <w:t>SENTENCIA 71/1997, de 10 de abril de 1997</w:t>
      </w:r>
    </w:p>
    <w:bookmarkEnd w:id="74"/>
    <w:p w:rsidR="008107C7" w:rsidRDefault="008107C7" w:rsidP="008107C7">
      <w:pPr>
        <w:pStyle w:val="TtuloResolucin"/>
      </w:pPr>
      <w:r>
        <w:t>Pleno</w:t>
      </w:r>
    </w:p>
    <w:p w:rsidR="008107C7" w:rsidRDefault="008107C7" w:rsidP="008107C7">
      <w:pPr>
        <w:pStyle w:val="TtuloResolucin"/>
      </w:pPr>
    </w:p>
    <w:p w:rsidR="008107C7" w:rsidRDefault="008107C7" w:rsidP="008107C7">
      <w:pPr>
        <w:pStyle w:val="TtuloBOE"/>
      </w:pPr>
      <w:r>
        <w:t>("BOE" núm. 114, de 13 de mayo de 1997)</w:t>
      </w:r>
    </w:p>
    <w:p w:rsidR="008107C7" w:rsidRDefault="008107C7" w:rsidP="008107C7">
      <w:pPr>
        <w:pStyle w:val="TtuloBOE"/>
      </w:pPr>
    </w:p>
    <w:p w:rsidR="008107C7" w:rsidRDefault="008107C7" w:rsidP="008107C7">
      <w:pPr>
        <w:pStyle w:val="SntesisDescriptiva"/>
      </w:pPr>
      <w:r>
        <w:t>ECLI:ES:TC:1997:71</w:t>
      </w:r>
    </w:p>
    <w:p w:rsidR="008107C7" w:rsidRDefault="008107C7" w:rsidP="008107C7">
      <w:pPr>
        <w:pStyle w:val="SntesisDescriptiva"/>
      </w:pPr>
    </w:p>
    <w:p w:rsidR="008107C7" w:rsidRDefault="008107C7" w:rsidP="008107C7">
      <w:pPr>
        <w:pStyle w:val="SntesisDescriptiva"/>
      </w:pPr>
      <w:r>
        <w:t>Conflicto positivo de competencia 2.033/1990 2.745/1990 (acumulados). Promovidos por el Consejo Ejecutivo de la Generalidad de Cataluña en relación, el primero, con determinados preceptos con la Orden del Ministerio de Cultura, de 16 de marzo de 1990, por la que se establece la normativa de ayudas al sector del libro español y, el segundo, con la Orden del mismo Departamento Ministerial de 30 de julio de igual año, sobre ayudas financieras a la inversión en el sector del libro.</w:t>
      </w:r>
    </w:p>
    <w:p w:rsidR="008107C7" w:rsidRDefault="008107C7" w:rsidP="008107C7">
      <w:pPr>
        <w:pStyle w:val="SntesisDescriptiva"/>
      </w:pPr>
    </w:p>
    <w:p w:rsidR="008107C7" w:rsidRDefault="008107C7" w:rsidP="008107C7">
      <w:pPr>
        <w:pStyle w:val="SntesisAnaltica"/>
      </w:pPr>
    </w:p>
    <w:p w:rsidR="008107C7" w:rsidRDefault="008107C7" w:rsidP="008107C7">
      <w:pPr>
        <w:pStyle w:val="SntesisAnaltica"/>
      </w:pPr>
    </w:p>
    <w:p w:rsidR="008107C7" w:rsidRDefault="008107C7" w:rsidP="008107C7">
      <w:pPr>
        <w:pStyle w:val="Extracto"/>
      </w:pPr>
      <w:r>
        <w:t>1.</w:t>
      </w:r>
      <w:r>
        <w:tab/>
        <w:t>Cuando se ha encontrado con una materia susceptible de diversas calificaciones sustantivas que pudieran llevar a identificaciones competenciales distintas, este Tribunal, para llegar a la calificación correcta, ha atendido, además de al sentido o finalidad propia con que los varios títulos competenciales han sido recogidos en la Constitución y en los Estatutos de Autonomía (SSTC 87/1987 y 13/1989), al objeto y contenido del acto o disposición traídos al conflicto, así como al objetivo con ellos perseguido, en suma, a su finalidad. [F.J. 2]</w:t>
      </w:r>
    </w:p>
    <w:p w:rsidR="008107C7" w:rsidRDefault="008107C7" w:rsidP="008107C7">
      <w:pPr>
        <w:pStyle w:val="Extracto"/>
      </w:pPr>
    </w:p>
    <w:p w:rsidR="008107C7" w:rsidRDefault="008107C7" w:rsidP="008107C7">
      <w:pPr>
        <w:pStyle w:val="Extracto"/>
      </w:pPr>
      <w:r>
        <w:t>2.</w:t>
      </w:r>
      <w:r>
        <w:tab/>
        <w:t>En este caso, las ayudas se establecen para contribuir al desarrollo y modernización del sector del libro en su conjunto, pero con la finalidad explícita de difundir la cultura escrita de los distintos pueblos de España. Para alcanzar esa meta resulta menester mejorar las estructuras industriales y comerciales del sector; mas esa mejora es sólo un instrumento al servicio del fin cultural perseguido. Este carácter meramente instrumental se pone de manifiesto en el hecho de que, para conceder las ayudas, se tienen en cuenta algunos datos económicamente relevantes (volúmen de facturación anual, cifra de exportación); pero, junto a ellos, se aplican otros que carecen de esa relevancia (duración e intensidad de la dedicación a las actividades del sector, fondo editorial, número de títulos en catálogo). Y hasta tal punto resulta prevalente el fin de difusión de la cultura, que es posible acceder a las ayudas sin cumplir los requisitos de otra índole establecidos en la normativa cuando se trate de proyectos de excepcional trascendencia cultural (art. 16 de la O.M. de 30 de julio de 1990). Parece necesario concluir, pues, aplicando los criterios expuestos anteriormente, que el ámbito material propio de las normas reglamentarias en cuestión es el cultural y, más en concreto, el del fomento de la cultura. [F.J. 2]</w:t>
      </w:r>
    </w:p>
    <w:p w:rsidR="008107C7" w:rsidRDefault="008107C7" w:rsidP="008107C7">
      <w:pPr>
        <w:pStyle w:val="Extracto"/>
      </w:pPr>
    </w:p>
    <w:p w:rsidR="008107C7" w:rsidRDefault="008107C7" w:rsidP="008107C7">
      <w:pPr>
        <w:pStyle w:val="Extracto"/>
      </w:pPr>
      <w:r>
        <w:t>3.</w:t>
      </w:r>
      <w:r>
        <w:tab/>
        <w:t xml:space="preserve">Este Tribunal ha declarado, concretamente, que corresponde al Estado la «preservación del patrimonio cultural común», así como «lo que precise de tratamientos generales o que no puedan lograrse desde otras instancias» (SSTC 49/1984, 157/1985, 107/1987 y 17/1991). Junto a estas actividades, que competen en exclusiva al Estado, éste puede desempeñar también una actividad genérica de fomento y apoyo a las diversas manifestaciones culturales, aunque en este supuesto, como </w:t>
      </w:r>
      <w:r>
        <w:lastRenderedPageBreak/>
        <w:t>se dijo en la STC 109/1996 en relación a un asunto similar al aquí enjuiciado, deberá limitarse a prever las ayudas que estime pertinentes sin llevar a cabo otras actividades normativas y de gestión superpuestas o duplicadas respecto de las que corresponden a las Comunidades Autónomas con competencias en la materia de cultura. [F.J. 3]</w:t>
      </w:r>
    </w:p>
    <w:p w:rsidR="008107C7" w:rsidRDefault="008107C7" w:rsidP="008107C7">
      <w:pPr>
        <w:pStyle w:val="Extracto"/>
      </w:pPr>
    </w:p>
    <w:p w:rsidR="008107C7" w:rsidRDefault="008107C7" w:rsidP="008107C7">
      <w:pPr>
        <w:pStyle w:val="Extracto"/>
      </w:pPr>
      <w:r>
        <w:t>4.</w:t>
      </w:r>
      <w:r>
        <w:tab/>
        <w:t>Conviene retener que la regulación de las condiciones complementarias de otorgamiento, así como la tramitación y gestión de las ayudas ha de corresponder a las Comunidades Autónomas, siendo su gestión centralizada por el Estado la excepción, reservada para los casos en que resulte imprescindible para asegurar la plena efectividad de las ayudas dentro de la ordenación básica del sector y para garantizar iguales posibilidades de obtención y disfrute por parte de sus potenciales destinatarios en todo el territorio nacional, evitando al propio tiempo que se sobrepase la cuantía global de los fondos destinados al sector ( STC 109/1996) . [F.J. 4]</w:t>
      </w:r>
    </w:p>
    <w:p w:rsidR="008107C7" w:rsidRDefault="008107C7" w:rsidP="008107C7">
      <w:pPr>
        <w:pStyle w:val="Extracto"/>
      </w:pPr>
    </w:p>
    <w:p w:rsidR="008107C7" w:rsidRDefault="008107C7" w:rsidP="008107C7">
      <w:pPr>
        <w:pStyle w:val="Extracto"/>
      </w:pPr>
      <w:r>
        <w:t>5.</w:t>
      </w:r>
      <w:r>
        <w:tab/>
        <w:t>Ni en las Ordenes ministeriales impugnadas ni en las alegaciones que la defensa del Gobierno de la Nación ha vertido en este proceso constitucional se justifica la necesidad de que los fondos controvertidos, tal y como se establece en aquéllas, deban ser gestionados de forma centralizada y no, para el ámbito de Cataluña -que es el que aquí nos interesa-, por la Administración llamada en primer lugar a ello en virtud de sus atribuciones competenciales, es decir, la autonómica . [F.J. 5]</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Enrique Ruiz Vadillo, don Manuel Jiménez de Parga y Cabrera, don Tomás S. Vives Antón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los conflictos positivos de competencia acumulados númS. 2.033/90 y 2.745/90, promovidos ambos por el Consejo Ejecutivo de la Generalidad de Cataluña respecto, el primero, de los arts. 1C) y 4.2c) y la Sección Quinta, así como, por conexión, los arts. 5 y 9.4 de la Orden del Ministerio de Cultura de 16 de marzo de 1990, por la que se establece la normativa de ayudas al sector del libro español y, el segundo, los arts. 1, 4, 6.2, 9.2 y 10 y, por conexión, el último párrafo de la Disposición transitoria primera de la Orden del mismo Departamento Ministerial de 30 de julio de igual año, sobre ayudas financieras a la inversión en el sector del libro. Ha comparecido el Abogado del Estado, siendo Ponente el Magistrado don Manuel Jiménez de Parga y Cabrera, quien expresa el parecer del Tribunal.</w:t>
      </w:r>
    </w:p>
    <w:p w:rsidR="008107C7" w:rsidRDefault="008107C7" w:rsidP="008107C7">
      <w:pPr>
        <w:pStyle w:val="TextoNormal"/>
      </w:pPr>
    </w:p>
    <w:p w:rsidR="008107C7" w:rsidRDefault="008107C7" w:rsidP="008107C7">
      <w:pPr>
        <w:pStyle w:val="TextoNormalNegritaCentrado"/>
        <w:keepNext/>
      </w:pPr>
      <w:r>
        <w:lastRenderedPageBreak/>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El Abogado de la Generalidad de Cataluña, en nombre de su Consejo Ejecutivo y mediante escrito que presentó en este Tribunal el 1 de agosto de 1990, promovió conflicto positivo de competencia en relación con los arts. 1C) y 4.2c) y la Sección Quinta, así como, por conexión, los arts. 5 y 9.4 de la Orden del Ministerio de Cultura de 16 de marzo de 1990 (B.O.E. de 26 de marzo), por la que se establece la normativa de ayudas al sector del libro español.</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La fundamentación jurídica del escrito de formalización del conflicto es, en síntesis, como sigue: </w:t>
      </w:r>
    </w:p>
    <w:p w:rsidR="008107C7" w:rsidRDefault="008107C7" w:rsidP="008107C7">
      <w:pPr>
        <w:pStyle w:val="TextoNormal"/>
      </w:pPr>
      <w:r>
        <w:t xml:space="preserve">A. Consideraciones previas.- El Consejo Ejecutivo de la Generalidad de Cataluña inicia su escrito exponiendo, bajo el epígrafe de "consideraciones previas", que la Orden ministerial que combate, al establecer y regular los distintos sistemas de ayudas al sector del libro, prevé la existencia de tres tipos de ayudas netamente diferenciadas por su objeto. Las primeras están destinadas a la edición de obras de autores españoles que representen una aportación de calidad al acervo cultural español; las segundas tienen por objeto la traducción de obras de autores españoles entre las distintas lenguas oficiales españolas; y las últimas se destinan a la gestión de los sectores de distribución y comercialización del libro. Estas terceras, reguladas fundamentalmente en la Sección Quinta de la Orden, son las únicas que se cuestionan en el conflicto. </w:t>
      </w:r>
    </w:p>
    <w:p w:rsidR="008107C7" w:rsidRDefault="008107C7" w:rsidP="008107C7">
      <w:pPr>
        <w:pStyle w:val="TextoNormal"/>
      </w:pPr>
      <w:r>
        <w:t xml:space="preserve">Son ayudas económicas concedidas a las empresas de un sector económico - el de la distribución y comercialización del libro- con la directa finalidad de mejorar su gestión. Más en concreto y de conformidad con el art. 24.2 de la Orden, se trata de subvenir a la adquisición por parte de las empresas de dicho sector de equipos y sistemas informáticos de gestión empresarial o de elementos de comercialización e infraestructura como son estanterías o expositores y sistemas antirrobo y demás medidas de seguridad. En definitiva, es incontrovertible que mediante las ayudas en cuestión se pretende modernizar las estructuras comerciales del sector de distribución del libro. </w:t>
      </w:r>
    </w:p>
    <w:p w:rsidR="008107C7" w:rsidRDefault="008107C7" w:rsidP="008107C7">
      <w:pPr>
        <w:pStyle w:val="TextoNormal"/>
      </w:pPr>
      <w:r>
        <w:t xml:space="preserve">B. La potestad de gasto público en la doctrina del Tribunal Constitucional.- A continuación resume, con cita de las SSTC 179/1985, 95/1986, 146/1986, 14/1989, 75/1989, 95/1986 y 145/1989, la doctrina de este Tribunal sobre la potestad de gasto público destacando tres afirmaciones generales que, a su juicio, se deducen con rotunda claridad de esa doctrina; a saber: la facultad de gasto público no constituye un título autónomo, no conlleva por sí misma ninguna otra potestad y las subvenciones no son más que simples actos que se inscriben en el nivel de ejecución de competencias. Como la potestad de gasto público no constituye un título competencial autónomo, la resolución de la presente controversia exige determinar previamente el ámbito material y el correspondiente título competencial habilitante de las medidas de fomento a la gestión de los sectores de distribución y comercialización del libro previstas en la Orden de 16 de marzo de 1990. </w:t>
      </w:r>
    </w:p>
    <w:p w:rsidR="008107C7" w:rsidRDefault="008107C7" w:rsidP="008107C7">
      <w:pPr>
        <w:pStyle w:val="TextoNormal"/>
      </w:pPr>
      <w:r>
        <w:t xml:space="preserve">C. Ambito material y marco competencial del conflicto.- </w:t>
      </w:r>
    </w:p>
    <w:p w:rsidR="008107C7" w:rsidRDefault="008107C7" w:rsidP="008107C7">
      <w:pPr>
        <w:pStyle w:val="TextoNormal"/>
      </w:pPr>
      <w:r>
        <w:t xml:space="preserve">a) En las SSTC 49/1984 y 153/1989, el Tribunal Constitucional ha afirmado que cuando una norma puede entenderse comprendida en más de una regla definidora de competencias, para resolver cuál de ellas es la prevalente y aplicable al caso concreto es preciso atender tanto al sentido o finalidad de los varios títulos competenciales y estatutarios, como al carácter, sentido y finalidad de las disposiciones objeto de conflicto. Pues bien, las ayudas cuestionadas, que se dirigen a la implantación y mejora de los sistemas de gestión de la red </w:t>
      </w:r>
      <w:r>
        <w:lastRenderedPageBreak/>
        <w:t xml:space="preserve">de distribución y comercialización del libro a nivel estatal, tienen su encaje en el ámbito material del comercio interior, pues la finalidad inmediata es netamente comercial, aunque de forma indirecta incida en un bien cultural como el libro. En este sentido es especialmente significativo que el mayor o menor valor cultural de los libros distribuidos no es tenido en absoluto en cuenta como criterio para subvenir o no a su distribución; las ayudas se otorgan con absoluta independencia del contenido cultural que puedan tener los libros. Los objetos concretos a los que se destinan las ayudas (instrumentos de gestión informática de contabilidad, lectores de códigos de barras, estanterías y demás mobiliario comercial, sistemas antirrobo y otras medidas de seguridad) carecen de un valor intrínsecamente cultural. </w:t>
      </w:r>
    </w:p>
    <w:p w:rsidR="008107C7" w:rsidRDefault="008107C7" w:rsidP="008107C7">
      <w:pPr>
        <w:pStyle w:val="TextoNormal"/>
      </w:pPr>
      <w:r>
        <w:t xml:space="preserve">El concepto estrictamente instrumental del comercio (v.gr.: el comercio de productos hortifrutícolas no es más que una actividad instrumental de la agricultura) no puede tener recepción en un análisis de la distribución de competencias entre el Estado y las Comunidades Autónomas, puesto que el comercio interior ha sido sustantivado como sector de actividad con entidad propia en el bloque de la constitucionalidad. Por consiguiente, si a efectos competenciales ha quedado definido el comercio interior como sector de actividad, cuya regulación e intervención administrativa en Cataluña han sido atribuidas a la Generalidad, no es posible imputar el fomento de instrumentos o actividades neta e intrínsecamente comerciales a cada uno de los sectores de producción a los que pueda pertenecer el objeto comercializado, puesto que con ello se estaría vaciando de contenido la competencia de comercio interior. </w:t>
      </w:r>
    </w:p>
    <w:p w:rsidR="008107C7" w:rsidRDefault="008107C7" w:rsidP="008107C7">
      <w:pPr>
        <w:pStyle w:val="TextoNormal"/>
      </w:pPr>
      <w:r>
        <w:t xml:space="preserve">La calificación competencial de la actividad de distribución de libros mantiene necesariamente un paralelismo con la distribución cinematográfica. El cine o los libros son objeto que pueden tener un cierto valor cultural y ni la cinematografía ni los libros tienen una referencia específica en los títulos competenciales enunciados en la Constitución y el Estatuto de Autonomía de Cataluña. Sin embargo, la STC 153/1989, en relación a la realización de películas cinematográficas en coproducción, determina que el título competencial prevalente es el de industria puesto que el aspecto de la actividad cinematográfica relevante a los efectos de la regulación que se establece en la norma objeto de aquella controversia es el aspecto económico e industrial. Pues bien, si el aspecto relevante en las ayudas a la distribución comercial de libros es precisamente la rentabilización y mejora de la productividad de la red de distribución, es evidente que el título competencial prevalente no puede ser el de cultura, sino que ha de ser el de comercio interior. </w:t>
      </w:r>
    </w:p>
    <w:p w:rsidR="008107C7" w:rsidRDefault="008107C7" w:rsidP="008107C7">
      <w:pPr>
        <w:pStyle w:val="TextoNormal"/>
      </w:pPr>
      <w:r>
        <w:t xml:space="preserve">b) Los arts. 44.1 y 149.1.1 C.E. son los invocados por el Gobierno de la Nación para justificar su competencia en la adopción de la Orden ministerial impugnada. Estos preceptos en modo alguno pueden dar cobertura al establecimiento de las ayudas en cuestión. El derecho de acceso a la cultura, que se recoge en el primero de los preceptos citados, no ha sido configurado como uno de los derechos y libertades fundamentales, sino como un principio rector de la política social y económica y ello supone necesariamente una distinta modulación en cuanto a su invocabilidad, en cuanto a su contenido esencial y, muy especialmente, en cuanto a la imposibilidad de fundar competencialmente una disposición o actuación del Estado en orden a garantizar una igualdad básica de los españoles en su ejercicio. </w:t>
      </w:r>
    </w:p>
    <w:p w:rsidR="008107C7" w:rsidRDefault="008107C7" w:rsidP="008107C7">
      <w:pPr>
        <w:pStyle w:val="TextoNormal"/>
      </w:pPr>
      <w:r>
        <w:t xml:space="preserve">De la doctrina del Tribunal Constitucional se deduce con toda rotundidad que el art. 44.1, al igual que los demás comprendidos en el Capítulo Tercero del Título I, no constituye un título competencial autónomo para el Estado. Así se ha pronunciado en la STC 152/1988 respecto del art. 47. De forma equivalente, en la STC 15/1989, declaró que el art. 51 no es conceptuable como norma competencial. Si del art. 44.1 no puede predicarse un título competencia autónomo en favor del Estado, el Estado no puede pretender, en base al art. 149.1.1 </w:t>
      </w:r>
      <w:r>
        <w:lastRenderedPageBreak/>
        <w:t xml:space="preserve">C.E., dar cobertura competencial a una actuación dirigida a una supuesta garantía de la igualdad de todos los españoles en el ejercicio de su derecho a la cultura. </w:t>
      </w:r>
    </w:p>
    <w:p w:rsidR="008107C7" w:rsidRDefault="008107C7" w:rsidP="008107C7">
      <w:pPr>
        <w:pStyle w:val="TextoNormal"/>
      </w:pPr>
      <w:r>
        <w:t xml:space="preserve">c) Las ayudas a la gestión de los sectores de distribución y comercialización del libro tampoco pueden tener encaje en el título competencial ex art. 149.2 C.E. Por lo pronto, debe recordarse que este precepto constitucional comienza con una referencia expresa a las competencias de las Comunidades Autónomas; esta referencia no es neutra y condiciona y limita todas las demás disposiciones del precepto a la previa observancia y respeto de las competencias que hayan asumido las Comunidades Autónomas. De su texto se deduce que toda actuación que el Estado emprenda en orden al servicio de la cultura ha de situarse en principio, y con todos los matices que se quiera, en una posición subsidiaria y complementaria de la que corresponda en otros ámbitos materiales a las Comunidades Autónomas. </w:t>
      </w:r>
    </w:p>
    <w:p w:rsidR="008107C7" w:rsidRDefault="008107C7" w:rsidP="008107C7">
      <w:pPr>
        <w:pStyle w:val="TextoNormal"/>
      </w:pPr>
      <w:r>
        <w:t xml:space="preserve">En el art. 149.2 C.E. no se está reservando directamente al Estado un deber o atribución esencial de servir a la cultura, sino ordenándole que considere que el servicio de la cultura tiene ese carácter. El empleo de esa forma indirecta revela que no se trata propiamente de un título competencial, sino más bien de un mandato. Se trata de garantizar de forma accesoria y complementaria la defensa de unos valores culturales y, en tanto que garantía, la actividad del Estado ha de ser ejercida sin merma de las competencias atribuidas a las Comunidades Autónomas. Esta interpretación viene avalada por la voluntad del legislador constituyente, expresada durante el proceso de elaboración de nuestro Texto fundamental. El mandato que el art. 149.2 C.E. dirige al Estado tiene un sentido claramente omnicomprensivo de todos aquellos ámbitos materiales que presenten una vertiente cultural especialmente relevante, pero en modo alguno autoriza al Estado a intervenir indiscriminadamente en los ámbitos materiales que constitucional y estatutariamente han quedado asignados a las Comunidades Autónomas. Entenderlo de otro modo sería desnaturalizar el reparto de competencias establecido entre el Estado y las Comunidades Autónomas y convertir el apartado segundo del art. 149 C.E. en una atribución competencial en blanco al Estado. </w:t>
      </w:r>
    </w:p>
    <w:p w:rsidR="008107C7" w:rsidRDefault="008107C7" w:rsidP="008107C7">
      <w:pPr>
        <w:pStyle w:val="TextoNormal"/>
      </w:pPr>
      <w:r>
        <w:t xml:space="preserve">Por otra parte, es innegable que desde el deber y atribución esencial de servicio a la cultura enunciados en el art. 149.2 C.E., hasta la concesión de ayudas a empresas para la comercialización de un determinado producto cultural, hay un salto cualitativo importante que con toda seguridad excede del alcance de ese precepto. En el caso que nos ocupa, no es el propio Estado el que presta directamente un servicio a la cultura, ni el que asume directamente la defensa de un valor cultural, sino que interviene en un sector económico, concediendo ayudas a unas empresas dedicadas al negocio de comercialización de un producto, con objeto de mejorar y rentabilizar su gestión. Y, de todo ello, tan sólo es el producto, el libro, el que, en su caso, puede tener un valor cultural intrínseco. </w:t>
      </w:r>
    </w:p>
    <w:p w:rsidR="008107C7" w:rsidRDefault="008107C7" w:rsidP="008107C7">
      <w:pPr>
        <w:pStyle w:val="TextoNormal"/>
      </w:pPr>
      <w:r>
        <w:t xml:space="preserve">d) La instrumentación de las ayudas en cuestión tampoco tienen cabida en el título competencial del art. 149.1.13 C.E. y no sólo porque no ha sido invocado ni en la Orden cuestionada ni en la respuesta al requerimiento previo, sino también por razones de desproporción y por tratarse el comercio interior de un título más específico en relación con el objeto de las ayudas. En cualquier caso, el art. 149.1.13 únicamente podría habilitar al Estado para establecer el destino genérico de las ayudas, pero en modo alguno legitimaría el desarrollo y concreción normativos de ese objeto y mucho menos la asunción por el Estado de funciones en el nivel ejecutivo. </w:t>
      </w:r>
    </w:p>
    <w:p w:rsidR="008107C7" w:rsidRDefault="008107C7" w:rsidP="008107C7">
      <w:pPr>
        <w:pStyle w:val="TextoNormal"/>
      </w:pPr>
      <w:r>
        <w:t xml:space="preserve">D. La competencia de la Generalidad de Cataluña en materia de comercio interior.- </w:t>
      </w:r>
    </w:p>
    <w:p w:rsidR="008107C7" w:rsidRDefault="008107C7" w:rsidP="008107C7">
      <w:pPr>
        <w:pStyle w:val="TextoNormal"/>
      </w:pPr>
      <w:r>
        <w:t xml:space="preserve">a) El art. 12.1.5 del Estatuto de Autonomía de Cataluña atribuyó a la Generalidad de Cataluña competencia exclusiva en materia de comercio interior, sin perjuicio de la política general de precios y de la legislación sobre defensa de la competencia y, todo ello, de </w:t>
      </w:r>
      <w:r>
        <w:lastRenderedPageBreak/>
        <w:t xml:space="preserve">acuerdo con las bases y la ordenación de la actividad económica general y la política monetaria del Estado y en los términos de lo dispuesto en los arts. 38, 131 y 149.1.11 y 13 C.E. Por consiguiente, le corresponde las potestades legislativa y reglamentaria y la función ejecutiva, incluida la inspección (art. 25.2 E.A.C.). Del contenido de dicha competencia son un claro testimonio los Reales Decretos 1.386/1978 y 2.687/1980, de traspaso de competencias preestatutarias y de funciones y servicios, respectivamente, en materia de comercio interior, en los cuales queda explicitado el íntegro traspaso a la Generalidad de las funciones que en Cataluña venía realizando el Instituto de Reforma de las Estructuras Comerciales en orden a la concesión de ayudas estatales destinadas a la reforma de las estructuras comerciales. </w:t>
      </w:r>
    </w:p>
    <w:p w:rsidR="008107C7" w:rsidRDefault="008107C7" w:rsidP="008107C7">
      <w:pPr>
        <w:pStyle w:val="TextoNormal"/>
      </w:pPr>
      <w:r>
        <w:t xml:space="preserve">b) La transferencia se refería en especial a lo previsto en el Decreto-ley 13/1973, los Decretos 3.067/1973, 3/1966, 1.887/1978 y 418/1979, la Orden del Ministerio de Comercio de 5 de diciembre de 1978 y la Orden de la Presidencia del Gobierno de 17 de mayo de 1979. En relación a esta última norma, se disponía que el procedimiento y características de la financiación para la modernización del sector de la distribución comercial se establecería en coordinación con la política económica general del Estado; precisión esta última que resultaba innecesaria a la vista de las expresas previsiones de los arts. 149.1.13 C.E. y del encabezamiento del art. 12.1 del E.A.C. Igualmente, es preciso destacar que los proyectos susceptibles de obtener la financiación prevista deberían tener un carácter estrictamente comercial e inscribirse plenamente en el sector del comercio interior, de acuerdo con la Clasificación Nacional de Actividades Económicas. Pues bien, dentro de las actividades comprendidas en el comercio interior, y junto a las actividades del comercio al por mayor y las de los intermediarios del comercio, en el epígrafe 647.4 del Decreto 2.518/1974, por el que se aprobó la citada Clasificación, se citaba expresamente el "Comercio al por menor de libros, periódicos, artículos de papelería y escritorio". </w:t>
      </w:r>
    </w:p>
    <w:p w:rsidR="008107C7" w:rsidRDefault="008107C7" w:rsidP="008107C7">
      <w:pPr>
        <w:pStyle w:val="TextoNormal"/>
      </w:pPr>
      <w:r>
        <w:t xml:space="preserve">Pero es que el propio Estado, en las disposiciones que ha venido aprobando con posterioridad en relación a la modernización y racionalización de la distribución comercial y, en concreto, la Orden de 18 de marzo de 1981, ha seguido declarando que pueden acceder a las ayudas correspondientes aquellos proyectos que se inscriban plenamente en el sector del comercio interior, de acuerdo con aquella misma Clasificación. Además, recientemente el Gobierno ha reconocido expresamente la competencia de la Generalidad de Cataluña en orden al establecimiento de las ayudas para la modernización y reforma de las estructuras comerciales. En efecto, cuando el Ministerio de Economía y Hacienda dictó la Orden de 13 de octubre de 1989, por la que se establecía el procedimiento y las características de financiación para la modernización del sector de la distribución comercial, el propio Ministerio tuvo que precisar, mediante Orden de 31 de enero de 1990, que en las Comunidades Autónomas que habían asumido competencias legislativas en la materia de reforma de estructuras comerciales, como Cataluña, esa disposición no resultaba de aplicación directa. </w:t>
      </w:r>
    </w:p>
    <w:p w:rsidR="008107C7" w:rsidRDefault="008107C7" w:rsidP="008107C7">
      <w:pPr>
        <w:pStyle w:val="TextoNormal"/>
      </w:pPr>
      <w:r>
        <w:t xml:space="preserve">Cabe citar, por último, que la Generalidad de Cataluña, en ejercicio de esa competencia de comercio interior, ha aprobado una larga serie de disposiciones, de las cuales las más recientes son el Decreto 344/1989, por el que se regula la concesión de ayudas para la mejora de las condiciones de financiación de inversiones destinadas a la modernización y racionalización del comercio, y la Orden de 11 de mayo de 1990, del Departamento de Comercio, Consumo y Turismo, por la que se regula la concesión de subvenciones para la realización de inversiones destinadas a la modernización y racionalización del comercio, entre las que se prevén las destinadas a informatización de establecimientos comerciales, sin distinción </w:t>
      </w:r>
      <w:r>
        <w:lastRenderedPageBreak/>
        <w:t xml:space="preserve">en cuanto al producto comercializado. Y, por supuesto, entre los beneficiarios de estas ayudas, en Cataluña, han sido diversos proyectos de informatización y de modernización de librerías y sociedades cooperativas de distribución de libros. </w:t>
      </w:r>
    </w:p>
    <w:p w:rsidR="008107C7" w:rsidRDefault="008107C7" w:rsidP="008107C7">
      <w:pPr>
        <w:pStyle w:val="TextoNormal"/>
      </w:pPr>
      <w:r>
        <w:t xml:space="preserve">De todo ello cabe concluir que la competencia atribuida a la Generalidad de Cataluña en materia de comercio interior, comprende la potestad de establecer ayudas a la reforma y modernización de las estructuras comerciales del sector de distribución y comercialización del libro. </w:t>
      </w:r>
    </w:p>
    <w:p w:rsidR="008107C7" w:rsidRDefault="008107C7" w:rsidP="008107C7">
      <w:pPr>
        <w:pStyle w:val="TextoNormal"/>
      </w:pPr>
      <w:r>
        <w:t xml:space="preserve">E. Las ayudas a la distribución y comercialización del libro previstas en la Orden de 16 de marzo de 1990.- El Estado carece de título competencial que le permita regular y asumir en el nivel de ejecución administrativa la convocatoria, gestión y concesión de unas ayudas a la implantación y mejora del sistema de gestión de la red de distribución y comercialización del libro y, por consiguiente, resulta de ello la inconstitucionalidad por incompetencia de los arts. 1C), 4.2c), Sección Quinta y, por conexión, los arts. 5 y 9.4, de la referida Orden. </w:t>
      </w:r>
    </w:p>
    <w:p w:rsidR="008107C7" w:rsidRDefault="008107C7" w:rsidP="008107C7">
      <w:pPr>
        <w:pStyle w:val="TextoNormal"/>
      </w:pPr>
      <w:r>
        <w:t xml:space="preserve">a) Mediante el art. 1C) se habilita al Ministerio de Cultura, a través de su Dirección General del Libro y Bibliotecas para conceder las ayudas a la gestión de los sectores de distribución y comercialización del libro. Se trata de ayudas a la gestión de un sector del comercio y, evidentemente, la gestión comercial mal puede merecer la calificación de objeto cultural; y menos aún puede pretenderse amparar la regulación estatal de esas ayudas y la atribución en exclusiva de todas las funciones de su gestión y concesión a órganos del Estado en la libertad individual y colectiva en el conocimiento y difusión de la pluralidad de las opciones culturales existentes, así como la igualdad de todos los ciudadanos en esa comunicación cultural. Se trata de unas ayudas que por su objeto y finalidad no pueden encontrar cobertura en los arts. 149.1.1 y 44.1 C.E. Otro tanto cabe argumentar en cuanto a la existencia de la Comisión de Asesoramiento y Evaluación prevista en el art. 4.2c) de la Orden y a la que se atribuyen funciones de informe y valoración de los proyectos. </w:t>
      </w:r>
    </w:p>
    <w:p w:rsidR="008107C7" w:rsidRDefault="008107C7" w:rsidP="008107C7">
      <w:pPr>
        <w:pStyle w:val="TextoNormal"/>
      </w:pPr>
      <w:r>
        <w:t xml:space="preserve">b) En idéntica vulneración competencial incurre el Estado al establecer una completa regulación de las ayudas a la gestión de los sectores de distribución y comercialización del libro español en la Sección Quinta de la Orden. En sus disposiciones se constata claramente que el objeto real de las ayudas en cuestión sólo permite que su regulación y concesión, en Cataluña, sea establecida desde la competencia que en materia de comercio interior ha sido atribuida a la Generalidad. Así, de conformidad con lo previsto en el art. 24, las ayudas tienen por objeto la mejora de los elementos de gestión informática, tanto de información bibliográfica como gestión empresarial o lectores ópticos de códigos de barras, o bien la adquisición de mobiliario de exposición comercial como son las estanterías o expositores, y la instalación de sistemas de alarma y antirrobo; es decir, objetos todos ellos sin intrínseco valor cultural y que son propios de la mecanización, modernización y equipamiento de la actividad comercial. A su vez, los arts. 25, 26 y 27 establecen que las ayudas se concederán a librerías y distribuidores en función del volumen de su facturación, es decir, en función de simples criterios cuantitativos y no de la calidad cultural del producto. Por fin, por conexión con las ayudas previstas en la Sección Quinta, resultan igualmente inconstitucionales por incompetencia las referencias a los artículos de esa Sección contenidas en los arts. 5 y 9.4 de la Orden. </w:t>
      </w:r>
    </w:p>
    <w:p w:rsidR="008107C7" w:rsidRDefault="008107C7" w:rsidP="008107C7">
      <w:pPr>
        <w:pStyle w:val="TextoNormal"/>
      </w:pPr>
      <w:r>
        <w:t xml:space="preserve">c) La manifiesta incompetencia del Estado para la regulación y concesión de las ayudas previstas en la Orden de 16 de marzo de 1990, determina que deba procederse a la distribución del montante global de los recursos económicos presupuestados para esas ayudas, aplicando unos criterios objetivos, como el número de establecimientos de distribución y comercialización de libros domiciliados en cada Comunidad Autónoma, o los respectivos volúmenes de libros comercializados, y ponerse esos recursos a disposición de la Generalidad </w:t>
      </w:r>
      <w:r>
        <w:lastRenderedPageBreak/>
        <w:t xml:space="preserve">de Cataluña y demás Comunidades Autónomas con competencias equivalentes en materia de comercio interior. </w:t>
      </w:r>
    </w:p>
    <w:p w:rsidR="008107C7" w:rsidRDefault="008107C7" w:rsidP="008107C7">
      <w:pPr>
        <w:pStyle w:val="TextoNormal"/>
      </w:pPr>
      <w:r>
        <w:t>La Generalidad de Cataluña concluye solicitando el pronunciamiento de Sentencia por la que se declare que corresponde a ella la competencia controvertida, la nulidad de los preceptos cuestionados y el deber del Estado de proceder a la distribución entre las Comunidades Autónomas competentes de los recursos presupuestados por el Estado para la concesión de ayudas a la gestión de los sectores de distribución y comercialización del libro español.</w:t>
      </w:r>
    </w:p>
    <w:p w:rsidR="008107C7" w:rsidRDefault="008107C7" w:rsidP="008107C7">
      <w:pPr>
        <w:pStyle w:val="TextoNormal"/>
      </w:pPr>
    </w:p>
    <w:p w:rsidR="008107C7" w:rsidRDefault="008107C7" w:rsidP="008107C7">
      <w:pPr>
        <w:pStyle w:val="TextoNormal"/>
      </w:pPr>
      <w:r w:rsidRPr="008107C7">
        <w:rPr>
          <w:rStyle w:val="NumeroAFNegritaCaracter"/>
        </w:rPr>
        <w:t>3</w:t>
      </w:r>
      <w:r>
        <w:t>. La Sección Primera de este Tribunal, en providencia de 17 de septiembre de 1990, acordó admitir a trámite el anterior conflicto positivo de competencia, dar traslado de la demanda al Gobierno de la Nación, con el fin de que formulase las alegaciones que tuviera a bien en el plazo de veinte días, dirigir oficio al Presidente de la Audiencia Nacional, por si ante ella estuviera impugnada o se impugnare la Orden Ministerial aquí cuestionada y publicar la incoación del conflicto en el Boletín Oficial del Estado y en el Diario Oficial de la Generalidad de Cataluña.</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El Abogado del Estado, en nombre del Gobierno de la Nación, en escrito recibido el 16 de octubre de 1990 formuló, en síntesis, las siguientes alegaciones: </w:t>
      </w:r>
    </w:p>
    <w:p w:rsidR="008107C7" w:rsidRDefault="008107C7" w:rsidP="008107C7">
      <w:pPr>
        <w:pStyle w:val="TextoNormal"/>
      </w:pPr>
      <w:r>
        <w:t xml:space="preserve">A. Términos en que se plantea el conflicto.- En el petitum del escrito en el que plantea el conflicto, la Generalidad de Cataluña solicita que «se declare igualmente la nulidad de los preceptos objeto de la demanda y el deber del Estado de proceder a la distribución entre las Comunidades Autónomas competentes, y en base a unos criterios objetivos, de los recursos económicos presupuestados por el Estado para la concesión de ayudas a la gestión de los sectores de distribución y comercialización del libro español». Sin perjuicio de que el contenido del suplico debe rechazarse en su totalidad, deben hacerse dos precisiones. La primera es que no es procedente acceder a la pretensión de anular los artículos impugnados, puesto que la Orden tiene validez en cuanto que el Estado posee competencias sobre la materia en todo el territorio nacional y no tienen por qué ser de la misma amplitud las competencias de otras Comunidades Autónomas que aquéllas que pretende poseer la Comunidad Autónoma de Cataluña en esta materia (STC 153/1989). </w:t>
      </w:r>
    </w:p>
    <w:p w:rsidR="008107C7" w:rsidRDefault="008107C7" w:rsidP="008107C7">
      <w:pPr>
        <w:pStyle w:val="TextoNormal"/>
      </w:pPr>
      <w:r>
        <w:t xml:space="preserve">La segunda es que los recursos económicos destinados por el Estado a la distribución y comercialización del libro deben ser invertidos con arreglo a criterios objetivos. El "criterio objetivo" de distribución de tales fondos que proponía el Consejo Ejecutivo de la Generalidad de Cataluña en el requerimiento de incompetencia era el "volumen de actividad editorial" de cada Comunidad Autónoma. Nada puede estar más lejos de la finalidad de la norma que establece las ayudas a la distribución y comercialización del libro y que pretende lograr la difusión en toda España de la oferta bibliográfica, que primar a aquellas Comunidades Autónomas que, por tener un gran volumen de actividad editorial, pueden hacer llegar con más facilidad a los ciudadanos en ellas residentes los libros editados. La actividad de fomento cultural exige que se otorgue un tratamiento singular a los distribuidores y comerciantes del libro que tengan menos medios. </w:t>
      </w:r>
    </w:p>
    <w:p w:rsidR="008107C7" w:rsidRDefault="008107C7" w:rsidP="008107C7">
      <w:pPr>
        <w:pStyle w:val="TextoNormal"/>
      </w:pPr>
      <w:r>
        <w:t>B. Títulos competenciales.- La actividad de fomento cultural que el Estado realiza a través de las normas impugnadas no persigue estimular el comercio sino el conocimiento de la oferta bibliográfica por los ciudadanos. Las ayudas que se otorgan no pretenden beneficiar al comerciante o distribuidor sino al ciudadano posible lector. Se desea que éste tenga ac</w:t>
      </w:r>
      <w:r>
        <w:lastRenderedPageBreak/>
        <w:t xml:space="preserve">ceso al conocimiento de la mayor parte de los títulos publicados y, en su caso, a la adquisición de las obras bibliográficas. No se persigue reformar las estructuras comerciales sino facilitar el acceso a la cultura mediante el especial tratamiento del sector del libro. </w:t>
      </w:r>
    </w:p>
    <w:p w:rsidR="008107C7" w:rsidRDefault="008107C7" w:rsidP="008107C7">
      <w:pPr>
        <w:pStyle w:val="TextoNormal"/>
      </w:pPr>
      <w:r>
        <w:t xml:space="preserve">A pesar de encontrarse las librerías catalogadas dentro de la Clasificación Nacional de Actividades Económicas, su actividad no se ajusta a la finalidad que para las ayudas de reforma de estructuras comerciales prevén los Reales Decretos 1.386/1978 y 2.687/1980, por los que se traspasaron a la Generalidad de Cataluña funciones y servicios en materia de comercio interior. La actividad del empresario mercantil, ámbito del comercio interior (STC 88/1986), ni se regula ni se ve afectada por la Orden cuestionada. Tampoco se regula en ella una reglamentación de los establecimientos que pudiera afectar al comercio interior (STC 13/1989). Las ayudas a la gestión de la distribución y de la comercialización tienden a fomentar la cultura a través del conocimiento del libro y del acceso al mismo. </w:t>
      </w:r>
    </w:p>
    <w:p w:rsidR="008107C7" w:rsidRDefault="008107C7" w:rsidP="008107C7">
      <w:pPr>
        <w:pStyle w:val="TextoNormal"/>
      </w:pPr>
      <w:r>
        <w:t xml:space="preserve">C. La competencia controvertida corresponde al Estado.- </w:t>
      </w:r>
    </w:p>
    <w:p w:rsidR="008107C7" w:rsidRDefault="008107C7" w:rsidP="008107C7">
      <w:pPr>
        <w:pStyle w:val="TextoNormal"/>
      </w:pPr>
      <w:r>
        <w:t xml:space="preserve">a) Es el sentido y la finalidad de la norma objeto de conflicto los que determinan el título competencial de aplicación preferente (SSTC 252/1988, 13/1989 y 153/1989). La STC 49/1984 ha otorgado a la "cultura" el carácter de regla más fuerte para atribuir competencia al Estado, como medida de fomento, en los supuestos de cine de arte y ensayo, para dotar a las películas del estímulo fiscal que facilite su producción y distribución. La actividad registral destinada al control del ejercicio de las competencias estatales en materia de cinematografía ha determinado la atribución de la competencia debatida al Estado (STC 157/1985). Se han tenido en cuenta por este Tribunal para la determinación de la competencia en materia de cinematografía la aplicación de medidas de carácter fiscal (SSTC 49/1984 y 157/1985) o las restrictivas que implican limitaciones de derechos reconocidos en el art. 20 C.E. (STC 153/1985). La STC 84/1983 declaró que el Estado es competente para la distribución de créditos para financiar inversiones de carácter cultural a realizar con motivo de efemérides. </w:t>
      </w:r>
    </w:p>
    <w:p w:rsidR="008107C7" w:rsidRDefault="008107C7" w:rsidP="008107C7">
      <w:pPr>
        <w:pStyle w:val="TextoNormal"/>
      </w:pPr>
      <w:r>
        <w:t xml:space="preserve">b) La competencia atribuida a la Comunidad Autónoma de Cataluña en el art. 9.4 de su Estatuto de Autonomía de ninguna manera es omnímoda y excluyente. El "fomento de la cultura" es competencia atribuida al Estado, sin perjuicio de las propias de las Comunidades Autónomas, por el art. 149.2 C.E., que pone el acento en el servicio de la cultura como deber y como atribución esencial (SSTC 11/1986, 87/1987 y 106/1987). Hay una concurrencia competencial entre Estado y Comunidades Autónomas. Al Estado compete la preferente atención en la preservación del patrimonio cultural común, pero también en aquellos que precise de tratamientos generales o que hagan menester esa acción pública cuando los bienes culturales pudieran no lograrse desde otras instancias (STC 49/1984). En igual sentido se ha manifestado el Tribunal Constitucional en las SSTC 143/1985 y 103/1988. </w:t>
      </w:r>
    </w:p>
    <w:p w:rsidR="008107C7" w:rsidRDefault="008107C7" w:rsidP="008107C7">
      <w:pPr>
        <w:pStyle w:val="TextoNormal"/>
      </w:pPr>
      <w:r>
        <w:t xml:space="preserve">c) La Orden del Ministerio de Cultura de 16 de marzo de 1990 establece la normativa de ayudas al sector del libro español, distinguiendo entre ayuda a la edición de obras de autores españoles, ayuda a la traducción de obras de autores españoles entre las lenguas oficiales españolas y ayudas a la gestión de los sectores de distribución y comercialización del libro. </w:t>
      </w:r>
    </w:p>
    <w:p w:rsidR="008107C7" w:rsidRDefault="008107C7" w:rsidP="008107C7">
      <w:pPr>
        <w:pStyle w:val="TextoNormal"/>
      </w:pPr>
      <w:r>
        <w:t xml:space="preserve">La situación del sector del libro en España y la voluntad de fomentar el acceso a la cultura de los ciudadanos de todo el territorio español ha determinado que se promueva, a través de ayudas económicas otorgadas por el Ministerio de Cultura, no sólo la edición y traducción a otras lenguas oficiales de España de obras españolas sino también la gestión de la distribución y comercialización del libro. Ello determinó ya la atribución de determinados estímulos económicos al sector del libro por la Ley de Protección al Libro Español de 18 de diciembre de 1946. La Ley 9/1975 prevé un tratamiento económico-fiscal peculiar para los distribuidores y comerciantes de libros. Dichas medidas tienden a procurar la promoción </w:t>
      </w:r>
      <w:r>
        <w:lastRenderedPageBreak/>
        <w:t xml:space="preserve">por el Estado de la difusión del libro. Tal finalidad promotora se cumple asimismo por las disposiciones contenidas en el Real Decreto 484/1990, que establece un sistema de precios (precio fijo) que facilita la adquisición de los distintos títulos. Con ello el Estado facilita el acceso a la cultura de todos los ciudadanos de España en cumplimiento del mandato impuesto a los poderes públicos en el art. 44.1 C.E. </w:t>
      </w:r>
    </w:p>
    <w:p w:rsidR="008107C7" w:rsidRDefault="008107C7" w:rsidP="008107C7">
      <w:pPr>
        <w:pStyle w:val="TextoNormal"/>
      </w:pPr>
      <w:r>
        <w:t xml:space="preserve">d) La materia competencial que el Consejo Ejecutivo de la Generalidad de Cataluña entiende que no corresponde al Estado es la relativa a la concesión de ayudas a la gestión de los sectores de distribución y comercialización del libro. Dichas ayudas no se otorgan a la comercialización del libro en sí, no se prima económicamente al comerciante del libro que realice uno u otro tipo de ventas más o menos ejemplares de una determinada obra. Se procura que, mediante una gestión adecuada, los sectores de distribución y comercialización del libro estén dotados de los medios precisos para facilitar a los posibles lectores datos sobre las distintas obras editadas, cumplan adecuadamente sus obligaciones tributarias, lleven la contabilidad por la ley exigida y se encuentren en situación de acercar al ciudadano, en cualquier lugar de España, la mayor parte de la oferta bibliográfica existente en el mercado. Tal es el sentido que hay que dar al art. 24.2 de la Orden cuando establece el objeto de las ayudas. </w:t>
      </w:r>
    </w:p>
    <w:p w:rsidR="008107C7" w:rsidRDefault="008107C7" w:rsidP="008107C7">
      <w:pPr>
        <w:pStyle w:val="TextoNormal"/>
      </w:pPr>
      <w:r>
        <w:t xml:space="preserve">La totalidad de la información bibliográfica nacional, que se extiende a casi medio millón de referencias, se encuentra almacenada en un soporte informático en el Centro de Proceso de Datos del Ministerio de Cultura. Entre las bases de datos existentes, se encuentra la que contiene toda la información bibliográfica nacional que se nutre de las informaciones que los editores facilitan a la Agencia Española del International Standar Book Number (ISBN), cuya gestión se lleva a cabo por el Ministerio de Cultura. Los medios informáticos cuya adquisición se facilita a los distribuidores y comerciantes de libros persigue facilitar el conocimiento por éstos de las bases de datos bibliográficos del Ministerio de Cultura. No se pretende, en modo alguno, rentabilizar y mejorar la productividad de la red de distribución y comercialización. Se desea lograr la mayor difusión posible de todos los datos bibliográficos cuya gestión realice el Ministerio de Cultura y cumplir la finalidad propia de la Agencia Española del ISBN. En definitiva, se persigue difundir la oferta cultural editada y procurar su mejor conocimiento por el ciudadano. </w:t>
      </w:r>
    </w:p>
    <w:p w:rsidR="008107C7" w:rsidRDefault="008107C7" w:rsidP="008107C7">
      <w:pPr>
        <w:pStyle w:val="TextoNormal"/>
      </w:pPr>
      <w:r>
        <w:t xml:space="preserve">e) El título de comercio interior, invocado por el Consejo Ejecutivo de la Generalidad de Cataluña, no es título prevalente. El título prevalente es el de cultura, que tiene entidad propia y permite al Estado su intervención directa favoreciendo el acceso de los españoles a la cultura y regulando, conforme al art. 149.1.1 C.E., la condiciones básicas que garanticen la igualdad de todos los españoles en el ejercicio de los derechos y en el cumplimiento de los deberes constitucionales. El Estado es competente, en definitiva, para establecer la ayudas destinadas a mejorar la gestión para la distribución y la comercialización del libro. </w:t>
      </w:r>
    </w:p>
    <w:p w:rsidR="008107C7" w:rsidRDefault="008107C7" w:rsidP="008107C7">
      <w:pPr>
        <w:pStyle w:val="TextoNormal"/>
      </w:pPr>
      <w:r>
        <w:t>Concluye el Abogado del Estado solicitando que, en la Sentencia que se pronuncie, se declare que el titular de la competencia controvertida es el Estado.</w:t>
      </w:r>
    </w:p>
    <w:p w:rsidR="008107C7" w:rsidRDefault="008107C7" w:rsidP="008107C7">
      <w:pPr>
        <w:pStyle w:val="TextoNormal"/>
      </w:pPr>
    </w:p>
    <w:p w:rsidR="008107C7" w:rsidRDefault="008107C7" w:rsidP="008107C7">
      <w:pPr>
        <w:pStyle w:val="TextoNormal"/>
      </w:pPr>
      <w:r w:rsidRPr="008107C7">
        <w:rPr>
          <w:rStyle w:val="NumeroAFNegritaCaracter"/>
        </w:rPr>
        <w:t>5</w:t>
      </w:r>
      <w:r>
        <w:t>. El Consejo Ejecutivo de la Generalidad de Cataluña, representada por Abogado de sus Servicios Jurídicos y en escrito registrado el 26 de noviembre de 1990, planteó conflicto positivo de competencia en relación con los arts. 1, 4, 6.2, 9.2 y 10 y, por conexión, el último párrafo de la Disposición transitoria primera de la Orden del Ministerio de Cultura de 30 de julio de 1990 (B.O.E. de 31 de julio), sobre ayudas financieras al sector del libro.</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El órgano de gobierno promotor del conflicto fundamenta su reivindicación competencial en las siguientes alegaciones: </w:t>
      </w:r>
    </w:p>
    <w:p w:rsidR="008107C7" w:rsidRDefault="008107C7" w:rsidP="008107C7">
      <w:pPr>
        <w:pStyle w:val="TextoNormal"/>
      </w:pPr>
      <w:r>
        <w:lastRenderedPageBreak/>
        <w:t xml:space="preserve">A. Consideraciones previas.- El paralelismo del presente conflicto con el seguido contra la Orden de 16 de marzo de 1990 resulta evidente. El preámbulo de la Orden del Ministerio de Cultura de 30 de julio de 1990 declara que su voluntad es completar el sistema de ayudas establecido en aquella primera Orden. Así pues, el objetivo y la finalidad de ambas disposiciones guardan identidad y debe presumirse -ante el silencio del Gobierno de la Nación frente al requerimiento previo formulado por la Generalidad- que el título competencial en el que él encuadra ambas Ordenes es el mismo. </w:t>
      </w:r>
    </w:p>
    <w:p w:rsidR="008107C7" w:rsidRDefault="008107C7" w:rsidP="008107C7">
      <w:pPr>
        <w:pStyle w:val="TextoNormal"/>
      </w:pPr>
      <w:r>
        <w:t xml:space="preserve">La Orden de 30 de julio de 1990 regula tres tipos de ayuda que el Estado podrá conceder en el sector del libro: las destinadas a reducir el tipo de interés en las operaciones de préstamo para la adquisición de activos fijos materiales, las que tienen por objeto reducir el tipo de interés en los préstamos para la adquisición de activos fijos inmateriales y, por último, las enderezadas a reducir el tipo de interés en las inversiones en proyectos editoriales. El objetivo inmediato de la disposición es, pues, favorecer la inversión, tal y como se declara en el preámbulo de la propia Orden. Es más, en su art. 11 se especifica y concreta la finalidad de la norma: reducir los costes financieros de aquéllos créditos para la inversión que las empresas del sector acuerden con cualquiera de las entidades financieras que operan en el mercado español. Los beneficiarios de las ayudas pueden ser las empresas editoriales, las gráficas y distribuidoras y las librerías. </w:t>
      </w:r>
    </w:p>
    <w:p w:rsidR="008107C7" w:rsidRDefault="008107C7" w:rsidP="008107C7">
      <w:pPr>
        <w:pStyle w:val="TextoNormal"/>
      </w:pPr>
      <w:r>
        <w:t xml:space="preserve">B. La acción de fomento desde su vertiente competencial.- La doctrina del Tribunal Constitucional viene manteniendo que la potestad de gasto no es un poder autónomo que pueda ejercerse al margen de la distribución competencial establecida en la Constitución y los Estatutos. En otras palabras, si no se posee la competencia en una materia determinada, tampoco se puede ejercer sobre la misma la potestad de gasto (SSTC 179/1985, 95/1986, 75/1989 y 145/1989). Como la potestad de gasto no es un título competencial autónomo, para resolver el presente conflicto debe en primer lugar determinarse cuál es el ámbito material de la Orden de 30 de julio de 1990. </w:t>
      </w:r>
    </w:p>
    <w:p w:rsidR="008107C7" w:rsidRDefault="008107C7" w:rsidP="008107C7">
      <w:pPr>
        <w:pStyle w:val="TextoNormal"/>
      </w:pPr>
      <w:r>
        <w:t xml:space="preserve">C. Ambito material y marco competencial del presente conflicto.- </w:t>
      </w:r>
    </w:p>
    <w:p w:rsidR="008107C7" w:rsidRDefault="008107C7" w:rsidP="008107C7">
      <w:pPr>
        <w:pStyle w:val="TextoNormal"/>
      </w:pPr>
      <w:r>
        <w:t xml:space="preserve">a) Como ya ha quedado dicho, la finalidad primera de la Orden es favorecer la inversión. Los criterios que recoge en su art. 15 para la concesión de ayudas se refieren a aspectos económicos o empresariales como los de volumen de facturación, cifras de exportación, tipos de garantía de crédito, etc. Por lo tanto, la norma objeto de conflicto considera el libro como un objeto de mercado y no como un bien cultural. Tanto es así que en su art. 17 excluye de la línea de ayuda los libros realizados por Instituciones públicas así como por entidades sin ánimo de lucro; igualmente, excluye aquellos libros cuya distribución sea gratuita. De esta forma se está reconociendo que las ayudas no pretenden la promoción de la cultura, al menor de forma inmediata, sino que se orientan a favorecer a la industria del libro desde el punto de vista estrictamente económico </w:t>
      </w:r>
    </w:p>
    <w:p w:rsidR="008107C7" w:rsidRDefault="008107C7" w:rsidP="008107C7">
      <w:pPr>
        <w:pStyle w:val="TextoNormal"/>
      </w:pPr>
      <w:r>
        <w:t xml:space="preserve">Debe tenerse en cuenta, además, que los activos fijos materiales e inmateriales cuya financiación subvenciona la Orden de 30 de julio de 1990, y que se recogen en el art. 12 de la misma, son todos ellos elementos que forman parte de cualquier tipo de industria, sin tener en cuenta cuál sea el objeto de su producción, y que carecen por sí mismos de un valor intrínsecamente cultural. En esta sentido resulta ilustrativa la STC 153/1989, que resolvió el conflicto positivo de competencia planteado por la Generalidad contra una Orden del Ministerio de la Presidencia, de 26 de septiembre de 1984, que regulaba la coproducción de películas cinematográficas. En esta Sentencia se decía que el título competencial en el que la norma encontraba su encaje era el de industria. El paralelismo entre el libro y la cinematografía son evidentes. </w:t>
      </w:r>
    </w:p>
    <w:p w:rsidR="008107C7" w:rsidRDefault="008107C7" w:rsidP="008107C7">
      <w:pPr>
        <w:pStyle w:val="TextoNormal"/>
      </w:pPr>
      <w:r>
        <w:lastRenderedPageBreak/>
        <w:t xml:space="preserve">b) El Gobierno de la Nación no ha dado respuesta al requerimiento previo, pero debe entenderse que el título competencial en el que se ampara para dictar la Orden de 30 de julio de 1990 es el mismo al que acudió para dictar la 16 de marzo de 1990 -objeto del conflicto positivo de competencia núm. 2.033/90- , esto es, el recogido en el art. 44.1 en relación con el 149.1.1, ambos de la Constitución. Siendo ello así, al formular sus alegaciones en este conflicto, la Generalidad de Cataluña reitera lo ya manifestado al respecto en el núm. 2.033/90. También reitera sus alegaciones en relación con los arts. 149.2 y 149.1.13 C.E. </w:t>
      </w:r>
    </w:p>
    <w:p w:rsidR="008107C7" w:rsidRDefault="008107C7" w:rsidP="008107C7">
      <w:pPr>
        <w:pStyle w:val="TextoNormal"/>
      </w:pPr>
      <w:r>
        <w:t xml:space="preserve">D. La competencia de la Generalidad en materia de industria.- </w:t>
      </w:r>
    </w:p>
    <w:p w:rsidR="008107C7" w:rsidRDefault="008107C7" w:rsidP="008107C7">
      <w:pPr>
        <w:pStyle w:val="TextoNormal"/>
      </w:pPr>
      <w:r>
        <w:t xml:space="preserve">a) El art. 12.1.2 E.A.C. establece la competencia exclusiva de la Generalidad en materia de industria. La simple lectura de dicho precepto lleva a la conclusión de que las ayudas al sector del libro, recogidas en la Orden de 30 de julio de 1990, no se encuentran en ninguno de los supuestos que, como excepción, recoge el precepto en su apartado 2. Por lo tanto, en materia de industria, corresponde a la Generalidad la potestad legislativa, la reglamentaria y la función ejecutiva, incluida la inspección (art. 24.2 E.A.C.). Por otro lado, mediante Real Decreto 738/1981, sobre traspaso de servicios del Estado a la Generalidad de Cataluña en materia de industria, energía y minas, se articuló de forma general el traspaso de todos los servicios que habían correspondido hasta entonces al Ministerio de Industria y Energía. </w:t>
      </w:r>
    </w:p>
    <w:p w:rsidR="008107C7" w:rsidRDefault="008107C7" w:rsidP="008107C7">
      <w:pPr>
        <w:pStyle w:val="TextoNormal"/>
      </w:pPr>
      <w:r>
        <w:t xml:space="preserve">b) En el ejercicio de su competencia exclusiva en la materia, la Generalidad ha dictado una copiosa legislación en materia de industria que incluye, por ejemplo, normas reguladoras de las ayudas destinadas a la industria, como son, entre otras, la Orden de 13 de marzo de 1989, del Departamento de Industria y Energía, por la que se establecen los criterios de distribución y el procedimiento para la concesión de subvenciones, en cuyo art. 7a) se dispone que se podrá subvencionar total o parcialmente las acciones y los programas orientados a la producción empresarial de los sectores manufactureros. En esta misma línea se expresa el Decreto 102/1988, que regula las subvenciones a los préstamos de las empresas y de las corporaciones locales para el reequilibrio industrial de Cataluña. </w:t>
      </w:r>
    </w:p>
    <w:p w:rsidR="008107C7" w:rsidRDefault="008107C7" w:rsidP="008107C7">
      <w:pPr>
        <w:pStyle w:val="TextoNormal"/>
      </w:pPr>
      <w:r>
        <w:t xml:space="preserve">En el ámbito territorial de Cataluña corresponde a la Generalidad la regulación de las ayudas financieras a la inversión en cualquier sector industrial y, en consecuencia, también es competente para establecer y regular dichas ayudas en el sector industrial que se dedica a la producción del libro. En este punto adquiere relevancia la doctrina contenida en la STC 153/1989. </w:t>
      </w:r>
    </w:p>
    <w:p w:rsidR="008107C7" w:rsidRDefault="008107C7" w:rsidP="008107C7">
      <w:pPr>
        <w:pStyle w:val="TextoNormal"/>
      </w:pPr>
      <w:r>
        <w:t xml:space="preserve">E. La competencia de la Generalidad de Cataluña en materia de comercio interior.- Las ayudas recogidas en la Orden de 30 de julio de 1990 van destinadas a las empresas que se dedican a la producción -editoriales y gráficas- de libro, y también a las que se encargan de su comercialización -distribuidoras y librerías-. Este segundo campo de actuación afecta al comercio interior y, por ello, es aquí aplicable también la doctrina expuesta en el conflicto positivo de competencia 2.033/90, en relación con la Orden del Ministerio de Cultura de 16 de marzo de 1990. </w:t>
      </w:r>
    </w:p>
    <w:p w:rsidR="008107C7" w:rsidRDefault="008107C7" w:rsidP="008107C7">
      <w:pPr>
        <w:pStyle w:val="TextoNormal"/>
      </w:pPr>
      <w:r>
        <w:t xml:space="preserve">F. Las ayudas financieras al sector del libro previstas en la Orden de 30 de julio de 1990.- A la vista de lo hasta aquí expuesto, resulta evidente que el Estado puede arbitrar ayudas en el ámbito editorial, pero lo que no puede hacer es regularlas de tal modo que impida a la Generalidad de Cataluña el ejercicio de su propia política y menos todavía asumir el Estado unas funciones ejecutivas que en ningún caso le corresponden. </w:t>
      </w:r>
    </w:p>
    <w:p w:rsidR="008107C7" w:rsidRDefault="008107C7" w:rsidP="008107C7">
      <w:pPr>
        <w:pStyle w:val="TextoNormal"/>
      </w:pPr>
      <w:r>
        <w:t xml:space="preserve">a) Si se analiza detenidamente el art. 1 de la Orden se observa que en él el libro es tratado como un objeto de mercado y no como un bien cultural y, por lo tanto, si el objetivo inmediato marcado es el favorecimiento de la industria y del sector comercial del libro, la materia objeto de la Orden se inscribe en los títulos competenciales de industria y comercio interior, ambos de competencia exclusiva de la Generalidad. </w:t>
      </w:r>
    </w:p>
    <w:p w:rsidR="008107C7" w:rsidRDefault="008107C7" w:rsidP="008107C7">
      <w:pPr>
        <w:pStyle w:val="TextoNormal"/>
      </w:pPr>
      <w:r>
        <w:lastRenderedPageBreak/>
        <w:t xml:space="preserve">b) El art. 4 tampoco respeta el expresado régimen competencial. En él se enumeran las funciones de la Comisión, consistentes en evaluar, valorar e informar los proyectos presentados, cuando en realidad éstas son funciones que deberían corresponder en exclusiva a la Generalidad. La participación que en la Orden se da a las Comunidades Autónomas en la tramitación de los expedientes de solicitud de ayudas, no desdibuja esa invasión competencial. Así, resulta a todas luces insuficiente la participación que en la Comisión de Asesoramiento y Valoración da a las Comunidades Autónomas el art. 3. </w:t>
      </w:r>
    </w:p>
    <w:p w:rsidR="008107C7" w:rsidRDefault="008107C7" w:rsidP="008107C7">
      <w:pPr>
        <w:pStyle w:val="TextoNormal"/>
      </w:pPr>
      <w:r>
        <w:t xml:space="preserve">c) El art. 10 recoge las demás funciones ejecutivas como son la tramitación y resolución de expedientes con reserva de las mismas a la Administración central. </w:t>
      </w:r>
    </w:p>
    <w:p w:rsidR="008107C7" w:rsidRDefault="008107C7" w:rsidP="008107C7">
      <w:pPr>
        <w:pStyle w:val="TextoNormal"/>
      </w:pPr>
      <w:r>
        <w:t xml:space="preserve">d) Consecuencia directa de todo cuanto aquí se ha dicho, es la distribución territorial de los recursos presupuestados por el Estado. Así lo ha declarado el Tribunal Constitucional en la STC 96/1990. </w:t>
      </w:r>
    </w:p>
    <w:p w:rsidR="008107C7" w:rsidRDefault="008107C7" w:rsidP="008107C7">
      <w:pPr>
        <w:pStyle w:val="TextoNormal"/>
      </w:pPr>
      <w:r>
        <w:t>La Generalidad de Cataluña concluye solicitando el pronunciamiento de Sentencia por la que se declare que a ella corresponde la competencia en litigio, la nulidad de los preceptos cuestionados y el deber del Estado de proceder a la distribución entre las Comunidades Autónomas competentes de los recursos presupuestados por el Estado para la concesión de ayudas financieras al sector del libro. También interesó, por su conexión objetiva, la acumulación de este proceso constitucional al conflicto positivo de competencia seguido con el núm. 2.033/90.</w:t>
      </w:r>
    </w:p>
    <w:p w:rsidR="008107C7" w:rsidRDefault="008107C7" w:rsidP="008107C7">
      <w:pPr>
        <w:pStyle w:val="TextoNormal"/>
      </w:pPr>
    </w:p>
    <w:p w:rsidR="008107C7" w:rsidRDefault="008107C7" w:rsidP="008107C7">
      <w:pPr>
        <w:pStyle w:val="TextoNormal"/>
      </w:pPr>
      <w:r w:rsidRPr="008107C7">
        <w:rPr>
          <w:rStyle w:val="NumeroAFNegritaCaracter"/>
        </w:rPr>
        <w:t>7</w:t>
      </w:r>
      <w:r>
        <w:t>. La Sección Segunda, en providencia de 10 de diciembre de 1990, decidió admitir a trámite el anterior conflicto positivo de competencia, dar traslado de la demanda al Gobierno de la Nación, con el fin de que formulase las alegaciones que tuviera a bien en el plazo de veinte días, y oírle sobre la solicitud de acumulación, dirigir oficio al Presidente de la Audiencia Nacional, por si ante ella estuviera impugnada o se impugnare la Orden Ministerial aquí cuestionada y publicar la incoación del conflicto en el Boletín Oficial del Estado y en el Diario Oficial de la Generalidad de Cataluña.</w:t>
      </w:r>
    </w:p>
    <w:p w:rsidR="008107C7" w:rsidRDefault="008107C7" w:rsidP="008107C7">
      <w:pPr>
        <w:pStyle w:val="TextoNormal"/>
      </w:pPr>
    </w:p>
    <w:p w:rsidR="008107C7" w:rsidRDefault="008107C7" w:rsidP="008107C7">
      <w:pPr>
        <w:pStyle w:val="TextoNormal"/>
      </w:pPr>
      <w:r w:rsidRPr="008107C7">
        <w:rPr>
          <w:rStyle w:val="NumeroAFNegritaCaracter"/>
        </w:rPr>
        <w:t>8</w:t>
      </w:r>
      <w:r>
        <w:t xml:space="preserve">. El Gobierno de la Nación, representado por el Abogado del Estado, evacuó el traslado que se le había conferido en escrito que presentó el 7 de enero de 1991, formulando las siguientes alegaciones, tras hacer las mismas precisiones sobre el petitum deducido por la Generalidad de Cataluña que las realizadas con ocasión del conflicto 2.033/90: </w:t>
      </w:r>
    </w:p>
    <w:p w:rsidR="008107C7" w:rsidRDefault="008107C7" w:rsidP="008107C7">
      <w:pPr>
        <w:pStyle w:val="TextoNormal"/>
      </w:pPr>
      <w:r>
        <w:t xml:space="preserve">A. Títulos competenciales.- La actividad de fomento cultural que el Estado realiza a través de la Orden ministerial impugnada no persigue estimular la industria ni el comercio sino el conocimiento de la oferta bibliográfica por los ciudadanos y, en su caso, el acceso de los mismos a los títulos publicados. Habida cuenta la finalidad de la norma en conflicto, el título competencial relevante no es el de industria. La norma no pretende favorecer a la empresa editora o gráfica. Persigue fomentar la edición y grabado de los títulos precisos para alcanzar la adecuada difusión de la cultura escrita en todo el territorio español. No se trata de facilitar la actividad de un sector económico, como en el supuesto de la STC 153/1989, sino de que las empresas del sector puedan mantener de modo permanente un gran número de títulos en catálogo y, en su caso, exportar los mismos, fomentando el acceso a la cultura escrita. </w:t>
      </w:r>
    </w:p>
    <w:p w:rsidR="008107C7" w:rsidRDefault="008107C7" w:rsidP="008107C7">
      <w:pPr>
        <w:pStyle w:val="TextoNormal"/>
      </w:pPr>
      <w:r>
        <w:t xml:space="preserve">Las ayudas no pretenden beneficiar al comerciante o al distribuidor sino al posible lector. Se busca que éste tenga acceso al conocimiento de la mayor parte de los títulos publicados y, en su caso, a la adquisición de las obras bibliográficas. No se persigue las reformas de las estructuras comerciales. En este punto, el Abogado del Estado reproduce las alegaciones formuladas en el conflicto positivo de competencia núm. 2.033/90 sobre la Clasificación Nacional de Actividades Económicas y el sector del libro. </w:t>
      </w:r>
    </w:p>
    <w:p w:rsidR="008107C7" w:rsidRDefault="008107C7" w:rsidP="008107C7">
      <w:pPr>
        <w:pStyle w:val="TextoNormal"/>
      </w:pPr>
      <w:r>
        <w:lastRenderedPageBreak/>
        <w:t xml:space="preserve">B. La competencia controvertida corresponde al Estado.- También aquí el Abogado del Estado reproduce las alegaciones que presentó en el conflicto 2.033/90 (incluso, el análisis sobre la situación del libro en España), particularizando las referencias a la Orden de 30 de julio de 1990. Señala, así, que las ayudas previstas en la misma persiguen lograr la inversión en el sector del libro, con escasa rentabilidad. El título competencial que las ampara no es el de industria ni el de comercio interior sino el del fomento de la cultura, potenciando un sector específicamente vinculado a ella: el del libro. </w:t>
      </w:r>
    </w:p>
    <w:p w:rsidR="008107C7" w:rsidRDefault="008107C7" w:rsidP="008107C7">
      <w:pPr>
        <w:pStyle w:val="TextoNormal"/>
      </w:pPr>
      <w:r>
        <w:t xml:space="preserve">Los preceptos a que afecta el conflicto regulan los tipos de ayudas a otorgar por el Ministerio de Cultura (art. 1), las funciones de la Comisión de Asesoramiento y Evaluación de las solicitudes de ayudas (art. 4) y la intervención de las Comunidades Autónomas y de la Comisión de Asesoramiento y Evaluación en la tramitación y resolución de los expedientes (arts. 6.2, 9.2 y 10 y Disposición transitoria primera, último párrafo). Las funciones de la citada Comisión afectan a la evaluación e informe de las solicitudes de ayuda y el control de la ejecución de los proyectos subvencionados y no constituye expresión del ejercicio de competencia estatal o autonómica. Las reglas sobre tramitación y resolución de los expedientes, aunque prevén la participación de las Comunidades Autónomas, son consecuencia del ejercicio de la competencia estatal en materia de cultura. </w:t>
      </w:r>
    </w:p>
    <w:p w:rsidR="008107C7" w:rsidRDefault="008107C7" w:rsidP="008107C7">
      <w:pPr>
        <w:pStyle w:val="TextoNormal"/>
      </w:pPr>
      <w:r>
        <w:t xml:space="preserve">Los títulos de industria y comercio interior, invocados por el Consejo Ejecutivo de la Generalidad de Cataluña, no son títulos prevalentes. El título prevalente es el de cultura, que tiene entidad propia y que permite al Estado su intervención directa favoreciendo el acceso de los españoles a la cultura y regulando, conforme al art. 149.1.1 C.E., la condiciones básicas que garanticen la igualdad de todos los españoles en el ejercicio de los derechos y en el cumplimiento de los deberes constitucionales. El Estado es competente, en definitiva, para establecer la ayudas destinadas a reducir el tipo de interés en las operaciones de préstamos para la adquisición de activos fijos materiales e inmateriales y en las inversiones en proyectos editoriales. </w:t>
      </w:r>
    </w:p>
    <w:p w:rsidR="008107C7" w:rsidRDefault="008107C7" w:rsidP="008107C7">
      <w:pPr>
        <w:pStyle w:val="TextoNormal"/>
      </w:pPr>
      <w:r>
        <w:t>Concluye el Abogado del Estado solicitando el pronunciamiento de Sentencia en la que se declare que la competencia discutida es titularidad del Estado, así como la acumulación de este proceso al seguido bajo el núm. 2033/90.</w:t>
      </w:r>
    </w:p>
    <w:p w:rsidR="008107C7" w:rsidRDefault="008107C7" w:rsidP="008107C7">
      <w:pPr>
        <w:pStyle w:val="TextoNormal"/>
      </w:pPr>
    </w:p>
    <w:p w:rsidR="008107C7" w:rsidRDefault="008107C7" w:rsidP="008107C7">
      <w:pPr>
        <w:pStyle w:val="TextoNormal"/>
      </w:pPr>
      <w:r w:rsidRPr="008107C7">
        <w:rPr>
          <w:rStyle w:val="NumeroAFNegritaCaracter"/>
        </w:rPr>
        <w:t>9</w:t>
      </w:r>
      <w:r>
        <w:t>. El Pleno de este Tribunal, en Auto de 12 de febrero de 1991, accedió a la acumulación solicitada.</w:t>
      </w:r>
    </w:p>
    <w:p w:rsidR="008107C7" w:rsidRDefault="008107C7" w:rsidP="008107C7">
      <w:pPr>
        <w:pStyle w:val="TextoNormal"/>
      </w:pPr>
    </w:p>
    <w:p w:rsidR="008107C7" w:rsidRDefault="008107C7" w:rsidP="008107C7">
      <w:pPr>
        <w:pStyle w:val="TextoNormal"/>
      </w:pPr>
      <w:r w:rsidRPr="008107C7">
        <w:rPr>
          <w:rStyle w:val="NumeroAFNegritaCaracter"/>
        </w:rPr>
        <w:t>10</w:t>
      </w:r>
      <w:r>
        <w:t>. En providencia de 8 de abril de 1997, se señaló para deliberación y votación de esta Sentencia el día 10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Las Ordenes del Ministerio de Cultura que son causa de la presente disputa competencial tienen por objeto la regulación de las ayudas al sector del libro. Se enmarcan, pues, dentro de la actividad administrativa de fomento. En la primera de ellas, la de 16 de marzo de 1990 (B.O.E. de 26 de marzo), se regulan tres tipos de ayudas, siendo el objeto de la reivindicación competencial que deduce la Generalidad de Cataluña el tercero de ellos, en el que se integran las ayudas destinadas a la gestión de los sectores de distribución y comercialización del libro [art. 1C)] y cuya finalidad es la mejora de los elementos de gestión e información bibliográfica y empresarial, la ampliación y mejora de los equipos informáticos ya existentes y la mejora de los elementos de comercialización e infraestructura, mediante </w:t>
      </w:r>
      <w:r>
        <w:lastRenderedPageBreak/>
        <w:t>la adquisición de equipos y programas informáticos y su ampliación, así como de mobiliario (expositores, estanterías, etc.)  y dispositivos antirrobos y medidas de seguridad análogas (art.  24.2).</w:t>
      </w:r>
    </w:p>
    <w:p w:rsidR="008107C7" w:rsidRDefault="008107C7" w:rsidP="008107C7">
      <w:pPr>
        <w:pStyle w:val="TextoNormal"/>
      </w:pPr>
      <w:r>
        <w:t>La Orden del mismo Departamento ministerial de 30 de julio de 1990 (B.O.E. de 31 de julio), que viene a completar la anterior, establece ayudas financieras consistentes en la reducción del tipo de interés en las operaciones de préstamos para la adquisición de activos fijos materiales e inmateriales y en las inversiones en proyectos editoriales (art. 1), con la finalidad de reducir los costes financieros de los créditos que, para realizar inversiones, las empresas del sector del libro concierten con cualesquiera de las entidades financieras que operan en el mercado español (art. 11).</w:t>
      </w:r>
    </w:p>
    <w:p w:rsidR="008107C7" w:rsidRDefault="008107C7" w:rsidP="008107C7">
      <w:pPr>
        <w:pStyle w:val="TextoNormal"/>
      </w:pPr>
    </w:p>
    <w:p w:rsidR="008107C7" w:rsidRDefault="008107C7" w:rsidP="008107C7">
      <w:pPr>
        <w:pStyle w:val="TextoNormal"/>
      </w:pPr>
      <w:r w:rsidRPr="008107C7">
        <w:rPr>
          <w:rStyle w:val="NumeroAFNegritaCaracter"/>
        </w:rPr>
        <w:t>2</w:t>
      </w:r>
      <w:r>
        <w:t>. Las discrepancias entre la Generalidad de Cataluña y el Gobierno de la Nación comienzan ya en la ubicación material de las disposiciones reglamentarias conflictuales. Para la primera, su ámbito material propio es el del comercio interior y, en su caso, la industria, en tanto que, para el segundo, la normativa en cuestión pertenece al entorno de la cultura.</w:t>
      </w:r>
    </w:p>
    <w:p w:rsidR="008107C7" w:rsidRDefault="008107C7" w:rsidP="008107C7">
      <w:pPr>
        <w:pStyle w:val="TextoNormal"/>
      </w:pPr>
      <w:r>
        <w:t>El "libro", como la cinematografía (STC 153/1989, fundamento jurídico 4º), es polifacético; de él, junto a una innegable dimensión cultural, son predicables otras, social, económica e, incluso, industrial. Cuando se ha encontrado con una materia susceptible de diversas calificaciones sustantivas que pudieran llevar a identificaciones competenciales distintas, este Tribunal, para llegar a la calificación correcta, ha atendido, además de al sentido o finalidad propia con que los varios títulos competenciales han sido recogidos en la Constitución y en los Estatutos de Autonomía (SSTC 87/1987, fundamento jurídico 2º, y 13/1989, fundamento jurídico 2º), al objeto y contenido del acto o disposición traídos al conflicto, así como al objetivo con ellos perseguido, en suma, a su finalidad (por todas, SSTC 153/1985, fundamento jurídico 3º; 153/1989, fundamentos jurídicos 4º y 5º; 208/1991, fundamento jurídico 4º; y 313/1994, fundamento jurídico 2º), sin olvidar, por no resultar baladí, su procedencia (STC 313/1994, fundamento jurídico 2º).</w:t>
      </w:r>
    </w:p>
    <w:p w:rsidR="008107C7" w:rsidRDefault="008107C7" w:rsidP="008107C7">
      <w:pPr>
        <w:pStyle w:val="TextoNormal"/>
      </w:pPr>
      <w:r>
        <w:t>Las Ordenes que la Generalidad de Cataluña impugna fueron dictadas el 16 de marzo y el 30 de julio de 1990 por el Ministro de Cultura y en sus respectivos preámbulos se advierte que con las ayudas que en ellas se articulan se trata de fomentar la «promoción, difusión y comercialización de la cultura escrita» (O.M. de 16 de marzo) y «la difusión de la cultura escrita a nivel del Estado» (O.M. de 30 de julio), «proteger el libro escrito en lenguas oficiales españolas y (...)  facilitar la difusión de la cultura común a todos los pueblos del Estado, de forma que se dé un necesario trasvase de conocimientos», conformando «así una política cultural del Estado, en la que quede garantizada la igualdad de todos los ciudadanos a acercarse al conocimiento de todo aquello que constituye no sólo la cultura común, sino las distintas formas de expresión del pensamiento de cada uno de los pueblos que han conformado la misma» (O.M. de 16 de marzo). Atendida esa finalidad, para poder acceder a las ayudas las empresas que las soliciten deben acreditar que llevan actuando en el sector del libro de forma ininterrumpida desde, como mínimo, hace dos años y que su principal actividad es la edición, impresión, distribución o comercialización de libros o publicaciones periódicas de carácter literario (arts. 26.1 de la O.M. de 16 de marzo y 15 de la O.M. de 30 de julio).  Por lo demás, entre los criterios a aplicar para seleccionar a las empresas que soliciten las ayudas se encuentran, junto al volumen de facturación anual y la cifra de exportación, el fondo editorial y el número de títulos en catálogo (arts. 27 de la O.M. de 16 de marzo y 15 de la O.M. de 30 de julio).</w:t>
      </w:r>
    </w:p>
    <w:p w:rsidR="008107C7" w:rsidRDefault="008107C7" w:rsidP="008107C7">
      <w:pPr>
        <w:pStyle w:val="TextoNormal"/>
      </w:pPr>
      <w:r>
        <w:t xml:space="preserve">Las ayudas se establecen, pues, para contribuir al desarrollo y modernización del sector del libro en su conjunto, pero con la finalidad explícita de difundir la cultura escrita de los </w:t>
      </w:r>
      <w:r>
        <w:lastRenderedPageBreak/>
        <w:t>distintos pueblos de España. Para alcanzar esa meta resulta menester mejorar las estructuras industriales y comerciales del sector; mas esa mejora es sólo un instrumento al servicio del fin cultural perseguido. Este carácter meramente instrumental se pone de manifiesto en el hecho de que, para conceder las ayudas, se tienen en cuenta algunos datos económicamente relevantes (volúmen de facturación anual, cifra de exportación); pero, junto a ellos, se aplican otros que carecen de esa relevancia (duración e intensidad de la dedicación a las actividades del sector, fondo editorial, número de títulos en catálogo). Y hasta tal punto resulta prevalente el fin de difusión de la cultura, que es posible acceder a las ayudas sin cumplir los requisitos de otra índole establecidos en la normativa cuando se trate de proyectos de excepcional trascendencia cultural (art.  16 de la O.M. de 30 de julio).</w:t>
      </w:r>
    </w:p>
    <w:p w:rsidR="008107C7" w:rsidRDefault="008107C7" w:rsidP="008107C7">
      <w:pPr>
        <w:pStyle w:val="TextoNormal"/>
      </w:pPr>
      <w:r>
        <w:t>Parece necesario concluir, pues, aplicando los criterios expuestos anteriormente, que el ámbito material propio de las normas reglamentarias en cuestión es el cultural y, más en concreto, el del fomento de la cultura.</w:t>
      </w:r>
    </w:p>
    <w:p w:rsidR="008107C7" w:rsidRDefault="008107C7" w:rsidP="008107C7">
      <w:pPr>
        <w:pStyle w:val="TextoNormal"/>
      </w:pPr>
    </w:p>
    <w:p w:rsidR="008107C7" w:rsidRDefault="008107C7" w:rsidP="008107C7">
      <w:pPr>
        <w:pStyle w:val="TextoNormal"/>
      </w:pPr>
      <w:r w:rsidRPr="008107C7">
        <w:rPr>
          <w:rStyle w:val="NumeroAFNegritaCaracter"/>
        </w:rPr>
        <w:t>3</w:t>
      </w:r>
      <w:r>
        <w:t>. En esta materia de "cultura", sin perjuicio de que la Comunidad Autónoma de Cataluña haya asumido competencia exclusiva sobre la misma (art. 9 E.A.C.), es de tener en cuenta el mandato de la Constitución según el cual "el Estado considerará el servicio de la cultura como deber y atribución esencial y facilitará la comunicación cultural entre las Comunidades Autónomas, de acuerdo con ellas" (art. 149.2 C.E.). De ahí que este Tribunal haya declarado, concretamente, que corresponde al Estado la "preservación del patrimonio cultural común", así como "lo que precise de tratamientos generales o que no puedan lograrse desde otras instancias" (SSTC 49/1984, 157/1985, 107/1987 y 17/1991).  Junto a estas actividades, que competen en exclusiva al Estado, éste puede desempeñar también una actividad genérica de fomento y apoyo a las diversas manifestaciones culturales, aunque en este supuesto, como se dijo en la STC 109/1996 en relación a un asunto similar al aquí enjuiciado, deberá limitarse a prever las ayudas que estime pertinentes sin llevar a cabo otras actividades normativas y de gestión superpuestas o duplicadas respecto de las que corresponden a las Comunidades Autónomas con competencias en la materia de cultura.</w:t>
      </w:r>
    </w:p>
    <w:p w:rsidR="008107C7" w:rsidRDefault="008107C7" w:rsidP="008107C7">
      <w:pPr>
        <w:pStyle w:val="TextoNormal"/>
      </w:pPr>
      <w:r>
        <w:t>Aplicando estas premisas al presente caso, no puede negarse en abstracto al Estado la titularidad de la competencia para adoptar las Ordenes ministeriales objeto de este proceso constitucional o, más precisamente, para otorgar las ayudas al sector del libro contenidas en las referidas Ordenes. Ciertamente, no se trata de una actividad de fomento que pretenda preservar el "patrimonio cultural común", ni puede afirmarse que tan sólo la actuación unitaria del Estado garantiza la consecución de sus objetivos; sin embargo, como queda dicho, ex art. 149.2 C.E. el Estado puede destinar estas ayudas al libro aunque, al no tratarse ya de una competencia exclusiva, el alcance de esta actividad genérica de fomento debe delimitarse con sumo cuidado.  Para ello debe atenderse a la doctrina de este Tribunal en relación con la actividad estatal de subvenciones y ayudas.</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En la STC 13/1992 se encuentra la solución de este problema concreto. En el fundamento jurídico 8º b) dijo este Tribunal Constitucional: "El Estado puede consignar subvenciones de fomento en sus Presupuestos Generales, especificando su destino y regulando sus condiciones esenciales de otorgamiento hasta donde lo permita una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w:t>
      </w:r>
      <w:r>
        <w:lastRenderedPageBreak/>
        <w:t>manera, por regla general, que no puedan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w:t>
      </w:r>
    </w:p>
    <w:p w:rsidR="008107C7" w:rsidRDefault="008107C7" w:rsidP="008107C7">
      <w:pPr>
        <w:pStyle w:val="TextoNormal"/>
      </w:pPr>
      <w:r>
        <w:t>En definitiva, por lo que aquí interesa, conviene retener que la regulación de las condiciones complementarias de otorgamiento, así como la tramitación y gestión de las ayudas ha de corresponder a las Comunidades Autónomas, siendo su gestión centralizada por el Estado la excepción, reservada para los casos en que resulte imprescindible para asegurar la plena efectividad de las ayudas dentro de la ordenación básica del sector y para garantizar iguales posibilidades de obtención y disfrute por parte de sus potenciales destinatarios en todo el territorio nacional, evitando al propio tiempo que se sobrepase la cuantía global de los fondos destinados al sector (STC 109/1996).  En igual sentido nos hemos pronunciado en la STC 59/1995 [fundamento jurídico 5ºA)].</w:t>
      </w:r>
    </w:p>
    <w:p w:rsidR="008107C7" w:rsidRDefault="008107C7" w:rsidP="008107C7">
      <w:pPr>
        <w:pStyle w:val="TextoNormal"/>
      </w:pPr>
      <w:r>
        <w:t>Así pues, el Estado puede regular la concesión de ayudas y subvenciones al sector del libro para fomentar la difusión de la cultura escrita común a todos los pueblos que lo conforman, pero no puede reservarse competencias de gestión salvo en los casos excepcionales que justifican su gestión centralizada, lo que habrá de parecer razonablemente justificado y deducirse sin esfuerzo de la naturaleza de la medida de fomento de que se trate [SSTC 13/1992, fundamento jurídico 8ºd); 330/1993, fundamento jurídico 3º; 213/1994, fundamento jurídico 4ºb)3; 59/1995, fundamento jurídico 5ºA); y 109/1996, fundamento jurídico 5º].</w:t>
      </w:r>
    </w:p>
    <w:p w:rsidR="008107C7" w:rsidRDefault="008107C7" w:rsidP="008107C7">
      <w:pPr>
        <w:pStyle w:val="TextoNormal"/>
      </w:pPr>
      <w:r>
        <w:t>De acuerdo con esta interpretación, que precisa las competencias del Estado y de las Comunidades Autónomas en esta materia, no deben tacharse de inconstitucionales, pues no invaden las competencias atribuidas estatutariamente a la Generalidad de Cataluña, los arts. 1C), 24.2, 25, 26.1 y 27 de la Orden de 16 de marzo de 1990, en cuanto se limitan a prever el establecimiento de ayudas a la gestión de los sectores de distribución y comercialización del libro, las clases de estas ayudas, su cuantía máxima, el objeto o finalidad de las mismas, los requisitos de las empresas solicitantes y los criterios esenciales para la concesión. Otro tanto cabe decir del art. 1 de la Orden de 30 de julio del mismo año, en el que, de igual forma, se contempla la posibilidad de concesión al sector del libro de las ayudas financieras a que se refiere. La posibilidad de establecer ayudas a cargo del Estado no impide, sino que facilita, el que la Generalidad de Cataluña, en ejercicio de su competencia ex art. 9.4 de su Estatuto de Autonomía, establezca las condiciones complementarias de otorgamiento, la tramitación y resolución de las solicitudes, así como la gestión de tales subvenciones.</w:t>
      </w:r>
    </w:p>
    <w:p w:rsidR="008107C7" w:rsidRDefault="008107C7" w:rsidP="008107C7">
      <w:pPr>
        <w:pStyle w:val="TextoNormal"/>
      </w:pPr>
    </w:p>
    <w:p w:rsidR="008107C7" w:rsidRDefault="008107C7" w:rsidP="008107C7">
      <w:pPr>
        <w:pStyle w:val="TextoNormal"/>
      </w:pPr>
      <w:r w:rsidRPr="008107C7">
        <w:rPr>
          <w:rStyle w:val="NumeroAFNegritaCaracter"/>
        </w:rPr>
        <w:t>5</w:t>
      </w:r>
      <w:r>
        <w:t xml:space="preserve">. Ni en las Ordenes ministeriales impugnadas ni en las alegaciones que la defensa del Gobierno de la Nación ha vertido en este proceso constitucional se justifica la necesidad de que los fondos controvertidos, tal y como se establece en aquéllas, deban ser gestionados de forma centralizada y no, para el ámbito de Cataluña -que es el que aquí nos interesa-, por la Administración llamada en primer lugar a ello en virtud de sus atribuciones competenciales, es decir, la autonómica. La mayor difusión posible de los datos bibliográficos cuya gestión realiza el Ministerio de Cultura y el cumplimiento de la finalidad propia de la Agencia Española del ISBN, en definitiva, la difusión de la oferta cultural editada y su mejor conocimiento por el ciudadano, no exigen que la gestión de las ayudas articuladas al efecto deban centralizarse en la Administración del Estado sin intervención alguna de la Administración </w:t>
      </w:r>
      <w:r>
        <w:lastRenderedPageBreak/>
        <w:t>autonómica, salvo la de mero receptor de las solicitudes y la documentación aneja (art. 6.2 de la Orden de 30 de julio de 1990).</w:t>
      </w:r>
    </w:p>
    <w:p w:rsidR="008107C7" w:rsidRDefault="008107C7" w:rsidP="008107C7">
      <w:pPr>
        <w:pStyle w:val="TextoNormal"/>
      </w:pPr>
      <w:r>
        <w:t>Desconocen, pues, la distribución de competencias en la materia los arts.  4.2c), 24.1, 26.2, 28 y 29 de la Orden de 16 de marzo de 1990 en cuanto crean una Comisión de Asesoramiento y Evaluación, regulando su composición, le atribuyen facultades excepcionales, establecen la documentación que ha de acompañarse con la solicitud y exigen la acreditación de haber realizado la inversión en el plazo de dos meses desde que la resolución de concesión de la ayuda es notificada. Por conexión con ellos, también conculcan el orden constitucional y estatutario de distribución de competencias los arts. 5, que define las funciones de aquella Comisión, y 9.4, que exige que con la solicitud ha de acompañarse la documentación a que se refiere el art. 28.</w:t>
      </w:r>
    </w:p>
    <w:p w:rsidR="008107C7" w:rsidRDefault="008107C7" w:rsidP="008107C7">
      <w:pPr>
        <w:pStyle w:val="TextoNormal"/>
      </w:pPr>
      <w:r>
        <w:t>A igual conclusión ha de llegarse respecto de los arts. 4, 6.2, 9.2 y 10 y, por conexión, el último párrafo de la Disposición transitoria primera de la Orden del Ministerio de Cultura de 30 de julio de 1990. El primero en cuanto regula las funciones de la Comisión de Asesoramiento y Evaluación; el segundo porque dispone el lugar de presentación de las solicitudes; el tercero en cuanto prevé que los servicios de las Comunidades Autónomas deben remitir al Centro del Libro y de la Lectura en un plazo de cuarenta y cinco días las solicitudes ante ellos presentadas; y el cuarto porque regula la tramitación y resolución de las solicitudes atribuyéndolas, respectivamente, a los servicios del Ministerio de Cultura y al Subsecretario del Departamento. En conexión con los anteriores preceptos también adolece de incompetencia el último párrafo de la disposición transitoria primera de la Orden al establecer el plazo de presentación de las solicitudes, sin que haya que extender la declaración de incompetencia a otros preceptos de las Ordenes ministeriales aquí considerados, no incluídos por el Consejo Ejecutivo de la Generalidad de Cataluña en la relación de normas objeto de este conflicto.</w:t>
      </w:r>
    </w:p>
    <w:p w:rsidR="008107C7" w:rsidRDefault="008107C7" w:rsidP="008107C7">
      <w:pPr>
        <w:pStyle w:val="TextoNormal"/>
      </w:pPr>
    </w:p>
    <w:p w:rsidR="008107C7" w:rsidRDefault="008107C7" w:rsidP="008107C7">
      <w:pPr>
        <w:pStyle w:val="TextoNormal"/>
      </w:pPr>
      <w:r w:rsidRPr="008107C7">
        <w:rPr>
          <w:rStyle w:val="NumeroAFNegritaCaracter"/>
        </w:rPr>
        <w:t>6</w:t>
      </w:r>
      <w:r>
        <w:t>. La Generalidad de Cataluña no sólo solicita que se declare que la titularidad de la competencia controvertida es suya, sino que también interesa la nulidad de los preceptos reglamentarios a los que imputa invasión competencial.  Este segundo pedimento no puede ser acogido, ya que el Estado posee competencia sobre la materia en todo el territorio nacional y no tienen por qué ser de la misma amplitud las competencias de otras Comunidades Autónomas que aquéllas que posee Cataluña en esta materia. No hay, pues, razón para expulsar del ordenamiento jurídico los preceptos en cuestión. En este sentido ya no es hemos pronunciado para supuestos análogos (por todas, STC 153/1989, fundamento jurídico 11).</w:t>
      </w:r>
    </w:p>
    <w:p w:rsidR="008107C7" w:rsidRDefault="008107C7" w:rsidP="008107C7">
      <w:pPr>
        <w:pStyle w:val="TextoNormal"/>
      </w:pPr>
      <w:r>
        <w:t>La Orden del Ministro de Cultura de 16 de marzo de 1990, y su complemento -la de 30 de julio del mismo año-, han sido derogadas mediante la Orden adoptada por la misma autoridad el 22 de febrero de 1991 (B.O.E. de 28 de febrero).  Siendo ello así, tampoco puede ser acogida la pretensión relativa a que en el fallo de esta Sentencia se declare el deber del Estado de proceder a la distribución entre las Comunidades Autónomas competentes de los recursos presupuestados por él para la concesión de las ayudas previstas en aquellas disposiciones. Sus efectos se han agotado y hoy es materialmente imposible distribuir unos fondos inexistentes y que ya han sido destinados al fin para el que fueron presupuestados.</w:t>
      </w:r>
    </w:p>
    <w:p w:rsidR="008107C7" w:rsidRDefault="008107C7" w:rsidP="008107C7">
      <w:pPr>
        <w:pStyle w:val="TextoNormal"/>
      </w:pPr>
      <w:r>
        <w:t>El interés de la Generalidad de Cataluña en defender su ámbito competencial puede estimarse satisfecho, como hemos tenido ocasión de afirmar en otras disputas competenciales entre ella y el Estado (SSTC 59/1995, fundamento jurídico 6º, y 109/1996, fundamento jurídico 7º), con la declaración de la titularidad de la competencia aquí controvertida.</w:t>
      </w:r>
    </w:p>
    <w:p w:rsidR="008107C7" w:rsidRDefault="008107C7" w:rsidP="008107C7">
      <w:pPr>
        <w:pStyle w:val="TextoNormal"/>
      </w:pPr>
    </w:p>
    <w:p w:rsidR="008107C7" w:rsidRDefault="008107C7" w:rsidP="008107C7">
      <w:pPr>
        <w:pStyle w:val="TextoNormalCentrado"/>
        <w:keepNext/>
      </w:pPr>
      <w:r>
        <w:lastRenderedPageBreak/>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Estimar parcialmente los conflictos positivos de competencia y, en su virtud:</w:t>
      </w:r>
    </w:p>
    <w:p w:rsidR="008107C7" w:rsidRDefault="008107C7" w:rsidP="008107C7">
      <w:pPr>
        <w:pStyle w:val="TextoNormal"/>
      </w:pPr>
      <w:r>
        <w:t>1º.  Declarar que corresponde a la Comunidad Autónoma de Cataluña la titularidad de la competencia ejercitada por el Estado en los arts. 4.2c), 24.1, 26.2, 28 y 29 y, por conexión con ellos, en los arts. 5 y 9.4 de la Orden del Ministerio de Cultura de 16 de marzo de 1990 y en los arts. 4, 6.2, 9.2 y 10 y, por conexión, en el último párrafo de la Disposición transitoria primera de la Orden del Ministerio de Cultura de 30 de julio de 1990.</w:t>
      </w:r>
    </w:p>
    <w:p w:rsidR="008107C7" w:rsidRDefault="008107C7" w:rsidP="008107C7">
      <w:pPr>
        <w:pStyle w:val="TextoNormal"/>
      </w:pPr>
      <w:r>
        <w:t>2º. Desestimarlos en todo lo demás.</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diez de abril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75" w:name="SENTENCIA_1997_72"/>
      <w:r>
        <w:lastRenderedPageBreak/>
        <w:t>SENTENCIA 72/1997, de 10 de abril de 1997</w:t>
      </w:r>
    </w:p>
    <w:bookmarkEnd w:id="75"/>
    <w:p w:rsidR="008107C7" w:rsidRDefault="008107C7" w:rsidP="008107C7">
      <w:pPr>
        <w:pStyle w:val="TtuloResolucin"/>
      </w:pPr>
      <w:r>
        <w:t>Pleno</w:t>
      </w:r>
    </w:p>
    <w:p w:rsidR="008107C7" w:rsidRDefault="008107C7" w:rsidP="008107C7">
      <w:pPr>
        <w:pStyle w:val="TtuloResolucin"/>
      </w:pPr>
    </w:p>
    <w:p w:rsidR="008107C7" w:rsidRDefault="008107C7" w:rsidP="008107C7">
      <w:pPr>
        <w:pStyle w:val="TtuloBOE"/>
      </w:pPr>
      <w:r>
        <w:t>("BOE" núm. 114, de 13 de mayo de 1997)</w:t>
      </w:r>
    </w:p>
    <w:p w:rsidR="008107C7" w:rsidRDefault="008107C7" w:rsidP="008107C7">
      <w:pPr>
        <w:pStyle w:val="TtuloBOE"/>
      </w:pPr>
    </w:p>
    <w:p w:rsidR="008107C7" w:rsidRDefault="008107C7" w:rsidP="008107C7">
      <w:pPr>
        <w:pStyle w:val="SntesisDescriptiva"/>
      </w:pPr>
      <w:r>
        <w:t>ECLI:ES:TC:1997:72</w:t>
      </w:r>
    </w:p>
    <w:p w:rsidR="008107C7" w:rsidRDefault="008107C7" w:rsidP="008107C7">
      <w:pPr>
        <w:pStyle w:val="SntesisDescriptiva"/>
      </w:pPr>
    </w:p>
    <w:p w:rsidR="008107C7" w:rsidRDefault="008107C7" w:rsidP="008107C7">
      <w:pPr>
        <w:pStyle w:val="SntesisDescriptiva"/>
      </w:pPr>
      <w:r>
        <w:t>Cuestión de inconstitucionalidad 2.335/1995 3.924/1995 4.269/1995 13/1996 384/1996 963/1996 (acumulados). En relación con el art. 62 de la Ley 21/1993, de 29 de diciembre, de Presupuestos Generales del Estado para 1994, en el que se dió una nueva redacción al art. 9.1 b) y c) de la Ley 18/1991, de 6 de junio, del Impuesto sobre la Renta de las Personas Físicas.</w:t>
      </w:r>
    </w:p>
    <w:p w:rsidR="008107C7" w:rsidRDefault="008107C7" w:rsidP="008107C7">
      <w:pPr>
        <w:pStyle w:val="SntesisDescriptiva"/>
      </w:pPr>
    </w:p>
    <w:p w:rsidR="008107C7" w:rsidRDefault="008107C7" w:rsidP="008107C7">
      <w:pPr>
        <w:pStyle w:val="SntesisAnaltica"/>
      </w:pPr>
    </w:p>
    <w:p w:rsidR="008107C7" w:rsidRDefault="008107C7" w:rsidP="008107C7">
      <w:pPr>
        <w:pStyle w:val="SntesisAnaltica"/>
      </w:pPr>
    </w:p>
    <w:p w:rsidR="008107C7" w:rsidRDefault="008107C7" w:rsidP="008107C7">
      <w:pPr>
        <w:pStyle w:val="Extracto"/>
      </w:pPr>
      <w:r>
        <w:t>1.</w:t>
      </w:r>
      <w:r>
        <w:tab/>
        <w:t>En la STC 134/1996, dictada con posterioridad a la admisión de las cuestiones aquí acumuladas, tras considerar que, en efecto, la diferenciación enunciada vulnera el principio de igualdad establecido en la Constitución, este Tribunal ha declarado que el art. 62 de la Ley 21/1993, de Presupuestos Generales del Estado para 1994, en el que se dio una nueva redacción al art. 9.1 c) de la Ley 18/1991, de 6 de junio, del Impuesto sobre la Renta de las Personas Físicas, es inconstitucional y nulo sólo en la medida en que viene a suprimir, únicamente para los funcionarios de las Administraciones Públicas que se hallen en situación de incapacidad permanente absoluta, la exención de dicho Impuesto. La declaración de inconstitucionalidad y nulidad contenida en el fallo de dicha Sentencia produjo plenos efectos de cosa juzgada a partir de su publicación en el «Boletín Oficial del Estado» (arts. 164.1 C.E. y 38.1 LOTC) por lo que, al resultar expulsados del ordenamiento jurídico los preceptos cuestionados y quedar resuelta en sentido estimatorio la duda de constitucionalidad aquí planteada, las cuestiones de inconstitucionalidad han perdido su objeto . [F.J. único]</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El Pleno del Tribunal Constitucional, compuesto por don Álvaro Rodríguez Bereijo, Presidente, don José Gabaldón López, don Fernando García-Mon y González Regueral, don Vicente Gimeno Sendra, don Rafael de Mendizábal Allende, don Julio Diego González Campos, don Pedro Cruz Villalón, don Carles Viver Pi-Sunyer, don Enrique Ruiz Vadillo, don Manuel Jiménez de Parga y Cabrera, don Tomás S. Vives Antón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lastRenderedPageBreak/>
        <w:t>SENTENCIA</w:t>
      </w:r>
    </w:p>
    <w:p w:rsidR="008107C7" w:rsidRDefault="008107C7" w:rsidP="008107C7">
      <w:pPr>
        <w:pStyle w:val="TextoNormalCentrado"/>
        <w:keepNext/>
      </w:pPr>
    </w:p>
    <w:p w:rsidR="008107C7" w:rsidRDefault="008107C7" w:rsidP="008107C7">
      <w:pPr>
        <w:pStyle w:val="TextoNormal"/>
      </w:pPr>
      <w:r>
        <w:t>En las cuestiones de inconstitucionalidad acumuladas núms. 2.335/95, promovida por la Sección Primera de la Sala de lo Contencioso-Administrativo del Tribunal Superior de Justicia de la Comunidad Valenciana, 3.924/95, 4.269/95, 13/96, 384/96 y 963/96, planteadas por la Sala de lo Contencioso-Administrativo del Tribunal Superior de Cantabria, y 1.770/96, 1.772/96 y 1.773/96, promovidas por la Sala de lo Contencioso-Administrativo del Tribunal Superior de Navarra, respecto del art. 62 de la Ley 21/1993, de 29 de diciembre, de Presupuestos Generales del Estado para 1994, en el que se dio una nueva redacción al art. 9.1 b) y c) de la Ley 18/1991, de 6 de junio, del Impuesto sobre la Renta de las Personas Físicas. Han comparecido y formulado alegaciones el Fiscal General del Estado y el Abogado del Estado y ha sido Ponente el Magistrado don Tomás S. Vives Antón, quien expresa el parecer del Tribunal.</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Mediante Auto de 1 de marzo de 1995, la Sección Primera de la Sala de lo Contencioso-Administrativo del Tribunal Superior de Justicia de la Comunidad Valenciana promueve ante este Tribunal cuestión de inconstitucionalidad respecto del art. 62 de la Ley 21/1993, de 29 de diciembre, de Presupuestos Generales del Estado para 1994, en el que se dio una nueva redacción al art. 9.1 c) de la Ley 18/1991, de 6 de junio, del Impuesto sobre la Renta de las Personas Físicas, por vulnerar el art. 14 C.E. </w:t>
      </w:r>
    </w:p>
    <w:p w:rsidR="008107C7" w:rsidRDefault="008107C7" w:rsidP="008107C7">
      <w:pPr>
        <w:pStyle w:val="TextoNormal"/>
      </w:pPr>
      <w:r>
        <w:t xml:space="preserve">A) Los hechos de que trae causa el planteamiento de la cuestión son, en síntesis, los siguientes: </w:t>
      </w:r>
    </w:p>
    <w:p w:rsidR="008107C7" w:rsidRDefault="008107C7" w:rsidP="008107C7">
      <w:pPr>
        <w:pStyle w:val="TextoNormal"/>
      </w:pPr>
      <w:r>
        <w:t xml:space="preserve">a) Doña María Rivas Llopis, funcionaria jubilada por incapacidad permanente absoluta, formuló recurso contencioso-administrativo contra el acto por el que, en aplicación de la nueva redacción dada al art. 9.1 c) de la Ley 18/1991 por el art. 62 de la Ley 21/1993, se le deniega la exención anteriormente reconocida a su pensión. Se alegaba, esencialmente, la vulneración del art. 14 C.E. </w:t>
      </w:r>
    </w:p>
    <w:p w:rsidR="008107C7" w:rsidRDefault="008107C7" w:rsidP="008107C7">
      <w:pPr>
        <w:pStyle w:val="TextoNormal"/>
      </w:pPr>
      <w:r>
        <w:t xml:space="preserve">b) Por Auto de 21 de diciembre de 1994, la Sección Primera de la Sala acordó, una vez conclusas las actuaciones, y al amparo del art. 35.2 LOTC, oír a las partes del procedimiento sobre la pertinencia de plantear cuestión de inconstitucionalidad a propósito de la citada nueva redacción del art. 9.1 c) de la Ley 18/1991, por posible vulneración del art. 14 C.E. La recurrente estimó oportuno elevar la correspondiente cuestión, a lo que se opuso el Abogado del Estado. El Ministerio Fiscal no formuló alegaciones. </w:t>
      </w:r>
    </w:p>
    <w:p w:rsidR="008107C7" w:rsidRDefault="008107C7" w:rsidP="008107C7">
      <w:pPr>
        <w:pStyle w:val="TextoNormal"/>
      </w:pPr>
      <w:r>
        <w:t xml:space="preserve">B) Las consideraciones del Auto de planteamiento de la cuestión pueden, sintéticamente, exponerse del modo que sigue: </w:t>
      </w:r>
    </w:p>
    <w:p w:rsidR="008107C7" w:rsidRDefault="008107C7" w:rsidP="008107C7">
      <w:pPr>
        <w:pStyle w:val="TextoNormal"/>
      </w:pPr>
      <w:r>
        <w:t xml:space="preserve">a) La recurrente fue jubilada por incapacidad permanente absoluta, después de treinta y siete años de servicio a la Administración, con derecho a una pensión el 1 de enero de 1994 de 172.499 pts. En esa fecha, y en virtud de la nueva redacción dada al art. 9.1 c) de la Ley 18/1991 por el art. 62 de la Ley 21/1993, se le retuvieron 24.171 pts. a cuenta del Impuesto sobre la Renta de las Personas Físicas. Tras la Ley 21/1993, la exención se reduce a las pensiones de gran invalidez, tanto de la Seguridad Social como las percibidas por los funcionarios públicos, y de incapacidad permanente absoluta, pero en este caso sólo las que procedan de la Seguridad Social y no las causadas por los funcionarios públicos. </w:t>
      </w:r>
    </w:p>
    <w:p w:rsidR="008107C7" w:rsidRDefault="008107C7" w:rsidP="008107C7">
      <w:pPr>
        <w:pStyle w:val="TextoNormal"/>
      </w:pPr>
      <w:r>
        <w:lastRenderedPageBreak/>
        <w:t xml:space="preserve">b) Para la Sección Primera de la Sala, la modificación operada en el art. 9.1 c) de la Ley 18/1991 plantea algunos importantes interrogantes desde la perspectiva constitucional, pudiéndose dudar de si la reforma no estará vulnerando la seguridad jurídica, al sujetar al impuesto rentas que antes estaban exentas, conculcando el principio de legalidad en su vertiente tributaria, o si la Ley de Presupuestos Generales del Estado habilita la modificación de exenciones. Pero en lo que se centra la Sección es en plantear el problema desde la perspectiva de las posibles infracciones al principio de igualdad (art. 14 C.E.). </w:t>
      </w:r>
    </w:p>
    <w:p w:rsidR="008107C7" w:rsidRDefault="008107C7" w:rsidP="008107C7">
      <w:pPr>
        <w:pStyle w:val="TextoNormal"/>
      </w:pPr>
      <w:r>
        <w:t xml:space="preserve">c) El Auto describe seguidamente la evolución de la regulación legal en la materia, para posteriormente detenerse en lo que denomina algunos elementos esenciales de los sistemas de previsión social y sus referencias constitucionales. </w:t>
      </w:r>
    </w:p>
    <w:p w:rsidR="008107C7" w:rsidRDefault="008107C7" w:rsidP="008107C7">
      <w:pPr>
        <w:pStyle w:val="TextoNormal"/>
      </w:pPr>
      <w:r>
        <w:t xml:space="preserve">De la lectura del art. 41 C.E. se extrae la conclusión de que no caben diferencias, en principio, entre los diversos sistemas protectores del régimen global de previsión social. Se trata de una función o de un servicio público que no trae causa de una relación laboral o de servicios sino de la obligada atención a determinadas situaciones de necesidad, tendiendo a garantizar un nivel mínimo de rentas. Aquella función o servicio ha de articularse mediante un régimen público y unitario para todos los ciudadanos, sometido al principio de igualdad (STC 124/1989). Al margen de las diferencias derivadas de los sistemas protectores, lo cierto es que las prestaciones sociales, en particular por invalidez, están fundadas e impuestas por una situación de urgente necesidad, que parece idéntica en todos los casos, sin que la existencia de aquellas diferencias, derivadas de un conjunto de regímenes no ajustados a los postulados unitarios de la Constitución, pueda justificar un distinto trato fiscal. </w:t>
      </w:r>
    </w:p>
    <w:p w:rsidR="008107C7" w:rsidRDefault="008107C7" w:rsidP="008107C7">
      <w:pPr>
        <w:pStyle w:val="TextoNormal"/>
      </w:pPr>
      <w:r>
        <w:t xml:space="preserve">d) El principio de igualdad no impide que el legislador pueda dar un trato fiscal diferente a personas físicas o jurídicas cuya condición resulte diferente por razones objetivas relativas a sus fuentes de ingreso o a la cuantía de los mismos. Examinando el art. 137 L.G.S.S., el art. 25 de la Ley 29/1975, de 27 de junio, sobre Seguridad Social de los Funcionarios Civiles del Estado, el art. 23 de la Ley 28/1975, de 27 de junio, sobre Seguridad Social de las Fuerzas Armadas, y el art. 10 del Real Decreto-ley 16/1978, de 7 de junio, por el que se regula la Seguridad Social de los Funcionarios al Servicio de la Administración de Justicia, el Auto llega a la conclusión de que no existe diferencia cualitativa entre funcionario y no funcionario, siendo iguales las definiciones legales y las necesidades de la invalidez, de manera que para jubilar a un funcionario se toman en cuenta los diversos grados de invalidez, que son los mismos que contempla el Régimen General de la Seguridad Social. </w:t>
      </w:r>
    </w:p>
    <w:p w:rsidR="008107C7" w:rsidRDefault="008107C7" w:rsidP="008107C7">
      <w:pPr>
        <w:pStyle w:val="TextoNormal"/>
      </w:pPr>
      <w:r>
        <w:t xml:space="preserve">e) Desde la perspectiva de las consecuencias de la incapacidad permanente absoluta, la situación de un trabajador y de un funcionario es asimismo idéntica. La incapacidad provoca en el funcionario la extinción de la relación funcionarial y lo mismo ocurre con el contrato de trabajo. La identidad de situaciones provoca que tanto trabajador como funcionario tengan derecho a prestaciones recuperadoras e igualmente a ambos se extienden los beneficios del empleo selectivo. De ahí que no exista justificación objetiva y razonable para el distinto trato fiscal. </w:t>
      </w:r>
    </w:p>
    <w:p w:rsidR="008107C7" w:rsidRDefault="008107C7" w:rsidP="008107C7">
      <w:pPr>
        <w:pStyle w:val="TextoNormal"/>
      </w:pPr>
      <w:r>
        <w:t xml:space="preserve">Por lo demás, el funcionario jubilado por incapacitación absoluta que percibe una pensión no se encuentra en una situación de sujeción especial con la Administración, ni actúa como funcionario ni presta servicios a la Administración, toda vez que su relación funcionarial se ha extinguido. </w:t>
      </w:r>
    </w:p>
    <w:p w:rsidR="008107C7" w:rsidRDefault="008107C7" w:rsidP="008107C7">
      <w:pPr>
        <w:pStyle w:val="TextoNormal"/>
      </w:pPr>
      <w:r>
        <w:t>f) Finalmente, la reforma del art. 9.1 c) de la Ley 18/1991 no está fundada en índices económicos ni pretende un tratamiento homogéneo de las pensiones por su cuantía o montante económico. Tampoco la posible invocación de la contención del gasto público concuerda con la exigencia constitucional de asignación equitativa del gasto, en términos de justicia distributiva y capacidad económica.</w:t>
      </w:r>
    </w:p>
    <w:p w:rsidR="008107C7" w:rsidRDefault="008107C7" w:rsidP="008107C7">
      <w:pPr>
        <w:pStyle w:val="TextoNormal"/>
      </w:pPr>
    </w:p>
    <w:p w:rsidR="008107C7" w:rsidRDefault="008107C7" w:rsidP="008107C7">
      <w:pPr>
        <w:pStyle w:val="TextoNormal"/>
      </w:pPr>
      <w:r w:rsidRPr="008107C7">
        <w:rPr>
          <w:rStyle w:val="NumeroAFNegritaCaracter"/>
        </w:rPr>
        <w:t>2</w:t>
      </w:r>
      <w:r>
        <w:t>. Mediante providencia de 18 de julio de 1995, la Sección Cuarta acordó admitir a trámite la cuestión registrada con el núm. 2.335/95, dar traslado de las actuaciones recibidas, conforme establece el art. 37.2 LOTC, al Congreso de los Diputados, al Senado, al Gobierno y al Fiscal General del Estado y publicar la incoación de la cuestión en el “Boletín Oficial del Estado”.</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El Abogado del Estado que presentó su escrito de alegaciones el 3 de agosto de 1995 afirma que la vulneración del art. 14 C.E. denunciada carece de justificación por lo que la cuestión debe ser desestimada. </w:t>
      </w:r>
    </w:p>
    <w:p w:rsidR="008107C7" w:rsidRDefault="008107C7" w:rsidP="008107C7">
      <w:pPr>
        <w:pStyle w:val="TextoNormal"/>
      </w:pPr>
      <w:r>
        <w:t xml:space="preserve">a) Constituye presupuesto del enjuiciamiento desde la perspectiva de la igualdad (art. 14 C.E.) que las situaciones subjetivas que quieran compararse sean efectivamente equiparables, lo que significa que el término de comparación no ha de ser arbitrario o caprichoso. Sobre este marco inicial, conviene recordar dos proposiciones sentadas por el Tribunal Constitucional. En primer lugar, que el juicio de igualdad tiene su sentido exclusivo en la evitación o reparación de discriminaciones carentes de todo basamento objetivo y no en la determinación de cuáles sean las opciones mejores o más adecuadas. Para hacer posible un juicio de igualdad, en segundo término, se requiere que el legislador haya atribuido las consecuencias jurídicas que se dicen diversificadoras a grupos o categorías personales creadas por el mismo, porque si el autor de la norma diversifica lo homogéneo es cuando puede decirse que su decisión es susceptible de control constitucional dirigida a fiscalizar si la introducción de factores diferenciables resulta o no debidamente afectada. Para el Abogado del Estado este presupuesto no concurre en el presente caso. </w:t>
      </w:r>
    </w:p>
    <w:p w:rsidR="008107C7" w:rsidRDefault="008107C7" w:rsidP="008107C7">
      <w:pPr>
        <w:pStyle w:val="TextoNormal"/>
      </w:pPr>
      <w:r>
        <w:t xml:space="preserve">b) Donde tiene sentido preguntarse por la fundamentación en Derecho de una diferenciación normativa es, sobre todo, cuando la singularización entre categorías o grupos personales se realiza en la propia disposición, atribuyendo a las mismas regímenes jurídicos diversos. Pero la situación no es la misma cuando se trata de una previa diferenciación de regímenes jurídicos y una norma posterior establece una regulación diferente para supuestos de hecho comprendidos en cada uno de dichos distintos regímenes. En tal caso, la diversidad de regulación no podría ser calificada de diferenciadora a los efectos del principio de igualdad. De ahí que el planteamiento de la cuestión de inconstitucionalidad no pueda aceptarse, toda vez que no son iguales los supuestos de hecho que se comparan, por lo que falta el adecuado término de comparación. </w:t>
      </w:r>
    </w:p>
    <w:p w:rsidR="008107C7" w:rsidRDefault="008107C7" w:rsidP="008107C7">
      <w:pPr>
        <w:pStyle w:val="TextoNormal"/>
      </w:pPr>
      <w:r>
        <w:t xml:space="preserve">c) En efecto, tras comparar la situación de invalidez en el régimen general de la Seguridad Social y en el régimen de clases pasivas, el Abogado del Estado resalta que, a diferencia del primero, en el segundo no se gradua la incapacidad ni existe graduación alguna, teniendo muy diversa configuración y perfil las pensiones en uno y otro caso. Además, las pensiones de invalidez en el régimen general de la Seguridad Social tienen una intrínseca función indemnizatoria, lo que no ocurre con las pensiones derivadas del régimen de clases pasivas. </w:t>
      </w:r>
    </w:p>
    <w:p w:rsidR="008107C7" w:rsidRDefault="008107C7" w:rsidP="008107C7">
      <w:pPr>
        <w:pStyle w:val="TextoNormal"/>
      </w:pPr>
      <w:r>
        <w:t xml:space="preserve">d) En definitiva, no cabe equiparar la situación de los trabajadores incluidos en el régimen general de la Seguridad Social con la de los funcionarios incluidos en el régimen de clases pasivas. Unos y otros se integran en estructuras claramente diferenciadas por el Derecho. Diversidad de estructuras que ha sido tenida en cuenta por el legislador presupuestario de 1994 al modificar el régimen de las exenciones consagrado en el art. 9.1 c) de la Ley 18/1991. La presunta diferencia de trato no puede ser tachada de discriminatoria. Falta la necesaria igualdad entre los regímenes que se comparan. El pretendidamente diverso tratamiento fiscal que se infiere del precepto impugnado no nace de la voluntad arbitraria del </w:t>
      </w:r>
      <w:r>
        <w:lastRenderedPageBreak/>
        <w:t xml:space="preserve">legislador presupuestario, siendo simple consecuencia de la diferencia de los regímenes jurídicos en que se encuentran quienes perciben prestaciones reconocidas por la Seguridad Social o causadas por los funcionarios públicos. </w:t>
      </w:r>
    </w:p>
    <w:p w:rsidR="008107C7" w:rsidRDefault="008107C7" w:rsidP="008107C7">
      <w:pPr>
        <w:pStyle w:val="TextoNormal"/>
      </w:pPr>
      <w:r>
        <w:t>Por todo lo cual, el Abogado del Estado solicita la desestimación de la cuestión de inconstitucionalidad.</w:t>
      </w:r>
    </w:p>
    <w:p w:rsidR="008107C7" w:rsidRDefault="008107C7" w:rsidP="008107C7">
      <w:pPr>
        <w:pStyle w:val="TextoNormal"/>
      </w:pPr>
    </w:p>
    <w:p w:rsidR="008107C7" w:rsidRDefault="008107C7" w:rsidP="008107C7">
      <w:pPr>
        <w:pStyle w:val="TextoNormal"/>
      </w:pPr>
      <w:r w:rsidRPr="008107C7">
        <w:rPr>
          <w:rStyle w:val="NumeroAFNegritaCaracter"/>
        </w:rPr>
        <w:t>4</w:t>
      </w:r>
      <w:r>
        <w:t>. Mediante escrito registrado el 7 de septiembre de 1995, el Presidente del Congreso de los Diputados comunica que, aun cuando la Cámara no se personará en el procedimiento ni formulará alegaciones, pone a disposición del Tribunal las actuaciones de aquélla que pueda precisar. Asimismo, en escrito registrado el 8 de septiembre de 1995, el Presidente del Senado traslada el acuerdo de la Mesa por el que solicita dar por personada a la Cámara y por ofrecida su colaboración a los efectos del art. 88.1 LOTC.</w:t>
      </w:r>
    </w:p>
    <w:p w:rsidR="008107C7" w:rsidRDefault="008107C7" w:rsidP="008107C7">
      <w:pPr>
        <w:pStyle w:val="TextoNormal"/>
      </w:pPr>
    </w:p>
    <w:p w:rsidR="008107C7" w:rsidRDefault="008107C7" w:rsidP="008107C7">
      <w:pPr>
        <w:pStyle w:val="TextoNormal"/>
      </w:pPr>
      <w:r w:rsidRPr="008107C7">
        <w:rPr>
          <w:rStyle w:val="NumeroAFNegritaCaracter"/>
        </w:rPr>
        <w:t>5</w:t>
      </w:r>
      <w:r>
        <w:t xml:space="preserve">. El Fiscal General del Estado presentó su escrito de alegaciones el 12 de septiembre de 1995. Tras recordar los antecedentes del caso y la nueva redacción dada al art. 9.1 c) de la Ley 18/1991 por el art. 62 de la Ley 21/1993, el Fiscal General del Estado analiza, desde la perspectiva del art. 14 C.E., si las pensiones de invalidez de la Seguridad Social y las pensiones de invalidez causadas por los funcionarios públicos conforman supuestos iguales, si tienen diverso régimen jurídico y, en caso afirmativo, en fin, si la diferencia normativa responde a una causa justificada o no, pues no toda desigualdad normativa es contraria al precepto constitucional, sino únicamente aquélla que no responda a una causa justificada. </w:t>
      </w:r>
    </w:p>
    <w:p w:rsidR="008107C7" w:rsidRDefault="008107C7" w:rsidP="008107C7">
      <w:pPr>
        <w:pStyle w:val="TextoNormal"/>
      </w:pPr>
      <w:r>
        <w:t xml:space="preserve">a) Por lo que se refiere a la primera cuestión, se observa una identidad sustancial en las prestaciones de invalidez de la Seguridad Social y las causadas por los funcionarios públicos, sin que sea determinante que se regulen en cuerpos legislativos diferentes (art. 137 L.G.S.S., para las primeras, y arts. 27 y 28 de la Ley 29/1975, de 27 de junio, sobre Seguridad Social de los Funcionarios Civiles del Estado, y Real Decreto Legislativo 670/1987, de 30 de abril, por el que se aprueba el Texto refundido de la Ley de Clases Pasivas del Estado, para las segundas). Y los arts. 27 y 28 de la Ley 29/1975 no pueden considerarse derogados por el Texto Refundido citado, habiendo dado el Abogado del Estado en el proceso a quo una versión parcial de la normativa aplicable, pues se limitó a este ultimo texto. </w:t>
      </w:r>
    </w:p>
    <w:p w:rsidR="008107C7" w:rsidRDefault="008107C7" w:rsidP="008107C7">
      <w:pPr>
        <w:pStyle w:val="TextoNormal"/>
      </w:pPr>
      <w:r>
        <w:t xml:space="preserve">El cotejo del art. 137 de la L.G.S.S. y del art. 25 de la Ley 29/1975 evidencia una real igualdad, toda vez que en ambos preceptos existe la misma diferenciación entre incapacidad permanente total, incapacidad permanente absoluta y gran invalidez, incluso con identidad de definiciones. </w:t>
      </w:r>
    </w:p>
    <w:p w:rsidR="008107C7" w:rsidRDefault="008107C7" w:rsidP="008107C7">
      <w:pPr>
        <w:pStyle w:val="TextoNormal"/>
      </w:pPr>
      <w:r>
        <w:t xml:space="preserve">b) Constatada la identidad sustancial de regulaciones, se comprueba asimismo que la redacción original del art. 9 de la Ley 18/1991 declaraba exentas las prestaciones (en el caso de la Seguridad Social) o pensiones (en el caso de los funcionarios públicos) causadas por inutilidad o “incapacidad permanente”, dando así el mismo tratamiento fiscal a unas y otras. </w:t>
      </w:r>
    </w:p>
    <w:p w:rsidR="008107C7" w:rsidRDefault="008107C7" w:rsidP="008107C7">
      <w:pPr>
        <w:pStyle w:val="TextoNormal"/>
      </w:pPr>
      <w:r>
        <w:t xml:space="preserve">Resulta evidente que la nueva redacción dada por el art. 62 de la Ley 21/1993 al art. 9.1 b) y c) de la Ley 18/1991 supone una diferencia de trato, en tanto que, al contrario de lo que sucede con las prestaciones de la Seguridad Social, dejan de estar exentas las pensiones de incapacidad permanente (incluso absoluta) de los funcionarios públicos, con la única excepción de la gran invalidez. </w:t>
      </w:r>
    </w:p>
    <w:p w:rsidR="008107C7" w:rsidRDefault="008107C7" w:rsidP="008107C7">
      <w:pPr>
        <w:pStyle w:val="TextoNormal"/>
      </w:pPr>
      <w:r>
        <w:t xml:space="preserve">c) Si el régimen de Seguridad Social de trabajadores y funcionarios es sustancialmente idéntico y la consideración de rentas exentas responde a la misma finalidad de protección no se alcanza la razón de la diferencia de trato, por lo que la nueva redacción del art. 9.1 c) de la Ley 18/1991 es contraria al art. 14 C.E. </w:t>
      </w:r>
    </w:p>
    <w:p w:rsidR="008107C7" w:rsidRDefault="008107C7" w:rsidP="008107C7">
      <w:pPr>
        <w:pStyle w:val="TextoNormal"/>
      </w:pPr>
      <w:r>
        <w:lastRenderedPageBreak/>
        <w:t xml:space="preserve">d) Resta por determinar el alcance del fallo de inconstitucionalidad a pronunciar, lo que resulta especialmente complejo. No cabe duda de que el inciso “cuando el grado de disminución física o psíquica sea constitutivo de una gran invalidez”, ahora contenido en el art. 9.1 c) de la Ley 18/1991, vulnera el principio de igualdad, pues añade un requisito sin una fundamentación objetiva y razonable que lo justifique. Pero si se expulsa del ordenamiento jurídico dicho inciso -como no puede ser de otra forma- se produciría un resultado insatisfactorio consistente en que las prestaciones de la Seguridad Social darían lugar a la exención en caso de invalidez permanente absoluta, mientras que las pensiones de los funcionarios públicos quedarían exentas incluso si se tratase de una mera inutilidad o incapacidad permanente no necesariamente absoluta. Es decir, los funcionarios pasarían de verse perjudicados por la norma legal cuestionada a encontrarse beneficiados por la misma. El problema desaparecería si este Tribunal pudiese añadir la palabra absoluta al tipo de incapacidad funcionarial que es objeto de exención, pero su carácter de legislador meramente negativo se lo impide. Ello no obstante, se debe declarar la inconstitucionalidad del inciso citado, correspondiendo al legislador reparar la disfunción producida en la forma que estime más adecuada. </w:t>
      </w:r>
    </w:p>
    <w:p w:rsidR="008107C7" w:rsidRDefault="008107C7" w:rsidP="008107C7">
      <w:pPr>
        <w:pStyle w:val="TextoNormal"/>
      </w:pPr>
      <w:r>
        <w:t>Por todo lo expuesto, el Fiscal General del Estado solicita la declaración de inconstitucionalidad del art. 9.1 c) de la Ley 18/1991, en la redacción dada por el art. 62 de la Ley 21/1993, en el inciso “cuando el grado de disminución física o psíquica sea constitutivo de una gran invalidez”, por resultar contrario al art. 14 C.E.</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Mediante Auto de 16 de noviembre de 1995, la Sala de lo Contencioso- Administrativo del Tribunal Superior de Justicia de Cantabria plantea ante este Tribunal cuestión de inconstitucionalidad respecto del art. 62 de la Ley 21/1993, de 29 de diciembre, de Presupuestos Generales del Estado para 1994, en el que se dio una nueva redacción al art. 9.1 c) de la Ley 18/1991, de 6 de junio, del Impuesto sobre la Renta de las Personas Físicas, por vulnerar el art. 14 C.E. </w:t>
      </w:r>
    </w:p>
    <w:p w:rsidR="008107C7" w:rsidRDefault="008107C7" w:rsidP="008107C7">
      <w:pPr>
        <w:pStyle w:val="TextoNormal"/>
      </w:pPr>
      <w:r>
        <w:t xml:space="preserve">A) Los hechos de que trae causa el planteamiento de la cuestión son, en síntesis, los siguientes: </w:t>
      </w:r>
    </w:p>
    <w:p w:rsidR="008107C7" w:rsidRDefault="008107C7" w:rsidP="008107C7">
      <w:pPr>
        <w:pStyle w:val="TextoNormal"/>
      </w:pPr>
      <w:r>
        <w:t xml:space="preserve">a) Doña María del Pilar Espino Bahillo, perceptora de pensión de jubilación por incapacidad permanente, interpuso recurso contencioso-administrativo contra la resolución del Tribunal Económico-Administrativo Regional de Cantabria de 23 de diciembre de 1994, por la que se desestima la reclamación económico- administrativa entablada frente a los actos de retención tributaria practicados a cuenta del Impuesto sobre la Renta de las Personas Físicas sobre las pensiones de jubilación por incapacidad permanente del régimen de clases pasivas del Estado, con motivo de la nueva redacción dada al art. 9.1 c) de la Ley 18/1991 por el art. 62 de la Ley 21/1993. </w:t>
      </w:r>
    </w:p>
    <w:p w:rsidR="008107C7" w:rsidRDefault="008107C7" w:rsidP="008107C7">
      <w:pPr>
        <w:pStyle w:val="TextoNormal"/>
      </w:pPr>
      <w:r>
        <w:t xml:space="preserve">b) Por providencia de 4 de octubre de 1995, la Sala acordó, una vez conclusas las actuaciones, y al amparo del art. 35.2 LOTC, oir a las partes del procedimiento sobre la pertinencia de plantear cuestión de inconstitucionalidad a propósito de la citada nueva redacción del art. 9.1 c) de la Ley 18/1991, por posible vulneración del art. 14 C.E. y, en íntima relación con el mismo, del derecho a un sistema tributario basado en los principios de igualdad y capacidad económica (art. 31 C.E.). La recurrente estimó oportuno elevar la correspondiente cuestión, a lo que se opuso, por el contrario, el Ministerio Fiscal. El Abogado del Estado no formuló alegaciones. </w:t>
      </w:r>
    </w:p>
    <w:p w:rsidR="008107C7" w:rsidRDefault="008107C7" w:rsidP="008107C7">
      <w:pPr>
        <w:pStyle w:val="TextoNormal"/>
      </w:pPr>
      <w:r>
        <w:t xml:space="preserve">B) Las consideraciones del Auto de planteamiento de la cuestión pueden, sintéticamente, exponerse del modo que sigue: </w:t>
      </w:r>
    </w:p>
    <w:p w:rsidR="008107C7" w:rsidRDefault="008107C7" w:rsidP="008107C7">
      <w:pPr>
        <w:pStyle w:val="TextoNormal"/>
      </w:pPr>
      <w:r>
        <w:lastRenderedPageBreak/>
        <w:t xml:space="preserve">a) La nueva redacción del art. 9.1 b) y c) de la Ley 18/1991 contiene un tratamiento fiscal diferenciado según la condición del sujeto perceptor, toda vez que, así como están exentas las pensiones reconocidas por la Seguridad Social como consecuencia de incapacidad permanente absoluta y de gran invalidez, las pensiones de invalidez de los funcionarios públicos sólo están exentas cuando el grado de disminución es constitutivo de gran invalidez. Y el caso es que se trata de dos situaciones de hecho objetivamente idénticas, pues tanto los trabajadores como los funcionarios públicos deben considerarse, no en su respectiva condición laboral, sino simplemente como perceptores de rentas a raíz de una incapacidad permanente que les imposibilita para desarrollar su trabajo habitual, siendo por tanto igual el origen de las rentas y el presupuesto básico para su percepción (la enfermedad invalidante), estribando la diferencia únicamente en el diferente sujeto pagador de las prestaciones o pensiones, diferencia a la que no cabe atribuir consecuencias tributarias, pues el resultado final es el mismo, es decir, dos clases de contribuyentes que disfrutan de pensiones por incapacidad. </w:t>
      </w:r>
    </w:p>
    <w:p w:rsidR="008107C7" w:rsidRDefault="008107C7" w:rsidP="008107C7">
      <w:pPr>
        <w:pStyle w:val="TextoNormal"/>
      </w:pPr>
      <w:r>
        <w:t xml:space="preserve">b) La discriminación tributaria atendiendo a la cualidad del sujeto pasivo, esto es, a la diferente condición del contribuyente según que las rentas se perciban con cargo a la Seguridad Social, por tratarse de trabajadores, o con cargo al régimen de clases pasivas, por tratarse de funcionarios, argumento manejado por la Administración demandada como fundamento de la desigualdad de trato, no puede utilizarse como elemento justificador de la diferencia, toda vez que a efectos fiscales resulta intrascendente. A la hora de determinar las rentas gravadas, la Ley 18/1991 atiende a la obtención de rendimientos efectivos por el sujeto pasivo procedentes de distintas fuentes, pero otorga un tratamiento idéntico a las rentas de igual origen y cuantía, con independencia de que el perceptor sea un funcionario público o un trabajador. Resultaría ilógico y contrario al principio de igualdad que se diese un trato fiscal distinto a rentas procedentes del trabajo personal de igual cuantía, según fuese el perceptor funcionario o trabajador. El tratamiento distinto puede estar justificado en aspectos relacionados con las concretas singularidades de su respectiva situación laboral (por ejemplo, la forma de retribución, la estabilidad en el empleo, la movilidad funcional o geográfica), pero carece de fundamento en materia fiscal. En este campo sólo se atiende a la idéntica condición de contribuyente de unos y otros y al hecho objetivo de la percepción de rentas, sin diferenciación según el sujeto pagador de las mismas. De esta forma, así como en materia de rentas gravadas no se establece ningún tipo de trato diferenciado, lo mismo ha de ocurrir con la determinación de las rentas exentas. </w:t>
      </w:r>
    </w:p>
    <w:p w:rsidR="008107C7" w:rsidRDefault="008107C7" w:rsidP="008107C7">
      <w:pPr>
        <w:pStyle w:val="TextoNormal"/>
      </w:pPr>
      <w:r>
        <w:t xml:space="preserve">Esta es, precisamente, la discriminación que ha sido introducida por el precepto cuya constitucionalidad se cuestiona, puesto que la desigualdad introducida podría considerarse artificiosa por no fundarse en un criterio objetivo y suficientemente razonado, sin que pueda adivinarse la razón lógica del trato diferenciado. </w:t>
      </w:r>
    </w:p>
    <w:p w:rsidR="008107C7" w:rsidRDefault="008107C7" w:rsidP="008107C7">
      <w:pPr>
        <w:pStyle w:val="TextoNormal"/>
      </w:pPr>
      <w:r>
        <w:t xml:space="preserve">c) El precepto quebranta, asimismo, el principio de contribución al sostenimiento de los gastos públicos de acuerdo con la capacidad económica del sujeto pasivo, consagrado por el art. 31.1 C.E. Si uno de los índices reveladores de dicha capacidad es la obtención de renta, la misma se percibe igualmente por un trabajador y por un funcionario en situación de incapacidad permanente absoluta, sin que pueda aceptarse que el primero tenga mayores exenciones que el segundo. </w:t>
      </w:r>
    </w:p>
    <w:p w:rsidR="008107C7" w:rsidRDefault="008107C7" w:rsidP="008107C7">
      <w:pPr>
        <w:pStyle w:val="TextoNormal"/>
      </w:pPr>
      <w:r>
        <w:t xml:space="preserve">Las razones que han movido al legislador a declarar exentas las prestaciones por incapacidad permanente de los trabajadores deben ser igualmente aplicables a las pensiones de los funcionarios públicos. Así lo exigen los arts. 14 y 31.1 C.E., toda vez que desde el punto de vista tributario la discriminación no resulta justificada ni se alcanzan a advertir los fines </w:t>
      </w:r>
      <w:r>
        <w:lastRenderedPageBreak/>
        <w:t>perseguidos, como no sean los meramente recaudatorios, produciéndose un resultado gravoso, desmedido y contrario a los principios constitucionales.</w:t>
      </w:r>
    </w:p>
    <w:p w:rsidR="008107C7" w:rsidRDefault="008107C7" w:rsidP="008107C7">
      <w:pPr>
        <w:pStyle w:val="TextoNormal"/>
      </w:pPr>
    </w:p>
    <w:p w:rsidR="008107C7" w:rsidRDefault="008107C7" w:rsidP="008107C7">
      <w:pPr>
        <w:pStyle w:val="TextoNormal"/>
      </w:pPr>
      <w:r w:rsidRPr="008107C7">
        <w:rPr>
          <w:rStyle w:val="NumeroAFNegritaCaracter"/>
        </w:rPr>
        <w:t>7</w:t>
      </w:r>
      <w:r>
        <w:t>. Mediante providencia de 16 de enero de 1996, la Sección Primera acordó admitir a trámite la cuestión registrada con el núm. 3.924/95, dar traslado de las actuaciones recibidas, conforme establece el art. 37.2 LOTC, al Congreso de los Diputados, al Senado, al Gobierno y al Fiscal General del Estado, oir a las partes para que expongan lo que consideren conveniente acerca de la acumulación de esta cuestión con la registrada bajo el núm. 2.335/95 y publicar la incoación de la cuestión en el “Boletín Oficial del Estado”.</w:t>
      </w:r>
    </w:p>
    <w:p w:rsidR="008107C7" w:rsidRDefault="008107C7" w:rsidP="008107C7">
      <w:pPr>
        <w:pStyle w:val="TextoNormal"/>
      </w:pPr>
    </w:p>
    <w:p w:rsidR="008107C7" w:rsidRDefault="008107C7" w:rsidP="008107C7">
      <w:pPr>
        <w:pStyle w:val="TextoNormal"/>
      </w:pPr>
      <w:r w:rsidRPr="008107C7">
        <w:rPr>
          <w:rStyle w:val="NumeroAFNegritaCaracter"/>
        </w:rPr>
        <w:t>8</w:t>
      </w:r>
      <w:r>
        <w:t>. Mediante escrito registrado el 25 de enero de 1996, el Abogado del Estado se persona en nombre del Gobierno en las cuestiones de inconstitucionalidad núms. 3924/95 y 4269/95 y solicita su acumulación con otorgamiento de nuevo plazo para formular alegaciones conjuntas.</w:t>
      </w:r>
    </w:p>
    <w:p w:rsidR="008107C7" w:rsidRDefault="008107C7" w:rsidP="008107C7">
      <w:pPr>
        <w:pStyle w:val="TextoNormal"/>
      </w:pPr>
    </w:p>
    <w:p w:rsidR="008107C7" w:rsidRDefault="008107C7" w:rsidP="008107C7">
      <w:pPr>
        <w:pStyle w:val="TextoNormal"/>
      </w:pPr>
      <w:r w:rsidRPr="008107C7">
        <w:rPr>
          <w:rStyle w:val="NumeroAFNegritaCaracter"/>
        </w:rPr>
        <w:t>9</w:t>
      </w:r>
      <w:r>
        <w:t>. Mediante escrito registrado el 25 de enero de 1996, el Presidente del Senado traslada el Acuerdo de la Mesa por el que solicita dar por personada a la Cámara y por ofrecida su colaboración a los efectos del art. 88.1 LOTC. Asimismo, mediante escrito registrado el 31 de enero de 1996, el Presidente del Congreso de los Diputados comunica que, aun cuando la Cámara no se personará en el procedimiento ni formulará alegaciones, pone a disposición del Tribunal las actuaciones de aquélla que pueda precisar.</w:t>
      </w:r>
    </w:p>
    <w:p w:rsidR="008107C7" w:rsidRDefault="008107C7" w:rsidP="008107C7">
      <w:pPr>
        <w:pStyle w:val="TextoNormal"/>
      </w:pPr>
    </w:p>
    <w:p w:rsidR="008107C7" w:rsidRDefault="008107C7" w:rsidP="008107C7">
      <w:pPr>
        <w:pStyle w:val="TextoNormal"/>
      </w:pPr>
      <w:r w:rsidRPr="008107C7">
        <w:rPr>
          <w:rStyle w:val="NumeroAFNegritaCaracter"/>
        </w:rPr>
        <w:t>10</w:t>
      </w:r>
      <w:r>
        <w:t>. El Fiscal General del Estado presentó sus alegaciones el 5 de febrero de 1996. Además de solicitar la acumulación de la presente cuestión a las registradas con los núms. 2.335/95 y 4.269/95, y de clarificar que lo que está en juego es el principio de igualdad tributaria (arts. 14 y 31.1 C.E.) y no en el de capacidad económica (art. 31.1 C.E.), el Fiscal General del Estado reproduce su anterior escrito registrado el 12 de septiembre de 1995, con lo que basta con remitirse a lo expuesto en su momento en el apartado 5.</w:t>
      </w:r>
    </w:p>
    <w:p w:rsidR="008107C7" w:rsidRDefault="008107C7" w:rsidP="008107C7">
      <w:pPr>
        <w:pStyle w:val="TextoNormal"/>
      </w:pPr>
    </w:p>
    <w:p w:rsidR="008107C7" w:rsidRDefault="008107C7" w:rsidP="008107C7">
      <w:pPr>
        <w:pStyle w:val="TextoNormal"/>
      </w:pPr>
      <w:r w:rsidRPr="008107C7">
        <w:rPr>
          <w:rStyle w:val="NumeroAFNegritaCaracter"/>
        </w:rPr>
        <w:t>11</w:t>
      </w:r>
      <w:r>
        <w:t xml:space="preserve">. Mediante Auto de 23 de noviembre de 1995, la Sala de lo Contencioso- Administrativo del Tribunal Superior de Justicia de Cantabria plantea ante este Tribunal cuestión de inconstitucionalidad respecto del art. 62 de la Ley 21/1993, de 29 de diciembre, de Presupuestos Generales del Estado para 1994, en el que se dio una nueva redacción al art. 9.1 c) de la Ley 18/1991, de 6 de junio, del Impuesto sobre la Renta de las Personas Físicas, por vulnerar el art. 14 C.E. </w:t>
      </w:r>
    </w:p>
    <w:p w:rsidR="008107C7" w:rsidRDefault="008107C7" w:rsidP="008107C7">
      <w:pPr>
        <w:pStyle w:val="TextoNormal"/>
      </w:pPr>
      <w:r>
        <w:t xml:space="preserve">A) Los hechos de que trae causa el planteamiento de la cuestión son, en síntesis, los siguientes: </w:t>
      </w:r>
    </w:p>
    <w:p w:rsidR="008107C7" w:rsidRDefault="008107C7" w:rsidP="008107C7">
      <w:pPr>
        <w:pStyle w:val="TextoNormal"/>
      </w:pPr>
      <w:r>
        <w:t xml:space="preserve">a) Don Tomás Fernández Cimadevilla y don Federico Martínez Arriola, perceptores de pensión de jubilación por incapacidad permanente, interpusieron recurso contencioso-administrativo contra la resolución del Tribunal Económico- Administrativo Regional de Cantabria de 23 de diciembre de 1994, por la que se desestima la reclamación económico-administrativa entablada frente a los actos de retención tributaria practicados a cuenta del Impuesto sobre la Renta de las Personas Físicas sobre las pensiones de jubilación por incapacidad permanente del régimen de clases pasivas del Estado, con motivo de la nueva redacción dada al art. 9.1 c) de la Ley 18/1991 por el art. 62 de la Ley 21/1993. </w:t>
      </w:r>
    </w:p>
    <w:p w:rsidR="008107C7" w:rsidRDefault="008107C7" w:rsidP="008107C7">
      <w:pPr>
        <w:pStyle w:val="TextoNormal"/>
      </w:pPr>
      <w:r>
        <w:lastRenderedPageBreak/>
        <w:t xml:space="preserve">b) Por providencia de 4 de octubre de 1995, la Sala acordó, una vez conclusas las actuaciones, y al amparo del art. 35.2 LOTC, oír a las partes del procedimiento sobre la pertinencia de plantear cuestión de inconstitucionalidad a propósito de la citada nueva redacción del art. 9.1 c) de la Ley 18/1991, por posible vulneración del art. 14 C.E. y, en íntima relación con el mismo, del derecho a un sistema tributario basado en los principios de igualdad y capacidad económica (art. 31 C.E.). Los recurrentes estimaron oportuno elevar la correspondiente cuestión, a lo que se opuso, por el contrario, el Ministerio Fiscal. El Abogado del Estado no formuló alegaciones. </w:t>
      </w:r>
    </w:p>
    <w:p w:rsidR="008107C7" w:rsidRDefault="008107C7" w:rsidP="008107C7">
      <w:pPr>
        <w:pStyle w:val="TextoNormal"/>
      </w:pPr>
      <w:r>
        <w:t>B) El Auto de planteamiento de la cuestión es idéntico al elevado con ocasión de la cuestión núm. 3.924/95, cuyo contenido [apartado 6 B) de estos Antecedentes] resulta pertinente dar aquí por reproducido.</w:t>
      </w:r>
    </w:p>
    <w:p w:rsidR="008107C7" w:rsidRDefault="008107C7" w:rsidP="008107C7">
      <w:pPr>
        <w:pStyle w:val="TextoNormal"/>
      </w:pPr>
    </w:p>
    <w:p w:rsidR="008107C7" w:rsidRDefault="008107C7" w:rsidP="008107C7">
      <w:pPr>
        <w:pStyle w:val="TextoNormal"/>
      </w:pPr>
      <w:r w:rsidRPr="008107C7">
        <w:rPr>
          <w:rStyle w:val="NumeroAFNegritaCaracter"/>
        </w:rPr>
        <w:t>12</w:t>
      </w:r>
      <w:r>
        <w:t>. Mediante providencia de 16 de enero de 1996, la Sección Tercera acordó admitir a trámite la cuestión registrada con el núm. 4.269/95, dar traslado de las actuaciones recibidas, conforme establece el art. 37.2 LOTC, al Congreso de los Diputados, al Senado, al Gobierno y al Fiscal General del Estado, oir a las partes para que expongan lo que consideren conveniente acerca de la acumulación de esta cuestión con la registrada bajo el núm. 2335/95 y publicar la incoación de la cuestión en el “Boletín Oficial del Estado”.</w:t>
      </w:r>
    </w:p>
    <w:p w:rsidR="008107C7" w:rsidRDefault="008107C7" w:rsidP="008107C7">
      <w:pPr>
        <w:pStyle w:val="TextoNormal"/>
      </w:pPr>
    </w:p>
    <w:p w:rsidR="008107C7" w:rsidRDefault="008107C7" w:rsidP="008107C7">
      <w:pPr>
        <w:pStyle w:val="TextoNormal"/>
      </w:pPr>
      <w:r w:rsidRPr="008107C7">
        <w:rPr>
          <w:rStyle w:val="NumeroAFNegritaCaracter"/>
        </w:rPr>
        <w:t>13</w:t>
      </w:r>
      <w:r>
        <w:t>. Mediante escrito registrado el 23 de enero de 1996, el Presidente del Senado traslada el Acuerdo de la Mesa por el que solicita dar por personada a la Cámara y por ofrecida su colaboración a los efectos del art. 88.1 LOTC. Asimismo, mediante escrito registrado el 31 de enero de 1996, el Presidente del Congreso de los Diputados comunica que, aun cuando la Cámara no se personará en el procedimiento ni formulará alegaciones, pone a disposición del Tribunal las actuaciones de aquélla que pueda precisar.</w:t>
      </w:r>
    </w:p>
    <w:p w:rsidR="008107C7" w:rsidRDefault="008107C7" w:rsidP="008107C7">
      <w:pPr>
        <w:pStyle w:val="TextoNormal"/>
      </w:pPr>
    </w:p>
    <w:p w:rsidR="008107C7" w:rsidRDefault="008107C7" w:rsidP="008107C7">
      <w:pPr>
        <w:pStyle w:val="TextoNormal"/>
      </w:pPr>
      <w:r w:rsidRPr="008107C7">
        <w:rPr>
          <w:rStyle w:val="NumeroAFNegritaCaracter"/>
        </w:rPr>
        <w:t>14</w:t>
      </w:r>
      <w:r>
        <w:t>. El Fiscal General del Estado presentó sus alegaciones el 5 de febrero de 1996. Además de solicitar la acumulación de la presente cuestión a las registradas con los núms. 2335/95 y 3924/95, y de clarificar que el Auto pone el acento en el principio de igualdad tributaria (arts. 14 y 31.1 C.E.) y no en el de capacidad económica (art. 31.1 C.E.), el Fiscal General del Estado reproduce su anterior escrito registrado el 12 de septiembre de 1995, con lo que basta con remitirse a lo expuesto en su momento en el apartado 5.</w:t>
      </w:r>
    </w:p>
    <w:p w:rsidR="008107C7" w:rsidRDefault="008107C7" w:rsidP="008107C7">
      <w:pPr>
        <w:pStyle w:val="TextoNormal"/>
      </w:pPr>
    </w:p>
    <w:p w:rsidR="008107C7" w:rsidRDefault="008107C7" w:rsidP="008107C7">
      <w:pPr>
        <w:pStyle w:val="TextoNormal"/>
      </w:pPr>
      <w:r w:rsidRPr="008107C7">
        <w:rPr>
          <w:rStyle w:val="NumeroAFNegritaCaracter"/>
        </w:rPr>
        <w:t>15</w:t>
      </w:r>
      <w:r>
        <w:t xml:space="preserve">. Mediante Auto de 13 de noviembre de 1995, la Sala de lo Contencioso- Administrativo del Tribunal Superior de Justicia de Cantabria plantea ante este Tribunal cuestión de inconstitucionalidad respecto del art. 62 de la Ley 21/1993, de 29 de diciembre, de Presupuestos Generales del Estado para 1994, en el que se dio una nueva redacción al art. 9.1 c) de la Ley 18/1991, de 6 de junio, del Impuesto sobre la Renta de las Personas Físicas, por vulnerar el art. 14 C.E. </w:t>
      </w:r>
    </w:p>
    <w:p w:rsidR="008107C7" w:rsidRDefault="008107C7" w:rsidP="008107C7">
      <w:pPr>
        <w:pStyle w:val="TextoNormal"/>
      </w:pPr>
      <w:r>
        <w:t xml:space="preserve">A) Los hechos de que trae causa el planteamiento de la cuestión son, en síntesis, los siguientes: </w:t>
      </w:r>
    </w:p>
    <w:p w:rsidR="008107C7" w:rsidRDefault="008107C7" w:rsidP="008107C7">
      <w:pPr>
        <w:pStyle w:val="TextoNormal"/>
      </w:pPr>
      <w:r>
        <w:t xml:space="preserve">a) Doña Visitación Alonso Crespo y ciento treinta y cuatro más, perceptores de pensión de jubilación por incapacidad permanente, interpusieron recurso contencioso-administrativo contra la resolución del Tribunal Económico- Administrativo Regional de Cantabria de 30 de septiembre de 1994, por la que se desestima la reclamación económico-administrativa entablada frente a los actos de retención tributaria practicados a cuenta del Impuesto sobre </w:t>
      </w:r>
      <w:r>
        <w:lastRenderedPageBreak/>
        <w:t xml:space="preserve">la Renta de las Personas Físicas sobre las pensiones de jubilación por incapacidad permanente del régimen de clases pasivas del Estado, con motivo de la nueva redacción dada al art. 9.1 c) de la Ley 18/1991 por el art. 62 de la Ley 21/1993. </w:t>
      </w:r>
    </w:p>
    <w:p w:rsidR="008107C7" w:rsidRDefault="008107C7" w:rsidP="008107C7">
      <w:pPr>
        <w:pStyle w:val="TextoNormal"/>
      </w:pPr>
      <w:r>
        <w:t xml:space="preserve">b) Por providencia de 4 de octubre de 1995, la Sala acordó, una vez conclusas las actuaciones, y al amparo del art. 35.2 LOTC, oír a las partes del procedimiento sobre la pertinencia de plantear cuestión de inconstitucionalidad a propósito de la citada nueva redacción del art. 9.1 c) de la Ley 18/1991, por posible vulneración del art. 14 C.E. y, en íntima relación con el mismo, del derecho a un sistema tributario basado en los principios de igualdad y capacidad económica (art. 31 C.E.). El Ministerio Fiscal y el Abogado del Estado se opusieron a elevar la correspondiente cuestión. Los recurrentes no formularon alegaciones. </w:t>
      </w:r>
    </w:p>
    <w:p w:rsidR="008107C7" w:rsidRDefault="008107C7" w:rsidP="008107C7">
      <w:pPr>
        <w:pStyle w:val="TextoNormal"/>
      </w:pPr>
      <w:r>
        <w:t>B) El Auto de planteamiento de la cuestión es idéntico al elevado con ocasión de la cuestión núm. 3.924/95, cuyo contenido [apartado 6 B) de estos Antecedentes] resulta pertinente dar aquí por reproducido.</w:t>
      </w:r>
    </w:p>
    <w:p w:rsidR="008107C7" w:rsidRDefault="008107C7" w:rsidP="008107C7">
      <w:pPr>
        <w:pStyle w:val="TextoNormal"/>
      </w:pPr>
    </w:p>
    <w:p w:rsidR="008107C7" w:rsidRDefault="008107C7" w:rsidP="008107C7">
      <w:pPr>
        <w:pStyle w:val="TextoNormal"/>
      </w:pPr>
      <w:r w:rsidRPr="008107C7">
        <w:rPr>
          <w:rStyle w:val="NumeroAFNegritaCaracter"/>
        </w:rPr>
        <w:t>16</w:t>
      </w:r>
      <w:r>
        <w:t>. Mediante providencia de 30 de enero de 1996, la Sección Tercera acordó admitir a trámite la cuestión registrada con el núm. 13/96, dar traslado de las actuaciones recibidas, conforme establece el art. 37.2 LOTC, al Congreso de los Diputados, al Senado, al Gobierno y al Fiscal General del Estado, oír a las partes para que expongan lo que consideren conveniente acerca de la acumulación de esta cuestión con la registrada bajo los núms. 2.335/95, 3.924/95 y 4.269/95 y publicar la incoación de la cuestión en el “Boletín Oficial del Estado”.</w:t>
      </w:r>
    </w:p>
    <w:p w:rsidR="008107C7" w:rsidRDefault="008107C7" w:rsidP="008107C7">
      <w:pPr>
        <w:pStyle w:val="TextoNormal"/>
      </w:pPr>
    </w:p>
    <w:p w:rsidR="008107C7" w:rsidRDefault="008107C7" w:rsidP="008107C7">
      <w:pPr>
        <w:pStyle w:val="TextoNormal"/>
      </w:pPr>
      <w:r w:rsidRPr="008107C7">
        <w:rPr>
          <w:rStyle w:val="NumeroAFNegritaCaracter"/>
        </w:rPr>
        <w:t>17</w:t>
      </w:r>
      <w:r>
        <w:t>. El Abogado del Estado presentó sus alegaciones el 6 de febrero de 1996. Además de solicitar la acumulación de la presente cuestión a las registradas con los núms. 2.335/95, 3.924/95 y 4.269/95, el Abogado del Estado reproduce su anterior escrito registrado el 3 de agosto de 1995, con lo que basta con remitirse a lo expuesto en su momento en el apartado 3.</w:t>
      </w:r>
    </w:p>
    <w:p w:rsidR="008107C7" w:rsidRDefault="008107C7" w:rsidP="008107C7">
      <w:pPr>
        <w:pStyle w:val="TextoNormal"/>
      </w:pPr>
    </w:p>
    <w:p w:rsidR="008107C7" w:rsidRDefault="008107C7" w:rsidP="008107C7">
      <w:pPr>
        <w:pStyle w:val="TextoNormal"/>
      </w:pPr>
      <w:r w:rsidRPr="008107C7">
        <w:rPr>
          <w:rStyle w:val="NumeroAFNegritaCaracter"/>
        </w:rPr>
        <w:t>18</w:t>
      </w:r>
      <w:r>
        <w:t>. Mediante escrito registrado el 6 de febrero de 1996, el Presidente del Senado traslada el Acuerdo de la Mesa por el que solicita dar por personada a la Cámara y por ofrecida su colaboración a los efectos del art. 88.1 LOTC. Asimismo, mediante escrito de 21 de marzo de 1996, el Presidente del Congreso de los Diputados comunica que, aun cuando la Cámara no se personará en el procedimiento ni formulará alegaciones, pone a disposición del Tribunal las actuaciones de aquélla que pueda precisar.</w:t>
      </w:r>
    </w:p>
    <w:p w:rsidR="008107C7" w:rsidRDefault="008107C7" w:rsidP="008107C7">
      <w:pPr>
        <w:pStyle w:val="TextoNormal"/>
      </w:pPr>
    </w:p>
    <w:p w:rsidR="008107C7" w:rsidRDefault="008107C7" w:rsidP="008107C7">
      <w:pPr>
        <w:pStyle w:val="TextoNormal"/>
      </w:pPr>
      <w:r w:rsidRPr="008107C7">
        <w:rPr>
          <w:rStyle w:val="NumeroAFNegritaCaracter"/>
        </w:rPr>
        <w:t>19</w:t>
      </w:r>
      <w:r>
        <w:t>. El Fiscal General del Estado presentó sus alegaciones el 16 de febrero de 1996. Además de solicitar la acumulación de la presente cuestión a las registradas con los núms. 2.335/95, 3.924/95 y 4.269/95, el Fiscal General del Estado solicita que se den por reproducidos los escritos de alegaciones presentados en las cuestiones núms. 3.924/95 y 4.269/95, con lo que basta con remitirse a lo expuesto en su momento en el apartado 5.</w:t>
      </w:r>
    </w:p>
    <w:p w:rsidR="008107C7" w:rsidRDefault="008107C7" w:rsidP="008107C7">
      <w:pPr>
        <w:pStyle w:val="TextoNormal"/>
      </w:pPr>
    </w:p>
    <w:p w:rsidR="008107C7" w:rsidRDefault="008107C7" w:rsidP="008107C7">
      <w:pPr>
        <w:pStyle w:val="TextoNormal"/>
      </w:pPr>
      <w:r w:rsidRPr="008107C7">
        <w:rPr>
          <w:rStyle w:val="NumeroAFNegritaCaracter"/>
        </w:rPr>
        <w:t>20</w:t>
      </w:r>
      <w:r>
        <w:t xml:space="preserve">. Mediante Auto de 25 de enero de 1996, la Sala de lo Contencioso- Administrativo del Tribunal Superior de Justicia de Cantabria plantea ante este Tribunal cuestión de inconstitucionalidad respecto del art. 62 de la Ley 21/1993, de 29 de diciembre, de Presupuestos Generales del Estado para 1994, en el que se dio una nueva redacción al art. 9.1 c) de la Ley 18/1991, de 6 de junio, del Impuesto sobre la Renta de las Personas Físicas, por vulnerar el art. 14 C.E. </w:t>
      </w:r>
    </w:p>
    <w:p w:rsidR="008107C7" w:rsidRDefault="008107C7" w:rsidP="008107C7">
      <w:pPr>
        <w:pStyle w:val="TextoNormal"/>
      </w:pPr>
      <w:r>
        <w:lastRenderedPageBreak/>
        <w:t xml:space="preserve">A) Los hechos de que trae causa el planteamiento de la cuestión son, en síntesis, los siguientes: </w:t>
      </w:r>
    </w:p>
    <w:p w:rsidR="008107C7" w:rsidRDefault="008107C7" w:rsidP="008107C7">
      <w:pPr>
        <w:pStyle w:val="TextoNormal"/>
      </w:pPr>
      <w:r>
        <w:t xml:space="preserve">a) Don Carlos Flor Rebanal, perceptor de pensión de jubilación por incapacidad permanente, interpuso recurso contencioso-administrativo contra la resolución del Tribunal Económico-Administrativo Regional de Cantabria de 28 de octubre de 1994, por la que se desestima la reclamación económico-administrativa entablada frente a los actos de retención tributaria practicados a cuenta del Impuesto sobre la Renta de las Personas Físicas sobre las pensiones de jubilación por incapacidad permanente del régimen de clases pasivas del Estado, con motivo de la nueva redacción dada al art. 9.1 c) de la Ley 18/1991 por el art. 62 de la Ley 21/1993. </w:t>
      </w:r>
    </w:p>
    <w:p w:rsidR="008107C7" w:rsidRDefault="008107C7" w:rsidP="008107C7">
      <w:pPr>
        <w:pStyle w:val="TextoNormal"/>
      </w:pPr>
      <w:r>
        <w:t xml:space="preserve">b) Por providencia de 18 de diciembre de 1995, la Sala acordó, una vez conclusas las actuaciones, y al amparo del art. 35.2 LOTC, oír a las partes del procedimiento sobre la pertinencia de plantear cuestión de inconstitucionalidad a propósito de la citada nueva redacción del art. 9.1 c) de la Ley 18/1991, por posible vulneración del art. 14 C.E. y, en íntima relación con el mismo, del derecho a un sistema tributario basado en los principios de igualdad y capacidad económica (art. 31 C.E.). Al contrario que el recurrente, el Ministerio Fiscal se opuso a elevar la correspondiente cuestión. El Abogado del Estado no formuló alegaciones. </w:t>
      </w:r>
    </w:p>
    <w:p w:rsidR="008107C7" w:rsidRDefault="008107C7" w:rsidP="008107C7">
      <w:pPr>
        <w:pStyle w:val="TextoNormal"/>
      </w:pPr>
      <w:r>
        <w:t>B) El Auto de planteamiento de la cuestión es idéntico al elevado con ocasión de la cuestión núm. 3.924/95, cuyo contenido [apartado 6 B) de estos Antecedentes] resulta pertinente dar aquí por reproducido.</w:t>
      </w:r>
    </w:p>
    <w:p w:rsidR="008107C7" w:rsidRDefault="008107C7" w:rsidP="008107C7">
      <w:pPr>
        <w:pStyle w:val="TextoNormal"/>
      </w:pPr>
    </w:p>
    <w:p w:rsidR="008107C7" w:rsidRDefault="008107C7" w:rsidP="008107C7">
      <w:pPr>
        <w:pStyle w:val="TextoNormal"/>
      </w:pPr>
      <w:r w:rsidRPr="008107C7">
        <w:rPr>
          <w:rStyle w:val="NumeroAFNegritaCaracter"/>
        </w:rPr>
        <w:t>21</w:t>
      </w:r>
      <w:r>
        <w:t>. Mediante providencia de 27 de febrero de 1996, la Sección Cuarta acordó admitir a trámite la cuestión registrada con el núm. 384/96, dar traslado de las actuaciones recibidas, conforme establece el art. 37.2 LOTC, al Congreso de los Diputados, al Senado, al Gobierno y al Fiscal General del Estado, oír a las partes para que expongan lo que consideren conveniente acerca de la acumulación de esta cuestión con la registrada bajo los núms. 2.335/95, 3.924/95, 4.269/95 y 13/96 y publicar la incoación de la cuestión en el “Boletín Oficial del Estado”.</w:t>
      </w:r>
    </w:p>
    <w:p w:rsidR="008107C7" w:rsidRDefault="008107C7" w:rsidP="008107C7">
      <w:pPr>
        <w:pStyle w:val="TextoNormal"/>
      </w:pPr>
    </w:p>
    <w:p w:rsidR="008107C7" w:rsidRDefault="008107C7" w:rsidP="008107C7">
      <w:pPr>
        <w:pStyle w:val="TextoNormal"/>
      </w:pPr>
      <w:r w:rsidRPr="008107C7">
        <w:rPr>
          <w:rStyle w:val="NumeroAFNegritaCaracter"/>
        </w:rPr>
        <w:t>22</w:t>
      </w:r>
      <w:r>
        <w:t>. Mediante escrito registrado el 5 de marzo de 1996, el Presidente del Senado traslada el Acuerdo de la Mesa por el que solicita dar por personada a la Cámara y por ofrecida su colaboración a los efectos del art. 88.1 LOTC. Asimismo, mediante escrito de 21 de marzo de 1996, el Presidente del Congreso de los Diputados comunica que, aun cuando la Cámara no se personará en el procedimiento ni formulará alegaciones, pone a disposición del Tribunal las actuaciones de aquélla que pueda precisar.</w:t>
      </w:r>
    </w:p>
    <w:p w:rsidR="008107C7" w:rsidRDefault="008107C7" w:rsidP="008107C7">
      <w:pPr>
        <w:pStyle w:val="TextoNormal"/>
      </w:pPr>
    </w:p>
    <w:p w:rsidR="008107C7" w:rsidRDefault="008107C7" w:rsidP="008107C7">
      <w:pPr>
        <w:pStyle w:val="TextoNormal"/>
      </w:pPr>
      <w:r w:rsidRPr="008107C7">
        <w:rPr>
          <w:rStyle w:val="NumeroAFNegritaCaracter"/>
        </w:rPr>
        <w:t>23</w:t>
      </w:r>
      <w:r>
        <w:t>. El Abogado del Estado presentó sus alegaciones el 5 de marzo de 1996. Además de solicitar la acumulación de la presente cuestión a las registradas con los núms. 2.335/95, 3.924/95, 4.269/95 y 13/96, el Abogado del Estado reproduce su anterior escrito registrado el 3 de agosto de 1995, con lo que basta con remitirse a lo expuesto en su momento en el apartado 3.</w:t>
      </w:r>
    </w:p>
    <w:p w:rsidR="008107C7" w:rsidRDefault="008107C7" w:rsidP="008107C7">
      <w:pPr>
        <w:pStyle w:val="TextoNormal"/>
      </w:pPr>
    </w:p>
    <w:p w:rsidR="008107C7" w:rsidRDefault="008107C7" w:rsidP="008107C7">
      <w:pPr>
        <w:pStyle w:val="TextoNormal"/>
      </w:pPr>
      <w:r w:rsidRPr="008107C7">
        <w:rPr>
          <w:rStyle w:val="NumeroAFNegritaCaracter"/>
        </w:rPr>
        <w:t>24</w:t>
      </w:r>
      <w:r>
        <w:t xml:space="preserve">. El Fiscal General del Estado presentó sus alegaciones el 13 de marzo de 1996. Además de solicitar la acumulación de la presente cuestión a las registradas con los núms. </w:t>
      </w:r>
      <w:r>
        <w:lastRenderedPageBreak/>
        <w:t>2.335/95, 3.924/95 y 4.269/95, el Fiscal General del Estado solicita que se den por reproducidos los escritos de alegaciones presentados en las cuestiones núms. 2.335/95, 3.924/95 y 4.269/95, con lo que basta con remitirse a lo expuesto en su momento en el apartado 5.</w:t>
      </w:r>
    </w:p>
    <w:p w:rsidR="008107C7" w:rsidRDefault="008107C7" w:rsidP="008107C7">
      <w:pPr>
        <w:pStyle w:val="TextoNormal"/>
      </w:pPr>
    </w:p>
    <w:p w:rsidR="008107C7" w:rsidRDefault="008107C7" w:rsidP="008107C7">
      <w:pPr>
        <w:pStyle w:val="TextoNormal"/>
      </w:pPr>
      <w:r w:rsidRPr="008107C7">
        <w:rPr>
          <w:rStyle w:val="NumeroAFNegritaCaracter"/>
        </w:rPr>
        <w:t>25</w:t>
      </w:r>
      <w:r>
        <w:t xml:space="preserve">. Mediante Auto de 27 de febrero de 1996, la Sala de lo Contencioso- Administrativo del Tribunal Superior de Justicia de Cantabria plantea ante este Tribunal cuestión de inconstitucionalidad respecto del art. 62 de la Ley 21/1993, de 29 de diciembre, de Presupuestos Generales del Estado para 1994, en el que se dio una nueva redacción al art. 9.1 c) de la Ley 18/1991, de 6 de junio, del Impuesto sobre la Renta de las Personas Físicas, por vulnerar el art. 14 C.E. </w:t>
      </w:r>
    </w:p>
    <w:p w:rsidR="008107C7" w:rsidRDefault="008107C7" w:rsidP="008107C7">
      <w:pPr>
        <w:pStyle w:val="TextoNormal"/>
      </w:pPr>
      <w:r>
        <w:t xml:space="preserve">A) Los hechos de que trae causa el planteamiento de la cuestión son, en síntesis, los siguientes: </w:t>
      </w:r>
    </w:p>
    <w:p w:rsidR="008107C7" w:rsidRDefault="008107C7" w:rsidP="008107C7">
      <w:pPr>
        <w:pStyle w:val="TextoNormal"/>
      </w:pPr>
      <w:r>
        <w:t xml:space="preserve">a) Don Ángel Rojo Olalla, perceptor de pensión de jubilación por incapacidad permanente, interpuso recurso contencioso-administrativo contra la resolución del Tribunal Económico-Administrativo Regional de Cantabria de 15 de mayo de 1995, por la que se desestima la reclamación económico-administrativa entablada frente a los actos de retención tributaria practicados a cuenta del Impuesto sobre la Renta de las Personas Físicas sobre las pensiones de jubilación por incapacidad permanente del régimen de clases pasivas del Estado, con motivo de la nueva redacción dada al art. 9.1 c) de la Ley 18/1991 por el art. 62 de la Ley 21/1993. </w:t>
      </w:r>
    </w:p>
    <w:p w:rsidR="008107C7" w:rsidRDefault="008107C7" w:rsidP="008107C7">
      <w:pPr>
        <w:pStyle w:val="TextoNormal"/>
      </w:pPr>
      <w:r>
        <w:t xml:space="preserve">b) La Sala acordó, una vez conclusas las actuaciones, y al amparo del art. 35.2 LOTC, oir a las partes del procedimiento sobre la pertinencia de plantear cuestión de inconstitucionalidad a propósito de la citada nueva redacción del art. 9.1 c) de la Ley 18/1991, por posible vulneración del art. 14 C.E. y, en íntima relación con el mismo, del derecho a un sistema tributario basado en los principios de igualdad y capacidad económica (art. 31 C.E.). El recurrente consideró pertinente plantear cuestión de inconstitucionalidad. Ni el Ministerio Fiscal ni el Abogado del Estado formularon alegaciones. </w:t>
      </w:r>
    </w:p>
    <w:p w:rsidR="008107C7" w:rsidRDefault="008107C7" w:rsidP="008107C7">
      <w:pPr>
        <w:pStyle w:val="TextoNormal"/>
      </w:pPr>
      <w:r>
        <w:t>B) El Auto de planteamiento de la cuestión es idéntico al elevado con ocasión de la cuestión núm. 3.924/95, cuyo contenido [apartado 6 B) de estos Antecedentes] resulta pertinente dar aquí por reproducido.</w:t>
      </w:r>
    </w:p>
    <w:p w:rsidR="008107C7" w:rsidRDefault="008107C7" w:rsidP="008107C7">
      <w:pPr>
        <w:pStyle w:val="TextoNormal"/>
      </w:pPr>
    </w:p>
    <w:p w:rsidR="008107C7" w:rsidRDefault="008107C7" w:rsidP="008107C7">
      <w:pPr>
        <w:pStyle w:val="TextoNormal"/>
      </w:pPr>
      <w:r w:rsidRPr="008107C7">
        <w:rPr>
          <w:rStyle w:val="NumeroAFNegritaCaracter"/>
        </w:rPr>
        <w:t>26</w:t>
      </w:r>
      <w:r>
        <w:t>. Mediante providencia de 12 de marzo de 1996, la Sección Tercera acordó admitir a trámite la cuestión registrada con el núm. 963/96, dar traslado de las actuaciones recibidas, conforme establece el art. 37.2 LOTC, al Congreso de los Diputados, al Senado, al Gobierno y al Fiscal General del Estado, oír a las partes para que expongan lo que consideren conveniente acerca de la acumulación de esta cuestión con la registrada bajo los núms. 2.335/95, 3.924/95, 4.269/95, 13/96 y 384/96 y publicar la incoación de la cuestión en el “Boletín Oficial del Estado”.</w:t>
      </w:r>
    </w:p>
    <w:p w:rsidR="008107C7" w:rsidRDefault="008107C7" w:rsidP="008107C7">
      <w:pPr>
        <w:pStyle w:val="TextoNormal"/>
      </w:pPr>
    </w:p>
    <w:p w:rsidR="008107C7" w:rsidRDefault="008107C7" w:rsidP="008107C7">
      <w:pPr>
        <w:pStyle w:val="TextoNormal"/>
      </w:pPr>
      <w:r w:rsidRPr="008107C7">
        <w:rPr>
          <w:rStyle w:val="NumeroAFNegritaCaracter"/>
        </w:rPr>
        <w:t>27</w:t>
      </w:r>
      <w:r>
        <w:t>. El Abogado del Estado presentó sus alegaciones el 20 de marzo de 1996. Además de solicitar la acumulación de la presente cuestión a las registradas con los núms. 2.335/95, 3.924/95, 4.269/95, 13/96 y 384/96, el Abogado del Estado reproduce su anterior escrito registrado el 3 de agosto de 1995, con lo que basta con remitirse a lo expuesto en su momento en el apartado 3.</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28</w:t>
      </w:r>
      <w:r>
        <w:t>. Mediante escrito de 21 de marzo de 1996, el Presidente del Congreso de los Diputados comunica que, aun cuando la Cámara no se personará en el procedimiento ni formulará alegaciones, pone a disposición del Tribunal las actuaciones de aquélla que pueda precisar. Asimismo, en escrito registrado el 22 de marzo de 1996, el Presidente del Senado traslada el acuerdo de la Mesa por el que solicita dar por personada a la Cámara y por ofrecida su colaboración a los efectos del art. 88.1 LOTC.</w:t>
      </w:r>
    </w:p>
    <w:p w:rsidR="008107C7" w:rsidRDefault="008107C7" w:rsidP="008107C7">
      <w:pPr>
        <w:pStyle w:val="TextoNormal"/>
      </w:pPr>
    </w:p>
    <w:p w:rsidR="008107C7" w:rsidRDefault="008107C7" w:rsidP="008107C7">
      <w:pPr>
        <w:pStyle w:val="TextoNormal"/>
      </w:pPr>
      <w:r w:rsidRPr="008107C7">
        <w:rPr>
          <w:rStyle w:val="NumeroAFNegritaCaracter"/>
        </w:rPr>
        <w:t>29</w:t>
      </w:r>
      <w:r>
        <w:t>. El Fiscal General del Estado presentó sus alegaciones el 29 de marzo de 1996. Además de solicitar la acumulación de la presente cuestión a las registradas con los núms. 2.335/95, 3.924/95 y 4.269/95, pide que se den por reproducidos los escritos de alegaciones presentados en las cuestiones núms. 3.924/95 y 4.269/95, con lo que basta con remitirse a lo expuesto en su momento en el apartado 5.</w:t>
      </w:r>
    </w:p>
    <w:p w:rsidR="008107C7" w:rsidRDefault="008107C7" w:rsidP="008107C7">
      <w:pPr>
        <w:pStyle w:val="TextoNormal"/>
      </w:pPr>
    </w:p>
    <w:p w:rsidR="008107C7" w:rsidRDefault="008107C7" w:rsidP="008107C7">
      <w:pPr>
        <w:pStyle w:val="TextoNormal"/>
      </w:pPr>
      <w:r w:rsidRPr="008107C7">
        <w:rPr>
          <w:rStyle w:val="NumeroAFNegritaCaracter"/>
        </w:rPr>
        <w:t>30</w:t>
      </w:r>
      <w:r>
        <w:t xml:space="preserve">. Por Auto del Pleno de 29 de abril de 1996, se acordó acumular las cuestiones núms. 3.924/95, 4.269/95, 13/96, 384/96 y 963/96 a la registrada con el núm. 2.335/95 y conceder un nuevo plazo de quince días al Abogado del Estado para que pueda formular alegaciones en relación con las cuestiones núms. 3.924/95 y 4.269/95. </w:t>
      </w:r>
    </w:p>
    <w:p w:rsidR="008107C7" w:rsidRDefault="008107C7" w:rsidP="008107C7">
      <w:pPr>
        <w:pStyle w:val="TextoNormal"/>
      </w:pPr>
      <w:r>
        <w:t>El Abogado del Estado presentó sus alegaciones el 9 de mayo de 1996, reproduciendo su anterior escrito registrado el 3 de agosto de 1995, con lo que basta con remitirse a lo expuesto en su momento en el apartado 3.</w:t>
      </w:r>
    </w:p>
    <w:p w:rsidR="008107C7" w:rsidRDefault="008107C7" w:rsidP="008107C7">
      <w:pPr>
        <w:pStyle w:val="TextoNormal"/>
      </w:pPr>
    </w:p>
    <w:p w:rsidR="008107C7" w:rsidRDefault="008107C7" w:rsidP="008107C7">
      <w:pPr>
        <w:pStyle w:val="TextoNormal"/>
      </w:pPr>
      <w:r w:rsidRPr="008107C7">
        <w:rPr>
          <w:rStyle w:val="NumeroAFNegritaCaracter"/>
        </w:rPr>
        <w:t>31</w:t>
      </w:r>
      <w:r>
        <w:t xml:space="preserve">. Mediante Auto de 18 de marzo de 1996, la Sala de lo Contencioso- Administrativo del Tribunal Superior de Justicia de Navarra plantea ante este Tribunal cuestión de inconstitucionalidad respecto del art. 62 de la Ley 21/1993, de 29 de diciembre, de Presupuestos Generales del Estado para 1994, en el que se dio una nueva redacción al art. 9.1 c) de la Ley 18/1991, de 6 de junio, del Impuesto sobre la Renta de las Personas Físicas, por vulnerar el art. 14 C.E., así como el principio de contribución al sostenimiento de los gastos públicos en un sistema tributario inspirado en los principios de igualdad y capacidad económica consagrados en el art. 31.1 C.E. </w:t>
      </w:r>
    </w:p>
    <w:p w:rsidR="008107C7" w:rsidRDefault="008107C7" w:rsidP="008107C7">
      <w:pPr>
        <w:pStyle w:val="TextoNormal"/>
      </w:pPr>
      <w:r>
        <w:t xml:space="preserve">A) Los hechos de que trae causa el planteamiento de la cuestión son, en síntesis, los siguientes: </w:t>
      </w:r>
    </w:p>
    <w:p w:rsidR="008107C7" w:rsidRDefault="008107C7" w:rsidP="008107C7">
      <w:pPr>
        <w:pStyle w:val="TextoNormal"/>
      </w:pPr>
      <w:r>
        <w:t xml:space="preserve">a) Doña Luisa Azoz Sanz, perceptora de pensión de jubilación por incapacidad permanente, interpuso recurso contencioso-administrativo contra la resolución del Tribunal Económico-Administrativo Regional de Navarra de 19 de abril de 1994, por la que se desestima la reclamación económico-administrativa entablada frente a los actos de retención tributaria practicados a cuenta del Impuesto sobre la Renta de las Personas Físicas sobre las pensiones de jubilación por incapacidad permanente del régimen de clases pasivas del Estado, con motivo de la nueva redacción dada al art. 9.1 c) de la Ley 18/1991 por el art. 62 de la Ley 21/1993. </w:t>
      </w:r>
    </w:p>
    <w:p w:rsidR="008107C7" w:rsidRDefault="008107C7" w:rsidP="008107C7">
      <w:pPr>
        <w:pStyle w:val="TextoNormal"/>
      </w:pPr>
      <w:r>
        <w:t xml:space="preserve">b) La Sala acordó, una vez conclusas las actuaciones, y al amparo del art. 35.2 LOTC, oír a las partes del procedimiento sobre la pertinencia de plantear cuestión de inconstitucionalidad a propósito de la citada nueva redacción del art. 9.1 c) de la Ley 18/1991, por posible vulneración del art. 14 C.E. La recurrente y el Ministerio Fiscal estimaron oportuno elevar la correspondiente cuestión, a lo que se opuso, por el contrario, el Abogado del Estado. </w:t>
      </w:r>
    </w:p>
    <w:p w:rsidR="008107C7" w:rsidRDefault="008107C7" w:rsidP="008107C7">
      <w:pPr>
        <w:pStyle w:val="TextoNormal"/>
      </w:pPr>
      <w:r>
        <w:t xml:space="preserve">B) Las consideraciones del Auto de planteamiento de la cuestión pueden, sintéticamente, exponerse del modo que sigue: </w:t>
      </w:r>
    </w:p>
    <w:p w:rsidR="008107C7" w:rsidRDefault="008107C7" w:rsidP="008107C7">
      <w:pPr>
        <w:pStyle w:val="TextoNormal"/>
      </w:pPr>
      <w:r>
        <w:lastRenderedPageBreak/>
        <w:t xml:space="preserve">a) La nueva redacción del art. 9.1 b) y c) de la Ley 18/1991 contiene un tratamiento fiscal diferenciado según la condición del sujeto perceptor, toda vez que, así como están exentas las pensiones reconocidas por la Seguridad Social como consecuencia de incapacidad permanente absoluta y de gran invalidez, las pensiones de invalidez de los funcionarios públicos sólo están exentas cuando el grado de disminución es constitutivo de gran invalidez. Y el caso es que se trata de dos situaciones de hecho objetivamente idénticas, pues tanto los trabajadores como los funcionarios públicos deben considerarse, no en su respectiva condición laboral, sino simplemente como perceptores de rentas a raíz de una incapacidad permanente que les imposibilita para desarrollar su trabajo habitual, siendo por tanto igual el origen de las rentas y el presupuesto básico para su percepción (la enfermedad invalidante), estribando la diferencia únicamente en el diferente sujeto pagador de las prestaciones o pensiones, diferencia a la que no cabe atribuir consecuencias tributarias, pues el resultado final es el mismo, es decir, dos clases de contribuyentes que disfrutan de pensiones por incapacidad. </w:t>
      </w:r>
    </w:p>
    <w:p w:rsidR="008107C7" w:rsidRDefault="008107C7" w:rsidP="008107C7">
      <w:pPr>
        <w:pStyle w:val="TextoNormal"/>
      </w:pPr>
      <w:r>
        <w:t xml:space="preserve">b) La discriminación tributaria atendiendo a la cualidad del sujeto pasivo, esto es, a la diferente condición del contribuyente según que las rentas se perciban con cargo a la Seguridad Social, por tratarse de trabajadores, o con cargo al régimen de clases pasivas, por tratarse de funcionarios, argumento manejado por la Administración demandada como fundamento de la desigualdad de trato, no puede utilizarse como elemento justificador de la diferencia, toda vez que a efectos fiscales resulta intrascendente. A la hora de determinar las rentas gravadas, la Ley 18/1991 atiende a la obtención de rendimientos efectivos por el sujeto pasivo procedentes de distintas fuentes, pero otorga un tratamiento idéntico a las rentas de igual origen y cuantía, con independencia de que el perceptor sea un funcionario público o un trabajador. Resultaría ilógico y contrario al principio de igualdad que se diese un trato fiscal distinto a rentas procedentes del trabajo personal de igual cuantía, según fuese el perceptor funcionario o trabajador. El tratamiento distinto puede estar justificado en aspectos relacionados con las concretas singularidades de su respectiva situación laboral (por ejemplo, la forma de retribución, la estabilidad en el empleo, la movilidad funcional o geográfica), pero carece de fundamento en materia fiscal. En este campo sólo se atiende a la idéntica condición de contribuyente de unos y otros y al hecho objetivo de la percepción de rentas, sin diferenciación según el sujeto pagador de las mismas. De esta forma, así como en materia de rentas gravadas no se establece ningún tipo de trato diferenciado, lo mismo ha de ocurrir con la determinación de las rentas exentas. </w:t>
      </w:r>
    </w:p>
    <w:p w:rsidR="008107C7" w:rsidRDefault="008107C7" w:rsidP="008107C7">
      <w:pPr>
        <w:pStyle w:val="TextoNormal"/>
      </w:pPr>
      <w:r>
        <w:t xml:space="preserve">Esta es, precisamente, la discriminación que ha sido introducida por el precepto cuya constitucionalidad se cuestiona, puesto que la desigualdad introducida podría considerarse artificiosa por no fundarse en un criterio objetivo y suficientemente razonado, sin que pueda adivinarse la razón lógica del trato diferenciado. </w:t>
      </w:r>
    </w:p>
    <w:p w:rsidR="008107C7" w:rsidRDefault="008107C7" w:rsidP="008107C7">
      <w:pPr>
        <w:pStyle w:val="TextoNormal"/>
      </w:pPr>
      <w:r>
        <w:t xml:space="preserve">c) El precepto quebranta, asimismo, el principio de contribución al sostenimiento de los gastos públicos de acuerdo con la capacidad económica del sujeto pasivo, consagrado por el art. 31.1 C.E. Si uno de los índices reveladores de dicha capacidad es la obtención de renta, la misma se percibe igualmente por un trabajador y por un funcionario en situación de incapacidad permanente absoluta, sin que pueda aceptarse que el primero tenga mayores exenciones que el segundo. </w:t>
      </w:r>
    </w:p>
    <w:p w:rsidR="008107C7" w:rsidRDefault="008107C7" w:rsidP="008107C7">
      <w:pPr>
        <w:pStyle w:val="TextoNormal"/>
      </w:pPr>
      <w:r>
        <w:t xml:space="preserve">Las razones que han movido al legislador a declarar exentas las prestaciones por incapacidad permanente de los trabajadores deben ser igualmente aplicables a las pensiones de los funcionarios públicos. Así lo exigen los arts. 14 y 31.1 C.E., toda vez que desde el punto de vista tributario la discriminación no resulta justificada ni se alcanzan a advertir los fines </w:t>
      </w:r>
      <w:r>
        <w:lastRenderedPageBreak/>
        <w:t xml:space="preserve">perseguidos, como no sean los meramente recaudatorios, produciéndose un resultado gravoso, desmedido y contrario a los principios constitucionales. </w:t>
      </w:r>
    </w:p>
    <w:p w:rsidR="008107C7" w:rsidRDefault="008107C7" w:rsidP="008107C7">
      <w:pPr>
        <w:pStyle w:val="TextoNormal"/>
      </w:pPr>
      <w:r>
        <w:t>d) A mayor abundamiento, el Auto señala, en primer lugar, que sobre esta misma cuestión se ha promovido recurso de inconstitucionalidad (núm. 1.054/94); en segundo término, que la Sala de lo Contencioso-Administrativo de Cantabria acordó promover, asimismo, cuestión de inconstitucionalidad (núm. 13/1996); y, en fin, la nueva redacción propuesta para el art. 9.1 c) por el proyecto de Ley de Presupuestos Generales del Estado para 1996.</w:t>
      </w:r>
    </w:p>
    <w:p w:rsidR="008107C7" w:rsidRDefault="008107C7" w:rsidP="008107C7">
      <w:pPr>
        <w:pStyle w:val="TextoNormal"/>
      </w:pPr>
    </w:p>
    <w:p w:rsidR="008107C7" w:rsidRDefault="008107C7" w:rsidP="008107C7">
      <w:pPr>
        <w:pStyle w:val="TextoNormal"/>
      </w:pPr>
      <w:r w:rsidRPr="008107C7">
        <w:rPr>
          <w:rStyle w:val="NumeroAFNegritaCaracter"/>
        </w:rPr>
        <w:t>32</w:t>
      </w:r>
      <w:r>
        <w:t>. Mediante providencia de 21 de mayo de 1996, la Sección Cuarta acordó admitir a trámite la cuestión registrada con el núm. 1.770/96, dar traslado de las actuaciones recibidas, conforme establece el art. 37.2 LOTC, al Congreso de los Diputados, al Senado, al Gobierno y al Fiscal General del Estado, oír a las partes para que expongan lo que consideren conveniente acerca de la acumulación de esta cuestión con las registradas bajo los núms. 2.335/95, 3.924/95, 4.269/95, 13/96, 384/96 y 963/96 y publicar la incoación de la cuestión en el “Boletín Oficial del Estado”.</w:t>
      </w:r>
    </w:p>
    <w:p w:rsidR="008107C7" w:rsidRDefault="008107C7" w:rsidP="008107C7">
      <w:pPr>
        <w:pStyle w:val="TextoNormal"/>
      </w:pPr>
    </w:p>
    <w:p w:rsidR="008107C7" w:rsidRDefault="008107C7" w:rsidP="008107C7">
      <w:pPr>
        <w:pStyle w:val="TextoNormal"/>
      </w:pPr>
      <w:r w:rsidRPr="008107C7">
        <w:rPr>
          <w:rStyle w:val="NumeroAFNegritaCaracter"/>
        </w:rPr>
        <w:t>33</w:t>
      </w:r>
      <w:r>
        <w:t>. El Abogado del Estado presentó sus alegaciones el 28 de mayo de 1996. Además de solicitar la acumulación de la presente cuestión a las registradas con los núms. 2.335/95, 3.924/95, 4.269/95, 13/96, 384/96, 963/96, 1.772/96 y 1.773/96, el Abogado del Estado reproduce su anterior escrito registrado el 3 de agosto de 1995, con lo que basta con remitirse a lo expuesto en su momento en el apartado 3.</w:t>
      </w:r>
    </w:p>
    <w:p w:rsidR="008107C7" w:rsidRDefault="008107C7" w:rsidP="008107C7">
      <w:pPr>
        <w:pStyle w:val="TextoNormal"/>
      </w:pPr>
    </w:p>
    <w:p w:rsidR="008107C7" w:rsidRDefault="008107C7" w:rsidP="008107C7">
      <w:pPr>
        <w:pStyle w:val="TextoNormal"/>
      </w:pPr>
      <w:r w:rsidRPr="008107C7">
        <w:rPr>
          <w:rStyle w:val="NumeroAFNegritaCaracter"/>
        </w:rPr>
        <w:t>34</w:t>
      </w:r>
      <w:r>
        <w:t>. Mediante escrito registrado el 29 de mayo de 1996, el Presidente del Senado traslada el Acuerdo de la Mesa por el que solicita dar por personada a la Cámara y por ofrecida su colaboración a los efectos del art. 88.1 LOTC. Asimismo, mediante escrito registrado el 30 de mayo de 1996, el Presidente del Congreso de los Diputados comunica que, aun cuando la Cámara no se personará en el procedimiento ni formulará alegaciones, pone a disposición del Tribunal las actuaciones de aquélla que pueda precisar.</w:t>
      </w:r>
    </w:p>
    <w:p w:rsidR="008107C7" w:rsidRDefault="008107C7" w:rsidP="008107C7">
      <w:pPr>
        <w:pStyle w:val="TextoNormal"/>
      </w:pPr>
    </w:p>
    <w:p w:rsidR="008107C7" w:rsidRDefault="008107C7" w:rsidP="008107C7">
      <w:pPr>
        <w:pStyle w:val="TextoNormal"/>
      </w:pPr>
      <w:r w:rsidRPr="008107C7">
        <w:rPr>
          <w:rStyle w:val="NumeroAFNegritaCaracter"/>
        </w:rPr>
        <w:t>35</w:t>
      </w:r>
      <w:r>
        <w:t>. El Fiscal General del Estado presentó sus alegaciones el 10 de junio de 1996. Además de solicitar la acumulación de la presente cuestión a las registradas con los núms. 2.335/95, 3.924/95 y 4.269/95, el Fiscal General del Estado solicita que se den por reproducidos los escritos de alegaciones presentados en las cuestiones núms. 3.924/95 y 4.269/95, con lo que basta con remitirse a lo expuesto en su momento en el apartado 5.</w:t>
      </w:r>
    </w:p>
    <w:p w:rsidR="008107C7" w:rsidRDefault="008107C7" w:rsidP="008107C7">
      <w:pPr>
        <w:pStyle w:val="TextoNormal"/>
      </w:pPr>
    </w:p>
    <w:p w:rsidR="008107C7" w:rsidRDefault="008107C7" w:rsidP="008107C7">
      <w:pPr>
        <w:pStyle w:val="TextoNormal"/>
      </w:pPr>
      <w:r w:rsidRPr="008107C7">
        <w:rPr>
          <w:rStyle w:val="NumeroAFNegritaCaracter"/>
        </w:rPr>
        <w:t>36</w:t>
      </w:r>
      <w:r>
        <w:t xml:space="preserve">. Mediante Auto de 14 de marzo de 1996, la Sala de lo Contencioso- Administrativo del Tribunal Superior de Justicia de Navarra plantea ante este Tribunal cuestión de inconstitucionalidad respecto del art. 62 de la Ley 21/1993, de 29 de diciembre, de Presupuestos Generales del Estado para 1994, en el que se dio una nueva redacción al art. 9.1 c) de la Ley 18/1991, de 6 de junio, del Impuesto sobre la Renta de las Personas Físicas, por vulnerar el art. 14 C.E., así como el principio de contribución al sostenimiento de los gastos públicos en un sistema tributario inspirado en los principios de igualdad y capacidad económica consagrados en el art. 31.1 C.E. </w:t>
      </w:r>
    </w:p>
    <w:p w:rsidR="008107C7" w:rsidRDefault="008107C7" w:rsidP="008107C7">
      <w:pPr>
        <w:pStyle w:val="TextoNormal"/>
      </w:pPr>
      <w:r>
        <w:t xml:space="preserve">A) Los hechos de que trae causa el planteamiento de la cuestión son, en síntesis, los siguientes: </w:t>
      </w:r>
    </w:p>
    <w:p w:rsidR="008107C7" w:rsidRDefault="008107C7" w:rsidP="008107C7">
      <w:pPr>
        <w:pStyle w:val="TextoNormal"/>
      </w:pPr>
      <w:r>
        <w:t xml:space="preserve">a) Don Eutiquio García García, perceptor de pensión de jubilación por incapacidad permanente, interpuso recurso contencioso-administrativo contra la resolución del Tribunal </w:t>
      </w:r>
      <w:r>
        <w:lastRenderedPageBreak/>
        <w:t xml:space="preserve">Económico-Administrativo Regional de Navarra de 19 de abril de 1994, por la que se desestima la reclamación económico-administrativa entablada frente a los actos de retención tributaria practicados a cuenta del Impuesto sobre la Renta de las Personas Físicas sobre las pensiones de jubilación por incapacidad permanente del régimen de clases pasivas del Estado, con motivo de la nueva redacción dada al art. 9.1 c) de la Ley 18/1991 por el art. 62 de la Ley 21/1993. </w:t>
      </w:r>
    </w:p>
    <w:p w:rsidR="008107C7" w:rsidRDefault="008107C7" w:rsidP="008107C7">
      <w:pPr>
        <w:pStyle w:val="TextoNormal"/>
      </w:pPr>
      <w:r>
        <w:t xml:space="preserve">b) La Sala acordó, una vez conclusas las actuaciones, y al amparo del art. 35.2 LOTC, oir a las partes del procedimiento sobre la pertinencia de plantear cuestión de inconstitucionalidad a propósito de la citada nueva redacción del art. 9.1 c) de la Ley 18/1991, por posible vulneración del art. 14 C.E. El recurrente y el Ministerio Fiscal estimaron oportuno elevar la correspondiente cuestión, a lo que se opuso, por el contrario, el Abogado del Estado. </w:t>
      </w:r>
    </w:p>
    <w:p w:rsidR="008107C7" w:rsidRDefault="008107C7" w:rsidP="008107C7">
      <w:pPr>
        <w:pStyle w:val="TextoNormal"/>
      </w:pPr>
      <w:r>
        <w:t>B) El Auto de planteamiento de la cuestión es idéntico al elevado con ocasión de la cuestión núm. 1.770/96, cuyo contenido [apartado 31 B) de estos Antecedentes] resulta pertinente dar aquí por reproducido.</w:t>
      </w:r>
    </w:p>
    <w:p w:rsidR="008107C7" w:rsidRDefault="008107C7" w:rsidP="008107C7">
      <w:pPr>
        <w:pStyle w:val="TextoNormal"/>
      </w:pPr>
    </w:p>
    <w:p w:rsidR="008107C7" w:rsidRDefault="008107C7" w:rsidP="008107C7">
      <w:pPr>
        <w:pStyle w:val="TextoNormal"/>
      </w:pPr>
      <w:r w:rsidRPr="008107C7">
        <w:rPr>
          <w:rStyle w:val="NumeroAFNegritaCaracter"/>
        </w:rPr>
        <w:t>37</w:t>
      </w:r>
      <w:r>
        <w:t>. Mediante providencia de 21 de mayo de 1996, la Sección Tercera acordó admitir a trámite la cuestión registrada con el núm. 1772/96, dar traslado de las actuaciones recibidas, conforme establece el art. 37.2 LOTC, al Congreso de los Diputados, al Senado, al Gobierno y al Fiscal General del Estado, oír a las partes para que expongan lo que consideren conveniente acerca de la acumulación de esta cuestión con las registradas bajo los núms. 2.335/95, 3.924/95, 4.269/95, 13/96, 384/96, 963/96 y 1.770/96 y publicar la incoación de la cuestión en el “Boletín Oficial del Estado”.</w:t>
      </w:r>
    </w:p>
    <w:p w:rsidR="008107C7" w:rsidRDefault="008107C7" w:rsidP="008107C7">
      <w:pPr>
        <w:pStyle w:val="TextoNormal"/>
      </w:pPr>
    </w:p>
    <w:p w:rsidR="008107C7" w:rsidRDefault="008107C7" w:rsidP="008107C7">
      <w:pPr>
        <w:pStyle w:val="TextoNormal"/>
      </w:pPr>
      <w:r w:rsidRPr="008107C7">
        <w:rPr>
          <w:rStyle w:val="NumeroAFNegritaCaracter"/>
        </w:rPr>
        <w:t>38</w:t>
      </w:r>
      <w:r>
        <w:t>. El Abogado del Estado presentó sus alegaciones el 28 de mayo de 1996. Además de solicitar la acumulación de la presente cuestión a las registradas con los núms. 2.335/95, 3.924/95, 4.269/95, 13/96, 384/96, 963/96, 1.770/96 y 1.773/96, el Abogado del Estado reproduce su anterior escrito registrado el 3 de agosto de 1995, con lo que basta con remitirse a lo expuesto en su momento en el apartado 3.</w:t>
      </w:r>
    </w:p>
    <w:p w:rsidR="008107C7" w:rsidRDefault="008107C7" w:rsidP="008107C7">
      <w:pPr>
        <w:pStyle w:val="TextoNormal"/>
      </w:pPr>
    </w:p>
    <w:p w:rsidR="008107C7" w:rsidRDefault="008107C7" w:rsidP="008107C7">
      <w:pPr>
        <w:pStyle w:val="TextoNormal"/>
      </w:pPr>
      <w:r w:rsidRPr="008107C7">
        <w:rPr>
          <w:rStyle w:val="NumeroAFNegritaCaracter"/>
        </w:rPr>
        <w:t>39</w:t>
      </w:r>
      <w:r>
        <w:t>. Mediante escrito registrado el 30 de mayo de 1996, el Presidente del Congreso de los Diputados comunica que, aun cuando la Cámara no se personará en el procedimiento ni formulará alegaciones, pone a disposición del Tribunal las actuaciones de aquélla que pueda precisar. Asimismo, en escrito registrado el 31 de mayo de 1996, el Presidente del Senado traslada el Acuerdo de la Mesa por el que solicita dar por personada a la Cámara y por ofrecida su colaboración a los efectos del art. 88.1 LOTC.</w:t>
      </w:r>
    </w:p>
    <w:p w:rsidR="008107C7" w:rsidRDefault="008107C7" w:rsidP="008107C7">
      <w:pPr>
        <w:pStyle w:val="TextoNormal"/>
      </w:pPr>
    </w:p>
    <w:p w:rsidR="008107C7" w:rsidRDefault="008107C7" w:rsidP="008107C7">
      <w:pPr>
        <w:pStyle w:val="TextoNormal"/>
      </w:pPr>
      <w:r w:rsidRPr="008107C7">
        <w:rPr>
          <w:rStyle w:val="NumeroAFNegritaCaracter"/>
        </w:rPr>
        <w:t>40</w:t>
      </w:r>
      <w:r>
        <w:t>. El Fiscal General del Estado presentó sus alegaciones el 10 de junio de 1996. Además de solicitar la acumulación de la presente cuestión a las registradas con los núms. 2.335/95, 3.924/95 y 4.269/95, el Fiscal General del Estado solicita que se den por reproducidos los escritos de alegaciones presentados en las cuestiones núms. 3.924/95 y 4.269/95, con lo que basta con remitirse a lo expuesto en su momento en el apartado 5.</w:t>
      </w:r>
    </w:p>
    <w:p w:rsidR="008107C7" w:rsidRDefault="008107C7" w:rsidP="008107C7">
      <w:pPr>
        <w:pStyle w:val="TextoNormal"/>
      </w:pPr>
    </w:p>
    <w:p w:rsidR="008107C7" w:rsidRDefault="008107C7" w:rsidP="008107C7">
      <w:pPr>
        <w:pStyle w:val="TextoNormal"/>
      </w:pPr>
      <w:r w:rsidRPr="008107C7">
        <w:rPr>
          <w:rStyle w:val="NumeroAFNegritaCaracter"/>
        </w:rPr>
        <w:t>41</w:t>
      </w:r>
      <w:r>
        <w:t xml:space="preserve">. Mediante Auto de 18 de marzo de 1996, la Sala de lo Contencioso- Administrativo del Tribunal Superior de Justicia de Navarra plantea ante este Tribunal cuestión de inconstitucionalidad respecto del art. 62 de la Ley 21/1993, de 29 de diciembre, de Presupuestos Generales del Estado para 1994, en el que se dio una nueva redacción al art. 9.1 c) de la Ley 18/1991, de 6 de junio, del Impuesto sobre la Renta de las Personas Físicas, por vulnerar el </w:t>
      </w:r>
      <w:r>
        <w:lastRenderedPageBreak/>
        <w:t xml:space="preserve">art. 14 C.E., así como el principio de contribución al sostenimiento de los gastos públicos en un sistema tributario inspirado en los principios de igualdad y capacidad económica consagrados en el art. 31.1 C.E. </w:t>
      </w:r>
    </w:p>
    <w:p w:rsidR="008107C7" w:rsidRDefault="008107C7" w:rsidP="008107C7">
      <w:pPr>
        <w:pStyle w:val="TextoNormal"/>
      </w:pPr>
      <w:r>
        <w:t xml:space="preserve">A) Los hechos de que trae causa el planteamiento de la cuestión son, en síntesis, los siguientes: </w:t>
      </w:r>
    </w:p>
    <w:p w:rsidR="008107C7" w:rsidRDefault="008107C7" w:rsidP="008107C7">
      <w:pPr>
        <w:pStyle w:val="TextoNormal"/>
      </w:pPr>
      <w:r>
        <w:t xml:space="preserve">a) Don Antonio García Navascués, perceptor de pensión de jubilación por incapacidad permanente, interpuso recurso contencioso-administrativo contra la resolución del Tribunal Económico-Administrativo Regional de Navarra de 19 de abril de 1994, por la que se desestima la reclamación económico-administrativa entablada frente a los actos de retención tributaria practicados a cuenta del Impuesto sobre la Renta de las Personas Físicas sobre las pensiones de jubilación por incapacidad permanente del régimen de clases pasivas del Estado, con motivo de la nueva redacción dada al art. 9.1 c) de la Ley 18/1991 por el art. 62 de la Ley 21/1993. </w:t>
      </w:r>
    </w:p>
    <w:p w:rsidR="008107C7" w:rsidRDefault="008107C7" w:rsidP="008107C7">
      <w:pPr>
        <w:pStyle w:val="TextoNormal"/>
      </w:pPr>
      <w:r>
        <w:t xml:space="preserve">b) La Sala acordó, una vez conclusas las actuaciones, y al amparo del art. 35.2 LOTC, oir a las partes del procedimiento sobre la pertinencia de plantear cuestión de inconstitucionalidad a propósito de la citada nueva redacción del art. 9.1 c) de la Ley 18/1991, por posible vulneración del art. 14 C.E. El recurrente y el Ministerio Fiscal estimaron oportuno elevar la correspondiente cuestión, a lo que se opuso, por el contrario, el Abogado del Estado. </w:t>
      </w:r>
    </w:p>
    <w:p w:rsidR="008107C7" w:rsidRDefault="008107C7" w:rsidP="008107C7">
      <w:pPr>
        <w:pStyle w:val="TextoNormal"/>
      </w:pPr>
      <w:r>
        <w:t>B) El Auto de planteamiento de la cuestión es idéntico al elevado con ocasión de la cuestión núm. 1.770/96, cuyo contenido [apartado 31 B) de estos Antecedentes] resulta pertinente dar aquí por reproducido.</w:t>
      </w:r>
    </w:p>
    <w:p w:rsidR="008107C7" w:rsidRDefault="008107C7" w:rsidP="008107C7">
      <w:pPr>
        <w:pStyle w:val="TextoNormal"/>
      </w:pPr>
    </w:p>
    <w:p w:rsidR="008107C7" w:rsidRDefault="008107C7" w:rsidP="008107C7">
      <w:pPr>
        <w:pStyle w:val="TextoNormal"/>
      </w:pPr>
      <w:r w:rsidRPr="008107C7">
        <w:rPr>
          <w:rStyle w:val="NumeroAFNegritaCaracter"/>
        </w:rPr>
        <w:t>42</w:t>
      </w:r>
      <w:r>
        <w:t>. Mediante providencia de 21 de mayo de 1996, la Sección Tercera acordó admitir a trámite la cuestión registrada con el núm. 1.773/96, dar traslado de las actuaciones recibidas, conforme establece el art. 37.2 LOTC, al Congreso de los Diputados, al Senado, al Gobierno y al Fiscal General del Estado, oir a las partes para que expongan lo que consideren conveniente acerca de la acumulación de esta cuestión con las registradas bajo los núms. 2.335/95, 3.924/95, 4.269/95, 13/96, 384/96, 963/96, 1.770/96 y 1.772/96 y publicar la incoación de la cuestión en el “Boletín Oficial del Estado”.</w:t>
      </w:r>
    </w:p>
    <w:p w:rsidR="008107C7" w:rsidRDefault="008107C7" w:rsidP="008107C7">
      <w:pPr>
        <w:pStyle w:val="TextoNormal"/>
      </w:pPr>
    </w:p>
    <w:p w:rsidR="008107C7" w:rsidRDefault="008107C7" w:rsidP="008107C7">
      <w:pPr>
        <w:pStyle w:val="TextoNormal"/>
      </w:pPr>
      <w:r w:rsidRPr="008107C7">
        <w:rPr>
          <w:rStyle w:val="NumeroAFNegritaCaracter"/>
        </w:rPr>
        <w:t>43</w:t>
      </w:r>
      <w:r>
        <w:t>. El Abogado del Estado presentó sus alegaciones el 28 de mayo de 1996. Además de solicitar la acumulación de la presente cuestión a las registradas con los núms. 2.335/95, 3.924/95, 4.269/95, 13/96, 384/96, 963/96, 1.770/96 y 1.772/96, el Abogado del Estado reproduce su anterior escrito registrado el 3 de agosto de 1995, con lo que basta con remitirse a lo expuesto en su momento en el apartado 3.</w:t>
      </w:r>
    </w:p>
    <w:p w:rsidR="008107C7" w:rsidRDefault="008107C7" w:rsidP="008107C7">
      <w:pPr>
        <w:pStyle w:val="TextoNormal"/>
      </w:pPr>
    </w:p>
    <w:p w:rsidR="008107C7" w:rsidRDefault="008107C7" w:rsidP="008107C7">
      <w:pPr>
        <w:pStyle w:val="TextoNormal"/>
      </w:pPr>
      <w:r w:rsidRPr="008107C7">
        <w:rPr>
          <w:rStyle w:val="NumeroAFNegritaCaracter"/>
        </w:rPr>
        <w:t>44</w:t>
      </w:r>
      <w:r>
        <w:t>. Mediante escrito registrado el 30 de mayo de 1996, el Presidente del Congreso de los Diputados comunica que, aun cuando la Cámara no se personará en el procedimiento ni formulará alegaciones, pone a disposición del Tribunal las actuaciones de aquélla que pueda precisar. Asimismo, en escrito registrado el 31 de mayo de 1996, el Presidente del Senado traslada el acuerdo de la Mesa por el que solicita dar por personada a la Cámara y por ofrecida su colaboración a los efectos del art. 88.1 LOTC.</w:t>
      </w:r>
    </w:p>
    <w:p w:rsidR="008107C7" w:rsidRDefault="008107C7" w:rsidP="008107C7">
      <w:pPr>
        <w:pStyle w:val="TextoNormal"/>
      </w:pPr>
    </w:p>
    <w:p w:rsidR="008107C7" w:rsidRDefault="008107C7" w:rsidP="008107C7">
      <w:pPr>
        <w:pStyle w:val="TextoNormal"/>
      </w:pPr>
      <w:r w:rsidRPr="008107C7">
        <w:rPr>
          <w:rStyle w:val="NumeroAFNegritaCaracter"/>
        </w:rPr>
        <w:t>45</w:t>
      </w:r>
      <w:r>
        <w:t xml:space="preserve">. El Fiscal General del Estado presentó sus alegaciones el 10 de junio de 1996. Además de solicitar la acumulación de la presente cuestión a las registradas con los núms. </w:t>
      </w:r>
      <w:r>
        <w:lastRenderedPageBreak/>
        <w:t>2.335/95, 3.924/95 y 4.269/95, el Fiscal General del Estado solicita que se den por reproducidos los escritos de alegaciones presentados en las cuestiones núms. 3.924/95 y 4.269/95, con lo que basta con remitirse a lo expuesto en su momento en el apartado 5.</w:t>
      </w:r>
    </w:p>
    <w:p w:rsidR="008107C7" w:rsidRDefault="008107C7" w:rsidP="008107C7">
      <w:pPr>
        <w:pStyle w:val="TextoNormal"/>
      </w:pPr>
    </w:p>
    <w:p w:rsidR="008107C7" w:rsidRDefault="008107C7" w:rsidP="008107C7">
      <w:pPr>
        <w:pStyle w:val="TextoNormal"/>
      </w:pPr>
      <w:r w:rsidRPr="008107C7">
        <w:rPr>
          <w:rStyle w:val="NumeroAFNegritaCaracter"/>
        </w:rPr>
        <w:t>46</w:t>
      </w:r>
      <w:r>
        <w:t>. Por Auto del Pleno de 1 de octubre de 1996, se acordó acumular las cuestiones de inconstitucionalidad registradas con los núms. 1.770/96, 1.772/96 y 1.773/96 a las ya acumuladas registradas con los núms. 2.335/95, 3.924/95, 4.269/95, 13/96, 384/96 y 963/96.</w:t>
      </w:r>
    </w:p>
    <w:p w:rsidR="008107C7" w:rsidRDefault="008107C7" w:rsidP="008107C7">
      <w:pPr>
        <w:pStyle w:val="TextoNormal"/>
      </w:pPr>
    </w:p>
    <w:p w:rsidR="008107C7" w:rsidRDefault="008107C7" w:rsidP="008107C7">
      <w:pPr>
        <w:pStyle w:val="TextoNormal"/>
      </w:pPr>
      <w:r w:rsidRPr="008107C7">
        <w:rPr>
          <w:rStyle w:val="NumeroAFNegritaCaracter"/>
        </w:rPr>
        <w:t>47</w:t>
      </w:r>
      <w:r>
        <w:t>. Por providencia de fecha 8 de abril de 1997, se acordó señalar el día 10 siguiente para la deliberación y votación de la presente Sentencia.</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EB5FD0">
        <w:rPr>
          <w:rStyle w:val="NumeroAFNegritaCaracter"/>
        </w:rPr>
        <w:t>Único.</w:t>
      </w:r>
      <w:r>
        <w:t xml:space="preserve"> Las cuestiones de inconstitucionalidad aquí acumuladas se refieren al art. 62 de la Ley 21/1993, de 29 de diciembre, de Presupuestos Generales del Estado para 1994, en el que se dio una nueva redacción al art. 9.1 b) y c) de la Ley 18/1991, de 6</w:t>
      </w:r>
    </w:p>
    <w:p w:rsidR="008107C7" w:rsidRDefault="008107C7" w:rsidP="008107C7">
      <w:pPr>
        <w:pStyle w:val="TextoNormal"/>
      </w:pPr>
      <w:r>
        <w:t>de junio, del Impuesto sobre la Renta de las Personas Físicas. Aun cuando han sido suscitadas por distintos órganos judiciales, se contraen todas ellas a la eventual contradicción de aquellos preceptos con el art. 14, en relación con el art. 31.1, C.E.,</w:t>
      </w:r>
    </w:p>
    <w:p w:rsidR="008107C7" w:rsidRDefault="008107C7" w:rsidP="008107C7">
      <w:pPr>
        <w:pStyle w:val="TextoNormal"/>
      </w:pPr>
      <w:r>
        <w:t>al estimar los órganos judiciales mencionados que la diferencia de tratamiento fiscal establecida por la Ley 18/1991, en su nueva redacción, entre perceptores de prestaciones por incapacidad permanente absoluta o gran invalidez con cargo a la Seguridad</w:t>
      </w:r>
    </w:p>
    <w:p w:rsidR="008107C7" w:rsidRDefault="008107C7" w:rsidP="008107C7">
      <w:pPr>
        <w:pStyle w:val="TextoNormal"/>
      </w:pPr>
      <w:r>
        <w:t>Social [art. 9.1 b)] y los funcionarios de las Administraciones Públicas perceptores de pensiones por inutilidad o incapacidad permanente [art. 9.1 c)], podría vulnerar el derecho fundamental a la igualdad ex art. 14, en conexión con el art. 31.1, C.E.</w:t>
      </w:r>
    </w:p>
    <w:p w:rsidR="008107C7" w:rsidRDefault="008107C7" w:rsidP="008107C7">
      <w:pPr>
        <w:pStyle w:val="TextoNormal"/>
      </w:pPr>
      <w:r>
        <w:t>En la STC 134/1996, resolutoria del recurso de inconstitucionalidad 1.054/94 y dictada con posterioridad a la admisión de las cuestiones aquí acumuladas, tras considerar que, en efecto, la diferenciación enunciada vulnera el principio de igualdad establecido en la Constitución, este Tribunal ha declarado que “el art. 62 de la Ley 21/1993, de 29 de diciembre, de Presupuestos Generales del Estado para 1994, en el que se dio una nueva redacción al art. 9.1 c) de la Ley 18/1991, de 6 de junio, del Impuesto sobre la Renta de las Personas Físicas, es inconstitucional y nulo sólo en la medida en que viene a suprimir, únicamente para los funcionarios de las Administraciones Públicas que se hallen en situación de incapacidad permanente absoluta, la exención de dicho Impuesto”.</w:t>
      </w:r>
    </w:p>
    <w:p w:rsidR="008107C7" w:rsidRDefault="008107C7" w:rsidP="008107C7">
      <w:pPr>
        <w:pStyle w:val="TextoNormal"/>
      </w:pPr>
      <w:r>
        <w:t>La declaración de inconstitucionalidad y nulidad contenida en el fallo de la STC 134/1996 produjo plenos efectos de cosa juzgada a partir de su publicación en el “Boletín Oficial del Estado” (arts. 164.1 C.E. y 38.1 LOTC) por lo que, al resultar expulsados del ordenamiento jurídico los preceptos cuestionados y quedar resuelta en sentido estimatorio la duda de constitucionalidad aquí planteada, las cuestiones de inconstitucionalidad han perdido su objeto.</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lastRenderedPageBreak/>
        <w:t>Ha decidido</w:t>
      </w:r>
    </w:p>
    <w:p w:rsidR="008107C7" w:rsidRDefault="008107C7" w:rsidP="008107C7">
      <w:pPr>
        <w:pStyle w:val="TextoNormalCentrado"/>
        <w:keepNext/>
      </w:pPr>
    </w:p>
    <w:p w:rsidR="008107C7" w:rsidRDefault="008107C7" w:rsidP="008107C7">
      <w:pPr>
        <w:pStyle w:val="TextoNormal"/>
      </w:pPr>
      <w:r>
        <w:t>Apreciar la desaparición sobrevenida del objeto de las cuestiones de inconstitucionalidad acumuladas núms. 2.335/95, promovida por la Sección Primera de la Sala de lo Contencioso-Administrativo del Tribunal Superior de Justicia de la Comunidad Valenciana, 3.924/95, 4.269/95, 13/96, 384/96 y 963/96, planteadas por la Sala de lo Contencioso-Administrativo del Tribunal Superior de Cantabria, y 1.770/96, 1.772/96 y 1.773/96, promovidas por la Sala de lo Contencioso-Administrativo del Tribunal Superior de Navarra, respecto del art. 62 de la Ley 21/1993, de 29 de diciembre, de Presupuestos Generales del Estado para 1994, en el que se dio una nueva redacción al art. 9.1 b) y c) de la Ley 18/1991, de 6 de junio, del Impuesto sobre la Renta de las Personas Físicas.</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diez de abril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76" w:name="SENTENCIA_1997_73"/>
      <w:r>
        <w:lastRenderedPageBreak/>
        <w:t>SENTENCIA 73/1997, de 11 de abril de 1997</w:t>
      </w:r>
    </w:p>
    <w:bookmarkEnd w:id="76"/>
    <w:p w:rsidR="008107C7" w:rsidRDefault="008107C7" w:rsidP="008107C7">
      <w:pPr>
        <w:pStyle w:val="TtuloResolucin"/>
      </w:pPr>
      <w:r>
        <w:t>Pleno</w:t>
      </w:r>
    </w:p>
    <w:p w:rsidR="008107C7" w:rsidRDefault="008107C7" w:rsidP="008107C7">
      <w:pPr>
        <w:pStyle w:val="TtuloResolucin"/>
      </w:pPr>
    </w:p>
    <w:p w:rsidR="008107C7" w:rsidRDefault="008107C7" w:rsidP="008107C7">
      <w:pPr>
        <w:pStyle w:val="TtuloBOE"/>
      </w:pPr>
      <w:r>
        <w:t>("BOE" núm. 114, de 13 de mayo de 1997)</w:t>
      </w:r>
    </w:p>
    <w:p w:rsidR="008107C7" w:rsidRDefault="008107C7" w:rsidP="008107C7">
      <w:pPr>
        <w:pStyle w:val="TtuloBOE"/>
      </w:pPr>
    </w:p>
    <w:p w:rsidR="008107C7" w:rsidRDefault="008107C7" w:rsidP="008107C7">
      <w:pPr>
        <w:pStyle w:val="SntesisDescriptiva"/>
      </w:pPr>
      <w:r>
        <w:t>ECLI:ES:TC:1997:73</w:t>
      </w:r>
    </w:p>
    <w:p w:rsidR="008107C7" w:rsidRDefault="008107C7" w:rsidP="008107C7">
      <w:pPr>
        <w:pStyle w:val="SntesisDescriptiva"/>
      </w:pPr>
    </w:p>
    <w:p w:rsidR="008107C7" w:rsidRDefault="008107C7" w:rsidP="008107C7">
      <w:pPr>
        <w:pStyle w:val="SntesisDescriptiva"/>
      </w:pPr>
      <w:r>
        <w:t>Recurso de inconstitucionalidad 399/1988. Promovido por el Presidente del Gobierno en relación con determinados artículos de la Ley del Parlamento de Cataluña, 21/1987, de 26 de noviembre, de Incompatibilidades del personal al servicio de la Administración de la Generalidad.</w:t>
      </w:r>
    </w:p>
    <w:p w:rsidR="008107C7" w:rsidRDefault="008107C7" w:rsidP="008107C7">
      <w:pPr>
        <w:pStyle w:val="SntesisDescriptiva"/>
      </w:pPr>
    </w:p>
    <w:p w:rsidR="008107C7" w:rsidRDefault="008107C7" w:rsidP="008107C7">
      <w:pPr>
        <w:pStyle w:val="SntesisAnaltica"/>
      </w:pPr>
    </w:p>
    <w:p w:rsidR="008107C7" w:rsidRDefault="008107C7" w:rsidP="008107C7">
      <w:pPr>
        <w:pStyle w:val="SntesisAnaltica"/>
      </w:pPr>
    </w:p>
    <w:p w:rsidR="008107C7" w:rsidRDefault="008107C7" w:rsidP="008107C7">
      <w:pPr>
        <w:pStyle w:val="Extracto"/>
      </w:pPr>
      <w:r>
        <w:t>1.</w:t>
      </w:r>
      <w:r>
        <w:tab/>
        <w:t>Según dijimos en la STC 5/1982, la omisión en una Ley particular de unas precisiones cualesquiera de carácter básico establecidas en Ley general no vicia necesariamente de inconstitucionalidad a aquella Ley particular, pues estas precisiones mantienen su plena vigencia con independencia de que sean recordadas o no por el legislador (autonómico), cuya referencia a ellas sólo este carácter de recordatorio puede revestir.» . [F.J. 4]</w:t>
      </w:r>
    </w:p>
    <w:p w:rsidR="008107C7" w:rsidRDefault="008107C7" w:rsidP="008107C7">
      <w:pPr>
        <w:pStyle w:val="Extracto"/>
      </w:pPr>
    </w:p>
    <w:p w:rsidR="008107C7" w:rsidRDefault="008107C7" w:rsidP="008107C7">
      <w:pPr>
        <w:pStyle w:val="Extracto"/>
      </w:pPr>
      <w:r>
        <w:t>2.</w:t>
      </w:r>
      <w:r>
        <w:tab/>
        <w:t>En nuestra STC 62/1993, pudo apreciarse que la norma autonómica enjuiciada se había «limitado a reproducir las causas contenidas en la Ley básica del Estado, sin añadir otros motivos ni desarrollarlos con más detalle, pero suprimiendo significativamente algunas o restringiendo el alcance de otras. Esa reproducción parcial, con omisiones muy significativas, sólo puede ser entendida como reducción por la Ley autonómica del nivel de rigor que en materia de incompatibilidades establece la legislación básica del Estado...». Por ello, este Tribunal concluyó en la citada Sentencia que el precepto autonómico en cuestión contradecía y no respetaba la legislación básica del Estado al eliminar supuestos previstos por el legislador estatal, «sin que sea óbice para ello, aparte de la inseguridad jurídica que genera este modo de legislar, el que la contradicción con la norma básica del Estado no lo sea por exceso, sino por defecto.» Más recientemente, la STC 172/1996, ha recordado que la omisión adquiere significado constitucional cuando lo eliminado, como aquí sucede, tiene carácter básico y de ahí se infiere una contradicción con la norma básica. En efecto, «omitir puede ser en ocasiones tanto como contradecir» . [F.J. 4]</w:t>
      </w:r>
    </w:p>
    <w:p w:rsidR="008107C7" w:rsidRDefault="008107C7" w:rsidP="008107C7">
      <w:pPr>
        <w:pStyle w:val="Extracto"/>
      </w:pPr>
    </w:p>
    <w:p w:rsidR="008107C7" w:rsidRDefault="008107C7" w:rsidP="008107C7">
      <w:pPr>
        <w:pStyle w:val="Extracto"/>
      </w:pPr>
      <w:r>
        <w:t>3.</w:t>
      </w:r>
      <w:r>
        <w:tab/>
        <w:t>Que la materia regulada en el indicado precepto se acomoda al concepto de lo básico es algo que además este Tribunal ha tenido ocasión de explicitar en la STC 172/1996. Con todo, debe tenerse presente que a la luz de esta Sentencia lo que ha de considerarse básico, de acuerdo con lo que dispone el art. 16.1, «es la prohibición de simultanear dos actividades en el sector privado y en el público cuando se perciban retribuciones complementarias por especial dedicación al puesto de trabajo en las Administraciones públicas» . [F.J. 5]</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lastRenderedPageBreak/>
        <w:t>El Pleno del Tribunal, compuesto por don Álvaro Rodríguez Bereijo, Presidente, don José Gabaldón López, don Fernando García-Mon y González- Regueral, don Vicente Gimeno Sendra, don Rafael de Mendizábal Allende, don Julio Diego González Campos, don Pedro Cruz Villalón, don Carles Viver Pi- Sunyer, don Enrique Ruíz Vadillo, don Manuel Jiménez de Parga y Cabrera, don Tomás S. Vives Antón,y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inconstitucionalidad núm. 399/88 interpuesto por el Presidente de Gobierno, representado por el Abogado del Estado, contra los arts.3.1 a) y 14 de la Ley del Parlamento de Cataluña, 21/1987, de 26 de noviembre, de Incompatibilidades del Personal al servicio de la Administración de la Generalidad. Ha comparecido el Abogado de la Generalidad de Cataluña, don Ramón Riu i Fortuni, y el Parlamento de Cataluña, asistido por el Letrado don Francesc Pau i Vall. Ha sido Ponente el Magistrado don Enrique Ruiz Vadillo, quien expresa el parecer del Tribunal.</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El Abogado del Estado, en representación del Presidente del Gobierno, mediante escrito recibido en este Tribunal el 4 de marzo de 1988, planteó recurso de inconstitucionalidad contra los arts. 3.1 a) y 14 de la Ley del Parlamento de Cataluña, 21/1987, de 25 de noviembre, de Incompatibilidades del Personal al servicio de la Administración de la Generalidad, publicada en el Diario Oficial de la Generalidad de Cataluña, núm. 923, de 4 de diciembre de 1987.</w:t>
      </w:r>
    </w:p>
    <w:p w:rsidR="008107C7" w:rsidRDefault="008107C7" w:rsidP="008107C7">
      <w:pPr>
        <w:pStyle w:val="TextoNormal"/>
      </w:pPr>
    </w:p>
    <w:p w:rsidR="008107C7" w:rsidRDefault="008107C7" w:rsidP="008107C7">
      <w:pPr>
        <w:pStyle w:val="TextoNormal"/>
      </w:pPr>
      <w:r w:rsidRPr="008107C7">
        <w:rPr>
          <w:rStyle w:val="NumeroAFNegritaCaracter"/>
        </w:rPr>
        <w:t>2</w:t>
      </w:r>
      <w:r>
        <w:t>. Comienza sus alegaciones el Abogado del Estado exponiendo que el art. 3.1 a) de la citada Ley supone infracción de la Ley estatal 53/1984, de 26 de diciembre, de Incompatibilidades del Personal al servicio de las Administraciones Públicas, cuyas normas se consideran expresamente bases del régimen estatutario de la función pública, dictadas al amparo del art. 149.1.18º C.E. En concreto, omite el requisito fundamental exigido por el art. 5 a) de la indicada Ley estatal de que los miembros de las Asambleas Legislativas de las Comunidades Autónomas sólo podrán gozar de dicha compatibilidad cuando no perciban retribuciones periódicas por el desempeño de su función parlamentaria. Por otra parte, el art. 14 de la Ley de Cataluña vulnera, a su juicio, el art. 16.1 de la Ley estatal, que de forma objetiva y uniforme impide cualquier compatibilidad cuando exista complemento específico.</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Por providencia de la Sección Cuarta del Pleno de este Tribunal, el 17 de marzo de 1988, se tuvo por planteado el referido recurso, registrado con el núm. 399/88, y se dio traslado de la demanda y documentos presentados al Congreso de los Diputados y al Senado, así como al Parlamento y al Consejo Ejecutivo de la Generalidad de Cataluña, por conducto </w:t>
      </w:r>
      <w:r>
        <w:lastRenderedPageBreak/>
        <w:t>de sus respectivos Presidentes, conforme dispone el art. 34.1 de la Ley Orgánica del Tribunal Constitucional (LOTC), al objeto de que en el plazo de quince días pudieran personarse en el procedimiento y formulan las alegaciones que estimaren oportunas, teniéndose por producida la suspensión de la vigencia y la aplicación de la Ley objeto del recurso desde la fecha de su impugnación, según dispone el art. 30 de la LOTC, lo que se participó a los Presidentes del Parlamento y del Consejo Ejecutivo de la Generalidad de Cataluña. Asimismo se acordó publicar la formalización del recurso y la suspensión de la Ley impugnada en el Boletín Oficial del Estado y Diario Oficial de la Generalidad de Cataluña para general conocimiento.</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El Presidente del Consejo Ejecutivo de la Generalidad de Cataluña, por escrito recibido en este Tribunal el 13 de abril de 1988, se persona y presenta escrito de alegaciones en solicitud de que se dicte sentencia en la que se desestime la petición adversa, y declare que los citados preceptos se ajustan a lo dispuesto en la Constitución Española y en el Estatuto de Autonomía de Cataluña. </w:t>
      </w:r>
    </w:p>
    <w:p w:rsidR="008107C7" w:rsidRDefault="008107C7" w:rsidP="008107C7">
      <w:pPr>
        <w:pStyle w:val="TextoNormal"/>
      </w:pPr>
      <w:r>
        <w:t xml:space="preserve">En su escrito alega en primer término que en el escrito de impugnación no se ha cuestionado en ningún momento si el contenido de los mandatos de la Ley estatal puede merecer realmente la consideración de norma básica. A su juicio, y tal como se argumentara en relación con el conflicto de competencia núm. 407/86, resulta manifiesto el exceso de competencia en que ha incurrido la Ley estatal a la luz del art. 149.1.18º C.E. Así pues, los artículos de la Ley estatal en cuestión no tienen carácter básico y el régimen adoptado por la Generalidad constituye un legítimo desarrollo de las bases. Añade, por otra parte, que tampoco se produce contradicción entre el art. 5.a) de la Ley estatal 53/1984 y el art. 3.1 a) de la Ley del Parlamento Catalán 21/1987, desde una interpretación sistemática y coherente, puesto que entiende que aquel precepto no impone la incompatibilidad funcional por el hecho de percibir unas retribuciones periódicas por el ejercicio de la actividad parlamentaria, sino que determina la incompatibilidad retributiva en las dos actividades, sin perjuicio de las dietas, indemnizaciones y asistencias que correspondan. Pero aún interpretándose a título de mera hipótesis que el art. 5 a) de la Ley 53/1984 establece una prohibición absoluta, resultaría que tampoco en ese caso la Ley 21/1987 habría contravenido lo dispuesto en la Ley estatal, porque el art. 3.2 de la Ley catalana se habría limitado a omitir la incompatibilidad de las dos actividades cuando se recibiesen retribuciones periódicas de las Asambleas Legislativas, máxime teniendo en cuenta que el Reglamento del Parlamento catalán dispuso que todas las asignaciones a los Diputados tienen el carácter de indemnización por el ejercicio de sus funciones. De este modo, resulta claro, en su opinión, que en Cataluña no se puede producir contradicción alguna con el precepto estatal en cuestión. </w:t>
      </w:r>
    </w:p>
    <w:p w:rsidR="008107C7" w:rsidRDefault="008107C7" w:rsidP="008107C7">
      <w:pPr>
        <w:pStyle w:val="TextoNormal"/>
      </w:pPr>
      <w:r>
        <w:t xml:space="preserve">En cuanto a la impugnación del art. 14 de la Ley 21/1987, reitera que se trata del legítimo desarrollo de las bases estatales, en particular si se examinan los arts. 23 y 24 de la Ley estatal 30/1984 por cuya virtud cada Administración pública ha de determinar qué puestos de trabajo reúnen las condiciones del complemento específico y su concreta configuración. Ello fuerza a interpretar el art. 16 de la Ley estatal 53/1984 en ese contexto normativo, lo que permite sostener que es posible establecer un complemento específico con la particular finalidad de atender el factor de incompatibilidad. Disiente, en consecuencia, de la argumentación de la representación actora, según la cual la Ley estatal excluye cualquier complemento específico, sea cual sea el motivo o factor por el que se haya establecido, por lo que comporta la incompatibilidad pública o privada del puesto. A mayor abundamiento, considera que la Ley estatal emplea el plural ("complementos específicos") porque lo predica de "puestos". Hacer una interpretación extensiva impidiendo la compatibilidad por la </w:t>
      </w:r>
      <w:r>
        <w:lastRenderedPageBreak/>
        <w:t xml:space="preserve">percepción de cualquier complemento, por ejemplo en razón de la peligrosidad del puesto de trabajo, supondría una limitación del art. 35 C.E., sin la suficiente justificación ni la debida proporcionalidad con la restricción impuesta. Es evidente, concluye, que el entendimiento del precepto como propugna la actora no reuniría tales condiciones constitucionales. </w:t>
      </w:r>
    </w:p>
    <w:p w:rsidR="008107C7" w:rsidRDefault="008107C7" w:rsidP="008107C7">
      <w:pPr>
        <w:pStyle w:val="TextoNormal"/>
      </w:pPr>
      <w:r>
        <w:t>Además la interpretación sostenida por la representación estatal supondría entender que la Ley 53/1984 ha modificado el sistema retributivo básico de la Ley 30/1984 de forma tácita o presuntiva, posibilidad que queda desmentida si se tienen en cuenta otros preceptos de la misma Ley 53/1984, como los arts. 1.3 y 11.2. De todo ello se infiere que tan sólo los puestos a los que se haya adjudicado un complemento específico en razón de su incompatibilidad pueden estar sujetos a la limitación establecida por el art. 16.1 de la Ley 53/1984. Esta tesis se ve avalada, a juicio del Abogado de la Generalidad, por el principio de eficacia del art. 103 C.E., que exigiría la adaptación del sistema retributivo al entorno y a las tareas realizadas, así como por el de proporcionalidad, que impediría una restricción excesiva de los derechos individuales para alcanzar un fin como el que se persigue. Por todo lo cual, concluye que el art. 14 impugnado no es contrario a las bases estatales.</w:t>
      </w:r>
    </w:p>
    <w:p w:rsidR="008107C7" w:rsidRDefault="008107C7" w:rsidP="008107C7">
      <w:pPr>
        <w:pStyle w:val="TextoNormal"/>
      </w:pPr>
    </w:p>
    <w:p w:rsidR="008107C7" w:rsidRDefault="008107C7" w:rsidP="008107C7">
      <w:pPr>
        <w:pStyle w:val="TextoNormal"/>
      </w:pPr>
      <w:r w:rsidRPr="008107C7">
        <w:rPr>
          <w:rStyle w:val="NumeroAFNegritaCaracter"/>
        </w:rPr>
        <w:t>5</w:t>
      </w:r>
      <w:r>
        <w:t xml:space="preserve">. Con fecha 25 de abril de 1988 tuvo entrada en este Tribunal escrito del Presidente del Parlamento de Cataluña en el que se personaba y formulaba las alegaciones pertinentes, similares a las sostenidas por el Abogado de la Generalidad, solicitando se dicte sentencia en la que se declare la plena constitucionalidad de los arts. 3.1 a) y 14 de la Ley 21/1987, de 26 de noviembre, de Incompatibilidades del Personal al Servicio de la Administración de la Generalidad. En síntesis, insiste en que la normativa básica ha de dejarle un espacio a la legislación autonómica para que, en ejercicio de las legítimas competencias estatutariamente atribuidas, pueda establecer un desarrollo diverso, que no sea una mera prolongación de la Ley estatal. No comparte tampoco la interpretación del art. 5.a) de la Ley 53/1984 que hace el Abogado del Estado y considera que la única posible consiste en entender que podrá compatibilizarse el cargo si no se percibe la retribución por el desempeño de la función parlamentaria. Con independencia de ello alega que el Estado ha incurrido en extralimitación competencial al calificar como básicos aspectos que no lo son y por legislar sobre materias que han sido atribuidas al E.A.C. En concreto, el art. 5 a) de la Ley estatal lesiona, a su juicio, el art. 9.1 E.A.C. que atribuye a la Comunidad Autónoma la competencia exclusiva sobre la organización de sus instituciones de autogobierno. Considera igualmente que el citado precepto supone una injerencia sobre la independencia de las Cámaras, puesto que el Reglamento del Parlamento regula las incompatibilidades de los Diputados. Afirma que es competencia exclusiva del Reglamento o, en su caso, de las leyes catalanas la regulación de las incompatibilidades de los parlamentarios. Añade que la Ley catalana respeta, con todo, lo dispuesto por la Ley estatal. </w:t>
      </w:r>
    </w:p>
    <w:p w:rsidR="008107C7" w:rsidRDefault="008107C7" w:rsidP="008107C7">
      <w:pPr>
        <w:pStyle w:val="TextoNormal"/>
      </w:pPr>
      <w:r>
        <w:t>En parecidos términos se expresa respecto de la impugnación deducida frente al art. 14 de la Ley 21/1987. Entiende que no es contrario al art. 16 de la Ley 53/1984, en la medida en que responde a la misma filosofía básica, máxime si se hace una correcta y limitada interpretación del indicado art. 16, extremo éste en el que coincide con las alegaciones del Abogado de la Generalidad. Por todo lo cual, suplica que se declare la plena constitucionalidad de los artículos impugnados.</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Por Auto de 12 de julio de 1988, el Pleno del Tribunal acordó levantar la suspensión de los artículos impugnados, que se había producido por la expresa invocación del art. 161.2 C.E., al entender que el levantamiento no puede originar perjuicios de imposible o dificil </w:t>
      </w:r>
      <w:r>
        <w:lastRenderedPageBreak/>
        <w:t>reparación en el supuesto de que posteriormente se declare la nulidad pedida por la representación del Estado.</w:t>
      </w:r>
    </w:p>
    <w:p w:rsidR="008107C7" w:rsidRDefault="008107C7" w:rsidP="008107C7">
      <w:pPr>
        <w:pStyle w:val="TextoNormal"/>
      </w:pPr>
    </w:p>
    <w:p w:rsidR="008107C7" w:rsidRDefault="008107C7" w:rsidP="008107C7">
      <w:pPr>
        <w:pStyle w:val="TextoNormal"/>
      </w:pPr>
      <w:r w:rsidRPr="008107C7">
        <w:rPr>
          <w:rStyle w:val="NumeroAFNegritaCaracter"/>
        </w:rPr>
        <w:t>7</w:t>
      </w:r>
      <w:r>
        <w:t xml:space="preserve">. Por providencia de fecha 8 de abril de 1997, se señaló para la deliberación y votación de la presente Sentencia el día </w:t>
      </w:r>
    </w:p>
    <w:p w:rsidR="008107C7" w:rsidRDefault="008107C7" w:rsidP="008107C7">
      <w:pPr>
        <w:pStyle w:val="TextoNormal"/>
      </w:pPr>
      <w:r>
        <w:t>10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el presente recurso de inconstitucionalidad la representación del Gobierno de la Nación impugna los arts. 3.1 a) y 14 de la Ley del Parlamento de Cataluña, 21/1987, sobre Incompatibilidades del Personal al servicio de la Administración de la Generalidad, por cuanto entiende que no respetan, respectivamente, el contenido de los arts. 5 a) y 16.1 de la Ley estatal 53/1984, de Incompatibilidades del Personal al servicio de la Administración, cuya Disposición Final Primera había declarado básicos al amparo del art.  149.1.18º C.E (régimen estatutario de la función pública).</w:t>
      </w:r>
    </w:p>
    <w:p w:rsidR="008107C7" w:rsidRDefault="008107C7" w:rsidP="008107C7">
      <w:pPr>
        <w:pStyle w:val="TextoNormal"/>
      </w:pPr>
      <w:r>
        <w:t>El Abogado de la Generalidad, por su parte, además de cuestionar el carácter básico de tales normas, alega que los preceptos de la Ley estatal y de la Ley autonómica, correctamente interpretados, no incurren en contradicción alguna; de lo contrario, se habría producido una invasión de la competencia autonómica, sin perjuicio por lo demás de que el segundo de los artículos impugnados -art.  14- sería inconstitucional por establecer una restricción desproporcionada del ejercicio del derecho constitucional que garantiza el art. 35 C.E.</w:t>
      </w:r>
    </w:p>
    <w:p w:rsidR="008107C7" w:rsidRDefault="008107C7" w:rsidP="008107C7">
      <w:pPr>
        <w:pStyle w:val="TextoNormal"/>
      </w:pPr>
      <w:r>
        <w:t xml:space="preserve">Como punto de partida, ha de recordarse que la Ley 53/1984, de Incompatibilidades del personal al servicio de la Administración pública estatal ya fue objeto de nuestra consideración en la STC 178/1989, aunque no se ocupara de la concreta temática aquí suscitada, por lo que, en consecuencia, no ha quedado resuelta por ella. Pues aunque es cierto, en efecto, que allí declaramos que "si se examinan con atención cada uno de los preceptos de la Ley 53/1984, que configuran el aludido sistema de incompatibilidades, se comprobará fácilmente que son realmente `aspectos básicos´ del referido régimen jurídico de las Administraciones Públicas los que se contienen en dichas normas, que corresponden a un principio estructural organizativo del personal a su servicio que se proyecta sobre el sector público en su conjunto." (cfr. STC 178/1989, fundamento jurídico 6, in fine), no lo es menos, sin embargo, que aquella afirmación se realizó, como es evidente, para desvirtuar la descalificación general vertida entonces por los recurrentes contra el carácter básico de la Ley en su conjunto, según la cual las incompatibilidades -como materia- no podían merecer "la consideración de bases en el sentido definido por este Tribunal" (cfr.  fundamento jurídico 6, primer párrafo). Como, en efecto, ha recordado recientemente la STC 172/1996, la citada Ley estatal 53/1984 fue objeto de enjuiciamiento constitucional a instancias del mismo Consejo de Gobierno aquí demandado, en la referida STC 178/1989, que se limitó a desvirtuar la descalificación global en que consistía el ataque de constitucionalidad de la Ley 53/1984, en cuya virtud las incompatibilidades, como tales, no podían merecer la consideración de bases en el sentido defendido por este Tribunal, sin prejuzgar, por tanto, la validez o invalidez de los componentes parciales, cada uno de los preceptos (cfr. fundamento jurídico 1º). En consecuencia, habremos de comprobar, primero, si cada una de las normas en litigio merecen la calificación de básicas que le ha sido atribuida por el legislador (cfr. fundamento </w:t>
      </w:r>
      <w:r>
        <w:lastRenderedPageBreak/>
        <w:t>jurídico 1º) y, en caso de concluir en sentido afirmativo, si la norma legal de desarrollo resulta o no compatible y enteramente respetuosa con la Ley básica del Estado.</w:t>
      </w:r>
    </w:p>
    <w:p w:rsidR="008107C7" w:rsidRDefault="008107C7" w:rsidP="008107C7">
      <w:pPr>
        <w:pStyle w:val="TextoNormal"/>
      </w:pPr>
    </w:p>
    <w:p w:rsidR="008107C7" w:rsidRDefault="008107C7" w:rsidP="008107C7">
      <w:pPr>
        <w:pStyle w:val="TextoNormal"/>
      </w:pPr>
      <w:r w:rsidRPr="008107C7">
        <w:rPr>
          <w:rStyle w:val="NumeroAFNegritaCaracter"/>
        </w:rPr>
        <w:t>2</w:t>
      </w:r>
      <w:r>
        <w:t>. Por lo que hace a la primera impugnación, conviene recordar que el art. 5 a) de la Ley estatal 53/1984, de Incompatibilidades del Personal al servicio de las Administraciones Públicas, establece que, por excepción, el personal incluido en el ámbito de aplicación de la Ley podrá compatibilizar sus actividades con el desempeño de los cargos electivos siguientes:</w:t>
      </w:r>
    </w:p>
    <w:p w:rsidR="008107C7" w:rsidRDefault="008107C7" w:rsidP="008107C7">
      <w:pPr>
        <w:pStyle w:val="TextoNormal"/>
      </w:pPr>
      <w:r>
        <w:t>"a) Miembros de las Asambleas Legislativas de las Comunidades Autónomas, salvo que perciban retribuciones periódicas por el desempeño de la función o que por las mismas se establezca la incompatibilidad."</w:t>
      </w:r>
    </w:p>
    <w:p w:rsidR="008107C7" w:rsidRDefault="008107C7" w:rsidP="008107C7">
      <w:pPr>
        <w:pStyle w:val="TextoNormal"/>
      </w:pPr>
      <w:r>
        <w:t>Para su mejor entendimiento es necesario reproducir, sin embargo, el último párrafo del mismo precepto:</w:t>
      </w:r>
    </w:p>
    <w:p w:rsidR="008107C7" w:rsidRDefault="008107C7" w:rsidP="008107C7">
      <w:pPr>
        <w:pStyle w:val="TextoNormal"/>
      </w:pPr>
      <w:r>
        <w:t>"En cualquier caso, en los supuestos comprendidos en este artículo sólo podrá percibirse la retribución correspondiente a una de las dos actividades, sin perjuicio de las dietas, indemnizaciones o asistencias que correspondan por la otra."</w:t>
      </w:r>
    </w:p>
    <w:p w:rsidR="008107C7" w:rsidRDefault="008107C7" w:rsidP="008107C7">
      <w:pPr>
        <w:pStyle w:val="TextoNormal"/>
      </w:pPr>
      <w:r>
        <w:t>Del artículo 5 a) de la Ley 53/1984 que acaba de transcribirse infiere la representación actora que sólo podrá existir este tipo de compatibilidad cuando los miembros de las Asambleas Legislativas de las Comunidades Autónomas no perciban retribuciones periódicas por el desempeño de la función parlamentaria.  A su juicio, este requisito fundamental ha sido sustituido por el sistema establecido en el art. 3 de la Ley del Parlamento de Cataluña, que es sustancialmente distinto.</w:t>
      </w:r>
    </w:p>
    <w:p w:rsidR="008107C7" w:rsidRDefault="008107C7" w:rsidP="008107C7">
      <w:pPr>
        <w:pStyle w:val="TextoNormal"/>
      </w:pPr>
      <w:r>
        <w:t>Por su parte, el artículo 3.1 a) impugnado de la Ley del Parlamento de Cataluña 21/1987, de Incompatibilidades del Personal al servicio de las Administración de la Generalidad, dispone que el personal incluido en la presente Ley podrá compatibilizar sus actividades con el ejercicio de los siguientes cargos electivos:</w:t>
      </w:r>
    </w:p>
    <w:p w:rsidR="008107C7" w:rsidRDefault="008107C7" w:rsidP="008107C7">
      <w:pPr>
        <w:pStyle w:val="TextoNormal"/>
      </w:pPr>
      <w:r>
        <w:t>"a) Miembro del Parlamento de Cataluña, salvo que el propio Parlamento estableciera su incompatibilidad".</w:t>
      </w:r>
    </w:p>
    <w:p w:rsidR="008107C7" w:rsidRDefault="008107C7" w:rsidP="008107C7">
      <w:pPr>
        <w:pStyle w:val="TextoNormal"/>
      </w:pPr>
      <w:r>
        <w:t>A su vez, conviene traer a nuestra consideración el art. 3.2 de la misma Ley que, aunque no impugnado, resulta relevante, como reconocen todos los comparecientes, para el enjuiciamiento del art. 3.1 a). El citado art. 3.2 de la Ley de Cataluña, en realidad paralelo a lo dispuesto por el último párrafo del art.  5 de la Ley 53/1984 al que ya hemos hecho referencia, afirma lo siguiente:</w:t>
      </w:r>
    </w:p>
    <w:p w:rsidR="008107C7" w:rsidRDefault="008107C7" w:rsidP="008107C7">
      <w:pPr>
        <w:pStyle w:val="TextoNormal"/>
      </w:pPr>
      <w:r>
        <w:t>"2. En cualquier caso, sólo podrán percibir la retribución correspondiente a una de las actividades sin perjuicio de las dietas,indemnizaciones o asistencias que correspondan a la otra actividad."</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En primer lugar, y tal como ha recordado recientemente este Tribunal en la STC 172/1996, respecto de un precepto similar de la misma Ley 53/1984 -el art.  4.2- y con el que el art. 5 a) guarda una evidente relación sistemática, no puede serle negado el carácter básico que la Disposición Final Primera ha atribuido al citado precepto (fundamento jurídico 2). En efecto, y a la luz de la doctrina reiterada en tal Sentencia (fundamento jurídico 1º), este Tribunal ha afirmado en relación con esta materia que "las incompatibilidades de los funcionarios públicos tienden a garantizar su objetividad de actuación, en evitación de relaciones de dependencia perturbadoras, así como su eficacia, procurando la máxima dedicación a las funciones propias de su empleo o cargo, características aquélla y ésta predicables constitucionalmente de la actividad de las Administraciones públicas y, por tanto, exigible también de sus servidores (art. 103 C.E.)." Por tanto, ha de rechazarse la alegación esgrimida </w:t>
      </w:r>
      <w:r>
        <w:lastRenderedPageBreak/>
        <w:t>"de contrario", según la cual el art. 5.a) de la Ley 53/1984 no puede encajar dentro del concepto de lo básico y, más en concreto, de las bases del régimen estatutario de la función pública (art. 149.1.18º C.E.).La norma básica, pues, que ha de ser respetada por el legislador autonómico, consiste en que la prohibición de simultanear actividades, a nuestro propósito, sólo admite la excepción de compatibilidad con el desempeño de cargo electivo siempre que no se reciban retribuciones periódicas por tal actividad.</w:t>
      </w:r>
    </w:p>
    <w:p w:rsidR="008107C7" w:rsidRDefault="008107C7" w:rsidP="008107C7">
      <w:pPr>
        <w:pStyle w:val="TextoNormal"/>
      </w:pPr>
      <w:r>
        <w:t>Si se comparan ambas normas es evidente, en efecto, que el art. 3.1 a) de la Ley 21/1987 omite el inciso que sí contiene el art. 5 a) de la Ley estatal, a saber, "salvo que perciban retribuciones periódicas por el desempeño de la función". El Abogado del Estado deduce de esta omisión, de un lado, que el citado art. 3.1.a) de la Ley 21/1987, establece un sistema claramente sustitutivo del modelo estatal, cerrando la regulación en este extremo e impidiendo toda suerte de interpretación integradora o conforme de la Ley impugnada y, de otro, que permite resultados prohibidos por el legislador estatal, v.gr., que se cobren retribuciones periódicas en el Parlamento catalán y sólo dietas e indemnizaciones como funcionario, manteniendo la compatibilidad en contra del claro dictado de la Ley 53/1984, que la excluye siempre que existan retribuciones periódicas parlamentarias. En suma, se aduce, en la Ley básica estatal, cuando se perciben retribuciones periódicas en la Asamblea Legislativa, no cabe nunca la compatibilidad.</w:t>
      </w:r>
    </w:p>
    <w:p w:rsidR="008107C7" w:rsidRDefault="008107C7" w:rsidP="008107C7">
      <w:pPr>
        <w:pStyle w:val="TextoNormal"/>
      </w:pPr>
      <w:r>
        <w:t>Constatada la omisión en el art. 3.1 a) de la Ley del Parlamento de Cataluña 21/1987 del referido inciso del art. 5 a) de la Ley 53/1984 ("salvo que perciban retribuciones por el desempeño de la función" parlamentaria), es preciso destacar, como asimismo se recuerda en la STC 172/1996 (fundamento jurídico 2º), cuáles son carácter general las consecuencias que cabe derivar de tal silencio, de un lado y, de otro, y más en concreto, si como consecuencia de la omisión la regulación resultante es contraria a la norma básica estatal.</w:t>
      </w:r>
    </w:p>
    <w:p w:rsidR="008107C7" w:rsidRDefault="008107C7" w:rsidP="008107C7">
      <w:pPr>
        <w:pStyle w:val="TextoNormal"/>
      </w:pPr>
    </w:p>
    <w:p w:rsidR="008107C7" w:rsidRDefault="008107C7" w:rsidP="008107C7">
      <w:pPr>
        <w:pStyle w:val="TextoNormal"/>
      </w:pPr>
      <w:r w:rsidRPr="008107C7">
        <w:rPr>
          <w:rStyle w:val="NumeroAFNegritaCaracter"/>
        </w:rPr>
        <w:t>4</w:t>
      </w:r>
      <w:r>
        <w:t>. Con carácter introductorio, conviene recordar, en lo que ahora interesa, algunos de nuestros pronunciamientos sobre la materia. En primer término, y en principio, la omisión en una Ley particular de unas precisiones cualesquiera de carácter básico establecidas en Ley general no vicia necesariamente de inconstitucionalidad a aquella Ley particular, pues estas precisiones mantienen su plena vigencia con independencia de que sean recordadas o no por el legislador (autonómico), cuya referencia a ellas sólo este carácter de recordatorio puede revestir." (cfr. STC 5/1982, fundamento jurídico 2º).</w:t>
      </w:r>
    </w:p>
    <w:p w:rsidR="008107C7" w:rsidRDefault="008107C7" w:rsidP="008107C7">
      <w:pPr>
        <w:pStyle w:val="TextoNormal"/>
      </w:pPr>
      <w:r>
        <w:t xml:space="preserve">Ahora bien, cuando a resultas de una omisión, sea parcial o completa, la norma autonómica contenga en sí misma y por consecuencia una regulación contraria a la ley básica estatal, nuestra conclusión ha de ser distinta. Así, en nuestra STC 62/1993, pudo apreciarse que la norma autonómica enjuiciada se había "limitado a reproducir las causas contenidas en la Ley básica del Estado, sin añadir otros motivos ni desarrollarlos con más detalle, pero suprimiendo significativamente algunas o restringiendo el alcance de otras. Esa reproducción parcial, con omisiones muy significativas, sólo puede ser entendida como reducción por la Ley autonómica del nivel de rigor que en materia de incompatibilidades establece la legislación básica del Estado..." (fundamento jurídico 4º). Por ello, este Tribunal concluyó en la citada Sentencia que el precepto autonómico en cuestión contradecía y no respetaba la legislación básica del Estado al eliminar supuestos previstos por el legislador estatal, "sin que sea óbice para ello, aparte de la inseguridad jurídica que genera este modo de legislar (STC 154/1989), el que la contradicción con la norma básica del Estado no lo sea por exceso, sino por defecto." (cfr. fundamento jurídico 4). Más recientemente, la STC 172/1996, ha recordado que la omisión adquiere significado constitucional cuando lo eliminado, como aquí sucede, tiene carácter básico y de ahí se infiere una contradicción con la norma básica. </w:t>
      </w:r>
      <w:r>
        <w:lastRenderedPageBreak/>
        <w:t>En efecto, "omitir puede ser en ocasiones tanto como contradecir." (fundamento jurídico 2º).</w:t>
      </w:r>
    </w:p>
    <w:p w:rsidR="008107C7" w:rsidRDefault="008107C7" w:rsidP="008107C7">
      <w:pPr>
        <w:pStyle w:val="TextoNormal"/>
      </w:pPr>
      <w:r>
        <w:t>En aplicación de esta doctrina hay que tener en cuenta, que la regulación que se contiene en el art. 3.1 a) de la Ley del Parlamento de Cataluña 21/1987, a resultas de tal omisión, es contraria a lo que dispone el art. 5 a) de la Ley estatal 53/1984.  Se trata de reglas diferentes. Mientras la norma básica condiciona la compatibilidad, en lo que aquí interesa, a que no se perciban retribuciones periódicas en el desempeño de la función parlamentaria, el art.3.1 a) de la Ley 21/1987, por el contrario, admite sin más la compatibilidad. En este caso, pues, resulta obligado concluir en igual sentido que en la citada STC 172/1996: el silencio sobre esta condición básica para el sistema de incompatibilidades "no puede calificarse como inocuo, indiferente o neutro... La incorporación íntegra de la norma básica ha de exigirse aquí y ahora por virtud del carácter esencial del requisito omitido. En consecuencia, no siendo posible una interpretación conforme del precepto... resulta clara su invalidez." (cfr.  fundamento jurídico 3º). Por consiguiente, debe declararse la inconstitucionalidad del precepto impugnado, el art. 3.1 a) de la Ley 21/1987, en cuanto al ommitir un requisito de incompatibilidad contradice lo dispuesto en la legislación básica.</w:t>
      </w:r>
    </w:p>
    <w:p w:rsidR="008107C7" w:rsidRDefault="008107C7" w:rsidP="008107C7">
      <w:pPr>
        <w:pStyle w:val="TextoNormal"/>
      </w:pPr>
    </w:p>
    <w:p w:rsidR="008107C7" w:rsidRDefault="008107C7" w:rsidP="008107C7">
      <w:pPr>
        <w:pStyle w:val="TextoNormal"/>
      </w:pPr>
      <w:r w:rsidRPr="008107C7">
        <w:rPr>
          <w:rStyle w:val="NumeroAFNegritaCaracter"/>
        </w:rPr>
        <w:t>5</w:t>
      </w:r>
      <w:r>
        <w:t>. En atención a la segunda impugnación, conviene recordar cuanto dispone el art. 16.1 de la Ley estatal 53/1984:</w:t>
      </w:r>
    </w:p>
    <w:p w:rsidR="008107C7" w:rsidRDefault="008107C7" w:rsidP="008107C7">
      <w:pPr>
        <w:pStyle w:val="TextoNormal"/>
      </w:pPr>
      <w:r>
        <w:t>"No podrá autorizarse o reconocerse compatibilidad alguna al personal que desempeñe puestos que comporten la percepción de complementos específicos o concepto equiparable, y al retribuido por arancel."</w:t>
      </w:r>
    </w:p>
    <w:p w:rsidR="008107C7" w:rsidRDefault="008107C7" w:rsidP="008107C7">
      <w:pPr>
        <w:pStyle w:val="TextoNormal"/>
      </w:pPr>
      <w:r>
        <w:t>Por su parte, el art. 14 de la Ley del Parlamento de Cataluña, 21/1987, establece que:</w:t>
      </w:r>
    </w:p>
    <w:p w:rsidR="008107C7" w:rsidRDefault="008107C7" w:rsidP="008107C7">
      <w:pPr>
        <w:pStyle w:val="TextoNormal"/>
      </w:pPr>
      <w:r>
        <w:t>"No podrá autorizarse ni reconocerse compatibilidad al personal que ocupe los puestos de trabajo que comporten la percepción de un complemento específico por el factor de incompatibilidad o por concepto equiparable."</w:t>
      </w:r>
    </w:p>
    <w:p w:rsidR="008107C7" w:rsidRDefault="008107C7" w:rsidP="008107C7">
      <w:pPr>
        <w:pStyle w:val="TextoNormal"/>
      </w:pPr>
      <w:r>
        <w:t>A resultas de cuanto antecede (cfr. fundamento jurídico 4º), debe comenzarse por afirmar el carácter básico del art. 16.1 de la Ley 53/1984 en virtud de los mismos argumentos esgrimidos en relación con el art. 5 a). Que la materia regulada en el indicado precepto se acomoda al concepto de lo básico, es algo que además este Tribunal ha tenido ocasión de explicitar en la STC 172/1996 (fundamento jurídico 3º).Con todo, debe tenerse presente que a la luz de esta Sentencia lo que ha de considerarse básico, de acuerdo con lo que dispone el art. 16.1, "es la prohibición de simultanear dos actividades en el sector privado y en el público cuando se perciban retribuciones complementarias por especial dedicación al puesto de trabajo en las Administraciones públicas" (cfr. STC 172/1996, fundamento jurídico 3º).</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Estimar parcialmente el recurso interpuesto por el Gobierno de la Nación y, en su virtud,</w:t>
      </w:r>
    </w:p>
    <w:p w:rsidR="008107C7" w:rsidRDefault="008107C7" w:rsidP="008107C7">
      <w:pPr>
        <w:pStyle w:val="TextoNormal"/>
      </w:pPr>
      <w:r>
        <w:t>1º Declarar que es inconstitucional el art. 3.1 a) de la Ley del Parlamento de Cataluña, 21/1987, de 26 de noviembre, de Incompatibilidades del Personal al servicio de la Administración de la Generalidad,en cuanto omite el requisito establecido en la norma básica.</w:t>
      </w:r>
    </w:p>
    <w:p w:rsidR="008107C7" w:rsidRDefault="008107C7" w:rsidP="008107C7">
      <w:pPr>
        <w:pStyle w:val="TextoNormal"/>
      </w:pPr>
      <w:r>
        <w:lastRenderedPageBreak/>
        <w:t>2º Desestimarlo en todo lo demás.</w:t>
      </w:r>
    </w:p>
    <w:p w:rsidR="008107C7" w:rsidRDefault="008107C7" w:rsidP="008107C7">
      <w:pPr>
        <w:pStyle w:val="TextoNormal"/>
      </w:pPr>
    </w:p>
    <w:p w:rsidR="008107C7" w:rsidRDefault="008107C7" w:rsidP="008107C7">
      <w:pPr>
        <w:pStyle w:val="TextoNormal"/>
      </w:pPr>
      <w:r>
        <w:t>Publíquese este Sentencia en el "Boletín Oficial del Estado".</w:t>
      </w:r>
    </w:p>
    <w:p w:rsidR="008107C7" w:rsidRDefault="008107C7" w:rsidP="008107C7">
      <w:pPr>
        <w:pStyle w:val="TextoNormal"/>
      </w:pPr>
      <w:r>
        <w:t>Dada en Madrid,a once de abril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77" w:name="SENTENCIA_1997_74"/>
      <w:r>
        <w:lastRenderedPageBreak/>
        <w:t>SENTENCIA 74/1997, de 21 de abril de 1997</w:t>
      </w:r>
    </w:p>
    <w:bookmarkEnd w:id="77"/>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121, de 21 de mayo de 1997)</w:t>
      </w:r>
    </w:p>
    <w:p w:rsidR="008107C7" w:rsidRDefault="008107C7" w:rsidP="008107C7">
      <w:pPr>
        <w:pStyle w:val="TtuloBOE"/>
      </w:pPr>
    </w:p>
    <w:p w:rsidR="008107C7" w:rsidRDefault="008107C7" w:rsidP="008107C7">
      <w:pPr>
        <w:pStyle w:val="SntesisDescriptiva"/>
      </w:pPr>
      <w:r>
        <w:t>ECLI:ES:TC:1997:74</w:t>
      </w:r>
    </w:p>
    <w:p w:rsidR="008107C7" w:rsidRDefault="008107C7" w:rsidP="008107C7">
      <w:pPr>
        <w:pStyle w:val="SntesisDescriptiva"/>
      </w:pPr>
    </w:p>
    <w:p w:rsidR="008107C7" w:rsidRDefault="008107C7" w:rsidP="008107C7">
      <w:pPr>
        <w:pStyle w:val="SntesisDescriptiva"/>
      </w:pPr>
      <w:r>
        <w:t>Recurso de amparo 1.589/1992. Contra Sentencia del Juzgado de lo Penal núm. 9 de Madrid, confirmada en apelación por la Audiencia Provincial de Madrid, que absolvió al acusado del delito tipificado en el art. 487 bis del C.P. por impago de prestaciones económicas familiares.</w:t>
      </w:r>
    </w:p>
    <w:p w:rsidR="008107C7" w:rsidRDefault="008107C7" w:rsidP="008107C7">
      <w:pPr>
        <w:pStyle w:val="SntesisDescriptiva"/>
      </w:pPr>
    </w:p>
    <w:p w:rsidR="008107C7" w:rsidRDefault="008107C7" w:rsidP="008107C7">
      <w:pPr>
        <w:pStyle w:val="SntesisAnaltica"/>
      </w:pPr>
      <w:r>
        <w:t>Supuesta vulneración del principio de igualdad: exclusión de los hijos extramatrimoniales de las medidas protectoras reclamadas. Voto particular.</w:t>
      </w:r>
    </w:p>
    <w:p w:rsidR="008107C7" w:rsidRDefault="008107C7" w:rsidP="008107C7">
      <w:pPr>
        <w:pStyle w:val="SntesisAnaltica"/>
      </w:pPr>
    </w:p>
    <w:p w:rsidR="008107C7" w:rsidRDefault="008107C7" w:rsidP="008107C7">
      <w:pPr>
        <w:pStyle w:val="Extracto"/>
      </w:pPr>
      <w:r>
        <w:t>1.</w:t>
      </w:r>
      <w:r>
        <w:tab/>
        <w:t>Ni en el escrito donde se interpone el recurso de apelación ni en el acto de la vista en esa segunda instancia se hizo por la agraviada referencia alguna, siquiera fuere implícita, al agravio sufrido, que se trae luego a esta sede. Siendo ello así, tal silencio en la vía judicial previa nos impide ahora entrar al enjuiciamiento de este aspecto de la pretensión (STC 164/1989) . [F.J. 1]</w:t>
      </w:r>
    </w:p>
    <w:p w:rsidR="008107C7" w:rsidRDefault="008107C7" w:rsidP="008107C7">
      <w:pPr>
        <w:pStyle w:val="Extracto"/>
      </w:pPr>
    </w:p>
    <w:p w:rsidR="008107C7" w:rsidRDefault="008107C7" w:rsidP="008107C7">
      <w:pPr>
        <w:pStyle w:val="Extracto"/>
      </w:pPr>
      <w:r>
        <w:t>2.</w:t>
      </w:r>
      <w:r>
        <w:tab/>
        <w:t>Para que este Tribunal, en el cauce de un recurso de amparo, pueda pronunciarse sobre la constitucionalidad de un precepto legal previamente tiene que constatar que, mediante la aplicación del mismo, se ha producido una concreta lesión de derechos y libertades susceptibles de amparo (SSTC 113/1987 y 153/1988). Siendo ello así, en el seno de este proceso no puede el Tribunal Constitucional decidir si el mencionado precepto del Código Penal infringe el art. 14 de la Constitución en cuanto discriminaba a los integrantes de las parejas que conviven «more uxorio» respecto de quienes se encuentran unidos por vínculo matrimonial, por la sencilla razón de que la Sentencia de la Audiencia Provincial, al aplicarlo, no ha podido causar a la demandante de amparo la referida lesión. [F.J. 2]</w:t>
      </w:r>
    </w:p>
    <w:p w:rsidR="008107C7" w:rsidRDefault="008107C7" w:rsidP="008107C7">
      <w:pPr>
        <w:pStyle w:val="Extracto"/>
      </w:pPr>
    </w:p>
    <w:p w:rsidR="008107C7" w:rsidRDefault="008107C7" w:rsidP="008107C7">
      <w:pPr>
        <w:pStyle w:val="Extracto"/>
      </w:pPr>
      <w:r>
        <w:t>3.</w:t>
      </w:r>
      <w:r>
        <w:tab/>
        <w:t>Es indudable que a través del art. 487 bis del Código Penal se pretendía amparar el derecho que asiste, entre otros, a los hijos de ser sostenidos por sus padres y que esta protección, dada la dicción del precepto y el reconocimiento explícito que el legislador hacía en su justificación, se daba única y exclusivamente a los hijos matrimoniales, en origen o por ulterior matrimonio de sus progenitores, excluyendo a los extramatrimoniales, pues no otro sentido puede darse a la referencia que se hacía en el precepto a los procesos de separación legal, divorcio o declaración de nulidad del matrimonio y al confeso propósito del legislador de proteger a quienes en las «crisis matrimoniales» son víctimas de la insolidaridad de los protagonistas y causantes de las mismas. [F.J. 3]</w:t>
      </w:r>
    </w:p>
    <w:p w:rsidR="008107C7" w:rsidRDefault="008107C7" w:rsidP="008107C7">
      <w:pPr>
        <w:pStyle w:val="Extracto"/>
      </w:pPr>
    </w:p>
    <w:p w:rsidR="008107C7" w:rsidRDefault="008107C7" w:rsidP="008107C7">
      <w:pPr>
        <w:pStyle w:val="Extracto"/>
      </w:pPr>
      <w:r>
        <w:t>4.</w:t>
      </w:r>
      <w:r>
        <w:tab/>
        <w:t xml:space="preserve">Conviene recordar que cuando nuestra Constitución, en su art. 39.1, proclama que los poderes públicos han de asegurar la protección social, económica y jurídica de la familia no constriñe este concepto, en términos exclusivos y excluyentes, a la fundada en el matrimonio, debiendo subsumirse también en el mismo a familias </w:t>
      </w:r>
      <w:r>
        <w:lastRenderedPageBreak/>
        <w:t>de origen no matrimonial (STC 222/1992). Sentado ello, es cierto que esta igualación entre una y otra clase de familias no impone una paridad de trato en todos los aspectos y en todos los órdenes de las uniones matrimoniales y las no matrimoniales (STC 184/1990) y que, por consiguiente, toda distinción entre unas y otras no puede decirse sea incompatible con la igualdad jurídica y la prohibición de discriminación que la Constitución garantiza en su art. 14. Por lo tanto, si el art. 487 bis del Código Penal pretendía proteger a los miembros económicamente más débiles de la unidad familiar en momento de crisis, en principio cabría afirmar que la limitación de la protección a los miembros de unidades familiares de origen matrimonial, con exclusión de los miembros de las extramatrimoniales, necesariamente no tenía por qué ser contraria al art. 14 de la Constitución . [F.J. 4]</w:t>
      </w:r>
    </w:p>
    <w:p w:rsidR="008107C7" w:rsidRDefault="008107C7" w:rsidP="008107C7">
      <w:pPr>
        <w:pStyle w:val="Extracto"/>
      </w:pPr>
    </w:p>
    <w:p w:rsidR="008107C7" w:rsidRDefault="008107C7" w:rsidP="008107C7">
      <w:pPr>
        <w:pStyle w:val="Extracto"/>
      </w:pPr>
      <w:r>
        <w:t>5.</w:t>
      </w:r>
      <w:r>
        <w:tab/>
        <w:t>En definitiva, el legislador, ejerciendo su libertad de configuración normativa, puede elegir libremente proteger o no penalmente a los hijos en las crisis familiares frente al incumplimiento por sus progenitores de las obligaciones asistenciales que les incumben y judicialmente declaradas, pero una vez hecha esta elección no puede dejar al margen de la protección a los hijos no matrimoniales sin incidir en una discriminación por razón de nacimiento que proscribe el art. 14 de la Constitución . [F.J. 4]</w:t>
      </w:r>
    </w:p>
    <w:p w:rsidR="008107C7" w:rsidRDefault="008107C7" w:rsidP="008107C7">
      <w:pPr>
        <w:pStyle w:val="Extracto"/>
      </w:pPr>
    </w:p>
    <w:p w:rsidR="008107C7" w:rsidRDefault="008107C7" w:rsidP="008107C7">
      <w:pPr>
        <w:pStyle w:val="Extracto"/>
      </w:pPr>
      <w:r>
        <w:t>6.</w:t>
      </w:r>
      <w:r>
        <w:tab/>
        <w:t>Ahora bien, que el art. 487 bis del hoy derogado Código Penal de 1973 colisionara frontalmente con el art. 14 C.E., no lleva necesariamente a otorgar el amparo. A diferencia de lo que ocurre con otros derechos, cuyo contenido constitucional se halla materialmente predeterminado, el principio de igualdad se fija por relación, de tal modo que el acto donde se aplique una norma contraria al art. 14 C.E. no queda, solo por ello, viciado de inconstitucionalidad, salvo que, en sí mismo considerado, resulte discriminatorio o vulnere otros derechos fundamentales. La Sección Tercera de la Audiencia Provincial de Madrid, al aplicar el mencionado precepto legal no ha vulnerado derecho fundamental alguno del hijo menor de edad de la demandante de amparo. Recientemente (STC 41/1997) hemos tenido ocasión de afirmar que por sí solo no existe un derecho fundamental a obtener la condena penal de otra persona y, recordando pronunciamientos anteriores (SSTC 147/1985, 83/1989, 157/1990, 31/1996, 177/1996 y 199/1996), que la Constitución no otorga ningún derecho a obtener condenas penales. No existe, pues, hoy en día un derecho de la víctima a obtener la condena penal de otro, y, por ello, no puede pretender en esta sede la anulación de una Sentencia con un pronunciamiento absolutorio . [F.J. 5]</w:t>
      </w:r>
    </w:p>
    <w:p w:rsidR="008107C7" w:rsidRDefault="008107C7" w:rsidP="008107C7">
      <w:pPr>
        <w:pStyle w:val="Extracto"/>
      </w:pPr>
    </w:p>
    <w:p w:rsidR="008107C7" w:rsidRDefault="008107C7" w:rsidP="008107C7">
      <w:pPr>
        <w:pStyle w:val="Extracto"/>
      </w:pPr>
      <w:r>
        <w:t>7.</w:t>
      </w:r>
      <w:r>
        <w:tab/>
        <w:t>Siendo así y si la Sentencia de la Audiencia Provincial absolvió al denunciado porque la conducta que realizó estaba fuera del tipo penal, no puede sostenerse que tal pronunciamiento judicial haya podido efectivamente vulnerar el derecho fundamental invocado. Es más, dicho Tribunal no podía hacer otra cosa por vedárselo el principio de legalidad penal (art. 25.1 C.E.), que impide la interpretación analógica de las normas penales y su aplicación extensiva (SSTC 111/1993 y 34/1996). En definitiva, la absolución pronunciada por la Audiencia Provincial en modo alguno puede haber vulnerado el derecho fundamental que a cualquier hijo en relación con los de su misma condición, reconoce el art. 14 C. E., puesto que ese dere</w:t>
      </w:r>
      <w:r>
        <w:lastRenderedPageBreak/>
        <w:t>cho fundamental no comprende el derecho a la condena de su progenitor. El amparo ha de ser desestimado, sin que sea necesario suscitar ante el Pleno de este Tribunal cuestión sobre la constitucionalidad del reiterado precepto penal derogado . [F.J. 5]</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don Fernando García-Mon y González-Regueral, don Rafael de Mendizábal Allende, don Carles Viver Pi- 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1.589/92, interpuesto por doña Pilar Panes Casa, a quien representa el Procurador de los Tribunales don Pedro Antonio González Sánchez con la asistencia de la Abogada doña Sagrario Ninou Guinot, contra la Sentencia que el Juez de lo Penal núm. 9 de Madrid dictó el 7 de marzo de 1992 y contra la pronunciada en apelación por la Sección Tercera de la Audiencia Provincial de Madrid el 20 de mayo del mismo año. Han comparecido el Ministerio Fiscal y don Gian Luigi Castelli-Gair Hombria, representado por la Procuradora de los Tribunales doña Mónica Oca de Zayas con la dirección del Abogado don Carlos Ruiz Arcos, siendo Ponente el Magistrado don Rafael de Mendizábal Allende,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Doña Pilar Panes Casas, en escrito presentado el 17 de junio de 1992, interpuso el recurso de amparo de que se hace mérito en el encabezamiento, donde se dice, que fruto de una relación afectiva entre ella y don Gian Luigi Castelli-Gair Hombria, el 27 de junio de 1985 nació Jorge Castelli-Gair Panes y, producida la ruptura de la pareja en enero de 1986, en marzo de 1988 solicitó judicialmente la custodia y una pensión de alimentos para éste a cargo del padre, a lo que accedió el Juez de Primera Instancia núm. 27 de Madrid en Sentencia de 28 de febrero de 1989. Como quiera que el padre venía incumpliendo sistemáticamente su obligación de alimentos para con el hijo de ambos, una vez reformado el Código Penal por la Ley Orgánica 3/1989, decidió denunciarle como autor de un delito tipificado en el art. 487 bis del mencionado cuerpo legal. Instruido procedimiento abreviado por el Juez de Instrucción núm. 36 de Madrid, en Sentencia de 7 de marzo de 1992 el Juez de lo Penal núm. 9 de la misma Ciudad absolvió al acusado por no constar que tuviera los medios económicos suficientes para hacer frente a sus obligaciones paterno-filiales. Esta Sentencia fue confirmada en apelación por la Sección Tercera de la Audiencia Provincial de Madrid en otra de 20 de mayo del mismo año, al entender que los hechos denunciados no revisten </w:t>
      </w:r>
      <w:r>
        <w:lastRenderedPageBreak/>
        <w:t xml:space="preserve">los caracteres del tipo del art. 487 bis del Código Penal, puesto que la obligación de alimentos se impuso al acusado en juicio de menor cuantía sobre custodia de menores y no en uno de los que se reflejan en el mencionado precepto. </w:t>
      </w:r>
    </w:p>
    <w:p w:rsidR="008107C7" w:rsidRDefault="008107C7" w:rsidP="008107C7">
      <w:pPr>
        <w:pStyle w:val="TextoNormal"/>
      </w:pPr>
      <w:r>
        <w:t>En la demanda de amparo se dice que han resultado infringidos los arts. 24 y 14 de la Constitución. El primero, cuya vulneración se imputa al Juez de lo Penal, por la interpretación arbitraria y absurda que hizo de la prueba practicada, confundiéndose al afirmar que no consta que el acusado tuviera los medios suficientes para afrontar sus obligaciones paterno-filiales, porque el delito del art. 487 bis del Código Penal es un delito de omisión pura -dejar de pagar- y, por tanto, la carga de la prueba para acreditar la supuesta insolvencia correspondía al acusado. Las consecuencias del incumplimiento por el Juez instructor de sus obligaciones no pueden hacerse recaer sobre la acusación particular y, por consiguiente, la absolución no puede basarse en el hecho de haber sido conferido a dicha parte el trámite de conclusiones provisionales con posterioridad al pronunciamiento del Auto de apertura del juicio oral ni en la inexistencia de pieza separada de responsabilidad civil. Resulta una gran ingenuidad valorar la no renovación del permiso de trabajo por parte del acusado como argumento en contra de la exigibilidad de prestación debida. La infracción del art. 14 de la Constitución la imputa a la Audiencia Provincial porque, a través de la interpretación y aplicación estricta del art. 487 bis del Código Penal, la ha venido a discriminar como también a su hijo, a éste en relación con hijos nacidos en matrimonio y a ella por referencia a quienes se encuentran unidos por vínculo matrimonial. De acuerdo con este planteamiento, interesa el otorgamiento del amparo, la anulación de las resoluciones judiciales que impugna y el planteamiento por la Sala al Pleno de cuestión de inconstitucionalidad del expresado precepto del Código Penal.</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La Sección Cuarta, en providencia de 15 de octubre de 1992, resolvió conceder a la recurrente un plazo de diez días para que acreditase fehacientemente la fecha de notificación de la resolución que puso fin a la vía judicial, y en otra de 1 de diciembre, además de reiterar el anterior requerimiento pese a que la acreditación solicitada ya se había producido, poner de manifiesto a ella y al Ministerio Fiscal, por igual plazo de diez días, la posible concurrencia de la causa de inadmisión prevista en el art. 50.1 a), en relación con el 44.1 c), de la Ley Orgánica de este Tribunal, consistente en la no invocación en el proceso judicial de los derechos fundamentales cuya vulneración ahora denuncia. </w:t>
      </w:r>
    </w:p>
    <w:p w:rsidR="008107C7" w:rsidRDefault="008107C7" w:rsidP="008107C7">
      <w:pPr>
        <w:pStyle w:val="TextoNormal"/>
      </w:pPr>
      <w:r>
        <w:t>La demandante evacuó el trámite en escrito presentado el 18 de diciembre y el Fiscal, mediante escrito presentado en el día anterior, además de dar contestación al traslado que se le confirió puso de manifiesto la eventual carencia manifiesta de contenido constitucional de la demanda [art. 50.1 c) LOTC], por lo que la mencionada Sección, en providencia de 15 de febrero de 1993, decidió someter la cuestión a la consideración de la recurrente, quien en escrito presentado el 12 de marzo sostuvo la viabilidad de su pretensión de amparo.</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La mencionada Sección, en providencia de 15 de marzo, admitió a trámite la demanda, requiriendo a la Sección Tercera de la Audiencia Provincial y al Juzgado de lo Penal núm. 9, ambos de Madrid, la remisión de las respectivas actuaciones y del segundo el emplazamiento de quienes fueron parte en el proceso para que pudieran comparecer en este de amparo, si les conviniere. </w:t>
      </w:r>
    </w:p>
    <w:p w:rsidR="008107C7" w:rsidRDefault="008107C7" w:rsidP="008107C7">
      <w:pPr>
        <w:pStyle w:val="TextoNormal"/>
      </w:pPr>
      <w:r>
        <w:t xml:space="preserve">Don Gian Luigi Castelli-Gair Hombria, mediante escrito registrado el 25 de junio de 1993, compareció en este proceso constitucional solicitando la designación de Procurador del turno de oficio, por lo que la Sección Cuarta, en providencia de 8 de julio, acordó remitir comunicación al Decano del Colegio de Procuradores de Madrid a la par que, por haber sido </w:t>
      </w:r>
      <w:r>
        <w:lastRenderedPageBreak/>
        <w:t>ya recibidas las actuaciones reclamadas, acusaba recibo. Hecha la designación interesada, en providencia de 20 de septiembre, se dio vista de las actuaciones al Ministerio Fiscal y a las partes para que, en el plazo común de veinte días, pudieran formular cuantas alegaciones estimasen convenientes.</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Quien ahora solicita amparo evacuó el trámite el 18 de octubre, reiterando los argumentos expuestos en el escrito de demanda. </w:t>
      </w:r>
    </w:p>
    <w:p w:rsidR="008107C7" w:rsidRDefault="008107C7" w:rsidP="008107C7">
      <w:pPr>
        <w:pStyle w:val="TextoNormal"/>
      </w:pPr>
      <w:r>
        <w:t>El Fiscal formuló sus alegaciones en igual fecha, solicitando la desestimación del recurso de amparo y al efecto argumenta que la afirmación del recurrente de ser arbitraria y absurda la interpretación que de la prueba practicada realizó el Juez de lo Penal en nada se corresponde con la realidad, como se constata leyendo el único fundamento de Derecho de su Sentencia. En relación con la pretendida vulneración del art. 14 de la Constitución, que la demandante achaca a la Audiencia Provincial, afirma que el razonamiento contenido en su Sentencia es irreprochable desde un punto de vista técnico-jurídico, ya que el supuesto de hecho que constituía el objeto de la acusación no es encuadrable en el art. 487 bis del Código Penal que se refiere a los impagos de pensiones acordadas en procedimientos de nulidad, separación o divorcio. El que el legislador haya optado por conceder una vía especialísima de protección penal al matrimonio, no significa que los hijos extramatrimoniales carezcan de tutela penal en supuestos de impago culpable de pensiones, pues este tipo de conductas pueden ser perseguidas penalmente mediante el párrafo segundo del art. 487, el tipo de desobediencia grave a la autoridad del art. 237 e incluso utilizando la figura del alzamiento de bienes del art. 519. No hay, pues, desprotección penal y no se vulnera en consecuencia el art. 14 de la Constitución. Aun admitiendo, a efectos puramente dialécticos, que hubiera un trato desigual, sería muy difícil llegar a la conclusión de que procede el planteamiento de la cuestión de inconstitucionalidad, puesto que «el amparo, tratándose de Sentencias absolutorias, no se produciría con la simple declaración, y sin éste no puede abrirse la vía del art. 55.2 de la LOTC».</w:t>
      </w:r>
    </w:p>
    <w:p w:rsidR="008107C7" w:rsidRDefault="008107C7" w:rsidP="008107C7">
      <w:pPr>
        <w:pStyle w:val="TextoNormal"/>
      </w:pPr>
    </w:p>
    <w:p w:rsidR="008107C7" w:rsidRDefault="008107C7" w:rsidP="008107C7">
      <w:pPr>
        <w:pStyle w:val="TextoNormal"/>
      </w:pPr>
      <w:r w:rsidRPr="008107C7">
        <w:rPr>
          <w:rStyle w:val="NumeroAFNegritaCaracter"/>
        </w:rPr>
        <w:t>5</w:t>
      </w:r>
      <w:r>
        <w:t>. Don Luigi Castelli-Gair Hombria también presentó sus escrito de alegaciones el 18 de octubre, solicitando la «inadmisión» del recurso de amparo, pues, en lo que respecta a la denunciada infracción del art. 24 de la Constitución, el estudio del tipo penal de un delito es cuestión de legalidad ordinaria que debe quedar al margen del recurso de amparo y la interpretación subjetiva que hace la recurrente de la prueba practicada no es base suficiente para plantear tal clase de recurso. Es cierto que el art. 487 bis del Código Penal no contempla la protección de los hijos habidos fuera del matrimonio, pero ello no contradice el art. 14 de la Constitución, pues la protección de tales hijos se articula a través del art. 487 del mismo cuerpo legal; siendo ello así, lo que debió hacer la demandante de amparo es formular la acusación por la vía adecuada y «no puede achacar dicho "despiste" ahora que tiene la vía cerrada como vulneración del precepto constitucional de igualdad ante la Ley».</w:t>
      </w:r>
    </w:p>
    <w:p w:rsidR="008107C7" w:rsidRDefault="008107C7" w:rsidP="008107C7">
      <w:pPr>
        <w:pStyle w:val="TextoNormal"/>
      </w:pPr>
    </w:p>
    <w:p w:rsidR="008107C7" w:rsidRDefault="008107C7" w:rsidP="008107C7">
      <w:pPr>
        <w:pStyle w:val="TextoNormal"/>
      </w:pPr>
      <w:r w:rsidRPr="008107C7">
        <w:rPr>
          <w:rStyle w:val="NumeroAFNegritaCaracter"/>
        </w:rPr>
        <w:t>6</w:t>
      </w:r>
      <w:r>
        <w:t>. En providencia de 17 de abril de 1997, se señaló para deliberación y votación de la presente Sentencia el día 21 del mismo mes y año.</w:t>
      </w:r>
    </w:p>
    <w:p w:rsidR="008107C7" w:rsidRDefault="008107C7" w:rsidP="008107C7">
      <w:pPr>
        <w:pStyle w:val="TextoNormal"/>
      </w:pPr>
    </w:p>
    <w:p w:rsidR="008107C7" w:rsidRDefault="008107C7" w:rsidP="008107C7">
      <w:pPr>
        <w:pStyle w:val="TextoNormalNegritaCentrado"/>
        <w:keepNext/>
      </w:pPr>
      <w:r>
        <w:lastRenderedPageBreak/>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Dos son las Sentencias contra las cuales apunta la pretensión de amparo y doble también la ratio petendi que actúa como su fundamento, cuyo soporte es la infracción de sendas normas constitucionales, por parejas, achacándose a cada una de aquéllas la vulneración de una de éstos. A la Sentencia pronunciada por el Juez de lo Penal se le reprocha haber menoscabado la efectividad de la tutela judicial a la cual tenía y tiene derecho la demandante (art. 24.1 C.E.)  como consecuencia de la valoración absurda y arbitraria que de la prueba practicada se lleva a cabo en aquélla. La dictada en apelación por la Audiencia Provincial desconoce -según se dice- el principio de igualdad ante la Ley (art. 14 C.E.)  por aplicar el art. 487 bis del Código Penal que discrimina a los hijos de parejas no unidas en matrimonio respecto de quienes tienen ese origen. En definitiva, la pretensión va más allá de la nulidad de las Sentencias, dando lugar así al amparo, ya que este actuaría como factor desencadenante para elevar al Tribunal Constitucional en Pleno la cuestión de inconstitucionalidad de aquel precepto legal (art. 55.2 LOTC).</w:t>
      </w:r>
    </w:p>
    <w:p w:rsidR="008107C7" w:rsidRDefault="008107C7" w:rsidP="008107C7">
      <w:pPr>
        <w:pStyle w:val="TextoNormal"/>
      </w:pPr>
      <w:r>
        <w:t>Procede pues que, sin más prolegómenos, pasemos a enjuiciar la primera de esas dos quejas, anticipando ya desde ahora que en su planteamiento ha quedado preterido el talante subsidiario propio del amparo constitucional por no haberse reservado a los Jueces y Tribunales ordinarios la oportunidad de remediar la lesión denunciada, utilizando los medios de impugnación correspondientes a cada orden jurisdiccional. Por ello, nuestra Ley Orgánica impone a quienes acudan a nosotros en demanda de amparo, como presupuesto de su pretensión, la carga de invocar formalmente en el proceso judicial el derecho constitucional de cuya vulneración se queje, tan pronto como, conocida ella, tuviera ocasión para hacerlo, que en este caso no fue otra sino la de alzarse contra la Sentencia del Juez de lo Penal a la cual se achaca la infracción del art. 24.1 de la Constitución. Pues bien, ni en el escrito donde se interpone el recurso de apelación ni en el acto de la vista en esa segunda instancia se hizo por la agraviada referencia alguna, siquiera fuere implícita, al agravio sufrido, que se trae luego a esta sede. Siendo ello así, como así es, tal silencio en la vía judicial previa nos impide ahora entrar al enjuiciamiento de este aspecto de la pretensión (STC 164/1989).</w:t>
      </w:r>
    </w:p>
    <w:p w:rsidR="008107C7" w:rsidRDefault="008107C7" w:rsidP="008107C7">
      <w:pPr>
        <w:pStyle w:val="TextoNormal"/>
      </w:pPr>
    </w:p>
    <w:p w:rsidR="008107C7" w:rsidRDefault="008107C7" w:rsidP="008107C7">
      <w:pPr>
        <w:pStyle w:val="TextoNormal"/>
      </w:pPr>
      <w:r w:rsidRPr="008107C7">
        <w:rPr>
          <w:rStyle w:val="NumeroAFNegritaCaracter"/>
        </w:rPr>
        <w:t>2</w:t>
      </w:r>
      <w:r>
        <w:t>. La otra cara de la pretensión es el principio de igualdad en la aplicación de la Ley que, si bien se imputa a la Sentencia dictada por la Audiencia Provincial, tiene su origen en el art.  487 bis del Código Penal de 1973, hoy derogado, según el cual quien «dejare de pagar durante tres meses consecutivos o seis meses no consecutivos cualquier tipo de prestación económica en favor de su cónyuge o sus hijos, establecida en convenio judicialmente aprobado o resolución judicial, en los supuestos de separación legal, divorcio o declaración de nulidad de matrimonio, será castigado con la pena de arresto mayor y multa de 100.000 a 500.000 pesetas». En la demanda se nos dice que tal precepto legal y la Sentencia que lo ha aplicado infringen el art.  14 de la Constitución por discriminar peyorativamente a la madre y a su hijo, a éste en relación con los nacidos de matrimonio y a aquélla respecto de quienes se encuentran unidos por ese vínculo.</w:t>
      </w:r>
    </w:p>
    <w:p w:rsidR="008107C7" w:rsidRDefault="008107C7" w:rsidP="008107C7">
      <w:pPr>
        <w:pStyle w:val="TextoNormal"/>
      </w:pPr>
      <w:r>
        <w:t xml:space="preserve">Vaya por delante que el proceso de amparo no es la vía adecuada para la impugnación directa de las leyes y que, por lo tanto, de la posible inconstitucionalidad de una ley sólo podrá conocer este Tribunal a través de dicha vía cuando ello resulte imprescindible para corregir la lesión del derecho fundamental que sea achacable directamente a la aplicación del precepto legal que se dice contrario a la Constitución (STC 206/1990); es decir, para </w:t>
      </w:r>
      <w:r>
        <w:lastRenderedPageBreak/>
        <w:t>que este Tribunal, en el cauce de un recurso de amparo, pueda pronunciarse sobre la constitucionalidad de un precepto legal previamente tiene que constatar que, mediante la aplicación del mismo, se ha producido una concreta lesión de derechos y libertades susceptibles de amparo (SSTC 113/1987 y 153/1988).  Siendo ello así, en el seno de este proceso no puede el Tribunal Constitucional decidir si el mencionado precepto del Código Penal infringe el art. 14 de la Constitución en cuanto discriminaba a los integrantes de las parejas que conviven more uxorio respecto de quienes se encuentran unidos por vínculo matrimonial, por la sencilla razón de que la Sentencia de la Audiencia Provincial, al aplicarlo, no ha podido causar a la demandante de amparo la referida lesión. El denunciado -don Luigi Castelli-Gair Hombria- no se encontraba obligado a abonarle pensión de alimentos alguna, ya que la Sentencia dictada en su día por el Juez de Primera Instancia núm. 27 de Madrid tan sólo le condenó a contribuir a los alimentos del hijo menor de ambos con una cantidad de treinta mil pesetas mensuales, sin que hiciera igual pronunciamiento respecto de quien había sido su compañera. No incumplió, pues, obligación alguna para con ella ni, por lo tanto, se formuló denuncia con fundamento en tal circunstancia ni, finalmente, se le absolvió aplicando el art. 487 bis del Código Penal respecto de ese inexistente incumplimiento, de donde va de suyo que no se ha podido causar a la recurrente vulneración alguna de su derecho a ser tratada por la Ley de forma igual que quienes conviven mediando el vínculo matrimonial.</w:t>
      </w:r>
    </w:p>
    <w:p w:rsidR="008107C7" w:rsidRDefault="008107C7" w:rsidP="008107C7">
      <w:pPr>
        <w:pStyle w:val="TextoNormal"/>
      </w:pPr>
    </w:p>
    <w:p w:rsidR="008107C7" w:rsidRDefault="008107C7" w:rsidP="008107C7">
      <w:pPr>
        <w:pStyle w:val="TextoNormal"/>
      </w:pPr>
      <w:r w:rsidRPr="008107C7">
        <w:rPr>
          <w:rStyle w:val="NumeroAFNegritaCaracter"/>
        </w:rPr>
        <w:t>3</w:t>
      </w:r>
      <w:r>
        <w:t>. Nuestro enjuiciamiento debe quedar reducido, pues, a si la Sentencia de la Audiencia por haber aplicado el art. 487 bis del Código Penal, hoy derogado, discriminó al hijo menor de edad de la demandante de amparo por relación con los hijos habidos en el matrimonio, y para ello debemos comenzar indagando cuál sea el bien jurídico que se pretendía proteger con la tipificación contenida en el mencionado precepto legal. En el Preámbulo de la Ley Orgánica 3/1989, que introdujo el precepto en cuestión en el Código Penal de 1973, se justificaba el nuevo tipo en la necesidad de dar protección a «los miembros económicamente más débiles de la unidad familiar frente al incumplimiento de deberes asistenciales por el obligado a prestarlos (...)  intentado así dar la máxima protección a quienes en las crisis matrimoniales padecen las consecuencias de la insolidaridad del obligado a prestaciones de aquella clase». Es indudable que a través del art. 487 bis del Código Penal se pretendía amparar el derecho que asiste, entre otros, a los hijos de ser sostenidos por sus padres y que esta protección, dada la dicción del precepto y el reconocimiento explícito que el legislador hacía en su justificación, se daba única y exclusivamente a los hijos matrimoniales, en origen o por ulterior matrimonio de sus progenitores, excluyendo a los extramatrimoniales, pues no otro sentido puede darse a la referencia que se hacía en el precepto a los procesos de separación legal, divorcio o declaración de nulidad del matrimonio y al confeso propósito del legislador de proteger a quienes en las crisis matrimoniales son víctimas de la insolidaridad de los protagonistas y causantes de las mismas.</w:t>
      </w:r>
    </w:p>
    <w:p w:rsidR="008107C7" w:rsidRDefault="008107C7" w:rsidP="008107C7">
      <w:pPr>
        <w:pStyle w:val="TextoNormal"/>
      </w:pPr>
      <w:r>
        <w:t>Así las cosas, conviene precisar que a través de la cuestión sometida a nuestra consideración no se trata de determinar si existe un derecho a ser protegido de forma igual por la ley penal, sino, si, una vez decidido proteger penalmente un bien jurídico, determinados titulares del mismo pueden quedar excluidos y, más en concreto, si hecha la opción de dar protección en los momentos de crisis a los miembros de la familia económicamente más desamparados frente al incumplimiento de los deberes asistenciales por parte de los obligados, pueden quedar excluidos aquellos hijos que tienen la condición de extramatrimoniales.</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4</w:t>
      </w:r>
      <w:r>
        <w:t>. En este punto conviene recordar que cuando nuestra Constitución, en su art.  39.1, proclama que los poderes públicos han de asegurar la protección social, económica y jurídica de la familia no constriñe este concepto, en términos exclusivos y excluyentes, a la fundada en el matrimonio, debiendo subsumirse también en el mismo a familias de origen no matrimonial (STC 222/1992).  Sentado ello, es cierto que esta igualación entre una y otra clase de familias no impone una paridad de trato en todos los aspectos y en todos los órdenes de las uniones matrimoniales y las no matrimoniales (STC 184/1990) y que, por consiguiente, toda distinción entre unas y otras no puede decirse sea incompatible con la igualdad jurídica y la prohibición de discriminación que la Constitución garantiza en su art. 14. Por lo tanto, si el art. 487 bis del Código Penal pretendía proteger a los miembros económicamente más débiles de la unidad familiar en momento de crisis, en principio cabría afirmar que la limitación de la protección a los miembros de unidad familiares de origen matrimonial, con exclusión de los miembros de las extramatrimoniales, necesariamente no tenía por qué ser contraria al art. 14 de la Constitución.</w:t>
      </w:r>
    </w:p>
    <w:p w:rsidR="008107C7" w:rsidRDefault="008107C7" w:rsidP="008107C7">
      <w:pPr>
        <w:pStyle w:val="TextoNormal"/>
      </w:pPr>
      <w:r>
        <w:t>Pero la anterior conclusión, que tiene su fundamento en el hecho de que la decisión de vivir en matrimonio o convivir more uxorio es libremente adoptada por los sujetos de una y otra clase de unión, no es válida para el caso de los hijos, a quienes la Constitución obliga a dispensar una protección integral con independencia de su filiación y respecto de quienes los padres deben prestar asistencia con independencia de su origen matrimonial o extramatrimonial (art. 39.2 y 3 C.E.), en otras palabras, de su nacimiento, y cuyo desvalimiento motiva incluso una intensa protección internacional (Convención de las Naciones Unidas sobre los Derechos del Niño, de 20 de noviembre de 1989, ratificada por España mediante instrumento de 30 de noviembre de 1990), pues su filiación y su condición de habidos dentro o fuera del matrimonio es el resultado de decisiones ajenas a los mismos (STC 184/1990). En definitiva, el legislador, ejerciendo su libertad de configuración normativa, puede elegir libremente proteger o no penalmente a los hijos en las crisis familiares frente al incumplimiento por sus progenitores de las obligaciones asistenciales que les incumben y judicialmente declaradas, pero una vez hecha esta elección no puede dejar al margen de la protección a los hijos no matrimoniales sin incidir en una discriminación por razón de nacimiento que proscribe el art. 14 de la Constitución.</w:t>
      </w:r>
    </w:p>
    <w:p w:rsidR="008107C7" w:rsidRDefault="008107C7" w:rsidP="008107C7">
      <w:pPr>
        <w:pStyle w:val="TextoNormal"/>
      </w:pPr>
      <w:r>
        <w:t>Esta conclusión no se ve enervada porque existieran otros preceptos en el Código Penal de 1973 a través de los cuales puediera reaccionarse contra el incumplimiento por los progenitores de sus obligaciones de sostenimiento para con sus hijos extramatrimoniales, en concreto, tal y como nos recuerdan el Fiscal y el codemandado, los arts. 487, 237 y 519. El primero, porque al tipificar el delito genérico de abandono de familia, a diferencia del precepto cuestionado, exigía, además del incumplimiento de los deberes paterno-filiales, que tal incumplimiento tuviese su causa en la conducta desordenada del obligado, con lo que la protección penal en este caso resultaba menos intensa que la que se dispensaba a través del art. 487 bis y, por ende, la discriminación subsistía en la medida en que los hijos no matrimoniales recibían una protección más débil que los que tienen su origen en el matrimonio. Los segundos, que tipificaban respectivamente los delitos de desobediencia y de alzamiento de bienes, porque a través de ellos se protegían bienes jurídicos diferentes al que ahora centra nuestra atención y se describían conductas cuyos rasgos típicos eran diversos de los de la aquí contemplada. Buena prueba de que ese art. 487 bis se compadecía mal con el art. 14 C.E. es el vigente Código Penal de 1995 donde la protección se extiende a todos los hijos, cualquiera que fuere su origen (art. 227).</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5</w:t>
      </w:r>
      <w:r>
        <w:t>. Ahora bien, que el art. 487 bis del hoy derogado Código Penal de 1973 colisionara frontalmente con el art. 14 C.E., no lleva necesariamente a otorgar el amparo. A diferencia de lo que ocurre con otros derechos, cuyo contenido constitucional se halla materialmente predeterminado, el principio de igualdad se fija por relación, de tal modo que el acto donde se aplique una norma contraria al art. 14 C.E. no queda, solo por ello, viciado de inconstitucionalidad, salvo que, en sí mismo considerado, resulte discriminatorio o vulnere otros derechos fundamentales.</w:t>
      </w:r>
    </w:p>
    <w:p w:rsidR="008107C7" w:rsidRDefault="008107C7" w:rsidP="008107C7">
      <w:pPr>
        <w:pStyle w:val="TextoNormal"/>
      </w:pPr>
      <w:r>
        <w:t>La Sección Tercera de la Audiencia Provincial de Madrid, al aplicar el mencionado precepto legal no ha vulnerado derecho fundamental alguno del hijo menor de edad de la demandante de amparo. Recientemente (STC 41/1997) hemos tenido ocasión de afirmar que por sí solo no existe un derecho fundamental a obtener la condena penal de otra persona y, recordando pronunciamientos anteriores (SSTC 147/1985, 83/1989, 157/1990, 31/1996, 177/1996 y 199/1996), que la Constitución no otorga ningún derecho a obtener condenas penales. No existe, pues, hoy en día un un derecho de la víctima a obtener la condena penal de otro, y, por ello, no puede pretender en esta sede la anulación de una Sentencia con un pronunciamiento absolutorio.</w:t>
      </w:r>
    </w:p>
    <w:p w:rsidR="008107C7" w:rsidRDefault="008107C7" w:rsidP="008107C7">
      <w:pPr>
        <w:pStyle w:val="TextoNormal"/>
      </w:pPr>
      <w:r>
        <w:t>Siendo así y si la Sentencia de la Audiencia Provincial absolvió al denunciado porque la conducta que realizó estaba fuera del tipo penal, no puede sostenerse que tal pronunciamiento judicial haya podido efectivamente vulnerar el derecho fundamental invocado. Es más, dicho Tribunal no podía hacer otra cosa por vedarselo el principio de legalidad penal (art. 25.1 C.E.), que impide la interpretación analógica de las normas penales y su aplicación extensiva (SSTC 111/1993 y 34/1996). En definitiva, la absolución pronunciada por la Audiencia Provincial en modo alguno puede haber vulnerado el derecho fundamental que a cualquier hijo en relación con los de su misma condición, reconoce el art. 14 C.E., puesto que ese derecho fundamental no comprende el derecho a la condena de su progenitor. El amparo ha de ser desestimado, sin que sea necesario suscitar ante el Pleno de este Tribunal cuestión sobre la constitucionalidad del reiterado precepto penal derogado.</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Desestimar el presente recurso de amparo.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veintiuno de abril de mil novecientos noventa y siete.</w:t>
      </w:r>
    </w:p>
    <w:p w:rsidR="008107C7" w:rsidRDefault="008107C7" w:rsidP="008107C7">
      <w:pPr>
        <w:pStyle w:val="ParrafoNormal"/>
      </w:pPr>
    </w:p>
    <w:p w:rsidR="008107C7" w:rsidRDefault="008107C7" w:rsidP="008107C7">
      <w:pPr>
        <w:pStyle w:val="TextoNormalNegritaCentrado"/>
        <w:keepNext/>
      </w:pPr>
      <w:r>
        <w:t>Voto particular que formula el magistrado don Carles Viver Pi- Sunyer a la sentencia que resuelve el recurso de amparo núm.  1.589/92.</w:t>
      </w:r>
    </w:p>
    <w:p w:rsidR="008107C7" w:rsidRDefault="008107C7" w:rsidP="008107C7">
      <w:pPr>
        <w:pStyle w:val="TextoNormalNegritaCentrado"/>
        <w:keepNext/>
      </w:pPr>
    </w:p>
    <w:p w:rsidR="008107C7" w:rsidRDefault="008107C7" w:rsidP="008107C7">
      <w:pPr>
        <w:pStyle w:val="TextoNormal"/>
      </w:pPr>
      <w:r>
        <w:t xml:space="preserve">1. Mi respetuosa discrepancia con la Sentencia se refiere al fallo, a la ratio decidendi que lleva a él y a los tres argumentos en los que se pretende fundar esta razón de decidir. En concreto no comparto la afirmación según la cual la resolución recurrida "en modo alguno </w:t>
      </w:r>
      <w:r>
        <w:lastRenderedPageBreak/>
        <w:t>puede haber vulnerado el derecho fundamental" a la igualdad ya que, dice la Sala, en primer lugar, no existe un derecho a la condena; en segundo lugar, la parte demandada en el proceso a quo fue absuelta porque su conducta no era típica; y, finalmente, la inconstitucionalidad del art. 487 bis del Código Penal vigente en 1992 no produce en este caso la inconstitucionalidad de la decisión judicial ya que el contenido del derecho a la igualdad se fija por relación.</w:t>
      </w:r>
    </w:p>
    <w:p w:rsidR="008107C7" w:rsidRDefault="008107C7" w:rsidP="008107C7">
      <w:pPr>
        <w:pStyle w:val="TextoNormal"/>
      </w:pPr>
      <w:r>
        <w:t>2. A mi juicio, la Sentencia recurrida, al absolver al acusado del delito de impago de prestaciones económicas familiares, ha vulnerado el derecho del hijo nacido fuera del matrimonio a recibir igual trato que los hijos matrimoniales ex art. 14 C.E.  El hecho de que esa infracción derive directamente del referido art. 487 bis C.P. y la Audiencia no pudiese adoptar una decisión distinta de la que adoptó, no permite ignorar que la vulneración se produjo ni concluir que el Tribunal Constitucional no puede dictar ninguna resolución dirigida a reparar, siquiera sea parcialmente, el derecho invocado. El legislador goza de plena libertad para proteger o no penalmente las referidas prestaciones económicas, pero si decide hacerlo respecto de los hijos habidos en el matrimonio también debe hacerlo respecto de los hijos extramatrimoniales. Al prever la sanción penal sólo en el primer supuesto vulnera los arts. 14 y 39. 2 C.E. y el órgano judicial al verse obligado a aplicar este precepto inconstitucional incurre en esta misma infracción.  Frente a esta conclusión creo que los dos primeros argumentos aducidos en la Sentencia para negar el amparo no son lógicamente coherentes con la conclusión que de ellos pretende extraerse. El tercero tiene mayor enjundia pero, a mi entender, tampoco puede justificar la decisión adoptada.</w:t>
      </w:r>
    </w:p>
    <w:p w:rsidR="008107C7" w:rsidRDefault="008107C7" w:rsidP="008107C7">
      <w:pPr>
        <w:pStyle w:val="TextoNormal"/>
      </w:pPr>
      <w:r>
        <w:t>3. Comparto sin reserva la tesis, reiterada por este Tribunal, de que nuestra Constitución no proclama derecho subjetivo alguno a la condena de otro, ni frente al legislador ni frente a los órganos judiciales. También reconozco, como no puede ser de otro modo, que el principio de legalidad penal del art.  25.1 C.E. impedía en el caso enjuiciado la condena del padre demandado extendiendo el tipo penal a un supuesto no contemplado expresamente en él. Es más, creo que no podía exigirse a la Audiencia Provincial el planteamiento de la cuestión de inconstitucionalidad, ya que la hipotética declaración de la inconstitucionalidad y nulidad del art. 487 bis C.P. vigente en el momento de dictarse la Sentencia recurrida no hubiera podido tener incidencia en la resolución del caso.</w:t>
      </w:r>
    </w:p>
    <w:p w:rsidR="008107C7" w:rsidRDefault="008107C7" w:rsidP="008107C7">
      <w:pPr>
        <w:pStyle w:val="TextoNormal"/>
      </w:pPr>
      <w:r>
        <w:t xml:space="preserve">Sin embargo, como queda dicho, de esas dos premisas no se sigue como consecuencia lógicamente necesaria la conclusión a la que llega la Sala en el sentido de que la resolución recurrida no puede haber conculcado el derecho a la igualdad. Las Sentencias penales absolutorias pueden vulnerar derechos fundamentales -procesales y sustantivos- de quienes ejercen la acción penal en los supuestos en los que la interpretación y aplicación de dichos derechos sea contraria a su contenido constitucional. Así ha venido reiterándolo este Tribunal, por ejemplo, en los procesos de amparo relativos a los conflictos entre el derecho al honor y la libertad de expresión que se dilucidan ante la jurisdicción penal. En estos casos, el hecho de que no exista un derecho subjetivo a la condena ajena - a lo que aquí se añade la imposibilidad de extender el tipo penal ex art.  25 C.E.- supone que el Tribunal Constitucional no puede anular la Sentencia absolutoria y condenar, ni, salvo excepciones, retrotraer para que el órgano judicial pueda volver a juzgar y, en su caso, condenar (razones relativas a la seguridad jurídica también se oponen a esta solución). Esto no significa, sin embargo, que el Tribunal se vea imposibilitado de llevar a cabo su función de garante de la Constitución y en especial de los derechos fundamentales que en ella se consagran, fiscalizando la interpretación y aplicación que de estos derechos se ha hecho, ni que, en el supuesto de que no se hayan respetado los contenidos constitucionales, no pueda declarar esa vulneración </w:t>
      </w:r>
      <w:r>
        <w:lastRenderedPageBreak/>
        <w:t>con los efectos nada baladíes que de ello pueden derivarse, generales - relativos a la definición del contenido de los derechos fundamentales- y particulares -tanto en el ámbito de la reparación moral cuanto en el de la reparación económica derivada de la incorrecta actuación de los poderes públicos-.</w:t>
      </w:r>
    </w:p>
    <w:p w:rsidR="008107C7" w:rsidRDefault="008107C7" w:rsidP="008107C7">
      <w:pPr>
        <w:pStyle w:val="TextoNormal"/>
      </w:pPr>
      <w:r>
        <w:t>El que los particulares hayan deferido a los poderes públicos el ejercicio del ius puniendi no implica, como demuestra nuestro ordenamiento procesal, que deban quedar al margen de la acción penal, que carezcan de los derechos fundamentales de índole procesal que su presencia en el procedimiento comporta, o que sea constitucionalmente indiferente el tratamiento que hagan los Jueces y Tribunales penales de sus derechos fundamentales sustantivos.  Dicho en otros términos, el que los particulares no sean titulares del ius puniendi sólo comporta el que no tienen el derecho a la condena ajena como consecuencia de la vulneración de un derecho fundamental propio, pero no que carezcan de los derechos procesales generales anudados a su participación en el proceso, que sus derechos sustantivos no pueden ser vulnerados en el proceso penal, o que, excluida la condena como efecto del amparo no quepan en la jurisdicción penal otras vías de reconocimiento o reparación de los derechos sustantivos conculcados.</w:t>
      </w:r>
    </w:p>
    <w:p w:rsidR="008107C7" w:rsidRDefault="008107C7" w:rsidP="008107C7">
      <w:pPr>
        <w:pStyle w:val="TextoNormal"/>
      </w:pPr>
      <w:r>
        <w:t>Por lo demás, la afirmación de que el Tribunal Constitucional no se ve privado de toda posibilidad de corrección de las vulneraciones de los derechos fundamentales producidas por Sentencias penales absolutorias no sólo es más acorde con la función y la posición constitucional del Tribunal sino que, mientras continúe admitiéndose la idoneidad de la vía penal como vía judicial previa al recurso de amparo constitucional, es la única solución que no defrauda las expectativas previamente reconocidas a los recurrentes.</w:t>
      </w:r>
    </w:p>
    <w:p w:rsidR="008107C7" w:rsidRDefault="008107C7" w:rsidP="008107C7">
      <w:pPr>
        <w:pStyle w:val="TextoNormal"/>
      </w:pPr>
      <w:r>
        <w:t>Como he reiterado, la particularidad del presente caso estriba en que la vulneración del derecho a la igualdad deriva de la inconstitucionalidad del precepto penal aplicable y de que dicha aplicación era forzosa, pues ni se podía eludir el precepto ni el mismo admitía una interpretación conforme al art. 14 C.E.  Por ello, a mi juicio, la Sala, además de conceder el amparo y declarar la vulneración del derecho a la igualdad a los efectos correspondientes, debía plantear al Pleno del Tribunal la cuestión de inconstitucionalidad del art. 487 bis del anterior Código Penal. Los obstáculos procesales que, ex arts. 163 C.E. y 35.1 LOTC, se levantaban ante la Audiencia Provincial para plantear la cuestión de inconstitucionalidad, no existían en nuestro caso, del mismo modo que tampoco la derogación del precepto producía una ausencia de objeto de la cuestión ni privaba de efectos a la hipotética Sentencia de inconstitucionalidad, como se explica in extenso en el fundamento jurídico 2º de la STC 55/1996 al que ahora me remito.</w:t>
      </w:r>
    </w:p>
    <w:p w:rsidR="008107C7" w:rsidRDefault="008107C7" w:rsidP="008107C7">
      <w:pPr>
        <w:pStyle w:val="TextoNormal"/>
      </w:pPr>
      <w:r>
        <w:t xml:space="preserve">Es cierto que la Sentencia de la que disiento admite que el precepto penal era inconstitucional, pero añade que esa inconstitucionalidad no se transmite a la resolución judicial impugnada, ya que el derecho a la igualdad es un derecho cuyo contenido se define por relación "de tal modo que el acto donde se aplique una norma contraria al art. 14 no queda, sólo por ello, viciado de inconstitucionalidad, salvo que, en sí mismo considerado, resulte discriminatorio o vulnere otros derechos fundamentales".  Si con esta afirmación pretende decirse que el legislador era constitucionalmente libre para penalizar o no el impago de las prestaciones económicas familiares y que si hubiera optado por la despenalización el órgano judicial hubiera tenido que pronunciar también una Sentencia absolutoria, con lo que la absolución que en el caso se ha producido no es en sí misma inconstitucional, si esto es lo que quiere decirse, debo manifestar de nuevo mi discrepancia. En primer lugar, porque lo relevante desde el art.  14 C.E. no es la absolución en sí, sino la diferencia que separa esta solución de un conflicto jurídico respecto de la que se dicta en otros que son sustancialmente iguales. En segundo lugar, porque la relación relevante desde la perspectiva del principio de </w:t>
      </w:r>
      <w:r>
        <w:lastRenderedPageBreak/>
        <w:t>igualdad en la ley es la que depara la aplicación de una norma concreta a los destinatarios de la misma, y no la situación de un destinatario de la misma respecto a la que le hubiera producido una hipotética norma que no mereciera tacha alguna de inconstitucionalidad. En otros términos, aunque es cierto que, en abstracto, una Sentencia penal absolutoria de un padre que no satisface las prestaciones económicas a su hijo extramatrimonial no es necesariamente inconstitucional, sin embargo, en el supuesto concreto aquí enjuiciado, y este Tribunal debe estar a los casos concretos y no a situaciones hipotéticas, esa Sentencia absolutoria sí incurre en este vicio e incurre en él precisamente porque es aplicación de un precepto contrario a la Constitución por discriminatorio de los hijos extramatrimoniales. El hecho de que este precepto pudiera no haber existido, ya que no existe ningún derecho del menor extramatrimonial a que se garantice el pago de las prestaciones económicas mediante sanciones penales, no puede llevar a negar la evidencia de que este precepto efectivamente existió, y, frente a lo que dice la Sentencia, fue su inconstitucionalidad la que se transmitió a una resolución judicial que se limitó a aplicarlo.</w:t>
      </w:r>
    </w:p>
    <w:p w:rsidR="008107C7" w:rsidRDefault="008107C7" w:rsidP="008107C7">
      <w:pPr>
        <w:pStyle w:val="TextoNormal"/>
      </w:pPr>
      <w:r>
        <w:t>4. Ciertamente, el caso enjuiciado presenta caracteres muy particulares, pero subyace al mismo una cuestión de alcance general y de gran trascendencia teórica y práctica, como es la delimitación del ámbito del proceso constitucional de amparo en los casos de resoluciones judiciales absolutorias en materia penal que conculcan derechos fundamentales de los recurrentes. En última instancia, la solución de este problema no es ajena a la concepción que se tenga de la posición institucional y de las funciones encomendadas al Tribunal Constitucional en su condición de garante último de los derechos fundamentales.</w:t>
      </w:r>
    </w:p>
    <w:p w:rsidR="008107C7" w:rsidRDefault="008107C7" w:rsidP="008107C7">
      <w:pPr>
        <w:pStyle w:val="TextoNormal"/>
      </w:pPr>
      <w:r>
        <w:t>Madrid, a veinticuatro de abril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78" w:name="SENTENCIA_1997_75"/>
      <w:r>
        <w:lastRenderedPageBreak/>
        <w:t>SENTENCIA 75/1997, de 21 de abril de 1997</w:t>
      </w:r>
    </w:p>
    <w:bookmarkEnd w:id="78"/>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121, de 21 de mayo de 1997)</w:t>
      </w:r>
    </w:p>
    <w:p w:rsidR="008107C7" w:rsidRDefault="008107C7" w:rsidP="008107C7">
      <w:pPr>
        <w:pStyle w:val="TtuloBOE"/>
      </w:pPr>
    </w:p>
    <w:p w:rsidR="008107C7" w:rsidRDefault="008107C7" w:rsidP="008107C7">
      <w:pPr>
        <w:pStyle w:val="SntesisDescriptiva"/>
      </w:pPr>
      <w:r>
        <w:t>ECLI:ES:TC:1997:75</w:t>
      </w:r>
    </w:p>
    <w:p w:rsidR="008107C7" w:rsidRDefault="008107C7" w:rsidP="008107C7">
      <w:pPr>
        <w:pStyle w:val="SntesisDescriptiva"/>
      </w:pPr>
    </w:p>
    <w:p w:rsidR="008107C7" w:rsidRDefault="008107C7" w:rsidP="008107C7">
      <w:pPr>
        <w:pStyle w:val="SntesisDescriptiva"/>
      </w:pPr>
      <w:r>
        <w:t>Recurso de amparo 3.157/1992. La Universidad de Valencia contra Sentencia de la Sala Segunda de la extinta Audiencia Territorial de Valencia, confirmada en apelación por la Sala Tercera del Tribunal Supremo.</w:t>
      </w:r>
    </w:p>
    <w:p w:rsidR="008107C7" w:rsidRDefault="008107C7" w:rsidP="008107C7">
      <w:pPr>
        <w:pStyle w:val="SntesisDescriptiva"/>
      </w:pPr>
    </w:p>
    <w:p w:rsidR="008107C7" w:rsidRDefault="008107C7" w:rsidP="008107C7">
      <w:pPr>
        <w:pStyle w:val="SntesisAnaltica"/>
      </w:pPr>
      <w:r>
        <w:t>Vulneración del derecho a la autonomía universitaria: denominación de la lengua propia como "catalán". Voto particular.</w:t>
      </w:r>
    </w:p>
    <w:p w:rsidR="008107C7" w:rsidRDefault="008107C7" w:rsidP="008107C7">
      <w:pPr>
        <w:pStyle w:val="SntesisAnaltica"/>
      </w:pPr>
    </w:p>
    <w:p w:rsidR="008107C7" w:rsidRDefault="008107C7" w:rsidP="008107C7">
      <w:pPr>
        <w:pStyle w:val="Extracto"/>
      </w:pPr>
      <w:r>
        <w:t>1.</w:t>
      </w:r>
      <w:r>
        <w:tab/>
        <w:t>La cuestión que se somete a nuestra consideración es clara y precisa. Se trata, en definitiva, de averiguar si vulnera la autonomía universitaria, consagrada como derecho fundamental en el art. 27.10 C.E. (STC 26/1987), aquellas decisiones judiciales que prohíben a la Universidad de Valencia dar el nombre de «catalán» a su lengua propia, por serlo de la Comunidad Valenciana, como sinónimo de «valenciano». Nuestra respuesta no puede, en consecuencia, eludir el dato de que la autorización de su Junta de Gobierno para utilizar indistintamente esas dos denominaciones para un mismo idioma, encuentra cobertura en los Estatutos de dicha Universidad. [F.J. 2]</w:t>
      </w:r>
    </w:p>
    <w:p w:rsidR="008107C7" w:rsidRDefault="008107C7" w:rsidP="008107C7">
      <w:pPr>
        <w:pStyle w:val="Extracto"/>
      </w:pPr>
    </w:p>
    <w:p w:rsidR="008107C7" w:rsidRDefault="008107C7" w:rsidP="008107C7">
      <w:pPr>
        <w:pStyle w:val="Extracto"/>
      </w:pPr>
      <w:r>
        <w:t>2.</w:t>
      </w:r>
      <w:r>
        <w:tab/>
        <w:t>La primera de las potestades que, según el art. 3.2 L.R.U. y la jurisprudencia de este Tribunal (STC 26/1987, 187/1991 y 156/1994), conforman el contenido esencial de la autonomía permite a las Universidades elaborar sus Estatutos y las demás normas de funcionamiento interno [art. 3.2 a)]. Los Estatutos, cuya norma habilitante es la Ley de Reforma Universitaria, no son desarrollo de ella, sino disposiciones reglamentarias donde se plasman las potestades de darse normas, autonomía en sentido estricto y autoorganización. A diferencia de lo que ocurre con los reglamentos ejecutivos de las Leyes, que deben seguir estrictamente la letra y el espíritu de la que traen causa, los Estatutos universitarios se mueven en otro ámbito donde la Ley no sirve sino como marco para acotar o deslindar y, por tanto, los preceptos estatutarios sólo podrán ser tachados de ilegales si contradijeren frontalmente las normas que configuren la autonomía universitaria, pues si admitieren una interpretación conforme a ella, habría de concluirse en favor de su validez (SSTC 55/1989 y 130/1991). [F.J. 3]</w:t>
      </w:r>
    </w:p>
    <w:p w:rsidR="008107C7" w:rsidRDefault="008107C7" w:rsidP="008107C7">
      <w:pPr>
        <w:pStyle w:val="Extracto"/>
      </w:pPr>
    </w:p>
    <w:p w:rsidR="008107C7" w:rsidRDefault="008107C7" w:rsidP="008107C7">
      <w:pPr>
        <w:pStyle w:val="Extracto"/>
      </w:pPr>
      <w:r>
        <w:t>3.</w:t>
      </w:r>
      <w:r>
        <w:tab/>
        <w:t xml:space="preserve">El Acuerdo de la Junta de Gobierno de la Universidad de Valencia, que fue impugnado en la vía contencioso-administrativa, y el art. 7 de los Estatutos de la Universidad donde encuentra cobertura, vienen a establecer de consuno que la valenciana, lengua propia de la Comunidad Valenciana y, por ello, de su Universidad, podrá ser también denominada «lengua catalana», en el ámbito universitario, sin que ello contradiga el Estatuto de Autonomía ni la Ley de la Cortes Valencianas mencionada al principio. La Universidad de Valencia no ha transformado la denominación del valenciano y se ha limitado a permitir que en su seno pueda </w:t>
      </w:r>
      <w:r>
        <w:lastRenderedPageBreak/>
        <w:t>ser conocido también como catalán, en su dimensión «académica», según los propios Estatutos. No se rebasa, pues, el perímetro de la autonomía universitaria, tal y como se configura legalmente y, por tanto, es indudable la validez de los preceptos en tela de juicio . [F.J. 4]</w:t>
      </w:r>
    </w:p>
    <w:p w:rsidR="008107C7" w:rsidRDefault="008107C7" w:rsidP="008107C7">
      <w:pPr>
        <w:pStyle w:val="Extracto"/>
      </w:pPr>
    </w:p>
    <w:p w:rsidR="008107C7" w:rsidRDefault="008107C7" w:rsidP="008107C7">
      <w:pPr>
        <w:pStyle w:val="Extracto"/>
      </w:pPr>
      <w:r>
        <w:t>4.</w:t>
      </w:r>
      <w:r>
        <w:tab/>
        <w:t>Podrá discutirse cuanto se quiera sobre la pertinencia de que en el seno de la Universidad de Valencia la lengua propia de la Comunidad Autónoma se denomine indistintamente valenciano o catalán, pero, como ha quedado dicho, ello no contradice valores, bienes o intereses constitucionalmente tutelados y no vulnera precepto legal alguno. En consecuencia, como alega lúcidamente el Fiscal, ha de concluirse que las Sentencias aquí y ahora impugnadas, donde se anula el Acuerdo correspondiente, vulneran la autonomía de la Universidad y que, en definitiva, el amparo por ella pedido debe serle otorgado . [F.J. 4]</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Rafael de Mendizábal Allende,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3.157/92, interpuesto por la Universidad de Valencia, a quien representa el Procurador de los Tribunales don Juan Luis Pérez-Mulet y Suárez con la asistencia del Letrado don José Luis Martínez Morales, contra la Sentencia dictada el 19 de mayo de 1989 por la Sala Segunda de lo Contencioso-Administrativo de la extinta Audiencia Territorial de Valencia, confirmada en apelación por la que la Sección Tercera de la Sala Tercera del Tribunal Supremo pronunció el 20 de noviembre de 1992. Han comparecido el Fiscal y la Asociación Cultural y Representativa "Alternativa Universitaria", representada por el Procurador de los Tribunales don Luis Suárez Migoyo, bajo la dirección del Letrado don Juan García Santandreu, siendo Ponente el Magistrado don Rafael de Mendizábal Allende,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La Universidad de Valencia, en escrito que presentó el 18 de diciembre de 1992, interpuso el recurso de amparo de que se hace mérito en el encabezamiento exponiendo que el 20 de julio de 1986 su Junta de Gobierno acordó que en sus escuelas y facultades, a excepción del primer curso, la enseñanza se impartiera en cualquiera de las dos lenguas oficiales de la Comunidad Valenciana (apartado a), aconsejando la creación de grupos de castellano en los primeros cursos de aquellos centros en los que estuviera generalizado el </w:t>
      </w:r>
      <w:r>
        <w:lastRenderedPageBreak/>
        <w:t xml:space="preserve">uso del valenciano, en los que se integrarían los alumnos castellano parlantes (apartado b), quienes, si lo deseaban, recibirían las clases en catalán necesarias para adquirir en un futuro inmediato la capacidad adecuada para seguir con facilidad las clases impartidas en catalán (apartado c). </w:t>
      </w:r>
    </w:p>
    <w:p w:rsidR="008107C7" w:rsidRDefault="008107C7" w:rsidP="008107C7">
      <w:pPr>
        <w:pStyle w:val="TextoNormal"/>
      </w:pPr>
      <w:r>
        <w:t xml:space="preserve">La Asociación Cultural y Representativa "Alternativa Universitaria" interpuso recurso contencioso-administrativo contra el referido apartado c) del Acuerdo de 20 de julio de 1986, el cual fue estimado en la Sentencia que el 18 de mayo de 1989 dictó la Sala Segunda de dicha jurisdicción de la hoy desaparecida Audiencia Territorial de Valencia, en la que el acto recurrido fue declarado nulo de pleno Derecho por ir en contra del Estatuto de Autonomía de la Comunidad Valenciana y de la Ley de las Cortes Valencianas de 23 de noviembre de 1983, sobre Uso y Enseñanza del Valenciano; en la propia Sentencia se declaró «de uso obligado la denominación legal y oficial de la lengua e idioma valenciano en el ámbito de la Universidad de Valencia». Dicha Sentencia fue confirmada en apelación por la Sección Tercera de la Sala Tercera del Tribunal Supremo mediante la que pronunció el 20 de noviembre de 1992. </w:t>
      </w:r>
    </w:p>
    <w:p w:rsidR="008107C7" w:rsidRDefault="008107C7" w:rsidP="008107C7">
      <w:pPr>
        <w:pStyle w:val="TextoNormal"/>
      </w:pPr>
      <w:r>
        <w:t xml:space="preserve">La Universidad de Valencia imputa a ambas resoluciones judiciales vulnerar su autonomía y, por tanto, infringir el art. 27.10 C.E. Considera que el único límite a la autonomía universitaria debe ser la Ley de Reforma Universitaria (L.R.U.) y no otras normas. Tanto el Acuerdo impugnado como el art. 7 de sus Estatutos, que aluden a la lengua catalana, no van en contra de la L.R.U., en la que se reconoce autonomía científica, de investigación y cultural. La autonomía universitaria comprende la elaboración y aprobación de planes de estudio e investigación (STC 187/1991), por lo que la Universidad tiene plena libertad para efectuar la denominación lingüística que estime científicamente aceptable. Además, los arts. 6 y 7 de los Estatutos no fueron revocados por la Administración autonómica, ya que no vulneran lo dispuesto en la L.R.U., pues a tenor de la STC 130/1991, sólo pueden tacharse de ilegales los preceptos de los Estatutos universitarios "si contradicen frontalmente las normas legales que configuran la autonomía universitaria". El hecho de que en el Estatuto de Autonomía de la Comunidad Valenciana no se utilice la denominación de lengua catalana no quiere decir que esté prohibido hablar de otras denominaciones en el plano científico y, precisamente, esa falta de confrontación directa y de respeto a la L.R.U. sirve para justificar el lícito ejercicio de la facultad de autonormación universitaria, de Acuerdo con la jurisprudencia constitucional. </w:t>
      </w:r>
    </w:p>
    <w:p w:rsidR="008107C7" w:rsidRDefault="008107C7" w:rsidP="008107C7">
      <w:pPr>
        <w:pStyle w:val="TextoNormal"/>
      </w:pPr>
      <w:r>
        <w:t>Concluye la Universidad recurrente con la solicitud de que, otorgando el amparo, sea dictada Sentencia anulando las recurridas, declarando conforme a Derecho el Acuerdo impugnado en vía contencioso-administrativa, así como los arts. 6 y 7 de sus Estatutos y reconociendo que obró conforme a Derecho al aprobar tales preceptos y adoptar aquel Acuerdo. También interesó que, entre tanto, fuese decretada la suspensión de la ejecución de las resolución judiciales recurridas en amparo.</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La Sección Cuarta, en providencia de 24 de septiembre de 1993 y después de oír al Fiscal y a la Universidad de Valencia sobre la posible concurrencia de la causa de inadmisión del art. 50.1.c) de la LOTC, admitió a trámite la demanda y acordó solicitar de la Sala de lo Contencioso-Administrativo del Tribunal Superior de Justicia de la Comunidad Valenciana y de la Sección Tercera de la Sala Tercera del Tribunal Supremo la remisión de las actuaciones, y de la primera también el emplazamiento de quienes fueron parte en el proceso para que pudieran comparecer en este de amparo, si les conviniere. </w:t>
      </w:r>
    </w:p>
    <w:p w:rsidR="008107C7" w:rsidRDefault="008107C7" w:rsidP="008107C7">
      <w:pPr>
        <w:pStyle w:val="TextoNormal"/>
      </w:pPr>
      <w:r>
        <w:lastRenderedPageBreak/>
        <w:t>En otra providencia simultánea, la Sección decidió que se formase pieza separada y concedió al demandante y al Fiscal un plazo de tres días para que pudieran alegar cuanto estimasen conveniente sobre la suspensión solicitada. Evacuado el trámite por las partes mediante sendos escritos presentados el 1 de octubre de 1993, la Sala Segunda, en Auto de 18 de octubre, denegó la suspensión de la ejecución de las Sentencias recurridas en amparo.</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La Asociación Cultural y Representativa "Alternativa Universitaria" compareció, representado por el Procurador don Luis Suárez Migoyo, mediante escrito recibido el 8 de febrero de 1994, por lo que en providencia de 19 de mayo se la tuvo por parte y, habiendo sido recibidas las actuaciones, en la misma resolución se acusó recibo de su recepción y se dio traslado a las partes para que, por plazo común de veinte días, presentasen las alegaciones que estimasen pertinentes. </w:t>
      </w:r>
    </w:p>
    <w:p w:rsidR="008107C7" w:rsidRDefault="008107C7" w:rsidP="008107C7">
      <w:pPr>
        <w:pStyle w:val="TextoNormal"/>
      </w:pPr>
      <w:r>
        <w:t>La Universidad de Valencia evacuó el traslado en escrito registrado el 15 de junio, en el que se limitó a dar por reproducidas en su integridad las alegaciones que vertió en el de demanda, así como la solicitud que dedujo en el mismo.</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El Fiscal hizo lo propio en el siguiente día e interesó el otorgamiento de amparo y, por ello, la anulación de las Sentencias a las que se imputa la vulneración del art. 27.10 C.E., sin que proceda hacer pronunciamiento alguno sobre los arts. 6 y 7 de los Estatutos de la Universidad de Valencia, pues tales preceptos no fueron impugnados ni declarados nulos en aquellas resoluciones. </w:t>
      </w:r>
    </w:p>
    <w:p w:rsidR="008107C7" w:rsidRDefault="008107C7" w:rsidP="008107C7">
      <w:pPr>
        <w:pStyle w:val="TextoNormal"/>
      </w:pPr>
      <w:r>
        <w:t xml:space="preserve">Afirma el Fiscal que existe una clara y evidente discrepancia en la interpretación que, del contenido y alcance del Acuerdo impugnado en vía contencioso-administrativa e incluso de los Estatutos de la Universidad de Valencia, hacen, de una parte, las Sentencias recurridas, y, de otra, dicha Universidad. Las Sentencias parten de la premisa de que la denominación de la lengua como "valenciana" ha dejado de ser una cuestión filológica para convertirse en jurídica al acogerse dicha denominación en el Estatuto de Autonomía de Valencia, que supone en este punto un desarrollo del art. 3 C.E., y a cuya denominación debe supeditarse la Universidad de Valencia en las normas o actos que dicte. Dicha Universidad, por el contrario, entiende que el art. 7 de sus Estatutos (base del Acuerdo impugnado) es, por una parte, respetuoso con aquella denominación, y, por otra, supone el ejercicio legítimo del principio de autonomía universitaria, en tanto en cuanto la referencia al "catalán" lo es a afectos académicos. </w:t>
      </w:r>
    </w:p>
    <w:p w:rsidR="008107C7" w:rsidRDefault="008107C7" w:rsidP="008107C7">
      <w:pPr>
        <w:pStyle w:val="TextoNormal"/>
      </w:pPr>
      <w:r>
        <w:t>Pues bien, el Fiscal, teniendo en cuenta la doctrina de este Tribunal sobre la autonomía universitaria y el hecho de que el art. 7 de los Estatutos de la Universidad de Valencia fuese aceptado por el gobierno de la Comunidad Autónoma, entiende que el Acuerdo que los Tribunales ordinarios han anulado se dictó en ejercicio de la autonomía universitaria, debiendo tenerse en cuenta que el mismo se dirigía a reconocer el derecho de los alumnos del primer curso que recibieran la enseñanza en castellano, a seguir clases en la otra lengua oficial de la Comunidad Autónoma y, por tanto, venía a configurar un servicio propio e interno de la Universidad, dirigido a que dichos alumnos castellano parlantes pudieran seguir las clases impartidas en otra lengua; al ser una disposición interna, la Universidad utilizó el término "catalán" como denominación académica, de Acuerdo con lo dispuesto en el art. 7 de sus Estatutos.</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5</w:t>
      </w:r>
      <w:r>
        <w:t xml:space="preserve">. La Asociación Cultural y Representativa "Alternativa Universitaria" también formuló sus alegaciones el 16 de junio, solicitando la denegación del amparo interesado por la Universidad de Valencia. Argumenta al efecto que esa institución confunde los derechos constitucionales a la libertad de cátedra y a la autonomía universitaria, pretendiendo difuminar las perfectamente delimitadas fronteras de cada uno de ellos, a la vez que introduce un elemento acientífico como es el presunto carácter "académico" de los órganos administrativos de la Universidad de Valencia. Los Estatutos de la Universidad de Valencia no recogen en ninguno de sus artículos el carácter científico de ninguno de sus órganos administrativos; aun cuando se atribuyera a los mismos dicho carácter, es evidente que en temas lingüísticos serán los filólogos y académicos lingüistas los verdaderamente autorizados para emitir un criterio al respecto. En cualquier caso, la propia Universidad, al presentar como su primera prueba el Diccionario de la Real Academia Española de la Lengua, se contradice, ya que conforme al mismo, a la lengua de los valencianos se le llama "valenciano". </w:t>
      </w:r>
    </w:p>
    <w:p w:rsidR="008107C7" w:rsidRDefault="008107C7" w:rsidP="008107C7">
      <w:pPr>
        <w:pStyle w:val="TextoNormal"/>
      </w:pPr>
      <w:r>
        <w:t>Pero la cuestión no es ésa. Lo que está en juego no es la autonomía universitaria, sino el principio de jerarquía normativa y el de seguridad jurídica, y la vigencia absoluta o con reservas del art. 7 del Estatuto de Autonomía de la Comunidad Valenciana y de la Ley de Uso y Enseñanza del Valenciano. Nos encontramos en la tesitura de si los órganos de administración de la Universidad, envueltos en el elástico y socorrido embalaje de su pretendido cientifismo o academicismo, pueden enmendar las normas constitucionales que son el reflejo de cientos de años de historia que han fraguado el Acuerdo unánime de los legisladores que dieron a los valencianos su Estatuto de Autonomía. Esgrime la Universidad que su decisión no viola los preceptos del Estatuto de Autonomía, por cuanto que en sus Estatutos universitarios se proclama con carácter previo la oficialidad en la universidad de las lenguas oficiales en la Comunidad Valenciana, para inmediatamente proclamar que en la universidad la denominación "académica" de la lengua autóctona será la de catalán. Autorizar a la Universidad a hacer esa denominación es permitir que quede zafada del cumplimiento de un mandato popular elevado a la categoría jurídica por el Acuerdo unánime del pueblo valenciano. La autonomía universitaria no autoriza a adoptar Acuerdos contra la Ley.</w:t>
      </w:r>
    </w:p>
    <w:p w:rsidR="008107C7" w:rsidRDefault="008107C7" w:rsidP="008107C7">
      <w:pPr>
        <w:pStyle w:val="TextoNormal"/>
      </w:pPr>
    </w:p>
    <w:p w:rsidR="008107C7" w:rsidRDefault="008107C7" w:rsidP="008107C7">
      <w:pPr>
        <w:pStyle w:val="TextoNormal"/>
      </w:pPr>
      <w:r w:rsidRPr="008107C7">
        <w:rPr>
          <w:rStyle w:val="NumeroAFNegritaCaracter"/>
        </w:rPr>
        <w:t>6</w:t>
      </w:r>
      <w:r>
        <w:t>. En providencia de 17 abril de 1997, se señaló para deliberación y votación de la presente Sentencia el día 21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La Junta de Gobierno de la Universidad de Valencia, en sesión del 20 de julio de 1986, acordó que en su ámbito académico la enseñanza se impartiera en «cualquiera de las dos lenguas oficiales de la Comunidad Valenciana» [(apartado a)], recomendando la creación de grupos en los que la docencia se prestaría en castellano en los primeros cursos de aquellos Centros y Facultades donde estuviese generalizado el uso del «valenciano» [apartado b)], si bien la Universidad ofrecería a quienes así lo desearen las clases de catalán necesarias para que en un futuro inmediato adquirieran la capacidad adecuada para seguir con facilidad las clases impartidas en catalán&gt;&gt; [apartado c)].</w:t>
      </w:r>
    </w:p>
    <w:p w:rsidR="008107C7" w:rsidRDefault="008107C7" w:rsidP="008107C7">
      <w:pPr>
        <w:pStyle w:val="TextoNormal"/>
      </w:pPr>
      <w:r>
        <w:t xml:space="preserve">Es esta última palabra del inciso el origen de la controversia que apura en sede constitucional una etapa más, inciso que, por lo demás, encuentra cobertura en los propios Estatutos de la Universidad de Valencia, donde se dice que en ella serán lenguas oficiales las reconocidas como tales en el Estatuto de Autonomía de la Comunidad Valenciana (art. 6), siendo su lengua propia la propia de dicha Comunidad (art. 7, inciso primero), para considerar </w:t>
      </w:r>
      <w:r>
        <w:lastRenderedPageBreak/>
        <w:t>luego como sinónimas en la vida universitaria, y solo en ella, las expresiones "lengua catalana" y «la recogida en el Estatuto de Autonomía Valenciano», esto es, el "valenciano". A su vez las Sentencias a las cuales se imputa haber vulnerado la autonomía de la Universidad de Valencia ex art. 27.10 C.E.  han anulado el sobredicho inciso por su referencia al "catalán", que, a juicio de quienes son sus autores, infringe tanto aquel Estatuto (art. 7) como la Ley de las Cortes Valencianas de 23 de noviembre de 1983, sobre uso y enseñanza del valenciano (arts.  2.5, 7.1 y 7.2), donde se llama así a su lengua propia.</w:t>
      </w:r>
    </w:p>
    <w:p w:rsidR="008107C7" w:rsidRDefault="008107C7" w:rsidP="008107C7">
      <w:pPr>
        <w:pStyle w:val="TextoNormal"/>
      </w:pPr>
    </w:p>
    <w:p w:rsidR="008107C7" w:rsidRDefault="008107C7" w:rsidP="008107C7">
      <w:pPr>
        <w:pStyle w:val="TextoNormal"/>
      </w:pPr>
      <w:r w:rsidRPr="008107C7">
        <w:rPr>
          <w:rStyle w:val="NumeroAFNegritaCaracter"/>
        </w:rPr>
        <w:t>2</w:t>
      </w:r>
      <w:r>
        <w:t>. La cuestión que se somete a nuestra consideración es, pues, clara y precisa. Se trata, en definitiva, de averiguar si vulnera la autonomía universitaria, consagrada como derecho fundamental en el art. 27.10 C.E. (STC 26/1987), aquellas decisiones judiciales que prohíben a la Universidad de Valencia dar el nombre de "catalán" a su lengua propia, por serlo de la Comunidad Valenciana, como sinónimo de "valenciano". Nuestra respuesta no puede, en consecuencia, eludir el dato de que la autorización de su Junta de Gobierno para utilizar indistintamente esas dos denominaciones para un mismo idioma, encuentra cobertura en los Estatutos de dicha Universidad.</w:t>
      </w:r>
    </w:p>
    <w:p w:rsidR="008107C7" w:rsidRDefault="008107C7" w:rsidP="008107C7">
      <w:pPr>
        <w:pStyle w:val="TextoNormal"/>
      </w:pPr>
      <w:r>
        <w:t>Desde la sobredicha STC 26/1987 hemos venido diciendo que la autonomía universitaria encuentra su razón de ser en el respeto a la libertad académica (de enseñanza, estudio e investigación) frente a cualquier injerencia externa.  Se trata de garantizar, en su doble vertiente individual y colectiva, la libertad de ciencia, en cuya orientación insisten, con estas o con otras palabras, las SSTC 106/1990, 187/1991 y 156/1994. Un paso más en la matización del concepto nos condujo a explicar que la autonomía universitaria es la dimensión institucional de la libertad académica para garantizar y completar su dimensión personal, constituida por la libertad de cátedra. Tal dimensión institucional justifica que forme parte del contenido esencial de esa autonomía no solo la potestad de autonormación, cuya es la raíz semántica del concepto, sino también de auto-organización.  Por ello, cada Universidad puede y debe elaborar sus propios Estatutos (STC 156/1994) y los planes de estudio e investigación (STC 187/1991), pues no en vano se trata de configurarr la enseñanza sin intromisiones extrañas (STC 179/1996).</w:t>
      </w:r>
    </w:p>
    <w:p w:rsidR="008107C7" w:rsidRDefault="008107C7" w:rsidP="008107C7">
      <w:pPr>
        <w:pStyle w:val="TextoNormal"/>
      </w:pPr>
      <w:r>
        <w:t>Ahora bien, este derecho fundamental es uno de aquéllos cuya configuración se defiere a la Ley, según anuncia el art. 27.10 C.E. Corresponde, pues, al legislador delimitar y desarrollar esa autonomía, determinando y reconociendo a las Universidades las potestades necesarias para garantizar la libertad académica, ese espacio de la libertad intelectual sin el cual no sería posible la plena efectividad de la función esencial y consustancial a la institución (SSTC 26/1987, 106/1990 y 187/1991). Esa función configuradora ha sido cumplida por la Ley de Reforma Universitaria que, en su art. 3.2, despliega una panoplia de potestades como instrumentos normales que se integran en el contenido esencial de la autonomía universitaria (SSTC 106/1990 y 187/1991).</w:t>
      </w:r>
    </w:p>
    <w:p w:rsidR="008107C7" w:rsidRDefault="008107C7" w:rsidP="008107C7">
      <w:pPr>
        <w:pStyle w:val="TextoNormal"/>
      </w:pPr>
      <w:r>
        <w:t>Por su parte, el fundamento último o ratio decidendi de las Sentencias impugnadas se pone en que la denominación "lengua valenciana" empleada por el Estatuto de Autonomía de la Comunidad tiene un carácter excluyente e impide el uso de cualesquiera otras.  Sin embargo, tal conclusión apodíctica no es evidente por sí misma, y, en definitiva, para despejar la incógnita en que consiste el problema, tal y como se nos plantea, resulta ineludible un análisis más profundo.</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En tal línea discursiva, el primer paso a dar consiste en averiguar si en verdad las Sentencias impugnadas han vulnerado, o no, la autonomía que el art.  27.10 C.E. reconoce y garantiza a la Universidad como institución y, en este caso, a la de Valencia, cuya es la </w:t>
      </w:r>
      <w:r>
        <w:lastRenderedPageBreak/>
        <w:t>norma que se invoca como soporte del Acuerdo adoptado por la Junta de Gobierno, objeto a su vez del proceso contencioso-administrativo en sus dos instancias, que encabeza el grupo normativo compuesto por los arts. 1 y 3.2 de la Ley de Reforma Universitaria y de sus Estatutos.</w:t>
      </w:r>
    </w:p>
    <w:p w:rsidR="008107C7" w:rsidRDefault="008107C7" w:rsidP="008107C7">
      <w:pPr>
        <w:pStyle w:val="TextoNormal"/>
      </w:pPr>
      <w:r>
        <w:t>La primera de las potestades que, según el art. 3.2 L.R.U. y la jurisprudencia de este Tribunal (STC 26/1987, 187/1991 y 156/1994), conforman el contenido esencial de la autonomía permite a las Universidades elaborar sus Estatutos y las demás normas de funcionamiento interno [art. 3.2.a)]. Los Estatutos, cuya norma habilitante es la Ley de Reforma Universitaria, no son desarrollo de ella, sino disposiciones reglamentarias donde se plasman las potestades de darse normas, autonomía en sentido estricto y auto-organización. A diferencia de lo que ocurre con los reglamentos ejecutivos de las Leyes, que deben seguir estrictamente la letra y el espíritu de la que traen causa, los Estatutos universitarios se mueven en otro ámbito donde la Ley no sirve sino como marco para acotar o deslindar y, por tanto, los preceptos estatutarios sólo podrán ser tachados de ilegales si contradijeren frontalmente las normas que configuren la autonomía universitaria, pues si admitieren una interpretación conforme a ella, habría de concluirse en favor de su validez (SSTC 55/1989 y 130/1991). Pues bien, los Estatutos de la Universidad de Valencia fueron aprobados por el Consejo de la Generalitat Valenciana, en Decreto 172/1984, a propuesta del Claustro Universitario Constituyente según el itinerario previsto en la Disposición transitoria segunda de la Ley de Reforma Universitaria y su texto, por tanto, ha de merecer en principio la presunción de legalidad, una vez recibido el refrendo previsto en el procedimiento de elaboración ad hoc.</w:t>
      </w:r>
    </w:p>
    <w:p w:rsidR="008107C7" w:rsidRDefault="008107C7" w:rsidP="008107C7">
      <w:pPr>
        <w:pStyle w:val="TextoNormal"/>
      </w:pPr>
    </w:p>
    <w:p w:rsidR="008107C7" w:rsidRDefault="008107C7" w:rsidP="008107C7">
      <w:pPr>
        <w:pStyle w:val="TextoNormal"/>
      </w:pPr>
      <w:r w:rsidRPr="008107C7">
        <w:rPr>
          <w:rStyle w:val="NumeroAFNegritaCaracter"/>
        </w:rPr>
        <w:t>4</w:t>
      </w:r>
      <w:r>
        <w:t>. En tales Estatutos se delimita el ámbito de la autonomía que el art. 3.2 L.R.U. le reconoce, al servicio de las funciones que le son inherentes y ello lo hace en el párrafo primero de su art. 7 donde se habla de la «autonomía docente, investigadora, administrativa y financiera», «con arreglo a las leyes vigentes y en la forma en que la desarrollan los presentes Estatutos», tras lo cual el párrafo segundo indica que</w:t>
      </w:r>
    </w:p>
    <w:p w:rsidR="008107C7" w:rsidRDefault="008107C7" w:rsidP="008107C7">
      <w:pPr>
        <w:pStyle w:val="TextoNormal"/>
      </w:pPr>
      <w:r>
        <w:t>«Como institución pública, la lengua propia de la Universitat de Valencia es la lengua propia de la Comunidad Valenciana. Para los efectos de los presentes Estatutos, se admite como denominaciones suyas tanto la académica, lengua catalana, como la recogida en el Estatuto de Autonomía valenciano.»</w:t>
      </w:r>
    </w:p>
    <w:p w:rsidR="008107C7" w:rsidRDefault="008107C7" w:rsidP="008107C7">
      <w:pPr>
        <w:pStyle w:val="TextoNormal"/>
      </w:pPr>
      <w:r>
        <w:t>Para comprender mejor la equivalencia que establece ese inciso final, cuando califica como "académica" la expresión "lengua catalana", conviene tener presente que los Estatutos de la Universidad de Valencia son posteriores al Real Decreto 1888/1984, de 26 de septiembre, procedente del Ministerio de Educación y Ciencia. Allí, con ocasión de los concursos para la provisión de plazas de los cuerpos docentes universitarios, se estableció que la denominación de cada una de ellas «será necesariamente la de alguna de las áreas de conocimiento contenidas en su Disposición transitoria primera», entendiendo por tales «aquellos campos del saber caracterizados por la homogeneidad de su objeto de conocimiento, una común tradición histórica y la existencia de comunidades de investigadores, nacionales o internacionales».  Además, junto a esta configuración abstracta, se ofrece un catálogo de areas de conocimiento como anejo, donde figura individualizada la "filología catalana" con otras como la alemana, la española, la francesa, la griega, la inglesa, la latina, la románica, la vasca, la gallega y la portuguesa. Se consagra así una denominación del área que desde entonces sería la aplicable a las distintas plazas existentes en Facultades y Escuelas Universitarias pese a que otrora se llamaran "lengua catalana", "lengua y literatura catalanas", "lingüística valenciana" y "lengua y cultura valencianas".</w:t>
      </w:r>
    </w:p>
    <w:p w:rsidR="008107C7" w:rsidRDefault="008107C7" w:rsidP="008107C7">
      <w:pPr>
        <w:pStyle w:val="TextoNormal"/>
      </w:pPr>
      <w:r>
        <w:lastRenderedPageBreak/>
        <w:t>Por lo dicho ya, el párrafo segundo, inciso final, del art.  7 de los Estatutos de la Universidad de Valencia no hace sino optar por una de las denominaciones, con un soporte de carácter científico, acogida en una norma reglamentaria dictada por la Administración general del Estado con la correspondiente habilitación de la Ley, según se ha visto más arriba y lo ha hecho, además, con una finalidad exclusivamente académica, esto es, para la docencia y la investigación, en una de las áreas de conocimiento, según claramente se desprende no sólo del propio texto de ese inciso final sino del contexto de los Estatutos por el juego sistemático de una serie de preceptos interconectados, como son, por un lado, los arts. 6.1 y el primer inciso del segundo párrafo del art. 7 y, por la otra, los arts. 6.2 y 80, cuyo punto de mira es la "normalización de la lengua propia de la Comunidad Valenciana".</w:t>
      </w:r>
    </w:p>
    <w:p w:rsidR="008107C7" w:rsidRDefault="008107C7" w:rsidP="008107C7">
      <w:pPr>
        <w:pStyle w:val="TextoNormal"/>
      </w:pPr>
      <w:r>
        <w:t>En definitiva, el Acuerdo de la Junta de Gobierno de la Universidad de Valencia que fue impugnado en la vía contencioso- administrativa y el art. 7 de los Estatutos de la Universidad donde encuentra cobertura, vienen a establecer de consuno que la valenciana, lengua propia de la Comunidad Valenciana y, por ello, de su Universidad, podrá ser también denominada "lengua catalana", en el ámbito universitario, sin que ello contradiga el Estatuto de Autonomía ni la Ley de la Cortes Valencianas mencionada al principio. La Universidad de Valencia no ha transformado la denominación del valenciano y se ha limitado a permitir que en su seno pueda ser conocido también como catalán, en su dimensión "académica", según los propios Estatutos. No se rebasa, pues, el perímetro de la autonomía universitaria, tal y como se configura legalmente y por tanto es indudable la validez de los preceptos en tela de juicio.</w:t>
      </w:r>
    </w:p>
    <w:p w:rsidR="008107C7" w:rsidRDefault="008107C7" w:rsidP="008107C7">
      <w:pPr>
        <w:pStyle w:val="TextoNormal"/>
      </w:pPr>
      <w:r>
        <w:t>En realidad, como ya dijimos en la STC 130/1991 en un caso emparentado con el presente (determinación por la Universidad de Valencia en sus Estatutos del escudo, sello y símbolos de identidad), la cuestión discutida no es tanto el contenido material de la autonomía universitaria como el alcance del control judicial de una concreta decisión adoptada en el ejercicio de esa autonomía, control que nunca puede basarse en criterios de oportunidad y conveniencia (SSTC 26/1987, 55/1989 y 130/1991). Podrá discutirse cuánto se quiera sobre la pertinencia de que en el seno de la Universidad de Valencia la lengua propia de la Comunidad Autónoma se denomine indistintamente valenciano o catalán, pero, como ha quedado dicho, ello no contradice valores, bienes o intereses constitucionalmente tutelados y no vulnera precepto legal alguno. En consecuencia, como alega lúcidamente el Fiscal, ha de concluirse que las Sentencias aquí y ahora impugnadas, donde se anula el Acuerdo correspondiente, vulneran la autonomía de la Universidad y que, en definitiva, el amparo por ella pedido debe serle otorgado.</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Otorgar el amparo solicitado por la Universidad de Valencia y, en consecuencia:</w:t>
      </w:r>
    </w:p>
    <w:p w:rsidR="008107C7" w:rsidRDefault="008107C7" w:rsidP="008107C7">
      <w:pPr>
        <w:pStyle w:val="TextoNormal"/>
      </w:pPr>
      <w:r>
        <w:t>1º Reconocer que las Sentencias impugnadas vulneran el derecho a la autonomía de la Universidad de Valencia.</w:t>
      </w:r>
    </w:p>
    <w:p w:rsidR="008107C7" w:rsidRDefault="008107C7" w:rsidP="008107C7">
      <w:pPr>
        <w:pStyle w:val="TextoNormal"/>
      </w:pPr>
      <w:r>
        <w:t xml:space="preserve">2º Anular la Sentencia dictada el 19 de mayo de 1989 por la Sala Segunda de lo Contencioso-Administrativo de la extinta Audiencia Territorial de Valencia, en el recurso núm. </w:t>
      </w:r>
      <w:r>
        <w:lastRenderedPageBreak/>
        <w:t>1.754/86, y la pronunciada por la Sección Tercera de la Sala Tercera del Tribunal Supremo el 20 de noviembre de 1992, que, desestimando el recurso de apelación núm. 1.473/89 interpuesto contra aquélla, la confirmo íntegramente.</w:t>
      </w:r>
    </w:p>
    <w:p w:rsidR="008107C7" w:rsidRDefault="008107C7" w:rsidP="008107C7">
      <w:pPr>
        <w:pStyle w:val="TextoNormal"/>
      </w:pPr>
      <w:r>
        <w:t>3º Que el apartado c) del Acuerdo adoptado por la Junta de Gobierno de la Universidad de Valencia el 20 de julio de 1986 no es contrario al Estatuto de Autonomía de la Comunidad Valenciana.</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veintiuno de abril de mil novecientos noventa y siete.</w:t>
      </w:r>
    </w:p>
    <w:p w:rsidR="008107C7" w:rsidRDefault="008107C7" w:rsidP="008107C7">
      <w:pPr>
        <w:pStyle w:val="ParrafoNormal"/>
      </w:pPr>
    </w:p>
    <w:p w:rsidR="008107C7" w:rsidRDefault="008107C7" w:rsidP="008107C7">
      <w:pPr>
        <w:pStyle w:val="TextoNormalNegritaCentrado"/>
        <w:keepNext/>
      </w:pPr>
      <w:r>
        <w:t>Voto particular que formula el Magistrado don José Gabaldón López en la Sentencia dictada por él y por esta Sala en el recurso de amparo núm. 3.157/92 interpuesto por la Universidad de Valencia contra Sentencia de la Sala Tercera del Tribunal Supremo, Sección Tercera, de fecha 20 de noviembre de 1992.</w:t>
      </w:r>
    </w:p>
    <w:p w:rsidR="008107C7" w:rsidRDefault="008107C7" w:rsidP="008107C7">
      <w:pPr>
        <w:pStyle w:val="TextoNormalNegritaCentrado"/>
        <w:keepNext/>
      </w:pPr>
    </w:p>
    <w:p w:rsidR="008107C7" w:rsidRDefault="008107C7" w:rsidP="008107C7">
      <w:pPr>
        <w:pStyle w:val="TextoNormal"/>
      </w:pPr>
      <w:r>
        <w:t>Lamento disentir del criterio que fundamenta la Sentencia.  Estimo que la misma debió desestimar el recurso de amparo.  Las razones de mi discrepancia son las siguientes:</w:t>
      </w:r>
    </w:p>
    <w:p w:rsidR="008107C7" w:rsidRDefault="008107C7" w:rsidP="008107C7">
      <w:pPr>
        <w:pStyle w:val="TextoNormal"/>
      </w:pPr>
      <w:r>
        <w:t>1º.  Dicho recurso de amparo, interpuesto por la Universidad de Valencia, imputaba a la Sala Tercera del Tribunal Supremo y a la del Tribunal Superior de la Comunidad Valenciana confirmada por ella la vulneración de su autonomía al haber resuelto la anulacion del apartado c) del Acuerdo de la Junta de Gobierno de dicha Universidad de 20 de junio de 1986, donde se había establecido lo siguiente: "La Universidad facilitará a los alumnos de este grupo que así lo deseen las clases en catalán necesarias para que en un futuro inmediato adquieran la capacidad adecuada para seguir con facilidad las clases impartidas en catalán".  Este Acuerdo a su vez se fundaba en el art. 7 del Estatuto de la Universidad de Valencia en el cual se admiten cómo denominaciones de la lengua propia de dicha comunidad la de lengua catalana y la recogida en el Estatuto de Autonomía Valenciana, que es la de valenciano.</w:t>
      </w:r>
    </w:p>
    <w:p w:rsidR="008107C7" w:rsidRDefault="008107C7" w:rsidP="008107C7">
      <w:pPr>
        <w:pStyle w:val="TextoNormal"/>
      </w:pPr>
      <w:r>
        <w:t>Basábase aquella decisión anulatoria en que, a su vez, los arts. 6 y 7 de los Estatutos de la Universidad de Valencia eran a su vez contrarios al Estatuto de Autonomía de la Comunidad Valenciana , cuyo art. 7º establece como lenguas oficiales el valenciano y el castellano, así como también a la Ley de las Cortes Valencianas de 23 de noviembre de 1983 sobre el uso y enseñanza del valenciano, donde únicamente se menciona esta lengua como propia de la Comunidad Valenciana.</w:t>
      </w:r>
    </w:p>
    <w:p w:rsidR="008107C7" w:rsidRDefault="008107C7" w:rsidP="008107C7">
      <w:pPr>
        <w:pStyle w:val="TextoNormal"/>
      </w:pPr>
      <w:r>
        <w:t>Planteabase la cuestión como fundada en la vulneración del derecho de autonomía universitaria, defendiendo como propio de ésta el contenido del Acuerdo antes mencionado de la Junta de Gobierno de la Universidad por considerar como único límite para el mismo no otra norma sino solamente la Ley de Reforma Universitaria, la cual no entendía conculcada por los términos del Acuerdo que aludían a la lengua catalana, precisamente porque aquella Ley reconoce a la Universidad autonomía científica, de investigación y cultural.</w:t>
      </w:r>
    </w:p>
    <w:p w:rsidR="008107C7" w:rsidRDefault="008107C7" w:rsidP="008107C7">
      <w:pPr>
        <w:pStyle w:val="TextoNormal"/>
      </w:pPr>
      <w:r>
        <w:t>2º.  Podría extenderse mi discrepancia a esta última afirmación que, al señalar los límites de la autonomía universitaria, hace abstracción de toda otra norma que no sea la L.R.U. puesto que, en casos como este, olvida el alcance normativo del Estatuto de Autonomía de la Comunidad, norma institucional básica de la misma según el art. 147 de la Constitución e integrante por ello del denominado bloque de la constitucionalidad, ya que en este con</w:t>
      </w:r>
      <w:r>
        <w:lastRenderedPageBreak/>
        <w:t>creto caso la cuestión planteada excede de su pretendido fundamento en la autonomía científica, de investigación y cultural, reconocidos en la L.R.U.  o la de elaboración y aprobación de los planes de estudio e investigación reconocidas en la STC 187/1991.</w:t>
      </w:r>
    </w:p>
    <w:p w:rsidR="008107C7" w:rsidRDefault="008107C7" w:rsidP="008107C7">
      <w:pPr>
        <w:pStyle w:val="TextoNormal"/>
      </w:pPr>
      <w:r>
        <w:t>En efecto, no se ha tratado en las Sentencias ahora impugnadas del contenido docente o investigador de los referidos Acuerdos (alcance propio de la autonomía de la universidad) ni tampoco de la organización de la misma ni de ninguna otra de las materias a las que expresamente se refiere el art. 3º de la citada L.R.U. o a las que pueda alcanzar el genérico principio de libertad académica tal como se formula en el art. 2º de dicha Ley.  La cuestión surgía y podía concretarse en la equiparación que aquel Acuerdo efectuaba entre las denominaciones propias del idioma valenciano, como tal o como catalán, puesto que, tras decidir que la enseñanza se impartiese en cualquiera de las dos lenguas oficiales de la Comunidad (valenciano y castellano) había de facilitarse a los alumnos que lo deseasen clases en catalán para que pudieran adquirir la capacidad adecuada a fin de seguir las clases impartidas en esta lengua.</w:t>
      </w:r>
    </w:p>
    <w:p w:rsidR="008107C7" w:rsidRDefault="008107C7" w:rsidP="008107C7">
      <w:pPr>
        <w:pStyle w:val="TextoNormal"/>
      </w:pPr>
      <w:r>
        <w:t>Con ello, o bien cabría entender que se establecía el uso académico del catalán junto al del valenciano o bien, como el criterio mayoritario ha entendido, que se limitaría a establecer a efectos académicos una denominación para el valenciano el cual pudiera ser llamado también lengua catalana y no en cambio que se hubiera procedido a darle una denominación distinta.</w:t>
      </w:r>
    </w:p>
    <w:p w:rsidR="008107C7" w:rsidRDefault="008107C7" w:rsidP="008107C7">
      <w:pPr>
        <w:pStyle w:val="TextoNormal"/>
      </w:pPr>
      <w:r>
        <w:t>3º.  En consecuencia, no se trata en rigor de que las Sentencias recurridas hayan afectado al ámbito de la autonomía universitaria, pues resolvieron sólo una cuestión de discrepancia con el Estatuto de Autonomía de la Comunidad Valenciana en la materia de denominación de la lengua oficial.  Cualquiera de las dos interpretaciones antes citadas conduce al mismo resultado, puesto que el Estatuto de la Universidad y el Acuerdo del Claustro han rebasado sin duda el ámbito de lo establecido en el citado Estatuto de Autonomía que sólo atribuye una denominación a la lengua valenciana y no menciona al catalán ni como lengua distinta ni como una segunda denominación del valenciano.  Se introdujo, pues, una denominación no mencionada en el Estatuto Autonómico, excediendo del mandato del mismo cualquiera que fuese su alcance.</w:t>
      </w:r>
    </w:p>
    <w:p w:rsidR="008107C7" w:rsidRDefault="008107C7" w:rsidP="008107C7">
      <w:pPr>
        <w:pStyle w:val="TextoNormal"/>
      </w:pPr>
      <w:r>
        <w:t>Así, lo que se pretende calificar como una mera denominación académica no altera aquél hecho fundamental, antes bien podría llevar a consecuencias de mayor importancia derivadas de un uso extensivo de la prescripción cuestionada.  En esta materia, la denominación idiomática que formula el Estatuto de Autonomía de la lengua cooficial completa la prescripción constitucional (art. 3 C.E.)  y forma parte por ello del bloque de la constitucionalidad, no dejando margen a las normas que puedan dictarse en uso de la autonomía universitaria para introducir denominaciones distintas al margen de aquél, es decir, una denominación que el mismo no incluye sea no puramente semántica o alcance otra trascendencia.</w:t>
      </w:r>
    </w:p>
    <w:p w:rsidR="008107C7" w:rsidRDefault="008107C7" w:rsidP="008107C7">
      <w:pPr>
        <w:pStyle w:val="TextoNormal"/>
      </w:pPr>
      <w:r>
        <w:t>Al margen, pues de que la lengua de la Comunidad Valenciana (valenciano) pudiera denominarse indistintamente valenciano o catalán y al margen también de las discrepancias filológicas, históricas o sociológicas planteadas alrededor de esas lenguas, esta cuestión atañe solamente al concreto hecho de que la denominación exclusivamente atribuida en el Estatuto de la Comunidad Valenciana a su lengua cooficial como valenciano, (incluso cuando se refiere a la enseñanza) exige que deba atenerse a ella cualquier regulación y también, por supuesto, el Estatuto de la Universidad que carece de facultades para introducir cualquier denominación que no sea la allí establecida.</w:t>
      </w:r>
    </w:p>
    <w:p w:rsidR="008107C7" w:rsidRDefault="008107C7" w:rsidP="008107C7">
      <w:pPr>
        <w:pStyle w:val="TextoNormal"/>
      </w:pPr>
      <w:r>
        <w:t xml:space="preserve">La pretendida sinonimia local entre valenciano y catalán no es, pues, una cuestión que pueda ser establecida por el Estatuto de la Universidad.  Acaso pudiera pensarse en ello si, </w:t>
      </w:r>
      <w:r>
        <w:lastRenderedPageBreak/>
        <w:t>por sí mismo, no tuviera un alcance de discrepancia filológica, social o de otro orden, que no se reflejase en el Estatuto de la Comunidad.</w:t>
      </w:r>
    </w:p>
    <w:p w:rsidR="008107C7" w:rsidRDefault="008107C7" w:rsidP="008107C7">
      <w:pPr>
        <w:pStyle w:val="TextoNormal"/>
      </w:pPr>
      <w:r>
        <w:t>Al contrario del argumento utilizado, no constituye en esta cuestión la L.R.U.  el único límite a la autonomía universitaria sino que lo es claramente el Estatuto de Autonomía de la Comunidad y las Leyes que, en su estricta aplicación, hayan desarrollado lo relativo al uso de la lengua cooficial.  Y como con una y con otra choca frontalmente el Acuerdo que fue objeto de anulación judicial, entiendo que debimos declarar que las Sentencias recurridas ante nosotros no vulneraron el Estatuto de Autonomía de la Comunidad Valenciana y por ello debió haberse desestimado el recurso de amparo.</w:t>
      </w:r>
    </w:p>
    <w:p w:rsidR="008107C7" w:rsidRDefault="008107C7" w:rsidP="008107C7">
      <w:pPr>
        <w:pStyle w:val="TextoNormal"/>
      </w:pPr>
      <w:r>
        <w:t>Madrid, veintiocho de abril de mil novecientos noventa y siete...TOMO:</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79" w:name="SENTENCIA_1997_76"/>
      <w:r>
        <w:lastRenderedPageBreak/>
        <w:t>SENTENCIA 76/1997, de 21 de abril de 1997</w:t>
      </w:r>
    </w:p>
    <w:bookmarkEnd w:id="79"/>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121, de 21 de mayo de 1997)</w:t>
      </w:r>
    </w:p>
    <w:p w:rsidR="008107C7" w:rsidRDefault="008107C7" w:rsidP="008107C7">
      <w:pPr>
        <w:pStyle w:val="TtuloBOE"/>
      </w:pPr>
    </w:p>
    <w:p w:rsidR="008107C7" w:rsidRDefault="008107C7" w:rsidP="008107C7">
      <w:pPr>
        <w:pStyle w:val="SntesisDescriptiva"/>
      </w:pPr>
      <w:r>
        <w:t>ECLI:ES:TC:1997:76</w:t>
      </w:r>
    </w:p>
    <w:p w:rsidR="008107C7" w:rsidRDefault="008107C7" w:rsidP="008107C7">
      <w:pPr>
        <w:pStyle w:val="SntesisDescriptiva"/>
      </w:pPr>
    </w:p>
    <w:p w:rsidR="008107C7" w:rsidRDefault="008107C7" w:rsidP="008107C7">
      <w:pPr>
        <w:pStyle w:val="SntesisDescriptiva"/>
      </w:pPr>
      <w:r>
        <w:t>Recurso de amparo 1.331/1993. Contra Auto de inadmisión de recurso de suplicación dictado por la Sala de lo Social del T.S.J. del País Vasco.</w:t>
      </w:r>
    </w:p>
    <w:p w:rsidR="008107C7" w:rsidRDefault="008107C7" w:rsidP="008107C7">
      <w:pPr>
        <w:pStyle w:val="SntesisDescriptiva"/>
      </w:pPr>
    </w:p>
    <w:p w:rsidR="008107C7" w:rsidRDefault="008107C7" w:rsidP="008107C7">
      <w:pPr>
        <w:pStyle w:val="SntesisAnaltica"/>
      </w:pPr>
      <w:r>
        <w:t>Supuesta vulneración del derecho a la tutela judicial efectiva: declaración de extemporaneidad no lesiva del derecho.</w:t>
      </w:r>
    </w:p>
    <w:p w:rsidR="008107C7" w:rsidRDefault="008107C7" w:rsidP="008107C7">
      <w:pPr>
        <w:pStyle w:val="SntesisAnaltica"/>
      </w:pPr>
    </w:p>
    <w:p w:rsidR="008107C7" w:rsidRDefault="008107C7" w:rsidP="008107C7">
      <w:pPr>
        <w:pStyle w:val="Extracto"/>
      </w:pPr>
      <w:r>
        <w:t>1.</w:t>
      </w:r>
      <w:r>
        <w:tab/>
        <w:t>La interpretación y aplicación de las reglas donde se regule el acceso a un recurso es una cuestión de legalidad ordinaria cuyo enjuiciamiento corresponde con carácter exclusivo y excluyente a los órganos que integran el Poder Judicial (art. 117.3 C.E.), mientras no adquiera una dimensión constitucional. Por otra parte, y en la órbita del art. 24.1 C.E., este Tribunal solamente puede fiscalizar las resoluciones judiciales de tal tipo cuando se alegue que han cerrado la puerta de acceso al recurso sin razonamiento alguno o que éste ha tomado como punto de arranque una causa inexistente y, también, si se dieren de consuno motivo y motivación, cuando la inadmisibilidad sea producto de una interpretación manifiestamente arbitraria, irrazonable o errónea (por todas, STC 255/1994). [F.J. 2]</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Rafael de Mendizábal Allende,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1.331/93, interpuesto por don Iñaki Hormaeche Echebarría, a quien representa el Procurador don Luis Pulgar Arroyo con la asistencia del Letrado don José L. González Marcos, contra el Auto de inadmisión de recurso de suplicación dictado el 18 de noviembre de 1992 por la Sala de lo Social del Tribunal Superior de Justicia del País Vasco, confirmado en súplica mediante otro pronunciado el 4 de marzo de 1993. Han comparecido el Fiscal y la compañía Banco Bilbao- Vizcaya, S.A., representada por el Procurador don Santos de Gandarillas Carmona y defendida por el Letrado don Ignacio Santaolalla Barbier, siendo Ponente el Magistrado don Rafael de Mendizábal Allende, quien expresa el parecer de la Sala.</w:t>
      </w:r>
    </w:p>
    <w:p w:rsidR="008107C7" w:rsidRDefault="008107C7" w:rsidP="008107C7">
      <w:pPr>
        <w:pStyle w:val="TextoNormal"/>
      </w:pPr>
    </w:p>
    <w:p w:rsidR="008107C7" w:rsidRDefault="008107C7" w:rsidP="008107C7">
      <w:pPr>
        <w:pStyle w:val="TextoNormalNegritaCentrado"/>
        <w:keepNext/>
      </w:pPr>
      <w:r>
        <w:lastRenderedPageBreak/>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Don Iñaki Hormaeche Echebarría interpuso el recurso de amparo de que se hace mérito en el encabezamiento en escrito que presentó el 28 de abril de 1993, en el que relata que, prestando sus servicios a la empresa Banco Bilbao-Vizcaya, S.A., fue despedido, con efectos del 5 de marzo de 1992, mediante carta fechada el 5 de febrero anterior. Tras intentar conciliarse, formuló demanda con la pretensión de que el despido fuese declarado nulo o improcedente, lo que fue desestimado en la Sentencia que el Juez de lo Social núm. 7 de Vizcaya dictó el 21 de mayo de 1992. El 3 de junio anunció su intención de recurrir la Sentencia en suplicación, por lo que el Juez dictó providencia confiriéndole el plazo de diez días hábiles que para formalizara el recurso; esta resolución le fue notificada el 11 de junio. El 23 del mismo mes formalizó el recurso, del que se dio traslado a la parte contraria, que lo impugnó. Elevadas las actuaciones a la Sala de lo Social del Tribunal Superior de Justicia del País Vasco, éste, en Auto de 18 de noviembre de 1992, declaró la inadmisión del recurso por extemporaneidad en su formalización, por haber transcurrido cuando se formalizó (el 13 de julio de 1992) el plazo de diez que manda observar el art. 192.1 de la Ley de Procedimiento Laboral. Frente a tal decisión interpuso recurso de súplica, que fue desestimado en Auto dictado el 4 de marzo de 1993, en el que se afirma que la decisión de inadmisión se fundó «en la presumible exactitud de los datos procurados por las actuaciones documentadas del proceso, sin que, dada esa constancia intrínseca, quepa reformar aquélla en virtud de referencias o elementos ajenos a dicho contenido y aportados a ese solo efecto». </w:t>
      </w:r>
    </w:p>
    <w:p w:rsidR="008107C7" w:rsidRDefault="008107C7" w:rsidP="008107C7">
      <w:pPr>
        <w:pStyle w:val="TextoNormal"/>
      </w:pPr>
      <w:r>
        <w:t>Sostiene en la demanda que, con la decisión de no admitir el recurso de suplicación, la Sala de lo Social del Tribunal Superior de Justicia del País Vasco ha vulnerado su derecho a obtener la tutela judicial efectiva e infringido el art. 24.1 C.E., por cuanto que la causa en que se basó aquel pronunciamiento no se adecuó a la realidad, ya que el recurso de suplicación fue efectivamente formalizado el 23 de junio de 1992 y no, como se dice en los Autos impugnados, el 13 de julio del mismo año, y solicita en ella el otorgamiento del amparo, la nulidad de los Autos recurridos y el reconocimiento de su derecho a recurrir en suplicación la Sentencia dictada por el Juez de lo Social núm. 7 de Vizcaya el 21 de mayo de 1992.</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La Sección Cuarta, en providencia de 30 de diciembre de 1993, admitió a trámite la demanda y, habiéndo sido ya recibidas las actuaciones procesales de la instancia y de suplicación, acordó solicitar del Juez de lo Social ya citado el emplazamiento de quienes fueron parte en el proceso para que pudieran comparecer en este de amparo, si les conviniere. </w:t>
      </w:r>
    </w:p>
    <w:p w:rsidR="008107C7" w:rsidRDefault="008107C7" w:rsidP="008107C7">
      <w:pPr>
        <w:pStyle w:val="TextoNormal"/>
      </w:pPr>
      <w:r>
        <w:t>El Procurador don Santos de Gandarillas Carmona, en representación de la compañía Banco Bilbao-Vizcaya, S.A., compareció mediante escrito registrado el 14 de febrero de 1994, por lo que la Sección Cuarta, en providencia de 24 de febrero, le tuvo por parte en dicha representación, acordando al mismo tiempo dar vista de las actuaciones por plazo común de veinte días.</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El demandante de amparo evacuó el traslado el 11 de marzo en escrito en el que sostiene que de la documentación obrante en los autos se acredita que el recurso de suplicación fue por él formalizado en tiempo y forma y en el que reitera la solicitud que ya dedujo en la demanda. </w:t>
      </w:r>
    </w:p>
    <w:p w:rsidR="008107C7" w:rsidRDefault="008107C7" w:rsidP="008107C7">
      <w:pPr>
        <w:pStyle w:val="TextoNormal"/>
      </w:pPr>
      <w:r>
        <w:t xml:space="preserve">El Fiscal, por su parte, hizo lo propio el 18 de marzo, interesando la denegación del amparo, a cuyo efecto razona que la cuestión litigiosa se centra en la determinación de la fecha en que el escrito formalizando el recurso de suplicación fue presentado. El Tribunal </w:t>
      </w:r>
      <w:r>
        <w:lastRenderedPageBreak/>
        <w:t xml:space="preserve">Superior de Justicia, teniendo en cuenta la fecha que el Secretario del Juzgado hizo constar en la diligencia de presentación (13 de julio de 1992), concluyó que el recurso fue formalizado de forma intempestiva, en tanto que el solicitante de amparo sostiene que aquella presentación se produjo el 23 de junio y, en su apoyo, invoca la fecha que aparece "anónimamente" estampada en el encabezamiento del escrito así como la inscripción obrante en el Libro-Registro de conocimiento de asuntos, en el que en el apartado de observaciones aparece consignada la frase "Devuelto el 23-6-92". </w:t>
      </w:r>
    </w:p>
    <w:p w:rsidR="008107C7" w:rsidRDefault="008107C7" w:rsidP="008107C7">
      <w:pPr>
        <w:pStyle w:val="TextoNormal"/>
      </w:pPr>
      <w:r>
        <w:t>La Sala de lo Social optó por entender que el recurso se formalizó en la fecha que acredita la diligencia de presentación extendida por el Secretario judicial. Su conclusión no es producto de un error craso o manifiesto, sino consecuencia de una elección realizada entre las fechas posibles, amparada por la firma del Secretario. De otro lado, el art. 44.1 b) LOTC impide que este Tribunal revise la conclusión fáctica del Tribunal Superior de Justicia sobre la fecha de presentación del escrito. Se produjo, pues, la inadmisión con fundamento en el art. 192.1 de la Ley de Procedimiento Laboral, atendidas las fechas de presentación y formalización (11 de junio y 13 de julio).</w:t>
      </w:r>
    </w:p>
    <w:p w:rsidR="008107C7" w:rsidRDefault="008107C7" w:rsidP="008107C7">
      <w:pPr>
        <w:pStyle w:val="TextoNormal"/>
      </w:pPr>
    </w:p>
    <w:p w:rsidR="008107C7" w:rsidRDefault="008107C7" w:rsidP="008107C7">
      <w:pPr>
        <w:pStyle w:val="TextoNormal"/>
      </w:pPr>
      <w:r w:rsidRPr="008107C7">
        <w:rPr>
          <w:rStyle w:val="NumeroAFNegritaCaracter"/>
        </w:rPr>
        <w:t>4</w:t>
      </w:r>
      <w:r>
        <w:t>. La compañía Banco Bilbao-Vizcaya, S.A., formuló sus alegaciones el 21 de marzo mediante escrito en el que se opuso al otorgamiento del amparo, razonando que la fecha que consta en el Libro de Registro de entrega de autos (23 de junio de 1992) no puede ser tenida en consideración pues tal Libro es un instrumento ajeno al proceso, con independencia de que el mismo sólo acredita las fechas en que la parte recoge y entrega los autos, pero no la de formalización del recurso. Tampoco puede aceptarse la fecha que aparece tanto en el original como en la copia del escrito de formalización del recurso (23 de junio de 1992), puesto que no cumple con los requisitos de los arts. 281.1º y 282.1º L.O.P.J. y, por lo tanto, no da fe de que el recurso de suplicación fuese formalizado en plazo. Debe prevalecer la data de 13 de julio de 1992, que aparece en la diligencia de presentación y en la propuesta de providencia, ambas firmadas por el Secretario del Juzgado. En definitiva, el solicitante de amparo recogió los autos para formalizar el recurso el 11 de junio y evacuó el traslado el 13 de julio, esto es, transcurrido con exceso el plazo previsto en el art. 192.1 de la Ley de Procedimiento Laboral, por lo que la decisión de inadmitirlo por extemporáneo es enteramente respetuosa con el art. 24.1 C.E.</w:t>
      </w:r>
    </w:p>
    <w:p w:rsidR="008107C7" w:rsidRDefault="008107C7" w:rsidP="008107C7">
      <w:pPr>
        <w:pStyle w:val="TextoNormal"/>
      </w:pPr>
    </w:p>
    <w:p w:rsidR="008107C7" w:rsidRDefault="008107C7" w:rsidP="008107C7">
      <w:pPr>
        <w:pStyle w:val="TextoNormal"/>
      </w:pPr>
      <w:r w:rsidRPr="008107C7">
        <w:rPr>
          <w:rStyle w:val="NumeroAFNegritaCaracter"/>
        </w:rPr>
        <w:t>5</w:t>
      </w:r>
      <w:r>
        <w:t>. En providencia de 17 de abil de 1997, se señaló para deliberación y votación de la presente Sentencia el día 21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El objeto de este proceso es, en su anverso formal, un auto confirmado por otro, donde la Sala de lo Social del Tribunal Superior de Justicia del País Vasco no admitió por extemporáneo el recurso de suplicación interpuesto contra Sentencia del Juez de lo Social núm. 7 de Vizcaya. La queja, pues, se sitúa en la órbita del derecho a obtener la tutela judicial con la efectividad deseada constitucionalmente, en su dimensión del acceso al sistema de recursos diseñado por las leyes de enjuiciamiento, que se integra sin violencia conceptual alguna en aquél y cuya delimitación, perfilando con precisión su ámbito, se llevó a cabo en nuestra STC 37/1995. El sobredicho contenido conlleva, como primera exigencia -se dice allí- que las pretensiones formuladas ante los Jueces reciban una respuesta no sólo en la primera </w:t>
      </w:r>
      <w:r>
        <w:lastRenderedPageBreak/>
        <w:t>instancia sino también en los demás grados procesales, si los hubiere, fueren ordinarios o extraordinarios.</w:t>
      </w:r>
    </w:p>
    <w:p w:rsidR="008107C7" w:rsidRDefault="008107C7" w:rsidP="008107C7">
      <w:pPr>
        <w:pStyle w:val="TextoNormal"/>
      </w:pPr>
      <w:r>
        <w:t>Tal respuesta ha de recaer en principio sobre el aspecto sustantivo de la controversia, esto es, sobre la cuestión de fondo, en la terminología forense, pero también puede consistir, según los casos, en una resolución sobre los aspectos extrínsecos o formales de la pretensión, como su admisibilidad o la extinción del proceso, que impidan llegar al enjuiciamiento. Este otro tipo de respuesta, que no afecta a la sustancia litigiosa y se detiene en la apariencia formal de la pretensión, sólo puede ser viable cuando tenga su fundamento en causas establecidas por el legislador y guarde la debida proporción respecto de los fines constitucionalmente protegidos a cuyo servicio se encuentran los requisitos procesales con una función instrumental de las garantías. A esta segunda categoría, pertenece el pronunciamiento judicial aquí discutido, donde se rechaza de plano, a limine, la intentada suplicación por intempestiva.</w:t>
      </w:r>
    </w:p>
    <w:p w:rsidR="008107C7" w:rsidRDefault="008107C7" w:rsidP="008107C7">
      <w:pPr>
        <w:pStyle w:val="TextoNormal"/>
      </w:pPr>
    </w:p>
    <w:p w:rsidR="008107C7" w:rsidRDefault="008107C7" w:rsidP="008107C7">
      <w:pPr>
        <w:pStyle w:val="TextoNormal"/>
      </w:pPr>
      <w:r w:rsidRPr="008107C7">
        <w:rPr>
          <w:rStyle w:val="NumeroAFNegritaCaracter"/>
        </w:rPr>
        <w:t>2</w:t>
      </w:r>
      <w:r>
        <w:t>. En esa nuestra Sentencia se reconoce que, desde una perspectiva constitucional y con la única salvedad de la jurisdicción penal, es imaginable la inexistencia de medios de impugnación contra las resoluciones judiciales que den respuesta a las pretensiones articuladas ante un Juez o Tribunal. No se encuentra en la Constitución norma alguna o principio que imponga, con la excepción expresada, la necesidad de una doble instancia o de unos determinados recursos, siendo posible en abstracto su negación o el condicionamiento de su admisibilidad a determinados requisitos, sin que falte más de un ejemplo de única instancia en nuestro ordenamiento procesal. Como consecuencia, el principio pro actione no opera con igual intensidad en la fase inicial del proceso, para acceder al sistema judicial, que en las sucesivas, una vez conseguida la primera respuesta de los Jueces a la pretensión, que constituye la sustancia medular de la tutela y su contenido esencial.</w:t>
      </w:r>
    </w:p>
    <w:p w:rsidR="008107C7" w:rsidRDefault="008107C7" w:rsidP="008107C7">
      <w:pPr>
        <w:pStyle w:val="TextoNormal"/>
      </w:pPr>
      <w:r>
        <w:t>Desde esta perspectiva no puede soslayarse que la interpretación y aplicación de las reglas donde se regule el acceso a un recurso es una cuestión de legalidad ordinaria cuyo enjuiciamiento corresponde con carácter exclusivo y excluyente a los órganos que integran el Poder Judicial (art. 117.3 C.E.), mientras no adquiera una dimensión constitucional. Por otra parte, y en la órbita del art. 24.1 C.E., este Tribunal solamente puede fiscalizar las resoluciones judiciales de tal tipo cuando se alegue que han cerrado la puerta de acceso al recurso sin razonamiento alguno o que este ha tomado como punto de arranque una causa inexistente y, también, si se dieren de consuno motivo y motivación, cuando la inadmisibilidad sea producto de una interpretación manifiestamente arbitraria, irrazonable o errónea (por todas, STC 255/1994).</w:t>
      </w:r>
    </w:p>
    <w:p w:rsidR="008107C7" w:rsidRDefault="008107C7" w:rsidP="008107C7">
      <w:pPr>
        <w:pStyle w:val="TextoNormal"/>
      </w:pPr>
    </w:p>
    <w:p w:rsidR="008107C7" w:rsidRDefault="008107C7" w:rsidP="008107C7">
      <w:pPr>
        <w:pStyle w:val="TextoNormal"/>
      </w:pPr>
      <w:r w:rsidRPr="008107C7">
        <w:rPr>
          <w:rStyle w:val="NumeroAFNegritaCaracter"/>
        </w:rPr>
        <w:t>3</w:t>
      </w:r>
      <w:r>
        <w:t>. En en esta dimensión, precisamente, se mueve el sedicente agravio del demandante a cuyo parecer la decisión de la Sala de lo Social del Tribunal Superior de Justicia del País Vasco fue adoptada con patente error, pues su fundamento no es otro que el haberse presentado el escrito para formalizar el recurso de suplicación el 13 de julio de 1992, tal y como aparece en la diligencia de ordenación y en la propuesta de providencia rubricadas en ese momento por el Secretario del Juzgado de lo Social núm.  7 de Vizcaya (la segunda con la conformidad del Juez), siendo así que en el original y en la copia de tal escrito puede verse estampado un sello, sin autor conocido por no explicarse nada al respecto y con la fecha de 23 de junio del mismo año, apareciendo por devueltos los autos en el Libro- registro correspondiente ese mismo día, que si se tomare como dies a quo del plazo para la interposición determinaría su temporaneidad.</w:t>
      </w:r>
    </w:p>
    <w:p w:rsidR="008107C7" w:rsidRDefault="008107C7" w:rsidP="008107C7">
      <w:pPr>
        <w:pStyle w:val="TextoNormal"/>
      </w:pPr>
      <w:r>
        <w:lastRenderedPageBreak/>
        <w:t>Está en lo cierto, pues, el Fiscal cuando aduce que concretar cuál de esas dos datas haya de tomarse en cuenta para computar aquel plazo es una cuestión ajena a nuestra jurisdicción sobre la cual debemos guardarnos de todo pronunciamiento por la doble consideración de consistir en el resultado de una actividad hemenéutica de la legalidad y de su naturaleza exclusivamente fáctica, desde cuyas dos perspectivas queda extramuros del amparo constitucional [art. 44.1 b) LOTC]. En efecto, la Sala de lo Social del Tribunal Superior de Justicia del País Vasco, con los datos de los cuales disponía, optó por la fecha avalada con la fe pública del Secretario Judicial, una de cuyas funciones y la principal, razón de su existencia, es precisamente esa, haciéndola prevalecer sobre la otra, cuyo único respaldo es un sello anónimo. Una decisión tal no fue producto de un craso o notorio error y sí de una elección consciente del Tribunal Superior de Justicia entre datos contradictorios por virtud de su potestad de valorar los elementos de juicio a su alcance para fijar un hecho, el día de presentación, sin que tampoco pueda ser motejada la interpretación de la norma como arbitraria o irrazonable.  Consecuentemente, el amparo debe serle denegado a quien lo reclama.</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Desestimar el presente recurso de amparo.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veintiuno de abril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80" w:name="SENTENCIA_1997_77"/>
      <w:r>
        <w:lastRenderedPageBreak/>
        <w:t>SENTENCIA 77/1997, de 21 de abril de 1997</w:t>
      </w:r>
    </w:p>
    <w:bookmarkEnd w:id="80"/>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121, de 21 de mayo de 1997)</w:t>
      </w:r>
    </w:p>
    <w:p w:rsidR="008107C7" w:rsidRDefault="008107C7" w:rsidP="008107C7">
      <w:pPr>
        <w:pStyle w:val="TtuloBOE"/>
      </w:pPr>
    </w:p>
    <w:p w:rsidR="008107C7" w:rsidRDefault="008107C7" w:rsidP="008107C7">
      <w:pPr>
        <w:pStyle w:val="SntesisDescriptiva"/>
      </w:pPr>
      <w:r>
        <w:t>ECLI:ES:TC:1997:77</w:t>
      </w:r>
    </w:p>
    <w:p w:rsidR="008107C7" w:rsidRDefault="008107C7" w:rsidP="008107C7">
      <w:pPr>
        <w:pStyle w:val="SntesisDescriptiva"/>
      </w:pPr>
    </w:p>
    <w:p w:rsidR="008107C7" w:rsidRDefault="008107C7" w:rsidP="008107C7">
      <w:pPr>
        <w:pStyle w:val="SntesisDescriptiva"/>
      </w:pPr>
      <w:r>
        <w:t>Recurso de amparo 2.014/1993. Contra Sentencia de la Audiencia Provincial de Palma de Mallorca en apelación de juicio de desahucio por expiración de plazo contractual.</w:t>
      </w:r>
    </w:p>
    <w:p w:rsidR="008107C7" w:rsidRDefault="008107C7" w:rsidP="008107C7">
      <w:pPr>
        <w:pStyle w:val="SntesisDescriptiva"/>
      </w:pPr>
    </w:p>
    <w:p w:rsidR="008107C7" w:rsidRDefault="008107C7" w:rsidP="008107C7">
      <w:pPr>
        <w:pStyle w:val="SntesisAnaltica"/>
      </w:pPr>
      <w:r>
        <w:t>Vulneración del derecho a la tutela judicial efectiva: indefensión imputable al órgano judicial.</w:t>
      </w:r>
    </w:p>
    <w:p w:rsidR="008107C7" w:rsidRDefault="008107C7" w:rsidP="008107C7">
      <w:pPr>
        <w:pStyle w:val="SntesisAnaltica"/>
      </w:pPr>
    </w:p>
    <w:p w:rsidR="008107C7" w:rsidRDefault="008107C7" w:rsidP="008107C7">
      <w:pPr>
        <w:pStyle w:val="Extracto"/>
      </w:pPr>
      <w:r>
        <w:t>1.</w:t>
      </w:r>
      <w:r>
        <w:tab/>
        <w:t>Cobra en este caso todo su valor el papel de los actos de las oficinas judiciales encaminados a establecer la relación jurídica procesal entre sus dos polos, tanto los de comunicación -citaciones y emplazamientos- para hacer saber la existencia de un litigio o de sus distintas fases y actuaciones a quienes pueda afectarles, como aquellos otros cuya finalidad consiste en otorgar la condición de parte en el proceso a quien ha alcanzado aquel conocimiento y se ha personado en tiempo y forma. En la medida en que unos y otros hagan posible la comparecencia en juicio y el ejercicio del derecho de defensa son una exigencia ineludible para hacer realidad la garantía constitucional de un proceso contradictorio y, en consecuencia, su práctica deficiente y más su pura omisión dejan indefenso a quienes las sufren. [F.J. 2]</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Rafael de Mendizábal Allende,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2.014/93, interpuesto por don Francisco Bonet Garrido y don Felipe Martínez Llabres, a quienes representa el Procurador don Tomás Cuevas Villamañán, con la dirección de la Letrado doña María Lina Riera Pascual, contra la Sentencia que la Sección Primera de la Audiencia Provincial de Palma de Mallorca dictó el 24 de marzo de 1993, en apelación de juicio de desahucio por expiración del plazo contractual. Ha comparecido el Fiscal, siendo Ponente el Magistrado don Rafael de Mendizábal Allende, quien expresa el parecer de la Sala.</w:t>
      </w:r>
    </w:p>
    <w:p w:rsidR="008107C7" w:rsidRDefault="008107C7" w:rsidP="008107C7">
      <w:pPr>
        <w:pStyle w:val="TextoNormal"/>
      </w:pPr>
    </w:p>
    <w:p w:rsidR="008107C7" w:rsidRDefault="008107C7" w:rsidP="008107C7">
      <w:pPr>
        <w:pStyle w:val="TextoNormalNegritaCentrado"/>
        <w:keepNext/>
      </w:pPr>
      <w:r>
        <w:lastRenderedPageBreak/>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Don Francisco Bonet Garrido y don Felipe Martínez Llabres interpusieron el recurso de amparo de que se hace mérito en el encabezamiento mediante escrito que presentaron el 21 de junio de 1993, en el que exponen que don Nicolás Rossell Vives les demandó, ejercitando la acción de desahucio de vivienda por expiración del plazo contractual. La demanda fue desestimada por el Juez de Instrucción núm. 8 de Palma de Mallorca en Sentencia de 16 de octubre de 1990, contra la que el allí demandante interpuso recurso de apelación. Admitido el recurso, fueron emplazados para ante la Audiencia Provincial de Palma de Mallorca, donde comparecieron el 19 de octubre, fecha a partir de la cual no obtuvieron noticia alguna del curso del recurso. En abril de 1993, y a la vista del largo tiempo transcurrido desde su personación sin haber tenido noticia alguna, acudieron a la Sección Primera de la Audiencia Provincial donde se les comunicó verbalmente que no habían sido tenidos por parte, por lo que, acto seguido (el día 16 de dicho mes), presentaron escrito invocando el art. 24.1 C.E. e interesando la nulidad de todas las actuaciones realizadas en la alzada y su retroacción al estado en que se encontraban en la fecha en que debieron ser tenidos por parte en el recurso. La solicitud fue rechazada en Auto de 1 de junio de 1993 al haber sido dictada el 24 de marzo anterior Sentencia estimatoria del recurso de apelación, sin perjuicio del «recurso de amparo ante el Tribunal Constitucional». A la vista del contenido del Auto, solicitaron que la referida Sentencia les fuese notificada en forma, lo que tuvo lugar el 9 de junio. </w:t>
      </w:r>
    </w:p>
    <w:p w:rsidR="008107C7" w:rsidRDefault="008107C7" w:rsidP="008107C7">
      <w:pPr>
        <w:pStyle w:val="TextoNormal"/>
      </w:pPr>
      <w:r>
        <w:t>Los solicitantes de amparo se lamentan de indefensión, invocan el art. 24 C.E. y solicitan que, otorgando el amparo que interesan, sea dictada Sentencia en la que, reconociendo su derecho a la tutela judicial efectiva sin indefensión, se declare la nulidad de la recurrida así como la de todas las actuaciones que tuvieron lugar con anterioridad a la misma en la Sección Primera de la Audiencia Provincial de Palma de Mallorca en el rollo 185/90, retrotrayéndose al estado en que se encontraba cuando se produjo la denunciada infracción procedimental. También pidieron que, entre tanto, fuese decretada la suspensión de la ejecución de dicha resolución judicial.</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La Sección Cuarta, en providencia de 17 de enero de 1994, admitió a trámite la demanda y acordó solicitar del Juez de Instrucción núm. 8 de Palma de Mallorca y de la Sección Primera de la Audiencia Provincial correspondiente la remisión de las actuaciones, y del primero también el emplazamiento de quienes fueron parte en el proceso para que pudieran comparecer en este de amparo, si les conviniere. </w:t>
      </w:r>
    </w:p>
    <w:p w:rsidR="008107C7" w:rsidRDefault="008107C7" w:rsidP="008107C7">
      <w:pPr>
        <w:pStyle w:val="TextoNormal"/>
      </w:pPr>
      <w:r>
        <w:t xml:space="preserve">En otra providencia simultánea, la Sección decidió que se formase pieza separada y concedió a los demandantes y al Fiscal un plazo de tres días para que pudieran alegar cuanto estimasen conveniente sobre la suspensión solicitada. Evacuado el trámite por las partes mediante sendos escritos presentados el 26 de enero, la Sala Segunda, en Auto de 16 de febrero, decretó la suspensión de la ejecución de la Sentencia dictada en el recurso de apelación. </w:t>
      </w:r>
    </w:p>
    <w:p w:rsidR="008107C7" w:rsidRDefault="008107C7" w:rsidP="008107C7">
      <w:pPr>
        <w:pStyle w:val="TextoNormal"/>
      </w:pPr>
      <w:r>
        <w:t>Recibidas las actuaciones reclamadas, la Sección Cuarta, en providencia de 7 de marzo, dio vista de las mismas a las partes para que, por plazo común de veinte días, pudieran formular las alegaciones que tuvieran a bien.</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Los demandantes de amparo formularon sus alegaciones el 2 de abril, mediante escrito en el que dieron por reproducidas las contenidas en la demanda. El Fiscal hizo lo propio unos días antes (el 24 de marzo), en escrito en el que manifiesta la extemporaneidad del </w:t>
      </w:r>
      <w:r>
        <w:lastRenderedPageBreak/>
        <w:t xml:space="preserve">amparo, ya que cuando aquéllos solicitaron de la Audiencia Provincial la nulidad de las actuaciones ya había sido dictada Sentencia firme, siendo aquella solicitud manifiestamente improcedente y, por lo tanto, intempestiva la interposición del recurso de amparo. Si llegó a su conocimiento que en la alzada había sido practicada prueba, con un poco de diligencia por su parte podían haber adquirido noticia de que en la misma ya había sido dictada Sentencia. </w:t>
      </w:r>
    </w:p>
    <w:p w:rsidR="008107C7" w:rsidRDefault="008107C7" w:rsidP="008107C7">
      <w:pPr>
        <w:pStyle w:val="TextoNormal"/>
      </w:pPr>
      <w:r>
        <w:t>Añade el Fiscal que, de no apreciarse la extemporaneidad que sostiene, el amparo debe ser otorgado, porque, emplazados ante la Audiencia en el recurso de apelación interpuesto por la otra parte, los solicitantes del amparo se personaron en tiempo y forma y a pesar de ello no se les tuvo por parte y no se les dio traslado de las actuaciones ni tuvieron participación alguna en la tramitación del recurso, siendo dictada por la Audiencia Sentencia estimatoria del mismo. Se produjo una omisión procesal que ha provocado el pronunciamiento de Sentencia con quiebra de los principios de bilateralidad, contradicción y defensa y violación del derecho a la tutela judicial efectiva sin indefensión.</w:t>
      </w:r>
    </w:p>
    <w:p w:rsidR="008107C7" w:rsidRDefault="008107C7" w:rsidP="008107C7">
      <w:pPr>
        <w:pStyle w:val="TextoNormal"/>
      </w:pPr>
    </w:p>
    <w:p w:rsidR="008107C7" w:rsidRDefault="008107C7" w:rsidP="008107C7">
      <w:pPr>
        <w:pStyle w:val="TextoNormal"/>
      </w:pPr>
      <w:r w:rsidRPr="008107C7">
        <w:rPr>
          <w:rStyle w:val="NumeroAFNegritaCaracter"/>
        </w:rPr>
        <w:t>4</w:t>
      </w:r>
      <w:r>
        <w:t>. En providencia de 17 de abril de 1997, se señaló para deliberación y votación de la presente Sentencia el día 21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La doble cara del objeto de este proceso, su anverso y su reverso, aparece configurada por una Sentencia de la Audiencia Provincial de Palma de Mallorca, como Juez de apelación, cuya anulación se pretende. Tal decisión judicial había sido ya pronunciada cuando el demandante en amparo promovió dentro de ese segundo escalón procesal un incidente para obtener la nulidad de lo actuado, olvidando que no era viable hacerlo por tener eficacia preclusiva para ello la Sentencia, según advierte con meridiana claridad el art. 240 de la Ley Orgánica del Poder Judicial (párrafo 2), cuya adecuación al marco constitucional fue reconocida por nuestra STC 185/1990.</w:t>
      </w:r>
    </w:p>
    <w:p w:rsidR="008107C7" w:rsidRDefault="008107C7" w:rsidP="008107C7">
      <w:pPr>
        <w:pStyle w:val="TextoNormal"/>
      </w:pPr>
      <w:r>
        <w:t>Sin embargo, ese límite para el ejercicio de la acción intentada no puede, en este caso, repercutir negativamente sobre la viabilidad del amparo, si se observa que quienes reclaman este y esgrimieron aquella desconocían a la sazón el pronunciamiento de la Sentencia poniendo fin a la alzada. Desde una dimensión subjetiva, que es la importante aquí y ahora, la demanda incidental era procedente en principio y, por ello mismo, no puede motejarse de impertinente o dilatoria, sin que en consecuencia haga extemporánea la interposición de este recurso en sede constitucional, tal y como arguye el Fiscal. Cierto que cuando tuvieron conocimiento de que en la segunda instancia se estaban practicando algunas pruebas sin haber sido llamados a ella (por cuya virtud comparecieron y solicitaron a la vez la nulidad de las actuaciones), hubieran podido averiguar que ya había sido dictada Sentencia.  No lo es menos, sin embargo, que ese esfuerzo adicional no resultaba exigible a quien, actuando correctamente mediante su personación ante la Audiencia Provincial, se vió preterido en la tramitación por un patente olvido o error de la oficina judicial.</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El amparo que se pretende tiene como único soporte el haber sido dictada inaudita parte la Sentencia impugnada, causándoles la indefensión proscrita como la tacha más grave de la cual puede adolecer la tutela judicial no ya para resultar efectiva sino simplemente para ser. El presupuesto necesario para obtener esa protección, con la efectividad que la </w:t>
      </w:r>
      <w:r>
        <w:lastRenderedPageBreak/>
        <w:t>Constitución demanda, es el libre acceso a los Jueces en todos los grados y niveles procesales, según el sistema de recursos que las respectivas leyes de enjuiciamiento configuren para cada sector jurisdiccional en función de sus características.  El sustrato se encuentra en el principio de que nadie puede ser condenado en juicio sin ser oído, proposición donde se cobijan una serie de exigencias y, entre ellas, la garantía de un proceso contradictorio con igualdad de armas para todas las partes. Este esquema, que condensa nuestra doctrina al respecto (SSTC 105/1995 y 134/1995), sirve al propósito de prevenir el riesgo de la indefensión, proscrita constitucionalmente. No caben procesos total o parcialmente clandestinos.</w:t>
      </w:r>
    </w:p>
    <w:p w:rsidR="008107C7" w:rsidRDefault="008107C7" w:rsidP="008107C7">
      <w:pPr>
        <w:pStyle w:val="TextoNormal"/>
      </w:pPr>
      <w:r>
        <w:t>Cobra así todo su valor el papel de los actos de las oficinas judiciales encaminados a establecer la relación jurídica procesal entre sus dos polos, tanto los de comunicación - citaciones y emplazamientos- para hacer saber la existencia de un litigio o de sus distintas fases y actuaciones a quienes pueda afectarles, como aquellos otros cuya finalidad consiste en otorgar la condición de parte en el proceso a quien ha alcanzado aquel conocimiento y se ha personado en tiempo y forma. En la medida en que unos y otros hagan posible la comparecencia en juicio y el ejercicio del derecho de defensa son una exigencia ineludible para hacer realidad la garantía constitucional de un proceso contradictorio y, en consecuencia, su práctica deficiente y más su pura omisión dejan indefenso a quienes las sufren.</w:t>
      </w:r>
    </w:p>
    <w:p w:rsidR="008107C7" w:rsidRDefault="008107C7" w:rsidP="008107C7">
      <w:pPr>
        <w:pStyle w:val="TextoNormal"/>
      </w:pPr>
    </w:p>
    <w:p w:rsidR="008107C7" w:rsidRDefault="008107C7" w:rsidP="008107C7">
      <w:pPr>
        <w:pStyle w:val="TextoNormal"/>
      </w:pPr>
      <w:r w:rsidRPr="008107C7">
        <w:rPr>
          <w:rStyle w:val="NumeroAFNegritaCaracter"/>
        </w:rPr>
        <w:t>3</w:t>
      </w:r>
      <w:r>
        <w:t>. Tal ha ocurrido en el presente caso. En efecto, los hoy y aquí demandantes que habían sido emplazados por el Juez a quo, comparecieron en tiempo y forma ante la Audiencia Provincial por escrito donde identificaban con toda claridad el proceso del cual traía causa el recurso de apelación y la condición en la cual se personaban. Tan sólo la pasividad de la oficina judicial provocó que ese escrito fuese traspapelado o no tenido en cuenta, sin que la Sala llegara a conocerlo, provocando así que el rollo en la segunda instancia fuera tramitado sin oírles, con un resultado notoriamente opuesto a su pretensión de que se confirmara la Sentencia obtenida a su favor en la primera instancia.</w:t>
      </w:r>
    </w:p>
    <w:p w:rsidR="008107C7" w:rsidRDefault="008107C7" w:rsidP="008107C7">
      <w:pPr>
        <w:pStyle w:val="TextoNormal"/>
      </w:pPr>
      <w:r>
        <w:t>Por lo dicho se colige con meridiana claridad que una transgresión formal en el proceso provocó el pronunciamiento, sin audiencia de los apelados, una Sentencia que incide negativamente en sus derechos e intereses legítimos, causándoles un perjuicio real, actual y efectivo, cual es la resolución del contrato de arrendamiento suscrito con la otra parte y la consiguiente pérdida del título para ocupar la vivienda. Siendo ello así, como así es, se dan los dos elementos exigidos por nuestra doctrina para configurar la indefensión que el art. 24.1 C.E. proscribe, la violación de las formas con un resultado materialmente dañoso.  En suma, el amparo pedido tal y como en supuestos sustancialmente idénticos hemos hecho (SSTC 131/1992, 212/1992 y 17/1997).</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Otorgar el al amparo solicitado y, en su virtud:</w:t>
      </w:r>
    </w:p>
    <w:p w:rsidR="008107C7" w:rsidRDefault="008107C7" w:rsidP="008107C7">
      <w:pPr>
        <w:pStyle w:val="TextoNormal"/>
      </w:pPr>
      <w:r>
        <w:t>1º Reconocer el derecho de los demandantes a la tutela judicial efectiva sin indefensión.</w:t>
      </w:r>
    </w:p>
    <w:p w:rsidR="008107C7" w:rsidRDefault="008107C7" w:rsidP="008107C7">
      <w:pPr>
        <w:pStyle w:val="TextoNormal"/>
      </w:pPr>
      <w:r>
        <w:lastRenderedPageBreak/>
        <w:t>2º Declarar la nulidad de la Sentencia dictada el 24 de marzo de 1993 por la Sección Primera de la Audiencia Provincial de Palma de Mallorca en el rollo de apelación núm. 185/90.</w:t>
      </w:r>
    </w:p>
    <w:p w:rsidR="008107C7" w:rsidRDefault="008107C7" w:rsidP="008107C7">
      <w:pPr>
        <w:pStyle w:val="TextoNormal"/>
      </w:pPr>
      <w:r>
        <w:t>3º Restablecer a los demandantes en la integridad de su derecho, retrotrayendo las actuaciones al momento inmediatamente anterior a aquel en que debió proveerse el escrito que presentaron el 10 de octubre de 1990 personándose como parte apelada en la segunda instancia.</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veintiuno de abril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81" w:name="SENTENCIA_1997_78"/>
      <w:r>
        <w:lastRenderedPageBreak/>
        <w:t>SENTENCIA 78/1997, de 21 de abril de 1997</w:t>
      </w:r>
    </w:p>
    <w:bookmarkEnd w:id="81"/>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121, de 21 de mayo de 1997)</w:t>
      </w:r>
    </w:p>
    <w:p w:rsidR="008107C7" w:rsidRDefault="008107C7" w:rsidP="008107C7">
      <w:pPr>
        <w:pStyle w:val="TtuloBOE"/>
      </w:pPr>
    </w:p>
    <w:p w:rsidR="008107C7" w:rsidRDefault="008107C7" w:rsidP="008107C7">
      <w:pPr>
        <w:pStyle w:val="SntesisDescriptiva"/>
      </w:pPr>
      <w:r>
        <w:t>ECLI:ES:TC:1997:78</w:t>
      </w:r>
    </w:p>
    <w:p w:rsidR="008107C7" w:rsidRDefault="008107C7" w:rsidP="008107C7">
      <w:pPr>
        <w:pStyle w:val="SntesisDescriptiva"/>
      </w:pPr>
    </w:p>
    <w:p w:rsidR="008107C7" w:rsidRDefault="008107C7" w:rsidP="008107C7">
      <w:pPr>
        <w:pStyle w:val="SntesisDescriptiva"/>
      </w:pPr>
      <w:r>
        <w:t>Recurso de amparo 2.259/1993. Contra Sentencia de la Sala Tercera del Tribunal Supremo confirmatoria en apelación de la dictada por el T.S.J. de Madrid, así como contra Resolución de la Universidad Complutense, posteriormente confirmada en reposición, por la que se excluía a la recurrente de la relación de admitidos para la carrera de Fisioterapia.</w:t>
      </w:r>
    </w:p>
    <w:p w:rsidR="008107C7" w:rsidRDefault="008107C7" w:rsidP="008107C7">
      <w:pPr>
        <w:pStyle w:val="SntesisDescriptiva"/>
      </w:pPr>
    </w:p>
    <w:p w:rsidR="008107C7" w:rsidRDefault="008107C7" w:rsidP="008107C7">
      <w:pPr>
        <w:pStyle w:val="SntesisAnaltica"/>
      </w:pPr>
      <w:r>
        <w:t>Supuesta vulneración del derecho a la igualdad: inexistencia de lesión efectiva del derecho fundamental invocado.</w:t>
      </w:r>
    </w:p>
    <w:p w:rsidR="008107C7" w:rsidRDefault="008107C7" w:rsidP="008107C7">
      <w:pPr>
        <w:pStyle w:val="SntesisAnaltica"/>
      </w:pPr>
    </w:p>
    <w:p w:rsidR="008107C7" w:rsidRDefault="008107C7" w:rsidP="008107C7">
      <w:pPr>
        <w:pStyle w:val="Extracto"/>
      </w:pPr>
      <w:r>
        <w:t>1.</w:t>
      </w:r>
      <w:r>
        <w:tab/>
        <w:t>Como este Tribunal ha tenido ocasión de recordar recientemente, el recurso de amparo no es una vía para garantizar en abstracto la correcta aplicación de los preceptos de la Constitución que recogen y garantizan derechos fundamentales sino para reparar lesiones concretas y actuales de tales derechos. Por ello, este Tribunal no puede examinar en abstracto la corrección de la actuación administrativa y ni siquiera puede controlar a través de este cauce procesal indebidas aplicaciones «por exceso» de las normas que reconocen derechos fundamentales. Tal como hemos dicho en la STC 114/1995, no basta la alegación de que los preceptos constitucionales en los que los diversos derechos fundamentales se proclaman han sido erróneamente interpretados o aplicados, pues el recurso de amparo no es una vía procesal adecuada para solicitar y obtener un pronunciamiento abstracto y genérico sobre pretensiones declarativas respecto de supuestas interpretaciones erróneas o indebidas aplicaciones de preceptos constitucionales, sino sólo y exclusivamente sobre pretensiones dirigidas a restablecer o preservar los derechos fundamentales cuando se ha alegado una vulneración concreta y efectiva de los mismos» . [F.J.4]</w:t>
      </w:r>
    </w:p>
    <w:p w:rsidR="008107C7" w:rsidRDefault="008107C7" w:rsidP="008107C7">
      <w:pPr>
        <w:pStyle w:val="Extracto"/>
      </w:pPr>
    </w:p>
    <w:p w:rsidR="008107C7" w:rsidRDefault="008107C7" w:rsidP="008107C7">
      <w:pPr>
        <w:pStyle w:val="Extracto"/>
      </w:pPr>
      <w:r>
        <w:t>2.</w:t>
      </w:r>
      <w:r>
        <w:tab/>
        <w:t>Sólo cuando la infracción del precepto constitucional y el posible exceso en el reconocimiento de un derecho fundamental se traduzca al mismo tiempo en la lesión del derecho fundamental de un tercero, el acto o disposición podrá ser controlado por este Tribunal. Ello exige, de una parte, que quien acuda a esta sede sea el afectado por la decisión del poder público o, excepcionalmente, quien pueda tener un interés legítimo en la defensa del derecho de esa tercera persona; y requiere, en segundo lugar, que se acredite la existencia de una conexión entre la acción del poder público y su efectiva incidencia en el ámbito del derecho fundamental de ese tercero. Como recuerda el Ministerio Público, con cita de la STC 363/1993, este Tribunal deberá en cada caso examinar la conexión entre las resoluciones impugnadas y las situaciones subjetivas de los recurrentes, pues sólo entonces se podrá precisar «la existencia de una lesión efectiva y real de los derechos fundamentales, única que protege el mencionado recurso, según lo dispuesto en el art. 41.2 LOTC» . [F.J. 4]</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lastRenderedPageBreak/>
        <w:t>La Sala Segunda del Tribunal Constitucional, compuesta por don José Gabaldón López, Presidente, don Fernando García-Mon y González-Regueral, don Rafael de Mendizábal y Allende, don Julio Diego González Campos,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2.259/93, promovido por doña Patricia Santos Carro, representada por la Procuradora de los Tribunales de los del turno de oficio doña Montserrat Gómez Hernández y asistida por la Letrada doña Esther Castellanos García, contra la Sentencia de la Sala Tercera, Sección Tercera, del Tribunal Supremo, de 18 de junio de 1993, confirmatoria en apelación de la dictada por la Sala de lo Contencioso- Administrativo del T.S.J. de Madrid el 9 de septiembre de 1991, así como contra la Resolución de la Universidad Complutense de Madrid, de 12 de septiembre de 1989, posteriormente confirmada en reposición, por silencio administrativo, por la que se excluía a la ahora recurrente de la relación de admitidos para la carrera de Fisioterapia. Han intervenido la Universidad Complutense de Madrid, representada por el Procurador don Pablo Hornedo Muguiro y defendida por el Letrado don Carlos Ríos Izquierdo, y el Ministerio Fiscal. Ha sido Ponente el Magistrado don Tomás S. Vives Antón,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Por escrito registrado en este Tribunal el 12 de julio de 1993 doña Patricia Santos Carro solicitó el nombramiento de Procurador de oficio al objeto de interponer demanda de amparo contra las meritadas resoluciones. Evacuados los correspondientes trámites por la Sección Tercera de este Tribunal, tal nombramiento recayó sobre la Procuradora de los Tribunales doña Monserrat Gómez Hernández, formalizándose la demanda de amparo mediante escrito registrado en este Tribunal el 23 de octubre siguiente. En ella se alega la lesión del derecho a la igualdad (art. 14 C.E.).</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hechos en que se fundamenta la demanda son, sucintamente expuestos, los siguientes: </w:t>
      </w:r>
    </w:p>
    <w:p w:rsidR="008107C7" w:rsidRDefault="008107C7" w:rsidP="008107C7">
      <w:pPr>
        <w:pStyle w:val="TextoNormal"/>
      </w:pPr>
      <w:r>
        <w:t xml:space="preserve">a) El 28 de julio de 1989, doña Patricia Santos Carro solicitó su ingreso como estudiante, para el curso 1989-90, en diversos Centros de la Universidad Complutense de Madrid, señalando los estudios de Fisioterapia como los primeros en el orden de sus preferencias. El 13 de septiembre siguiente se publicaron las distintas listas de admisión en los respectivos centros Universitarios, quedando excluida de los mencionados estudios la ahora demandante de amparo que tenía una puntuación de 6,5, mientras que, a la par, era admitida doña Milagros Alonso Loriente, de nacionalidad francesa y con una puntuación de 5,2. </w:t>
      </w:r>
    </w:p>
    <w:p w:rsidR="008107C7" w:rsidRDefault="008107C7" w:rsidP="008107C7">
      <w:pPr>
        <w:pStyle w:val="TextoNormal"/>
      </w:pPr>
      <w:r>
        <w:t xml:space="preserve">b) Frente a la Resolución administrativa, interpuso la demandante de amparo recurso de reposición que, de forma presunta, fue desestimado por silencio administrativo. </w:t>
      </w:r>
    </w:p>
    <w:p w:rsidR="008107C7" w:rsidRDefault="008107C7" w:rsidP="008107C7">
      <w:pPr>
        <w:pStyle w:val="TextoNormal"/>
      </w:pPr>
      <w:r>
        <w:lastRenderedPageBreak/>
        <w:t xml:space="preserve">c) Interpuesto recurso contencioso-administrativo, en él se alegaba, básicamente que la citada ciudadana francesa había sido admitida con violación de la Disposición adicional quinta del Real Decreto 943/1986, de 9 de mayo, por el que se regulan los procedimientos para el ingreso en los Centros Universitarios, según la cual los alumnos de los demás Estados miembros de las Comunidades Europeas tendrán el mismo tratamiento que los españoles. Se afirmaba que, al infringirse este precepto y admitirse a una ciudadana francesa con una nota inferior a la exigida a los nacionales se había vulnerado, igualmente, el derecho a la igualdad que garantiza el art. 14 C.E. </w:t>
      </w:r>
    </w:p>
    <w:p w:rsidR="008107C7" w:rsidRDefault="008107C7" w:rsidP="008107C7">
      <w:pPr>
        <w:pStyle w:val="TextoNormal"/>
      </w:pPr>
      <w:r>
        <w:t xml:space="preserve">d) La Sala correspondiente del T.S.J. de Madrid dictó Sentencia desestimatoria el 9 de septiembre de 1991 por entender que la existencia de un cupo de plazas para extranjeros en los centros universitarios no vulneraba el art. 14 C.E. y que la resolución impugnada no era contraria a la Disposición adicional quinta del mencionado Real Decreto. Afirma la Sala que el principio enunciado en ella de manera tan genérica, sin otras previsiones específicas en el articulado de la normativa en que se incluye, carecería de aplicación si no fuera mediante la asignación de un porcentaje de plazas a los alumnos de países extranjeros, sean o no comunitarios, teniendo en cuenta que en la citada norma no se contiene una regulación del acceso a centros universitarios de alumnos nacionales de países comunitarios. Se descartaba, asimismo, la violación del derecho a la educación, que no incluye el derecho de todos a recibir formación universitaria y, menos aún, a estudiar la especialidad que se desee al margen de las condiciones y requisitos de cada Centro. </w:t>
      </w:r>
    </w:p>
    <w:p w:rsidR="008107C7" w:rsidRDefault="008107C7" w:rsidP="008107C7">
      <w:pPr>
        <w:pStyle w:val="TextoNormal"/>
      </w:pPr>
      <w:r>
        <w:t>e) Esta resolución fue confirmada en apelación por la Sala Tercera del Tribunal Supremo mediante Sentencia de 18 de junio de 1993. En ella se niega a la actora la legitimación que exige el art. 28.1 a) L.J.C.A., ya que ésta solicita su admisión -se afirma- a través del turno general previsto por el art. 4 del Real Decreto 943/1986, mientras que doña Milagros Alonso Loriente accedió, errónea o acertadamente, por el reservado a extranjeros; por ello, la decisión administrativa en nada afectaría a sus expectativas o derechos, siendo únicamente aquellos otros estudiantes extranjeros que tuvieren derecho a acceder mediante el turno especial a ellos reservado, los únicos en quiénes podría existir interés legítimo para impugnar la resolución administrativa de la Universidad. Y en cuanto a la impugnación del sistema de cupos, sostiene el Tribunal Supremo que tal cuestión se introdujo por primera vez en el escrito de conclusiones, con infracción de lo dispuesto en el art. 79.1 L.J.C.A. y que, en todo caso, tal sistema no es contrario al derecho a la igualdad por obedecer a criterios objetivos académicos, de intercambio cultural y de promoción interna para cuya fijación la Administración viene habilitad por el art. 26.1 de la Ley Orgánica de Reforma Universitaria.</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Estima la recurrente en amparo que las resoluciones administrativas de la Universidad Complutense que le negaron el acceso a los estudios de Fisioterapia, al aplicar incorrectamente la normativa al efecto contenida en el Real Decreto núm. 943/1986, de 9 de mayo, sobre procedimiento para el ingreso en los Centros Universitarios, le causaron un trato desigual y discriminatorio, lesivo de su derecho fundamental a la igualdad reconocido en el art. 14 C.E., sin que tal violación fuese reparada posteriormente por los órganos judiciales. </w:t>
      </w:r>
    </w:p>
    <w:p w:rsidR="008107C7" w:rsidRDefault="008107C7" w:rsidP="008107C7">
      <w:pPr>
        <w:pStyle w:val="TextoNormal"/>
      </w:pPr>
      <w:r>
        <w:t xml:space="preserve">Se alega en la demanda de amparo que el art. 7.1 del mencionado Real Decreto establece que el ingreso en los Centros Universitarios se articula mediante la reserva de tres turnos o cupos especiales: un 5 por 100 para quien posea titulación universitaria o equivalente; un 5 por 100 para alumnos extranjeros y en régimen de reciprocidad; y, finalmente, un 30 por 100 para ciertos titulares de formación profesional de segundo grado para acceder a algunas Escuelas Universitarias. La recurrente entiende que, en el caso concreto, la admisión de una ciudadana de nacionalidad francesa por el cupo del 5 por 100 reservado a extranjeros supone </w:t>
      </w:r>
      <w:r>
        <w:lastRenderedPageBreak/>
        <w:t xml:space="preserve">un trato discriminatorio ya que, de acuerdo con la Disposición adicional quinta de la misma norma, los alumnos que posean la nacionalidad de alguno de los países miembros de la Comunidad Europea tendrán, a los efectos de los establecido en ella, el mismo tratamiento que los nacionales. </w:t>
      </w:r>
    </w:p>
    <w:p w:rsidR="008107C7" w:rsidRDefault="008107C7" w:rsidP="008107C7">
      <w:pPr>
        <w:pStyle w:val="TextoNormal"/>
      </w:pPr>
      <w:r>
        <w:t xml:space="preserve">La vulneración del derecho a la igualdad deriva, para la actora, del hecho de que según el art. 2 del Real Decreto a que se viene haciendo referencia, ninguna Universidad podrá dejar plazas vacantes en un Centro mientras existan solicitudes para el mismo. En consecuencia, como doña Milagros Alonso Loriente nunca hubiera podido ingresar en el cupo para españoles y ciudadanos comunitarios, que era el que le correspondía, al no poder quedar vacante ninguna plaza y ser la demandante de amparo la única que reclamó el ingreso, sería la única que podría acceder a dicha plaza. </w:t>
      </w:r>
    </w:p>
    <w:p w:rsidR="008107C7" w:rsidRDefault="008107C7" w:rsidP="008107C7">
      <w:pPr>
        <w:pStyle w:val="TextoNormal"/>
      </w:pPr>
      <w:r>
        <w:t>Se afirma también que resulta contrario al derecho a la igualdad la forma en que accedieron a la Universidad en ese curso los alumnos de la U.N.E.D. ya que realizaron un ejercicio en el que debían examinarse de dos asignaturas menos.</w:t>
      </w:r>
    </w:p>
    <w:p w:rsidR="008107C7" w:rsidRDefault="008107C7" w:rsidP="008107C7">
      <w:pPr>
        <w:pStyle w:val="TextoNormal"/>
      </w:pPr>
    </w:p>
    <w:p w:rsidR="008107C7" w:rsidRDefault="008107C7" w:rsidP="008107C7">
      <w:pPr>
        <w:pStyle w:val="TextoNormal"/>
      </w:pPr>
      <w:r w:rsidRPr="008107C7">
        <w:rPr>
          <w:rStyle w:val="NumeroAFNegritaCaracter"/>
        </w:rPr>
        <w:t>4</w:t>
      </w:r>
      <w:r>
        <w:t>. Mediante providencia de 30 de diciembre de 1993, la Sección Tercera de este Tribunal acordó admitir a trámite la demanda de amparo y, de acuerdo con lo dispuesto en el art. 51 LOTC, dirigir atenta comunicación a la Sala Tercera del Tribunal Supremo a fin de que en el plazo de diez días remitiera certificación o fotocopia adverada de las actuaciones correspondientes al recurso de apelación núm. 1.715/92, en el que recayó la Sentencia impugnada, así como a la Sala de lo Contencioso-Administrativo del T.S.J. de Madrid, para que en el mismo plazo remitiera las actuaciones correspondientes al recurso núm. 1.626/89, debiendo previamente emplazar a quienes hubieran sido parte en el procedimiento para que, en el plazo de diez días, pudieran comparecer en el recurso de amparo.</w:t>
      </w:r>
    </w:p>
    <w:p w:rsidR="008107C7" w:rsidRDefault="008107C7" w:rsidP="008107C7">
      <w:pPr>
        <w:pStyle w:val="TextoNormal"/>
      </w:pPr>
    </w:p>
    <w:p w:rsidR="008107C7" w:rsidRDefault="008107C7" w:rsidP="008107C7">
      <w:pPr>
        <w:pStyle w:val="TextoNormal"/>
      </w:pPr>
      <w:r w:rsidRPr="008107C7">
        <w:rPr>
          <w:rStyle w:val="NumeroAFNegritaCaracter"/>
        </w:rPr>
        <w:t>5</w:t>
      </w:r>
      <w:r>
        <w:t>. El 21 de febrero de 1994 se registró en este Tribunal el escrito de la Sala Tercera del Tribunal Supremo, al que se acompañaban los testimonios solicitados, y el siguiente 9 de marzo se recibió testimonio deducido del recurso de las anotaciones marginales. El 15 de abril de 1994 se recibió el escrito de la Sala de lo Contencioso-Administrativo del T.S.J. de Madrid, al que se adjuntaba copia de las actuaciones. Mediante nuevo escrito del mismo órgano judicial, registrado el 5 de mayo siguiente, se remitieron copia de los emplazamientos efectuados a quienes habían sido parte en el procedimiento.</w:t>
      </w:r>
    </w:p>
    <w:p w:rsidR="008107C7" w:rsidRDefault="008107C7" w:rsidP="008107C7">
      <w:pPr>
        <w:pStyle w:val="TextoNormal"/>
      </w:pPr>
    </w:p>
    <w:p w:rsidR="008107C7" w:rsidRDefault="008107C7" w:rsidP="008107C7">
      <w:pPr>
        <w:pStyle w:val="TextoNormal"/>
      </w:pPr>
      <w:r w:rsidRPr="008107C7">
        <w:rPr>
          <w:rStyle w:val="NumeroAFNegritaCaracter"/>
        </w:rPr>
        <w:t>6</w:t>
      </w:r>
      <w:r>
        <w:t>. Por escrito registrado en el Juzgado de Guardia de Madrid el 1 de marzo de 1994, don Pablo Hornedo Muguiro, Procurador de los Tribunales y de la Universidad Complutense de Madrid, solicitó se le tuviera por comparecido en el recurso de amparo. Por providencia de 2 de junio de 1994 se acordó tener por personado y parte en el procedimiento al mencionado Procurador, en nombre y representación de la Universidad Complutense, así como acusar recibo al Tribunal Supremo y al T.S.J. de Madrid de las actuaciones remitidas y dar vista de las mismas a las partes personadas y al Ministerio Fiscal al objeto de que, en el plazo común de viente días, presentaran las alegaciones pertinentes.</w:t>
      </w:r>
    </w:p>
    <w:p w:rsidR="008107C7" w:rsidRDefault="008107C7" w:rsidP="008107C7">
      <w:pPr>
        <w:pStyle w:val="TextoNormal"/>
      </w:pPr>
    </w:p>
    <w:p w:rsidR="008107C7" w:rsidRDefault="008107C7" w:rsidP="008107C7">
      <w:pPr>
        <w:pStyle w:val="TextoNormal"/>
      </w:pPr>
      <w:r w:rsidRPr="008107C7">
        <w:rPr>
          <w:rStyle w:val="NumeroAFNegritaCaracter"/>
        </w:rPr>
        <w:t>7</w:t>
      </w:r>
      <w:r>
        <w:t xml:space="preserve">. La recurrente en amparo no formuló alegación alguna. La Universidad Complutense de Madrid presentó su escrito de alegaciones en el Juzgado de Guardia de Madrid el 27 de junio de 1994. Sostiene la mencionada entidad que el Real Decreto 943/1986 responde a la necesidad de que el Estado establezca normas de racionalización a la hora de seleccionar </w:t>
      </w:r>
      <w:r>
        <w:lastRenderedPageBreak/>
        <w:t xml:space="preserve">las peticiones de acceso a los Centros Universitarios, más numerosas que las plazas disponibles. Los criterios que en dicha norma se establecen no son caprichosos, sino que obedecen a razones académicas o de otro tipo, como de intercambio cultural internacional o al dato, relevante, del distinto origen de los alumnos dentro del sistema educativo español. Este sistema no resulta contrario al art. 14 C.E. y en modo alguno vulnera el derecho a la igualdad de la recurrente que puede solicitar el acceso a la Universidad por el cupo correspondiente. </w:t>
      </w:r>
    </w:p>
    <w:p w:rsidR="008107C7" w:rsidRDefault="008107C7" w:rsidP="008107C7">
      <w:pPr>
        <w:pStyle w:val="TextoNormal"/>
      </w:pPr>
      <w:r>
        <w:t xml:space="preserve">Y en cuanto al hecho de que una ciudadana francesa accediera por el cupo de extranjeros, comparte la Universidad demandada las razones expuestas en las Sentencias recurridas, ya que el que se pudiera haber admitido a dicha alumna de manera errónea nada tiene que ver con la circunstancia de que la actora no fuera admitida en los estudios de Fisioterapia, pues ésta fue admitida en la titulación que le correspondía con arreglo a la calificación obtenida en las pruebas de Selectividad. Se afirma que aún en el caso de que la Srta. Alonso Loriente hubiera sido admitida indebidamente, la Universidad no podría cometer deliberadamente una infracción normativa como sería admitir a la recurrente, pues el principio de igualdad no puede contradecir el de seguridad jurídica (art. 9.3 C.E.) y sólo opera dentro de la legalidad. </w:t>
      </w:r>
    </w:p>
    <w:p w:rsidR="008107C7" w:rsidRDefault="008107C7" w:rsidP="008107C7">
      <w:pPr>
        <w:pStyle w:val="TextoNormal"/>
      </w:pPr>
      <w:r>
        <w:t>A mayor abundamiento se señala que la Srta. Alonso Loriente fue admitida por el cupo del 5 por 100 reservado para alumnos extranjeros, condición que cumplía al ser de nacionalidad francesa y, en todo caso, en modo alguno se han restado oportunidades a la recurrente para acceder a la titulación de Fisioterapia. Si se admitiera la solicitud de ésta, se estaría discriminando a todos aquellos alumnos españoles que no pudieron acceder, en el curso 1989-90, a dicha titulación por no existir plazas suficientes y no alcanzar sus puntuaciones la nota mínima del último admitido que cubrió la última plaza ofertada a tales efectos.</w:t>
      </w:r>
    </w:p>
    <w:p w:rsidR="008107C7" w:rsidRDefault="008107C7" w:rsidP="008107C7">
      <w:pPr>
        <w:pStyle w:val="TextoNormal"/>
      </w:pPr>
    </w:p>
    <w:p w:rsidR="008107C7" w:rsidRDefault="008107C7" w:rsidP="008107C7">
      <w:pPr>
        <w:pStyle w:val="TextoNormal"/>
      </w:pPr>
      <w:r w:rsidRPr="008107C7">
        <w:rPr>
          <w:rStyle w:val="NumeroAFNegritaCaracter"/>
        </w:rPr>
        <w:t>8</w:t>
      </w:r>
      <w:r>
        <w:t xml:space="preserve">. El Ministerio Público presentó su escrito de alegaciones el 28 de junio de 1994. En él se sostiene que, aunque se aceptara la afirmación de la recurrente de que los alumnos de países comunitarios no podían acceder a los Centros Universitarios por el turno de extranjeros, el amparo no podría prosperar. Se basa tal afirmación en que es doctrina de este Tribunal que tan sólo debe salvaguardar los derechos fundamentales de sus titulares, lo que requiere probar la repercusión que en la demandante ha tenido la indebida admisión en la Facultad de Fisioterapia de la estudiante francesa que se propone como término de comparación; sólo si la actora fuera la primera de las excluidas de tales estudios podría entenderse vulnerado su derecho a la igualdad ya que en otro caso la hipotética lesión no afectaría directamente a la recurrente. </w:t>
      </w:r>
    </w:p>
    <w:p w:rsidR="008107C7" w:rsidRDefault="008107C7" w:rsidP="008107C7">
      <w:pPr>
        <w:pStyle w:val="TextoNormal"/>
      </w:pPr>
      <w:r>
        <w:t>Con apoyo de la doctrina contenida en la STC 363/1993, sostiene el Fiscal que era carga de la demandante de amparo acreditar su situación de favorecida por la exclusión de la estudiante francesa cuya admisión se impugna, extremo éste que no ha sido acreditado, sin que el argumento ofrecido en la demanda de amparo -que la actora era la única que recurrió- tenga virtualidad para enervar tal planteamiento. Por todo ello, el Fiscal interesa que se dicte Sentencia denegando el amparo.</w:t>
      </w:r>
    </w:p>
    <w:p w:rsidR="008107C7" w:rsidRDefault="008107C7" w:rsidP="008107C7">
      <w:pPr>
        <w:pStyle w:val="TextoNormal"/>
      </w:pPr>
    </w:p>
    <w:p w:rsidR="008107C7" w:rsidRDefault="008107C7" w:rsidP="008107C7">
      <w:pPr>
        <w:pStyle w:val="TextoNormal"/>
      </w:pPr>
      <w:r w:rsidRPr="008107C7">
        <w:rPr>
          <w:rStyle w:val="NumeroAFNegritaCaracter"/>
        </w:rPr>
        <w:t>9</w:t>
      </w:r>
      <w:r>
        <w:t>. Por providencia de 17 de abril de 1997, se señaló para la deliberación y votación de la presente Sentencia el día 21 del mismo mes y año.</w:t>
      </w:r>
    </w:p>
    <w:p w:rsidR="008107C7" w:rsidRDefault="008107C7" w:rsidP="008107C7">
      <w:pPr>
        <w:pStyle w:val="TextoNormal"/>
      </w:pPr>
    </w:p>
    <w:p w:rsidR="008107C7" w:rsidRDefault="008107C7" w:rsidP="008107C7">
      <w:pPr>
        <w:pStyle w:val="TextoNormalNegritaCentrado"/>
        <w:keepNext/>
      </w:pPr>
      <w:r>
        <w:lastRenderedPageBreak/>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Conviene, antes de nada, precisar que objeto del presente recurso de amparo es la Resolución de la Universidad Complutense de Madrid, de 12 de septiembre de 1989, por la que se excluyó a la ahora recurrente de las listas de admitidos a la Licenciatura de Fisioterapia, resolución que fue confirmada al desestimarse por silencio administrativo el recurso de reposición interpuesto contra ella. Es cierto que la demanda de amparo se dirige también contra las Sentencias de los Tribunales de lo Contencioso- Administrativo que confirmaron las anteriores resoluciones, pero no se imputa a los órganos judiciales ninguna nueva violación de derechos fundamentales sino, únicamente, la no reparación de la lesión que las resoluciones administrativas habrían supuesto.  Estamos, por tanto, ante un recurso de amparo del art. 43 LOTC.</w:t>
      </w:r>
    </w:p>
    <w:p w:rsidR="008107C7" w:rsidRDefault="008107C7" w:rsidP="008107C7">
      <w:pPr>
        <w:pStyle w:val="TextoNormal"/>
      </w:pPr>
      <w:r>
        <w:t>Cabría preguntarse, no obstante, sobre la corrección del planteamiento que se hace en la demanda de amparo ya que la Sentencia del Tribunal Supremo declaró que la recurrente carecía de la legitimación que al efecto exige el art. 28.1 a) L.J.C.A.  Si esa declaración se entendiera -como en principio parece lógico- como la existencia de una causa formal de inadmisión que impide un pronunciamiento sobre el fondo, lo correcto de cara al planteamiento de la demanda de amparo hubiera sido denunciar la posible violación del derecho a la tutela judicial efectiva (art.  24.1 C.E.), que se habría producido al no dar la Sala una respuesta sobre el fondo.</w:t>
      </w:r>
    </w:p>
    <w:p w:rsidR="008107C7" w:rsidRDefault="008107C7" w:rsidP="008107C7">
      <w:pPr>
        <w:pStyle w:val="TextoNormal"/>
      </w:pPr>
      <w:r>
        <w:t>No obstante, la lectura de la Sentencia del Tribunal Supremo muestra que la afirmación de que la recurrente carece de legitimación a los efectos de la interposición de un recurso contencioso-administrativo está estrechamente unida al examen de la pretensión de la recurrente pues lo que la Sala viene a sostener es que, en cualquier caso, la admisión -incorrecta o no- de la alumna francesa a los estudios de Fisioterapia en nada afectaría a los derechos de la recurrente, pues ella nunca podría acceder por el cupo de plazas dedicadas a los estudiantes extranjeros. Sin entrar de momento a examinar la corrección de este razonamiento, sí cabe ya señalar que en la Sentencia del Tribunal Supremo se contiene una respuesta -negativa- a la cuestión planteada -si se había producido o no la lesión del derecho a la igualdad de la recurrente- y que con ella se ha producido un verdadero agotamiento de la vía judicial procedente (art. 43.1 LOTC), lo que permite a este Tribunal examinar las resoluciones administrativas impugnadas y pronunciarse sobre si han incurrido o no en violación de los derechos fundamentales de la recurrente y, en consecuencia, si son o no resoluciones válidas.</w:t>
      </w:r>
    </w:p>
    <w:p w:rsidR="008107C7" w:rsidRDefault="008107C7" w:rsidP="008107C7">
      <w:pPr>
        <w:pStyle w:val="TextoNormal"/>
      </w:pPr>
    </w:p>
    <w:p w:rsidR="008107C7" w:rsidRDefault="008107C7" w:rsidP="008107C7">
      <w:pPr>
        <w:pStyle w:val="TextoNormal"/>
      </w:pPr>
      <w:r w:rsidRPr="008107C7">
        <w:rPr>
          <w:rStyle w:val="NumeroAFNegritaCaracter"/>
        </w:rPr>
        <w:t>2</w:t>
      </w:r>
      <w:r>
        <w:t>. En segundo lugar, resulta necesario precisar las violaciones de derechos que se denuncian, así como los concretos actos y disposiciones a que tales violaciones se imputan pues, a lo largo del proceso judicial, puede apreciarse que la ahora demandante de amparo fue variando los términos del debate procesal, invocándose además del derecho a la igualdad, el derecho a la educación y ampliando las motivaciones del recurso -con una incorrecta técnica procesal, como señala el Tribunal Supremo- especialmente en el escrito de conclusiones en la primera instancia. Así, si bien siempre se ha cuestionado el que una de las plazas del cupo del cinco por ciento previsto para estudiantes extranjeros se ocupara por una persona de un país miembro de la actual Unión Europea, en el referido escrito de conclusiones se cuestionó también la existencia misma de esas cuotas para extranjeros.</w:t>
      </w:r>
    </w:p>
    <w:p w:rsidR="008107C7" w:rsidRDefault="008107C7" w:rsidP="008107C7">
      <w:pPr>
        <w:pStyle w:val="TextoNormal"/>
      </w:pPr>
      <w:r>
        <w:t xml:space="preserve">Sin embargo, en la demanda de amparo se invoca, única y exclusivamente, el derecho a la igualdad y su lesión se imputa, no al sistema de cuotas en abstracto, sino al hecho de que </w:t>
      </w:r>
      <w:r>
        <w:lastRenderedPageBreak/>
        <w:t>una de las plazas para extranjeros se otorgara a una persona de nacionalidad francesa cuando según la Disposición adicional quinta del Real Decreto 943/1986, "los alumnos que posean la nacionalidad de alguno de los demás Estados miembros de las Comunidades Europeas tendrán, a los efectos de lo establecido en el presente Real Decreto, el mismo tratamiento que corresponde a los de nacionalidad española". Hay que señalar, no obstante, que en la demanda de amparo se critica también el sistema de acceso a la Universidad, en el curso 1989-90, de los alumnos procedentes de la Universidad Nacional de Educación a Distancia (U.N.E.D.), pero tal cuestión fue introducida por la recurrente en el escrito de conclusiones con olvido -según señala el Tribunal Supremo- del art. 79.1 L.J.C.A. que impide plantear cuestiones no suscitadas en los escritos de demanda y contestación y, por ello, no recibió contestación en ninguna de las Sentencias recaídas en el proceso judicial previo, ni puede ser planteada de nuevo ante esta sede por impedirlo el carácter subsidiario del recurso de amparo.</w:t>
      </w:r>
    </w:p>
    <w:p w:rsidR="008107C7" w:rsidRDefault="008107C7" w:rsidP="008107C7">
      <w:pPr>
        <w:pStyle w:val="TextoNormal"/>
      </w:pPr>
    </w:p>
    <w:p w:rsidR="008107C7" w:rsidRDefault="008107C7" w:rsidP="008107C7">
      <w:pPr>
        <w:pStyle w:val="TextoNormal"/>
      </w:pPr>
      <w:r w:rsidRPr="008107C7">
        <w:rPr>
          <w:rStyle w:val="NumeroAFNegritaCaracter"/>
        </w:rPr>
        <w:t>3</w:t>
      </w:r>
      <w:r>
        <w:t>. Centrados así los términos del debate procesal, debemos ya desde este momento hacernos eco de las alegaciones del Ministerio Público y recordar que la función de este Tribunal al resolver un recurso de amparo no es otra que reparar concretas lesiones de derechos fundamentales, estándole vedado el control de legalidad o incluso de constitucionalidad de actos y disposiciones de los poderes públicos cuando de los mismos no se derive lesión alguna de los derechos a que hace referencia el art. 53.2 C.E.  Como hemos señalado repetidas veces, el recurso de amparo no está establecido para el logro de declaraciones abstractas de inconstitucionalidad, sino para la reparación de vulneraciones de derechos y libertades fundamentales concretamente producidas a los recurrentes (SSTC 167/1986, 193/1987, 93/1990 y 363/1993, entre otras).</w:t>
      </w:r>
    </w:p>
    <w:p w:rsidR="008107C7" w:rsidRDefault="008107C7" w:rsidP="008107C7">
      <w:pPr>
        <w:pStyle w:val="TextoNormal"/>
      </w:pPr>
      <w:r>
        <w:t>En el presente caso, la demandante de amparo denuncia, ante todo, lo que ella considera una admisión indebida de una alumna francesa que, teniendo una nota inferior a la exigida para los nacionales y no pudiendo considerarse como extranjera a los efectos del art. 7.1 b) del Real Decreto que regula la materia fue, sin embargo, admitida en los estudios de Fisioterapia. Así, en el hecho sexto de la demanda de amparo se afirma que "doña Milagros Alonso Loriente, fue admitida en fraude de ley en el turno de alumnos extranjeros" en contra de lo dispuesto en la Disposición adicional quinta del Real Decreto; y en el hecho décimo se sostiene que "en este caso se realiza un beneficio no justificado por la aplicación errónea de una norma que conculca este derecho a la igualdad". Señala, además, la recurrente en apoyo de sus tesis que a partir del siguiente curso, las Universidades aplicaron correctamente la norma, admitiendo a los alumnos de la Unión Europea en el cupo de los españoles y no en el de los extranjeros.</w:t>
      </w:r>
    </w:p>
    <w:p w:rsidR="008107C7" w:rsidRDefault="008107C7" w:rsidP="008107C7">
      <w:pPr>
        <w:pStyle w:val="TextoNormal"/>
      </w:pPr>
    </w:p>
    <w:p w:rsidR="008107C7" w:rsidRDefault="008107C7" w:rsidP="008107C7">
      <w:pPr>
        <w:pStyle w:val="TextoNormal"/>
      </w:pPr>
      <w:r w:rsidRPr="008107C7">
        <w:rPr>
          <w:rStyle w:val="NumeroAFNegritaCaracter"/>
        </w:rPr>
        <w:t>4</w:t>
      </w:r>
      <w:r>
        <w:t xml:space="preserve">. Ocurre, sin embargo, que como este Tribunal ha tenido ocasión de recordar recientemente, el recurso de amparo no es una vía para garantizar en abstracto la correcta aplicación de los preceptos de la Constitución que recogen y garantizan derechos fundamentales sino, como antes se ha dicho, para reparar lesiones concretas y actuales de tales derechos. Por ello, este Tribunal no puede examinar en abstracto la corrección de la actuación administrativa y, ni siquiera puede controlar a través de este cauce procesal indebidas aplicaciones "por exceso" de las normas que reconocen derechos fundamentales.  La alegación de uno de los derechos fundamentales tutelados por el recurso de amparo -se afirma en el fundamento jurídico 2.º de la STC 114/1995- y la consiguiente petición de su tutela "resultan presupuestos inexcusables de esta jurisdicción de amparo. Tal como se encuentra, pues, configurada dicha jurisdicción, no basta la alegación de que los preceptos constitucionales </w:t>
      </w:r>
      <w:r>
        <w:lastRenderedPageBreak/>
        <w:t>en los que los diversos derechos fundamentales se proclaman han sido erróneamente interpretados o aplicados, pues el recurso de amparo no es una vía procesal adecuada para solicitar y obtener un pronunciamiento abstracto y genérico sobre pretensiones declarativas respecto de supuestas interpretaciones erróneas o indebidas aplicaciones de preceptos constitucionales, sino sólo y exclusivamente sobre pretensiones dirigidas a restablecer o preservar los derechos fundamentales cuando se ha alegado una vulneración concreta y efectiva de los mismos (SSTC 52/1992, fundamento jurídico 1.º, y 167/1986, fundamento jurídico 4.º)".</w:t>
      </w:r>
    </w:p>
    <w:p w:rsidR="008107C7" w:rsidRDefault="008107C7" w:rsidP="008107C7">
      <w:pPr>
        <w:pStyle w:val="TextoNormal"/>
      </w:pPr>
      <w:r>
        <w:t>En otras palabras, el recurso de amparo no es, prima facie, un cauce para evitar el reconocimiento de posibles tratos de favor motivados por una errónea interpretación y aplicación de las normas de derechos fundamentales. Sólo cuando de tales hechos se derive, al mismo tiempo, un menoscabo del derecho fundamental de un tercero podrá este Tribunal examinar la actuación de los poderes públicos que se considera contraria a la Constitución pues "la jurisdicción de amparo, en rigor, no ha sido constituida para reparar infracciones de preceptos sino vulneraciones de derechos; de aquellos derechos fundamentales, se entiende, aludidos en el art. 53.2 C.E. La infracción del precepto constitucional es, desde luego, condición necesaria, pero no condición suficiente" (STC 114/1995, fundamento jurídico 2.º).</w:t>
      </w:r>
    </w:p>
    <w:p w:rsidR="008107C7" w:rsidRDefault="008107C7" w:rsidP="008107C7">
      <w:pPr>
        <w:pStyle w:val="TextoNormal"/>
      </w:pPr>
      <w:r>
        <w:t>En consecuencia, sólo cuando la infracción del precepto constitucional y el posible exceso en el reconocimiento de un derecho fundamental se traduzca al mismo tiempo en la lesión del derecho fundamental de un tercero, el acto o disposición podrá ser controlado por este Tribunal. Ello exige, de una parte, que quien acuda a esta sede sea el afectado por la decisión del poder público o, excepcionalmente, quien pueda tener un interés legítimo en la defensa del derecho de esa tercera persona; y requiere, en segundo lugar, que se acredite la existencia de una conexión entre la acción del poder público y su efectiva incidencia en el ámbito del derecho fundamental de ese tercero.  Como recuerda el Ministerio Público, con cita de la STC 363/1993, este Tribunal deberá en cada caso examinar la conexión entre las resoluciones impugnadas y las situaciones subjetivas de los recurrentes, pues sólo entonces se podrá precisar "la existencia de una lesión efectiva y real de los derechos fundamentales, única que protege el mencionado recurso, según lo dispuesto en el art. 41.2 LOTC" (fundamento jurídico 4.º).</w:t>
      </w:r>
    </w:p>
    <w:p w:rsidR="008107C7" w:rsidRDefault="008107C7" w:rsidP="008107C7">
      <w:pPr>
        <w:pStyle w:val="TextoNormal"/>
      </w:pPr>
    </w:p>
    <w:p w:rsidR="008107C7" w:rsidRDefault="008107C7" w:rsidP="008107C7">
      <w:pPr>
        <w:pStyle w:val="TextoNormal"/>
      </w:pPr>
      <w:r w:rsidRPr="008107C7">
        <w:rPr>
          <w:rStyle w:val="NumeroAFNegritaCaracter"/>
        </w:rPr>
        <w:t>5</w:t>
      </w:r>
      <w:r>
        <w:t>. En el presente caso, y como ha quedado expuesto, la recurrente en amparo denuncia, ante todo, lo que considera un trato de favor de una estudiante procedente de un país comunitario que, como tal, no podía ser tratada de forma distinta a un nacional y cuyo acceso a un Centro Universitario por el cupo de extranjeros estaba expresamente vedado por la normativa sobre la materia.</w:t>
      </w:r>
    </w:p>
    <w:p w:rsidR="008107C7" w:rsidRDefault="008107C7" w:rsidP="008107C7">
      <w:pPr>
        <w:pStyle w:val="TextoNormal"/>
      </w:pPr>
      <w:r>
        <w:t>Con esta argumentación el recurso de amparo no puede prosperar. De un lado, porque, el que se admitiera indebidamente a una persona en los estudios de Fisioterapia no da un derecho a la recurrente a ser también admitida a pesar de no reunir los requisitos legalmente exigidos pues, como este Tribunal viene reiterando, no existe un derecho a la igualdad en la ilegalidad (SSTC 43/1982, 62/1987, 40/1989 y 21/1992, entre otras). De otro, porque, como acabamos de señalar, no basta con que se denuncie una infracción en abstracto del art. 14 C.E., sino que es necesario que la misma haya incidido en el derecho fundamental de la recurrente en amparo.</w:t>
      </w:r>
    </w:p>
    <w:p w:rsidR="008107C7" w:rsidRDefault="008107C7" w:rsidP="008107C7">
      <w:pPr>
        <w:pStyle w:val="TextoNormal"/>
      </w:pPr>
      <w:r>
        <w:t xml:space="preserve">Hay que señalar, no obstante, que en la demanda se va más allá y la recurrente pretende justificar la lesión de su derecho en dos circunstancias: la primera, lo dispuesto en el art. 1.2 del Real Decreto 943/1986, según el cual ninguna Universidad podrá dejar plazas vacantes en un Centro mientras existan solicitudes para el mismo formuladas por alumnos que posean los requisitos legalmente previstos; la segunda, el que ella ha sido la única persona que ha </w:t>
      </w:r>
      <w:r>
        <w:lastRenderedPageBreak/>
        <w:t>impugnado la resolución administrativa, lo que supone -según se afirma- que a ella le debe ser concedida la plaza indebidamente otorgada a la estudiante de nacionalidad francesa.</w:t>
      </w:r>
    </w:p>
    <w:p w:rsidR="008107C7" w:rsidRDefault="008107C7" w:rsidP="008107C7">
      <w:pPr>
        <w:pStyle w:val="TextoNormal"/>
      </w:pPr>
      <w:r>
        <w:t>Tal vez pudiera compartirse la primera de las líneas argumentales de la recurrente: puesto que las plazas no cubiertas por el cupo de extranjeros debían incrementar las atribuidas al resto de los cupos, un trato de favor que llevara a la atribución indebida de una de aquellas plazas podía incidir, de hecho, en los intereses del resto de los solicitantes.</w:t>
      </w:r>
    </w:p>
    <w:p w:rsidR="008107C7" w:rsidRDefault="008107C7" w:rsidP="008107C7">
      <w:pPr>
        <w:pStyle w:val="TextoNormal"/>
      </w:pPr>
      <w:r>
        <w:t>Ahora bien, esta mera posibilidad de que, en abstracto, se haya afectado a sus intereses no es suficiente para entender vulnerado su derecho a la no discriminación, sino que es necesario que se acredite, además, que efectivamente quedó excluida de los estudios de Fisioterapia por la admisión indebida de un tercero, pues sólo en ese caso el presunto trato de favor que, en sí mismo, no podemos enjuiciar, se traduciría en la lesión de un derecho fundamental justiciable en vía de amparo constitucional.  Como se ha dicho, la recurrente pretende fundamentar la existencia de esa relación causa-efecto entre la indebida admisión de la ciudadana francesa y su exclusión en el dato de que sólo ella ha recurrido las resoluciones administrativas, por lo que sólo a ella debería atribuirse la plaza indebidamente adjudicada. Esta segunda línea argumental debe, sin embargo, rechazarse pues, como apunta el Ministerio Fiscal, no resulta en modo alguno concluyente. Si los órganos jurisdiccionales apreciaran que la atribución de la plaza controvertida se hizo con infracción de lo dispuesto en la normativa vigente, el efecto de su declaración no sería la concesión automática de la plaza a la recurrente, salvo que esta acreditara ser la que, por su puntuación, tenía derecho a ocupar la plaza que quedara libre. Es decir, sólo si se demostrara que no existían otros alumnos extranjeros que pudieran acceder por el cupo del cinco por ciento previsto en el art. 7.1 b) del Real Decreto y que, en consecuencia, debiendo incrementar la plaza cuestionada el cupo de las dedicadas a los estudiantes españoles, la recurrente era la mejor situada para cubrir esa vacante, cabría entender que el presunto trato de favor a una estudiante comunitaria se había traducido al mismo tiempo en una discriminación de la recurrente. Como tales extremos no han quedado en modo alguno acreditados, hay que concluir que no puede apreciarse la denunciada lesión del derecho a la igualdad, sin que a este Tribunal corresponda, por las razones antes expuestas, examinar en abstracto la corrección de la adjudicación de una plaza de los estudios de Fisioterapia.</w:t>
      </w:r>
    </w:p>
    <w:p w:rsidR="008107C7" w:rsidRDefault="008107C7" w:rsidP="008107C7">
      <w:pPr>
        <w:pStyle w:val="TextoNormal"/>
      </w:pPr>
      <w:r>
        <w:t>Por todo lo expuesto, no puede apreciarse que las resoluciones impugnadas hayan vulnerado el derecho a la igualdad de la recurrente en amparo.</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Desestimar el presente recurso de amparo.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veintiuno de abril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82" w:name="SENTENCIA_1997_79"/>
      <w:r>
        <w:lastRenderedPageBreak/>
        <w:t>SENTENCIA 79/1997, de 21 de abril de 1997</w:t>
      </w:r>
    </w:p>
    <w:bookmarkEnd w:id="82"/>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121, de 21 de mayo de 1997)</w:t>
      </w:r>
    </w:p>
    <w:p w:rsidR="008107C7" w:rsidRDefault="008107C7" w:rsidP="008107C7">
      <w:pPr>
        <w:pStyle w:val="TtuloBOE"/>
      </w:pPr>
    </w:p>
    <w:p w:rsidR="008107C7" w:rsidRDefault="008107C7" w:rsidP="008107C7">
      <w:pPr>
        <w:pStyle w:val="SntesisDescriptiva"/>
      </w:pPr>
      <w:r>
        <w:t>ECLI:ES:TC:1997:79</w:t>
      </w:r>
    </w:p>
    <w:p w:rsidR="008107C7" w:rsidRDefault="008107C7" w:rsidP="008107C7">
      <w:pPr>
        <w:pStyle w:val="SntesisDescriptiva"/>
      </w:pPr>
    </w:p>
    <w:p w:rsidR="008107C7" w:rsidRDefault="008107C7" w:rsidP="008107C7">
      <w:pPr>
        <w:pStyle w:val="SntesisDescriptiva"/>
      </w:pPr>
      <w:r>
        <w:t>Recurso de amparo 3.950/1993. Contra Sentencia del T.S.J. de Madrid recaída en recurso contra Resolución del Alcalde de Fuenlabrada por la que se hacía público el nombramiento de sargentos de la Policía Municipal.</w:t>
      </w:r>
    </w:p>
    <w:p w:rsidR="008107C7" w:rsidRDefault="008107C7" w:rsidP="008107C7">
      <w:pPr>
        <w:pStyle w:val="SntesisDescriptiva"/>
      </w:pPr>
    </w:p>
    <w:p w:rsidR="008107C7" w:rsidRDefault="008107C7" w:rsidP="008107C7">
      <w:pPr>
        <w:pStyle w:val="SntesisAnaltica"/>
      </w:pPr>
      <w:r>
        <w:t>Vulneración del derecho a la tutela judicial efectiva: apreciación de defecto subsanable lesiva de la tutela.</w:t>
      </w:r>
    </w:p>
    <w:p w:rsidR="008107C7" w:rsidRDefault="008107C7" w:rsidP="008107C7">
      <w:pPr>
        <w:pStyle w:val="SntesisAnaltica"/>
      </w:pPr>
    </w:p>
    <w:p w:rsidR="008107C7" w:rsidRDefault="008107C7" w:rsidP="008107C7">
      <w:pPr>
        <w:pStyle w:val="Extracto"/>
      </w:pPr>
      <w:r>
        <w:t>1.</w:t>
      </w:r>
      <w:r>
        <w:tab/>
        <w:t>Para que este Tribunal pueda apreciar una vulneración del derecho a la igualdad en la aplicación de la ley es necesario no sólo la identidad del órgano judicial y de los supuestos que resuelve, sino que el cambio de doctrina debe carecer, además, de motivación que lo justifique. En el presente caso, la lectura de la Sentencia impugnada evidencia la existencia de tal motivación, pues la decisión de la Sala se ha basado en lo que califica como la orientación más reciente de la jurisprudencia del Tribunal Supremo sobre la materia. Tal motivación podrá compartirse o no, pero desde la perspectiva del art. 14 C.E. resulta suficiente para excluir un apartamiento arbitrario de la jurisprudencia anterior lesivo del derecho a la igualdad. [F.J. 3]</w:t>
      </w:r>
    </w:p>
    <w:p w:rsidR="008107C7" w:rsidRDefault="008107C7" w:rsidP="008107C7">
      <w:pPr>
        <w:pStyle w:val="Extracto"/>
      </w:pPr>
    </w:p>
    <w:p w:rsidR="008107C7" w:rsidRDefault="008107C7" w:rsidP="008107C7">
      <w:pPr>
        <w:pStyle w:val="Extracto"/>
      </w:pPr>
      <w:r>
        <w:t>2.</w:t>
      </w:r>
      <w:r>
        <w:tab/>
        <w:t>Debemos recordar que la determinación de cuáles son los documentos que las personas jurídicas, en general, y los sindicatos en particular, deben presentar para acceder a la jurisdicción -Acuerdo del órgano competente, Estatutos, etc.-, es una cuestión que, en principio, por referirse a la interpretación de las normas legales sobre la materia, corresponde a los Jueces y Tribunales ordinarios. A este Tribunal le corresponde velar para que tales órganos no cierren el acceso a la jurisdicción con violación del derecho a la tutela judicial efectiva (art. 24.1 C.E.), lo que ocurre, según reiterada jurisprudencia, cuando la decisión se fundamenta en interpretaciones formalistas de la legalidad o cuando, habiéndose apreciado la concurrencia de defectos que por su naturaleza son subsanables, se deniega el acceso a la jurisdicción sin haber dado ocasión de subsanarlos . [F.J. 4]</w:t>
      </w:r>
    </w:p>
    <w:p w:rsidR="008107C7" w:rsidRDefault="008107C7" w:rsidP="008107C7">
      <w:pPr>
        <w:pStyle w:val="Extracto"/>
      </w:pPr>
    </w:p>
    <w:p w:rsidR="008107C7" w:rsidRDefault="008107C7" w:rsidP="008107C7">
      <w:pPr>
        <w:pStyle w:val="Extracto"/>
      </w:pPr>
      <w:r>
        <w:t>3.</w:t>
      </w:r>
      <w:r>
        <w:tab/>
        <w:t>La exigencia de tal Acuerdo no resulta, en principio, contraria al derecho a la tutela judicial efectiva y así lo ha aceptado este Tribunal en anteriores ocasiones (por ejemplo, SSTC 262 y 266 de 1994). Ahora bien, es claro que su no aportación, así como la de de los Estatutos en los que se determina el órgano competente para su adopción, u otros documentos similares, es un defecto que incluso la propia Sentencia implícitamente considera subsanable y, por tanto, los Tribunales no pueden inadmitir el recurso sin haber dado previamente a la parte oportunidad de subsanarlo, exigiéndolo así tanto el art. 129.2 L.J.C.A. como el art. 11.3 L.O.P.J. La determinación de si la Sentencia recurrida ha lesionado o no el derecho a la tutela judicial efectiva (art. 24.1 C.E.) requiere, por tanto, examinar si se otorgó o no la oportunidad de subsanación . [F.J. 5]</w:t>
      </w:r>
    </w:p>
    <w:p w:rsidR="008107C7" w:rsidRDefault="008107C7" w:rsidP="008107C7">
      <w:pPr>
        <w:pStyle w:val="Extracto"/>
      </w:pPr>
    </w:p>
    <w:p w:rsidR="008107C7" w:rsidRDefault="008107C7" w:rsidP="008107C7">
      <w:pPr>
        <w:pStyle w:val="Extracto"/>
      </w:pPr>
      <w:r>
        <w:t>4.</w:t>
      </w:r>
      <w:r>
        <w:tab/>
        <w:t>En el caso de autos, la Sala requirió a la Letrada del Sindicato recurrente para «acreditar la representación que ostenta en el presente recurso». Posteriormente, declaró inadmisible el recurso por entender que no era suficiente con el poder general para pleitos aportado, sino que era necesario -según la jurisprudencia más reciente del Tribunal Supremo- que hubiera aportado el correspondiente y específico Acuerdo de la Federación para recurrir, «ya que una cosa es el poder de postulación y otra bien distinta la voluntad de litigar de la persona jurídica otorgante del poder». Esta misma distinción argumentada por la Sentencia, debe conducirnos a la estimación de la presente demanda de amparo pues no se aprecia congruencia entre la subsanación requerida por la Sala y la causa por la que finalmente se inadmitió la demanda. Si para el órgano judicial es claro que una cosa es la postulación y otra la decisión de la persona jurídica de interponer un determinado recurso -decisión que debe ser adoptada por el órgano competente según los Estatutos y plasmarse en el correspondiente Acuerdo-, no puede entenderse que el órgano judicial haya dado ocasión de subsanar este segundo requisito. La Sala se limitó a reclamar a la Procuradora que acreditara la representación que ostentaba en el recurso, lo que ésta llevó a cabo mediante la aportación de un poder general para pleitos. Sin embargo, no se requirió ni a la Federación recurrente ni a su representación procesal la subsanación de aportar el acuerdo para litigar . [F.J. 7]</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3.950/93, promovido por la Federación Sindical de Administración Pública de Comisiones Obreras de Madrid Región, representada por la Procuradora de los Tribunales doña Isabel Cañedo Vega y asistida por el Letrado don Angel Vargas Martín, contra la Sentencia de la Sala de lo Contencioso-Administrativo del T.S.J. de Madrid, de 17 de septiembre de 1993, recaída en recurso contra Resolución del Alcalde de Fuenlabrada, de 13 de marzo de 1989, por la que se hacía público el nombramiento de sargentos de la Policía Municipal. Han sido parte don Rafael Santos Pérez y don Antonio Guijarro Laria, representados por la Procuradora doña Pilar Rodríguez de la Fuente, y el Ayuntamiento de Fuenlabrada, representado por el Procurador don Argimiro Vázquez Guillén y defendido por el Letrado don José María Benítez de Lugo. Ha intervenido el Ministerio Fiscal. Ha sido Ponente el Magistrado don Fernando García-Mon y González-Regueral,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Por escrito registrado en el Juzgado de Guardia de Madrid el 28 de diciembre de 1993, la Federación Sindical de Administración Pública de Comisiones Obreras de Madrid Región interpuso demanda de amparo contra la meritada Sentencia. En ella se alega la lesión de los derechos a la igualdad (art. 14 C.E.) y a la tutela judicial efectiva (art. 24.1 C.E.).</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hechos en que se fundamenta la demanda son, sucintamente expuestos, los siguientes: </w:t>
      </w:r>
    </w:p>
    <w:p w:rsidR="008107C7" w:rsidRDefault="008107C7" w:rsidP="008107C7">
      <w:pPr>
        <w:pStyle w:val="TextoNormal"/>
      </w:pPr>
      <w:r>
        <w:t xml:space="preserve">a) La entidad demandante de amparo interpuso recurso contencioso-administrativo contra la Resolución del Alcalde de Fuenlabrada, de 13 de marzo de 1989, por la que se hacía público el nombramiento de tres sargentos de la Policía Municipal, así como frente a la desestimación presunta, por silencio administrativo, del recurso de reposición deducido contra aquélla. </w:t>
      </w:r>
    </w:p>
    <w:p w:rsidR="008107C7" w:rsidRDefault="008107C7" w:rsidP="008107C7">
      <w:pPr>
        <w:pStyle w:val="TextoNormal"/>
      </w:pPr>
      <w:r>
        <w:t xml:space="preserve">b) La citada demanda recayó para su conocimiento ante la Sección Sexta de la Sala de lo Contencioso-Administrativo del T.S.J. de Madrid, que dictó providencia en la que se tenía por interpuesto el recurso. Posteriormente se personaron tanto el Ayuntamiento de Fuenlabrada como los Sres. Santos Pérez y Guijarro Laria. </w:t>
      </w:r>
    </w:p>
    <w:p w:rsidR="008107C7" w:rsidRDefault="008107C7" w:rsidP="008107C7">
      <w:pPr>
        <w:pStyle w:val="TextoNormal"/>
      </w:pPr>
      <w:r>
        <w:t xml:space="preserve">c) Mediante providencia de 2 de marzo de 1990 se dio traslado del expediente a la parte recurrente para que formalizara demanda, lo que realizó mediante escrito registrado el 11 de abril de 1990. </w:t>
      </w:r>
    </w:p>
    <w:p w:rsidR="008107C7" w:rsidRDefault="008107C7" w:rsidP="008107C7">
      <w:pPr>
        <w:pStyle w:val="TextoNormal"/>
      </w:pPr>
      <w:r>
        <w:t xml:space="preserve">d) En fase de contestación a la demanda, las otras partes personadas alegaron que el recurso era inadmisible de acuerdo con lo dispuesto en el art. 82 b) L.J.C.A., ya que no se había acreditado la representación de quien decía comparecer en nombre de la Federación recurrente y se carecía de la necesaria legitimación para interponer el recurso. </w:t>
      </w:r>
    </w:p>
    <w:p w:rsidR="008107C7" w:rsidRDefault="008107C7" w:rsidP="008107C7">
      <w:pPr>
        <w:pStyle w:val="TextoNormal"/>
      </w:pPr>
      <w:r>
        <w:t xml:space="preserve">e) Por providencia de 31 de marzo de 1993, la Sala acordó, conforme a lo dispuesto en el art. 75 L.J.C.A. y con suspensión del señalamiento acordado, requerir a la Letrada de la recurrente para que en el improrrogable plazo de diez días acreditara la representación que ostentaba en el recurso, a lo que se procedió mediante escrito registrado el 20 de abril siguiente al que se acompañó poder general para pleitos. </w:t>
      </w:r>
    </w:p>
    <w:p w:rsidR="008107C7" w:rsidRDefault="008107C7" w:rsidP="008107C7">
      <w:pPr>
        <w:pStyle w:val="TextoNormal"/>
      </w:pPr>
      <w:r>
        <w:t>f) Finalmente, el 17 de diciembre de 1993, la Sala dictó Sentencia en la que declaró inadmisible el recurso por no constar en autos la certificación del Acuerdo de la Federación recurrente en el que se adoptaba la decisión de interponer el recurso contencioso-administrativo, y ello a pesar de que se había dado un plazo a la Procuradora compareciente "para acreditar la representación que ostenta en el presente recurso". Se afirma en el fundamento de Derecho primero de la Sentencia que, según la doctrina más reciente del Tribunal Supremo, el art. 24 C.E. no ha supuesto una relajación del requisito procesal de la debida representación, y que en el caso de personas jurídicas lo primero que es necesario aclarar es si por ésta se ha interesado la tutela, lo que precisa que tome el correspondiente acuerdo dirigido a tal fin, porque en otro caso se correría el peligro de que se originara un litigio no querido por la entidad que figure como recurrente, no siendo suficiente el poder general para pleitos ya que una cosa es el poder de postulación y otra bien distinta la voluntad de litigar de la persona jurídica otorgante del poder.</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Estima la recurrente en amparo que la Sentencia impugnada lesiona sus derechos a la igualdad en la aplicación de la ley (art. 14 C.E.) y a la tutela judicial efectiva (art. 24.1 C.E.). </w:t>
      </w:r>
    </w:p>
    <w:p w:rsidR="008107C7" w:rsidRDefault="008107C7" w:rsidP="008107C7">
      <w:pPr>
        <w:pStyle w:val="TextoNormal"/>
      </w:pPr>
      <w:r>
        <w:lastRenderedPageBreak/>
        <w:t xml:space="preserve">Respecto del primero de ellos, se aduce en la demanda que el mismo órgano judicial dictó otra Sentencia, de 15 de octubre de 1992, en la que siendo idéntico el recurrente y el objeto debatido, la Sala llegó a una conclusión distinta, sin que de la lectura de ambas resoluciones sea posible inferir un cambio de criterio doctrinal querido por la Sala ya que de un mismo poder general para pleitos no pueden sacarse dos conclusiones claramente opuestas. </w:t>
      </w:r>
    </w:p>
    <w:p w:rsidR="008107C7" w:rsidRDefault="008107C7" w:rsidP="008107C7">
      <w:pPr>
        <w:pStyle w:val="TextoNormal"/>
      </w:pPr>
      <w:r>
        <w:t>En cuanto al derecho a la tutela judicial efectiva (art. 24.1 C.E.), se considera vulnerado porque el órgano judicial ha cerrado el acceso a una resolución sobre el fondo del asunto por un defecto formal que no se dio ocasión de subsanar. Así, en la providencia de 31 de marzo de 1993 la Sala requirió a la Letrada de la actora para que acreditara la representación, lo que se llevó a cabo. El recurso fue, sin embargo, inadmitido, por la ausencia del Acuerdo expreso del Sindicato en que manifestase su voluntad de litigar, acuerdo que no fue requerido en ningún momento.</w:t>
      </w:r>
    </w:p>
    <w:p w:rsidR="008107C7" w:rsidRDefault="008107C7" w:rsidP="008107C7">
      <w:pPr>
        <w:pStyle w:val="TextoNormal"/>
      </w:pPr>
    </w:p>
    <w:p w:rsidR="008107C7" w:rsidRDefault="008107C7" w:rsidP="008107C7">
      <w:pPr>
        <w:pStyle w:val="TextoNormal"/>
      </w:pPr>
      <w:r w:rsidRPr="008107C7">
        <w:rPr>
          <w:rStyle w:val="NumeroAFNegritaCaracter"/>
        </w:rPr>
        <w:t>4</w:t>
      </w:r>
      <w:r>
        <w:t>. Mediante providencia de 9 de mayo de 1994, la Sección acordó, de conformidad con lo dispuesto en el art. 50.3 LOTC, conceder a la demandante de amparo y al Ministerio Fiscal el plazo común de diez días para que formularan las alegaciones que estimaran pertinentes en relación con la posible carencia manifiesta de contenido constitucional de la demanda [art. 50.1 c) LOTC]. Tras recibirse los correspondientes escritos de alegaciones, la misma Sección dictó providencia, de 27 de junio de 1994, en la que se acordó admitir a trámite la demanda de amparo y, de acuerdo con lo dispuesto en el art. 51 LOTC, dirigir atenta comunicación a la Sala de lo Contencioso-Administrativo del T.S.J. de Madrid, para que en el plazo de diez días remitiera las actuaciones correspondientes al recurso núm. 867-B/89, debiendo previamente emplazar a quienes hubieran sido parte en el procedimiento para que, en el plazo de diez días, pudieran comparecer en el recurso de amparo.</w:t>
      </w:r>
    </w:p>
    <w:p w:rsidR="008107C7" w:rsidRDefault="008107C7" w:rsidP="008107C7">
      <w:pPr>
        <w:pStyle w:val="TextoNormal"/>
      </w:pPr>
    </w:p>
    <w:p w:rsidR="008107C7" w:rsidRDefault="008107C7" w:rsidP="008107C7">
      <w:pPr>
        <w:pStyle w:val="TextoNormal"/>
      </w:pPr>
      <w:r w:rsidRPr="008107C7">
        <w:rPr>
          <w:rStyle w:val="NumeroAFNegritaCaracter"/>
        </w:rPr>
        <w:t>5</w:t>
      </w:r>
      <w:r>
        <w:t>. El 6 de octubre de 1994 se registró en este Tribunal el escrito de la Sala de lo Contencioso-Administrativo del T.S.J. de Madrid, al que se acompañaban los testimonios solicitados, y en el que se indicaban los emplazamientos efectuados a quienes habían sido parte en el procedimiento.</w:t>
      </w:r>
    </w:p>
    <w:p w:rsidR="008107C7" w:rsidRDefault="008107C7" w:rsidP="008107C7">
      <w:pPr>
        <w:pStyle w:val="TextoNormal"/>
      </w:pPr>
    </w:p>
    <w:p w:rsidR="008107C7" w:rsidRDefault="008107C7" w:rsidP="008107C7">
      <w:pPr>
        <w:pStyle w:val="TextoNormal"/>
      </w:pPr>
      <w:r w:rsidRPr="008107C7">
        <w:rPr>
          <w:rStyle w:val="NumeroAFNegritaCaracter"/>
        </w:rPr>
        <w:t>6</w:t>
      </w:r>
      <w:r>
        <w:t>. Por escrito registrado en este Tribunal el 29 de julio de 1994, don Argimiro Vázquez Guillén, Procurador de los Tribunales y del Ayuntamiento de Fuenlabrada, solicitó se le tuviera por comparecido en el recurso de amparo. El 19 de septiembre de 1994 se registró en el Juzgado de Guardia de Madrid el escrito presentado por la Procuradora doña Pilar Rodríguez de la Fuente en el que solicitaba que asimismo se tuviera por personados a don Rafael Santos Pérez y don Antonio Guijarro Laria.</w:t>
      </w:r>
    </w:p>
    <w:p w:rsidR="008107C7" w:rsidRDefault="008107C7" w:rsidP="008107C7">
      <w:pPr>
        <w:pStyle w:val="TextoNormal"/>
      </w:pPr>
    </w:p>
    <w:p w:rsidR="008107C7" w:rsidRDefault="008107C7" w:rsidP="008107C7">
      <w:pPr>
        <w:pStyle w:val="TextoNormal"/>
      </w:pPr>
      <w:r w:rsidRPr="008107C7">
        <w:rPr>
          <w:rStyle w:val="NumeroAFNegritaCaracter"/>
        </w:rPr>
        <w:t>7</w:t>
      </w:r>
      <w:r>
        <w:t>. Por providencia de 24 de octubre de 1994 se acordó conceder un plazo de diez días a los mencionados Procuradores para que acreditaran la representación que decían ostentar. Cumplido tal requisito, la Sección Tercera dictó providencia en la que se acordó tener por personados y partes en el procedimiento a los mencionados Procuradores, así como dar vista de las actuaciones a las partes personadas y al Ministerio Fiscal al objeto de que, en el plazo común de veinte días, presentaran las alegaciones pertinentes.</w:t>
      </w:r>
    </w:p>
    <w:p w:rsidR="008107C7" w:rsidRDefault="008107C7" w:rsidP="008107C7">
      <w:pPr>
        <w:pStyle w:val="TextoNormal"/>
      </w:pPr>
    </w:p>
    <w:p w:rsidR="008107C7" w:rsidRDefault="008107C7" w:rsidP="008107C7">
      <w:pPr>
        <w:pStyle w:val="TextoNormal"/>
      </w:pPr>
      <w:r w:rsidRPr="008107C7">
        <w:rPr>
          <w:rStyle w:val="NumeroAFNegritaCaracter"/>
        </w:rPr>
        <w:t>8</w:t>
      </w:r>
      <w:r>
        <w:t xml:space="preserve">. La entidad recurrente en amparo presentó su escrito de alegaciones el 15 de diciembre de 1994. En él se insiste en la violación del derecho a la igualdad en la aplicación de la ley </w:t>
      </w:r>
      <w:r>
        <w:lastRenderedPageBreak/>
        <w:t>(art. 14 C.E.), violación que sería patente por haber resuelto la misma Sala de manera distinta y sin ninguna motivación sobre el cambio de criterio dos casos idénticos. Se pide se dicte Sentencia otorgando el amparo solicitado en la demanda.</w:t>
      </w:r>
    </w:p>
    <w:p w:rsidR="008107C7" w:rsidRDefault="008107C7" w:rsidP="008107C7">
      <w:pPr>
        <w:pStyle w:val="TextoNormal"/>
      </w:pPr>
    </w:p>
    <w:p w:rsidR="008107C7" w:rsidRDefault="008107C7" w:rsidP="008107C7">
      <w:pPr>
        <w:pStyle w:val="TextoNormal"/>
      </w:pPr>
      <w:r w:rsidRPr="008107C7">
        <w:rPr>
          <w:rStyle w:val="NumeroAFNegritaCaracter"/>
        </w:rPr>
        <w:t>9</w:t>
      </w:r>
      <w:r>
        <w:t xml:space="preserve">. El día 16 de diciembre de 1994 se registró en este Tribunal el escrito de alegaciones de don Rafael Santos Pérez y don Antonio Guijarro Laria. Afirman, en primer lugar, que la recurrente no cumplió con el requisito, exigido por el art. 44.1 a) LOTC, de agotar los recursos utilizables en la vía judicial ya que contra la Sentencia recurrida en amparo cabía interponer recurso de casación según lo dispuesto en el art. 93.2 a) L.J.C.A. </w:t>
      </w:r>
    </w:p>
    <w:p w:rsidR="008107C7" w:rsidRDefault="008107C7" w:rsidP="008107C7">
      <w:pPr>
        <w:pStyle w:val="TextoNormal"/>
      </w:pPr>
      <w:r>
        <w:t xml:space="preserve">En cuanto al fondo del asunto, se rechaza, de un lado, que se haya producido una infracción del art. 14 C.E. Según se afirma, entre el asunto resuelto por la Sentencia impugnada y aquel a que puso término la propuesta como término de comparación existirían diferencias sustanciales que justificarían las distintas soluciones adoptadas. En el segundo caso, lo impugnado era una convocatoria de plazas, con aspirantes aún no determinados, por razones de supuesta ilegalidad y en el primero, la resolución que otorgaba la plaza a determinados funcionarios. En este caso, no están en juego intereses generales y, por ello, es relevante la falta de acreditación de la voluntad del Sindicato de interponer el recurso contencioso-administrativo, pues se desconoce cuál es el interés en tales supuestos, salvo que se admita que se ejerce una especie de acción popular, o una acción por sustitución de algún afiliado o afiliados con interés en la anulación del acto, pero tal sustitución no está legalmente prevista. Siendo distintos los supuestos de hecho, no puede apreciarse ninguna lesión del derecho a la igualdad en la aplicación de la ley. </w:t>
      </w:r>
    </w:p>
    <w:p w:rsidR="008107C7" w:rsidRDefault="008107C7" w:rsidP="008107C7">
      <w:pPr>
        <w:pStyle w:val="TextoNormal"/>
      </w:pPr>
      <w:r>
        <w:t>Y en cuanto al derecho a la tutela judicial efectiva (art. 24.1 C.E.) se insiste en que la Sala actuó en favor de su efectividad al otorgar un plazo para subsanar la falta de acreditación de la representación. Por ello, sólo a la impericia o negligencia de la recurrente se debió la no subsanación -a sabiendas de que los demandados habían opuesto en la contestación a la demanda tanto la falta de acreditación de la representación como la falta de legitimación de quien interponía el recurso- y la consiguiente pérdida del recurso.</w:t>
      </w:r>
    </w:p>
    <w:p w:rsidR="008107C7" w:rsidRDefault="008107C7" w:rsidP="008107C7">
      <w:pPr>
        <w:pStyle w:val="TextoNormal"/>
      </w:pPr>
    </w:p>
    <w:p w:rsidR="008107C7" w:rsidRDefault="008107C7" w:rsidP="008107C7">
      <w:pPr>
        <w:pStyle w:val="TextoNormal"/>
      </w:pPr>
      <w:r w:rsidRPr="008107C7">
        <w:rPr>
          <w:rStyle w:val="NumeroAFNegritaCaracter"/>
        </w:rPr>
        <w:t>10</w:t>
      </w:r>
      <w:r>
        <w:t xml:space="preserve">. El Ayuntamiento de Fuenlabrada presentó sus alegaciones el 16 de diciembre de 1994. Aduce, en primer lugar, la falta de agotamiento de los recursos utilizables en la vía judicial [art. 44.1 a) LOTC] pues, persiguiéndose en el recurso de amparo la igualdad en la aplicación de la ley y no siendo posible la interposición de un recurso de casación ordinario, es claro que la recurrente tenía abierta la vía del recurso de casación para unificación de doctrina. </w:t>
      </w:r>
    </w:p>
    <w:p w:rsidR="008107C7" w:rsidRDefault="008107C7" w:rsidP="008107C7">
      <w:pPr>
        <w:pStyle w:val="TextoNormal"/>
      </w:pPr>
      <w:r>
        <w:t>En cuanto a las violaciones de derechos denunciadas, se rechaza, en primer lugar, la relativa al art. 14 C.E. pues la motivación existente en la Sentencia recurrida es suficiente para explicar el cambio de criterio desde el momento en que se acude expresamente para tal justificación a la jurisprudencia más reciente del Tribunal Supremo. Tampoco cabría apreciar lesión alguna del derecho a la tutela judicial efectiva (art. 24.1 C.E.) ya que el órgano judicial dio ocasión a la recurrente de subsanar el defecto advertido, solicitando que acreditara la representación que ostentaba en el "presente" recurso; se trataba, por tanto, de una acreditación más precisa que un mero poder general para pleitos, máxime cuando por el Ayuntamiento demandado se había alegado de manera expresa la falta de la certificación del acuerdo tomado por el órgano al que correspondía tal competencia.</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11</w:t>
      </w:r>
      <w:r>
        <w:t xml:space="preserve">. Finalmente, el Ministerio Fiscal presentó su escrito de alegaciones el 20 de diciembre de 1994. Afirma el Fiscal, en primer lugar, que estamos ante un recurso de amparo del art. 44 LOTC, pues la quiebra del derecho fundamental alegado se imputa directa y exclusivamente a la resolución judicial. Se refiere a continuación a la doctrina de este Tribunal sobre la subsanación de defectos procesales y señala que la cuestión a dilucidar en la presente demanda de amparo es si la recurrente pudo y debió subsanar el defecto denunciado en la contestación a la demanda por el trámite del art. 129.1 L.J.C.A. (previsto para los denunciados a instancia de parte), o si la Sala debió abrir el previsto en el apartado 2 de ese artículo para los defectos apreciados de oficio. La solicitante de amparo sostiene que cuando la alegación de existencia de un defecto subsanable se ejercita a instancia de parte, la Sala debe hacerla suya o abrir el mencionado trámite de subsanación. El Fiscal entiende, por el contrario, que tal exigencia no se desprende en absoluto de la Ley. En el presente caso, la recurrente se dio por enterada de la alegación de dos causas de inadmisibilidad del recurso, pero sólo subsanó una de ellas. Aduce dos razones para justificar su actitud: que la segunda era notoriamente infundada y que bastaba el poder general para pleitos. </w:t>
      </w:r>
    </w:p>
    <w:p w:rsidR="008107C7" w:rsidRDefault="008107C7" w:rsidP="008107C7">
      <w:pPr>
        <w:pStyle w:val="TextoNormal"/>
      </w:pPr>
      <w:r>
        <w:t xml:space="preserve">Centrado así el debate procesal, entiende el Ministerio Fiscal que no se han producido ninguna de las violaciones de derechos fundamentales alegadas. Debe excluirse, en primer lugar, la infracción del art. 14 C.E., pues la Sala motiva su cambio de criterio de forma razonada. Y en cuanto al art. 24.1 C.E., considera el Fiscal que no puede apreciarse indefensión alguna ya que la recurrente se dio por enterada de la denuncia de dos defectos y sólo puso remedio a uno de ellos, sin que por otra parte fuera exigible la apertura del trámite del art. 129.2 L.J.C.A. Cabe concluir que la pérdida del recurso se debió a la falta de diligencia de la parte, sin que sea posible aceptar la alegación de que la Sala debió hacer una interpretación legal más favorable a la eficacia del derecho fundamental pues ello supone la existencia de una res dubia que no se da en este caso, en el que la Ley prevé dos procedimientos de subsanación distintos para supuestos de hechos diferentes (STC 32/1989). </w:t>
      </w:r>
    </w:p>
    <w:p w:rsidR="008107C7" w:rsidRDefault="008107C7" w:rsidP="008107C7">
      <w:pPr>
        <w:pStyle w:val="TextoNormal"/>
      </w:pPr>
      <w:r>
        <w:t>Concluye el Ministerio Público sus alegaciones señalando que el Tribunal ha resuelto, además, un supuesto sustancialmente idéntico al de autos en su Sentencia 262/1994, declarando que el recurso debía ser desestimado debido a la indiligencia de la recurrente.</w:t>
      </w:r>
    </w:p>
    <w:p w:rsidR="008107C7" w:rsidRDefault="008107C7" w:rsidP="008107C7">
      <w:pPr>
        <w:pStyle w:val="TextoNormal"/>
      </w:pPr>
    </w:p>
    <w:p w:rsidR="008107C7" w:rsidRDefault="008107C7" w:rsidP="008107C7">
      <w:pPr>
        <w:pStyle w:val="TextoNormal"/>
      </w:pPr>
      <w:r w:rsidRPr="008107C7">
        <w:rPr>
          <w:rStyle w:val="NumeroAFNegritaCaracter"/>
        </w:rPr>
        <w:t>12</w:t>
      </w:r>
      <w:r>
        <w:t>. Por providencia de 17 de abril de 1997, se señaló para deliberación y votación de la presente Sentencia el día 21 siguiente.</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El objeto del presente recurso de amparo lo constituye la Sentencia de la Sala de lo Contencioso-Administrativo del T.S.J.de Madrid, de 17 de septiembre de 1993, por la que se declaró inadmisible el recurso interpuesto por la ahora demandante de amparo contra la Resolución del Ayuntamiento de Fuenlabrada, de 13 de marzo de 1989, por la que se hacía público el nombramiento de tres sargentos de la Policía Municipal. A dicha Sentencia imputa la entidad recurrente la lesión de los derechos a la igualdad en la aplicación de la ley (art. 14 C.E.)  y a la tutela judicial efectiva (art. 24.1 C.E.). El Ministerio Fiscal y las demás partes personadas entienden, por el contrario, que no se ha producido ninguna de las vulneraciones denunciadas.  Estas últimas alegan, además, la concurrencia del motivo de inadmisión consistente en la falta de agotamiento de los recursos procedentes en la vía judicial [art. 44.1 a) LOTC], alegación por la que debemos comenzar nuestro examen.</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2</w:t>
      </w:r>
      <w:r>
        <w:t>. Don Rafael Santos Pérez y don Antonio Guijarro Laria sostienen que concurre la citada causa de inadmisión porque contra la Sentencia impugnada cabía recurso de casación según lo dispuesto en el art. 93.2 a) L.J.C.A. El tenor literal de este precepto conduce, sin embargo, a desestimar esta alegación pues se trata de un recurso en materia de personal y es evidente que la Sentencia impugnada no ha afectado a la extinción de la relación de servicio de los que ya tuvieren la condición de funcionarios públicos.</w:t>
      </w:r>
    </w:p>
    <w:p w:rsidR="008107C7" w:rsidRDefault="008107C7" w:rsidP="008107C7">
      <w:pPr>
        <w:pStyle w:val="TextoNormal"/>
      </w:pPr>
      <w:r>
        <w:t>Para el Ayuntamiento de Fuenlabrada, no era procedente el recurso de casación ordinario pero sí el de casación para unificación de doctrina, previsto precisamente para aquellos casos, como el de autos, en los que no cabe la casación ordinaria y se denuncia que litigantes en idéntica situación han obtenido pronunciamientos judiciales distintos. Esta conclusión debe también rechazarse pues, según el párrafo segundo del art. 102-a 2 L.J.C.A., "en ningún caso serán recurribles las Sentencias a que se refieren los apartados a), c) y d) del apartado 2 del artículo 93". La Sentencia recurrida se encuadra en el ámbito del art. 93.2 a) y, por tanto, pudo razonablemente entender que contra ella tampoco cabía el recurso de casación para la unificación de doctrina.</w:t>
      </w:r>
    </w:p>
    <w:p w:rsidR="008107C7" w:rsidRDefault="008107C7" w:rsidP="008107C7">
      <w:pPr>
        <w:pStyle w:val="TextoNormal"/>
      </w:pPr>
    </w:p>
    <w:p w:rsidR="008107C7" w:rsidRDefault="008107C7" w:rsidP="008107C7">
      <w:pPr>
        <w:pStyle w:val="TextoNormal"/>
      </w:pPr>
      <w:r w:rsidRPr="008107C7">
        <w:rPr>
          <w:rStyle w:val="NumeroAFNegritaCaracter"/>
        </w:rPr>
        <w:t>3</w:t>
      </w:r>
      <w:r>
        <w:t>. Desechados los motivos de inadmisibilidad alegados, procede entrar a conocer del fondo del asunto. Se aduce, en primer lugar, la lesión del derecho a la igualdad en la aplicación de la ley (art. 14 C.E.), y se propone como término de comparación la Sentencia de la misma Sección Sexta de la Sala de lo Contencioso-Administrativo del T.S.J. de Madrid, de 15 de octubre de 1992, en la que siendo la recurrente la misma Federación ahora demandante de amparo y habiéndose alegado por el Ayuntamiento de Fuenlabrada -que era también parte demandada- la existencia de la causa de inadmisión consistente en la falta de acreditación del Acuerdo por el que se decidía la interposición del recurso, la Sala entendió que no era necesaria la aportación del mismo, sino que era suficiente con el poder general para pleitos ya aportado.</w:t>
      </w:r>
    </w:p>
    <w:p w:rsidR="008107C7" w:rsidRDefault="008107C7" w:rsidP="008107C7">
      <w:pPr>
        <w:pStyle w:val="TextoNormal"/>
      </w:pPr>
      <w:r>
        <w:t>La demanda de amparo no puede prosperar en este punto pues, como señala la propia entidad recurrente, para que este Tribunal pueda apreciar una vulneración del derecho a la igualdad en la aplicación de la ley es necesario no sólo la identidad del órgano judicial y de los supuestos que resuelve, sino que el cambio de doctrina debe carecer, además, de motivación que lo justifique.  En el presente caso, la lectura de la Sentencia impugnada evidencia, como pone de relieve el Ministerio Fiscal, la existencia de tal motivación, pues la decisión de la Sala se ha basado en lo que califica como la orientación más reciente de la jurisprudencia del Tribunal Supremo sobre la materia. Tal motivación podrá compartirse o no pero desde la perspectiva del art. 14 C.E.  resulta suficiente para excluir un apartamiento arbitrario de la jurisprudencia anterior lesivo del derecho a la igualdad.</w:t>
      </w:r>
    </w:p>
    <w:p w:rsidR="008107C7" w:rsidRDefault="008107C7" w:rsidP="008107C7">
      <w:pPr>
        <w:pStyle w:val="TextoNormal"/>
      </w:pPr>
    </w:p>
    <w:p w:rsidR="008107C7" w:rsidRDefault="008107C7" w:rsidP="008107C7">
      <w:pPr>
        <w:pStyle w:val="TextoNormal"/>
      </w:pPr>
      <w:r w:rsidRPr="008107C7">
        <w:rPr>
          <w:rStyle w:val="NumeroAFNegritaCaracter"/>
        </w:rPr>
        <w:t>4</w:t>
      </w:r>
      <w:r>
        <w:t>. Distinta debe ser la conclusión respecto del derecho a la tutela judicial efectiva (art. 24.1 C.E.)  que asimismo se invoca.  Para la Federación Sindical recurrente, su violación se habría producido al haber inadmitido la Sala el recurso contencioso- administrativo por la apreciación de un defecto que era subsanable y que, sin embargo, no se le dió ocasión de subsanar.</w:t>
      </w:r>
    </w:p>
    <w:p w:rsidR="008107C7" w:rsidRDefault="008107C7" w:rsidP="008107C7">
      <w:pPr>
        <w:pStyle w:val="TextoNormal"/>
      </w:pPr>
      <w:r>
        <w:t xml:space="preserve">Como punto de partida debemos recordar que la determinación de cuáles son los documentos que las personas jurídicas, en general, y los sindicatos en particular, deben presentar para acceder a la jurisdicción -Acuerdo del órgano competente, Estatutos, etc.- es una cuestión que, en principio, por referirse a la interpretación de las normas legales sobre la materia, corresponde a los Jueces y Tribunales ordinarios. A este Tribunal le corresponde velar para </w:t>
      </w:r>
      <w:r>
        <w:lastRenderedPageBreak/>
        <w:t>que tales órganos no cierren el acceso a la jurisdicción con violación del derecho a la tutela judicial efectiva (art. 24.1 C.E.), lo que ocurre, según reiterada jurisprudencia, cuando la decisión se fundamenta en interpretaciones formalistas de la legalidad o cuando, habiéndose apreciado la concurrencia de defectos que por su naturaleza son subsanables, se deniega el acceso a la jurisdicción sin haber dado ocasión de subsanarlos (SSTC 62/1986, 174/1988, 46/1989, 33/1990, 262/1994 y 266/1994, entre otras muchas).</w:t>
      </w:r>
    </w:p>
    <w:p w:rsidR="008107C7" w:rsidRDefault="008107C7" w:rsidP="008107C7">
      <w:pPr>
        <w:pStyle w:val="TextoNormal"/>
      </w:pPr>
    </w:p>
    <w:p w:rsidR="008107C7" w:rsidRDefault="008107C7" w:rsidP="008107C7">
      <w:pPr>
        <w:pStyle w:val="TextoNormal"/>
      </w:pPr>
      <w:r w:rsidRPr="008107C7">
        <w:rPr>
          <w:rStyle w:val="NumeroAFNegritaCaracter"/>
        </w:rPr>
        <w:t>5</w:t>
      </w:r>
      <w:r>
        <w:t>. En el presente caso, la Sala de lo Contencioso- Administrativo del T.S.J.  de Madrid dictó Sentencia por la que inadmitía el recurso contencioso-administrativo, por no haber aportado la Federación Sindical recurrente el acuerdo de la misma para la interposición del recurso.</w:t>
      </w:r>
    </w:p>
    <w:p w:rsidR="008107C7" w:rsidRDefault="008107C7" w:rsidP="008107C7">
      <w:pPr>
        <w:pStyle w:val="TextoNormal"/>
      </w:pPr>
      <w:r>
        <w:t>La exigencia de tal Acuerdo no resulta, en principio, contraria al derecho a la tutela judicial efectiva y así lo ha aceptado este Tribunal en anteriores ocasiones (por ejemplo, SSTC 262 y 266 de 1994). Ahora bien, es claro que su no aportación, así como la de de los Estatutos en los que se determina el órgano competente para su adopción, u otros documentos similares, es un defecto que incluso la propia Sentencia implícitamente considera subsanable y, por tanto, los Tribunales no pueden inadmitir el recurso sin haber dado previamente a la parte oportunidad de subsanarlo, exigiéndolo así tanto el art. 129.2 L.J.C.A. como el art. 11.3 L.O.P.J. La determinación de si la Sentencia recurrida ha lesionado o no el derecho a la tutela judicial efectiva (art.  24.1 C.E.)  requiere, por tanto, examinar si se otorgó o no la oportunidad de subsanación.</w:t>
      </w:r>
    </w:p>
    <w:p w:rsidR="008107C7" w:rsidRDefault="008107C7" w:rsidP="008107C7">
      <w:pPr>
        <w:pStyle w:val="TextoNormal"/>
      </w:pPr>
    </w:p>
    <w:p w:rsidR="008107C7" w:rsidRDefault="008107C7" w:rsidP="008107C7">
      <w:pPr>
        <w:pStyle w:val="TextoNormal"/>
      </w:pPr>
      <w:r w:rsidRPr="008107C7">
        <w:rPr>
          <w:rStyle w:val="NumeroAFNegritaCaracter"/>
        </w:rPr>
        <w:t>6</w:t>
      </w:r>
      <w:r>
        <w:t>. Previamente debemos atender a las objeciones del Ministerio Fiscal que, como se ha expuesto en los Antecedentes, solicita la desestimación del recurso por entender que en el presente caso no es de aplicación el apartado 2 del art. 129 L.J.C.A., sino su apartado 1, de manera que el Sindicato recurrente pudo y debió haber subsanado los defectos puestos de relieve por los demandados en el plazo de diez días desde que se le notificaron los escritos de contestación a la demanda.</w:t>
      </w:r>
    </w:p>
    <w:p w:rsidR="008107C7" w:rsidRDefault="008107C7" w:rsidP="008107C7">
      <w:pPr>
        <w:pStyle w:val="TextoNormal"/>
      </w:pPr>
      <w:r>
        <w:t>El examen de las actuaciones de muestra, sin embargo, que si bien es cierto que los codemandados -Ayuntamiento de Fuenlabrada y las personas beneficiadas por la Resolución impugnada- pidieron la inadmisión del recurso por existir un defecto de representación, también lo es que no consta que de tales escritos se diera traslado a la parte recurrente, por lo que no pueden compartirse las afirmaciones del Ministerio Público. Por otra parte, fue el propio órgano judicial el que de oficio dictó la providencia, de fecha 31 de marzo de 1993, en la que concedía a la Letrada de la Federación recurrente un plazo de diez días para acreditar la representación que ostentaba en el recurso.</w:t>
      </w:r>
    </w:p>
    <w:p w:rsidR="008107C7" w:rsidRDefault="008107C7" w:rsidP="008107C7">
      <w:pPr>
        <w:pStyle w:val="TextoNormal"/>
      </w:pPr>
      <w:r>
        <w:t>En el plazo concedido, la mencionada Letrada presentó un escrito al que acompañaba poder general para pleitos. Del mismo se dio traslado al Ayuntamiento de Fuenlabrada -no, sin embargo, a los otros codemandados- que procedió a solicitar de nuevo la inadmisión del recurso por considerar que no era suficiente el poder presentado ya que, según reiterada jurisprudencia del Tribunal Supremo, sería necesario la aportación del Acuerdo que habilitaba para accionar en el concreto procedimiento incoado.  Tampoco consta en las actuaciones que de este nuevo escrito se diera traslado a la parte recurrente, sino que tras su presentación la Sala dictó providencia fijando ya la fecha para votación y fallo.</w:t>
      </w:r>
    </w:p>
    <w:p w:rsidR="008107C7" w:rsidRDefault="008107C7" w:rsidP="008107C7">
      <w:pPr>
        <w:pStyle w:val="TextoNormal"/>
      </w:pPr>
      <w:r>
        <w:t xml:space="preserve">De la anterior relación de hechos se deduce, en contra de lo sostenido por el Fiscal, que no hay ninguna constancia en los autos de que la entidad recurrente haya tenido conocimiento de las causas de inadmisión alegadas por los demandados y, en consecuencia, no </w:t>
      </w:r>
      <w:r>
        <w:lastRenderedPageBreak/>
        <w:t>resulta de aplicación el art. 129.1 L.J.C.A.  Estamos, por el contrario, en el ámbito del apartado 2 de ese mismo artículo, es decir, en la apreciación de oficio por el Tribunal de defectos subsanables.</w:t>
      </w:r>
    </w:p>
    <w:p w:rsidR="008107C7" w:rsidRDefault="008107C7" w:rsidP="008107C7">
      <w:pPr>
        <w:pStyle w:val="TextoNormal"/>
      </w:pPr>
    </w:p>
    <w:p w:rsidR="008107C7" w:rsidRDefault="008107C7" w:rsidP="008107C7">
      <w:pPr>
        <w:pStyle w:val="TextoNormal"/>
      </w:pPr>
      <w:r w:rsidRPr="008107C7">
        <w:rPr>
          <w:rStyle w:val="NumeroAFNegritaCaracter"/>
        </w:rPr>
        <w:t>7</w:t>
      </w:r>
      <w:r>
        <w:t>. Como se ha expuesto, la Sala concedió a la Procuradora de la actora un plazo de diez días para subsanar la falta de acreditación de su representación. Ello apunta, inicialmente, a una actuación acorde con las exigencias del art. 24.1 C.E. Sin embargo, es evidente que, en supuestos como el presente, para que dicho precepto pueda considerarse efectivamente cumplido es necesario no sólo que se haya concedido un plazo para subsanación de defectos sino que debe haber, además, congruencia entre el defecto puesto de relieve en la providencia en la que se concedió un plazo para la subsanación del mismo, y el que, finalmente, se aprecia de oficio para decidir la inadmisión del recurso.</w:t>
      </w:r>
    </w:p>
    <w:p w:rsidR="008107C7" w:rsidRDefault="008107C7" w:rsidP="008107C7">
      <w:pPr>
        <w:pStyle w:val="TextoNormal"/>
      </w:pPr>
      <w:r>
        <w:t>En el caso de autos, la Sala requirió a la Letrada del Sindicato recurrente para "acreditar la representación que ostenta en el presente recurso".  Posteriormente, declaró inadmisible el recurso por entender que no era suficiente con el poder general para pleitos aportado, sino que era necesario -según la jurisprudencia más reciente del Tribunal Supremo- que hubiera aportado el correspondiente y específico acuerdo de la federación para recurrir, "ya que una cosa es el poder de postulación y otra bien distinta la voluntad de litigar de la persona jurídica otorgante del poder" (fundamento de Derecho tercero). Esta misma distinción argumentada por la Sentencia, debe conducirnos a la estimación de la presente demanda de amparo pues no se aprecia la señalada congruencia entre la subsanación requerida por la Sala y la causa por la que finalmente se inadmitió la demanda. Si para el órgano judicial es claro que una cosa es la postulación y otra la decisión de la persona jurídica de interponer un determinado recurso -decisión que debe ser adoptada por el órgano competente según los Estatutos y plasmarse en el correspondiente acuerdo-, no puede entenderse que el órgano judicial haya dado ocasión de subsanar este segundo requisito. La Sala se limitó a reclamar a la Procuradora que acreditara la representación que ostentaba en el recurso, lo que ésta llevó a cabo mediante la aportación de un poder general para pleitos.  Sin embargo, no se requirió ni a la Federación recurrente ni a su representación procesal, la subsanación de aportar el acuerdo para litigar.</w:t>
      </w:r>
    </w:p>
    <w:p w:rsidR="008107C7" w:rsidRDefault="008107C7" w:rsidP="008107C7">
      <w:pPr>
        <w:pStyle w:val="TextoNormal"/>
      </w:pPr>
      <w:r>
        <w:t>Este modo de proceder se ha traducido en una lesión del derecho a la tutela judicial efectiva la Federación Sindical recurrente, a la que se ha privado de una resolución sobre el fondo por apreciar la Sala la concurrencia de un defecto de naturaleza subsanable que, sin embargo, no dio ocasión de subsanar.  Se da además la circunstancia de que la necesidad o no del mencionado requisito no era una cuestión pacífica en la doctrina de la propia Sala, que en ocasiones anteriores había admitido a trámite recursos sin exigir el acuerdo de la persona jurídica litigante. Todo ello debía haber conducido a un especial cuidado del órgano judicial para facilitar la posibilidad de subsanar el defecto finalmente apreciado.</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lastRenderedPageBreak/>
        <w:t>Ha decidido</w:t>
      </w:r>
    </w:p>
    <w:p w:rsidR="008107C7" w:rsidRDefault="008107C7" w:rsidP="008107C7">
      <w:pPr>
        <w:pStyle w:val="TextoNormalCentrado"/>
        <w:keepNext/>
      </w:pPr>
    </w:p>
    <w:p w:rsidR="008107C7" w:rsidRDefault="008107C7" w:rsidP="008107C7">
      <w:pPr>
        <w:pStyle w:val="TextoNormal"/>
      </w:pPr>
      <w:r>
        <w:t>Otorgar el amparo solicitado por la Federación Sindical de Administración Pública de Comisiones Obreras de Madrid Región y, en consecuencia:</w:t>
      </w:r>
    </w:p>
    <w:p w:rsidR="008107C7" w:rsidRDefault="008107C7" w:rsidP="008107C7">
      <w:pPr>
        <w:pStyle w:val="TextoNormal"/>
      </w:pPr>
      <w:r>
        <w:t>1º Reconocer que se ha vulnerado a la recurrente su derecho a la tutela judicial efectiva (art. 24.1 C.E.).</w:t>
      </w:r>
    </w:p>
    <w:p w:rsidR="008107C7" w:rsidRDefault="008107C7" w:rsidP="008107C7">
      <w:pPr>
        <w:pStyle w:val="TextoNormal"/>
      </w:pPr>
      <w:r>
        <w:t>2º. Restablecerle en la integridad de su derecho fundamental, para lo cual se anulan la Sentencia de la Sección Sexta de la Sala de lo Contencioso-Administrativo del Tribunal Superior de Justicia de Madrid de 17 de septiembre de 1993.</w:t>
      </w:r>
    </w:p>
    <w:p w:rsidR="008107C7" w:rsidRDefault="008107C7" w:rsidP="008107C7">
      <w:pPr>
        <w:pStyle w:val="TextoNormal"/>
      </w:pPr>
      <w:r>
        <w:t>3º. Retrotraer las actuaciones al objeto de que se de a la entidad recurrente la posibilidad de subsanar el defecto procesal que llevó a la inadmisión del recurso.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veintiuno de abril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83" w:name="SENTENCIA_1997_80"/>
      <w:r>
        <w:lastRenderedPageBreak/>
        <w:t>SENTENCIA 80/1997, de 21 de abril de 1997</w:t>
      </w:r>
    </w:p>
    <w:bookmarkEnd w:id="83"/>
    <w:p w:rsidR="008107C7" w:rsidRDefault="008107C7" w:rsidP="008107C7">
      <w:pPr>
        <w:pStyle w:val="TtuloResolucin"/>
      </w:pPr>
      <w:r>
        <w:t>Sala Segunda</w:t>
      </w:r>
    </w:p>
    <w:p w:rsidR="008107C7" w:rsidRDefault="008107C7" w:rsidP="008107C7">
      <w:pPr>
        <w:pStyle w:val="TtuloResolucin"/>
      </w:pPr>
    </w:p>
    <w:p w:rsidR="008107C7" w:rsidRDefault="008107C7" w:rsidP="008107C7">
      <w:pPr>
        <w:pStyle w:val="TtuloBOE"/>
      </w:pPr>
      <w:r>
        <w:t>("BOE" núm. 121, de 21 de mayo de 1997)</w:t>
      </w:r>
    </w:p>
    <w:p w:rsidR="008107C7" w:rsidRDefault="008107C7" w:rsidP="008107C7">
      <w:pPr>
        <w:pStyle w:val="TtuloBOE"/>
      </w:pPr>
    </w:p>
    <w:p w:rsidR="008107C7" w:rsidRDefault="008107C7" w:rsidP="008107C7">
      <w:pPr>
        <w:pStyle w:val="SntesisDescriptiva"/>
      </w:pPr>
      <w:r>
        <w:t>ECLI:ES:TC:1997:80</w:t>
      </w:r>
    </w:p>
    <w:p w:rsidR="008107C7" w:rsidRDefault="008107C7" w:rsidP="008107C7">
      <w:pPr>
        <w:pStyle w:val="SntesisDescriptiva"/>
      </w:pPr>
    </w:p>
    <w:p w:rsidR="008107C7" w:rsidRDefault="008107C7" w:rsidP="008107C7">
      <w:pPr>
        <w:pStyle w:val="SntesisDescriptiva"/>
      </w:pPr>
      <w:r>
        <w:t>Recurso de amparo 2.596/1996. Contra Sentencia del T.S.J. de Galicia, desestimatoria de recurso contra Resolución del Tribunal Económico-Administrativo Regional de Galicia que confirmaba la retención a cuenta del I.R.P.F. respecto de pensión de jubilación por incapacidad permanente realizada por los servicios del Ministerio de Economía.</w:t>
      </w:r>
    </w:p>
    <w:p w:rsidR="008107C7" w:rsidRDefault="008107C7" w:rsidP="008107C7">
      <w:pPr>
        <w:pStyle w:val="SntesisDescriptiva"/>
      </w:pPr>
    </w:p>
    <w:p w:rsidR="008107C7" w:rsidRDefault="008107C7" w:rsidP="008107C7">
      <w:pPr>
        <w:pStyle w:val="SntesisAnaltica"/>
      </w:pPr>
      <w:r>
        <w:t>Vulneración del principio de igualdad: tratamiento fiscal discriminatorio.</w:t>
      </w:r>
    </w:p>
    <w:p w:rsidR="008107C7" w:rsidRDefault="008107C7" w:rsidP="008107C7">
      <w:pPr>
        <w:pStyle w:val="SntesisAnaltica"/>
      </w:pPr>
    </w:p>
    <w:p w:rsidR="008107C7" w:rsidRDefault="008107C7" w:rsidP="008107C7">
      <w:pPr>
        <w:pStyle w:val="Extracto"/>
      </w:pPr>
      <w:r>
        <w:t>1.</w:t>
      </w:r>
      <w:r>
        <w:tab/>
        <w:t>La cuestión planteada ha sido ya resuelta, en sentido afirmativo, por la STC 134/1996, que declaró la inconstitucionalidad parcial del art. 62 de la Ley 21/1993, de Presupuestos Generales del Estado para 1994, en el que se dio una nueva redacción al art. 9.1 c) de la Ley 18/1991, del Impuesto sobre la Renta de las Personas Físicas. A su fundamentación nos remitimos ahora. Como además, a partir del propio reconocimiento al respecto de la Sentencia impugnada, el recurrente se encuentra en una situación de incapacidad permanente absoluta, procede la subsunción de la situación fiscal de la que se queja -no exención del Impuesto sobre la Renta de las Personas Físicas de la prestación que recibe- en las que este Tribunal ha declarado discriminatorias . [F.J. único]</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Segunda del Tribunal Constitucional, compuesta por don José Gabaldón López, Presidente, don Fernando García-Mon y González-Regueral, don Rafael de Mendizábal Allende, don Carles Viver Pi-Sunyer y don Tomás S. Vives Antón,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 xml:space="preserve">En el recurso de amparo núm. 2.596/96, promovido por don Francisco García Varela, representado por el Procurador de los Tribunales don Alfonso Blanco Fernández y asistido por el Abogado don Manuel Fernández Rodríguez, contra la Sentencia de la Sección Tercera de la Sala de lo Contencioso-Administrativo del Tribunal Superior de Justicia de Galicia, de 27 de mayo de 1996, desestimatoria del recurso contra la Resolución del Tribunal Económico-Administrativo Regional de Galicia, de 24 de enero de 1995, que confirmaba la retención a cuenta del Impuesto sobre la Renta de las Personas Físicas respecto de pensión de jubilación por incapacidad permanente, realizada por la Dirección General de Costes de </w:t>
      </w:r>
      <w:r>
        <w:lastRenderedPageBreak/>
        <w:t>Personal del Ministerio de Economía. Ha comparecido el Abogado del Estado y ha intervenido el Ministerio Fiscal. Ha sido Ponente el Magistrado don Carles Viver Pi-Sunyer,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registrado en este Tribunal el día 25 de junio de 1996, don Alfonso Blanco Fernández, Procurador de los Tribunales, interpone recurso de amparo en nombre de don Francisco García Varela contra las resoluciones de las que se hace mérito en el encabezamiento.</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hechos en que se basa la demanda de amparo son, sucintamente relatados, los siguientes: </w:t>
      </w:r>
    </w:p>
    <w:p w:rsidR="008107C7" w:rsidRDefault="008107C7" w:rsidP="008107C7">
      <w:pPr>
        <w:pStyle w:val="TextoNormal"/>
      </w:pPr>
      <w:r>
        <w:t xml:space="preserve">a) En su redacción original, el apartado 1 del art. 9 de la Ley 18/1991, de 6 de junio, reguladora del Impuesto sobre la Renta de las Personas Físicas (I.R.P.F., en adelante), declaraba exentas tanto "las prestaciones reconocidas al sujeto pasivo por la Seguridad Social o por las Entidades que la sustituyan como consecuencia de incapacidad permanente" [letra b)] como "las pensiones por inutilidad o incapacidad permanente para el servicio de los funcionarios públicos" [letra c)]. Por consiguiente, todas las prestaciones percibidas por incapacidad permanente, en cualquiera de sus grados (total o absoluta) y con independencia del régimen de protección social (Seguridad Social o Clases Pasivas) a que estuviera acogido el perceptor, estaban sujetas pero exentas en el I.R.P.F. </w:t>
      </w:r>
    </w:p>
    <w:p w:rsidR="008107C7" w:rsidRDefault="008107C7" w:rsidP="008107C7">
      <w:pPr>
        <w:pStyle w:val="TextoNormal"/>
      </w:pPr>
      <w:r>
        <w:t xml:space="preserve">b) El demandante de amparo, funcionario adscrito al Régimen de Clases Pasivas (Inspector de Trabajo y Seguridad Social) viene percibiendo desde el mes de junio de 1993 una pensión de jubilación por incapacidad permanente que, en virtud del mencionado art. 9.1 c) de la Ley 18/1991, estaba exenta y, por consiguiente, no sometida a retención. </w:t>
      </w:r>
    </w:p>
    <w:p w:rsidR="008107C7" w:rsidRDefault="008107C7" w:rsidP="008107C7">
      <w:pPr>
        <w:pStyle w:val="TextoNormal"/>
      </w:pPr>
      <w:r>
        <w:t xml:space="preserve">c) La situación cambió a raíz del art. 62 de la Ley 21/1993, de 29 de septiembre, de Presupuestos Generales del Estado para 1994, que modificó el mencionado art. 9.1 de la Ley 18/1991, de manera que, con efectos a partir del 1 de enero de 1994, sólo estaban exentas, de un lado, "las prestaciones reconocidas al sujeto pasivo por la Seguridad social o por las Entidades que la sustituyan como consecuencia de incapacidad permanente absoluta o gran invalidez" [letra b)], y, de otro, "las pensiones por inutilidad o incapacidad permanente para el servicio de los funcionarios de las Administraciones Públicas, cuando el grado de disminución física o psíquica sea constitutivo de una gran invalidez" [letra c)]. Por lo que aquí interesa, la modificación introducida por la Ley 21/1993 venía a significar que, amén de las prestaciones por gran invalidez (exentas en todo caso), sólo se excluían de gravamen en el I.R.P.F. las prestaciones satisfechas a personas afiliadas a la Seguridad Social (no a Clases Pasivas) por una situación de incapacidad permanente absoluta (no por incapacidad permanente total). </w:t>
      </w:r>
    </w:p>
    <w:p w:rsidR="008107C7" w:rsidRDefault="008107C7" w:rsidP="008107C7">
      <w:pPr>
        <w:pStyle w:val="TextoNormal"/>
      </w:pPr>
      <w:r>
        <w:t xml:space="preserve">d) En virtud de la citada norma al demandante de amparo se le practicó la oportuna retención a cuenta del I.R.P.F. sobre la cantidad percibida por su incapacidad permanente para el servicio. </w:t>
      </w:r>
    </w:p>
    <w:p w:rsidR="008107C7" w:rsidRDefault="008107C7" w:rsidP="008107C7">
      <w:pPr>
        <w:pStyle w:val="TextoNormal"/>
      </w:pPr>
      <w:r>
        <w:t xml:space="preserve">e) Instada reclamación contra dicha retención ante el Tribunal Económico-Administrativo Regional de Galicia, ésta fue desestimada mediante Resolución de 24 de enero de 1995. </w:t>
      </w:r>
    </w:p>
    <w:p w:rsidR="008107C7" w:rsidRDefault="008107C7" w:rsidP="008107C7">
      <w:pPr>
        <w:pStyle w:val="TextoNormal"/>
      </w:pPr>
      <w:r>
        <w:t xml:space="preserve">f) Contra la citada Resolución el recurrente interpuso recurso contencioso-administrativo con fundamento, básicamente, en el ataque frontal al principio de igualdad que, a su juicio, suponía declarar exentas en el I.R.P.F. sólo las prestaciones por incapacidad permanente </w:t>
      </w:r>
      <w:r>
        <w:lastRenderedPageBreak/>
        <w:t xml:space="preserve">absoluta percibidas por el personal integrado en el régimen de la Seguridad Social, discriminando, de este modo, en el ámbito de los tributos, sin justificación razonable alguna, a los funcionarios con el mismo grado de invalidez (incapacidad permanente absoluta para toda profesión u oficio) adscritos al régimen de clases pasivas. </w:t>
      </w:r>
    </w:p>
    <w:p w:rsidR="008107C7" w:rsidRDefault="008107C7" w:rsidP="008107C7">
      <w:pPr>
        <w:pStyle w:val="TextoNormal"/>
      </w:pPr>
      <w:r>
        <w:t>g) El mencionado recurso fue desestimado por Sentencia, de 27 de mayo de 1996, de la Sala de lo Contencioso-Administrativo del Tribunal Superior de Justicia de Galicia. Dicho Tribunal, pese a reconocer que "de los informes médicos aportados y del Dictamen del Perito Médico" se desprende que el recurrente "está imposibilitado para todo tipo de trabajo", rechaza la denunciada contradicción con el art. 14 C.E. porque faltaría la identidad de supuestos que, de acuerdo con reiterada doctrina del Tribunal Constitucional, se precisa para ilustrar la desigualdad que se denuncia. Efectivamente, conforme al fundamento de Derecho 6º de la Sentencia impugnada, la mera pertenencia a diferentes regímenes de protección social (Seguridad Social o Clases Pasivas) sería suficiente justificación para someter a diverso trato desde la perspectiva fiscal las prestaciones que los funcionarios perciban por la misma causa (la incapacidad para desempeñar cualquier empleo u oficio).</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El recurrente fundamenta la demanda de amparo en la presunta vulneración del art. 14 C.E. A su juicio, el art. 62 de la Ley 21/1993 "introduce una desigualdad de tratamiento discriminatorio y no justificado en el régimen fiscal aplicable a los funcionarios públicos", al declarar exentas las prestaciones que éstos perciben por incapacidad permanente absoluta para toda profesión u oficio sólo cuando están afiliados al régimen de la Seguridad Social y no cuando están integrados en el de Clases Pasivas. De ello derivaría un tratamiento fiscal diferente para trabajadores de un mismo sector de actividad (en el supuesto, Inspectores de Trabajo) por el sólo hecho de su afiliación al Régimen de Clases Pasivas o al General de Seguridad Social. En el presente caso, a partir de lo anterior, la vulneración del derecho a la igualdad del recurrente se habría producido por el sometimiento a gravamen en el Impuesto sobre la Renta de las Personas Físicas de la prestación que recibe por incapacidad permanente en una situación que sería equivalente a la incapacidad permanente absoluta, cuando, por contra, está exenta de tal gravamen la prestación que recibe un funcionario del mismo cuerpo por incapacidad permanente absoluta en el Régimen General de la Seguridad Social. </w:t>
      </w:r>
    </w:p>
    <w:p w:rsidR="008107C7" w:rsidRDefault="008107C7" w:rsidP="008107C7">
      <w:pPr>
        <w:pStyle w:val="TextoNormal"/>
      </w:pPr>
      <w:r>
        <w:t>El recurso de amparo se interpone por la vía de los arts. 43 y 44 LOTC, y suplica, como consecuencia del otorgamiento del amparo, la anulación de la Sentencia impugnada.</w:t>
      </w:r>
    </w:p>
    <w:p w:rsidR="008107C7" w:rsidRDefault="008107C7" w:rsidP="008107C7">
      <w:pPr>
        <w:pStyle w:val="TextoNormal"/>
      </w:pPr>
    </w:p>
    <w:p w:rsidR="008107C7" w:rsidRDefault="008107C7" w:rsidP="008107C7">
      <w:pPr>
        <w:pStyle w:val="TextoNormal"/>
      </w:pPr>
      <w:r w:rsidRPr="008107C7">
        <w:rPr>
          <w:rStyle w:val="NumeroAFNegritaCaracter"/>
        </w:rPr>
        <w:t>4</w:t>
      </w:r>
      <w:r>
        <w:t>. Mediante providencia, de 7 de octubre de 1996, la Sección Tercera de este Tribunal acuerda admitir a trámite la demanda de amparo y dirigir comunicaciones al Tribunal Económico- Administrativo Regional de Galicia y a la Sección Tercera de la Sala de lo Contencioso-Administrativo del Tribunal Superior de Justicia de Galicia a fin de que remitan testimonio de las actuaciones correspondientes a los procedimientos de los que trae causa el presente recurso y de que emplace este último órgano a quienes hubieran sido parte en el judicial para su posible comparecencia en este proceso de amparo.</w:t>
      </w:r>
    </w:p>
    <w:p w:rsidR="008107C7" w:rsidRDefault="008107C7" w:rsidP="008107C7">
      <w:pPr>
        <w:pStyle w:val="TextoNormal"/>
      </w:pPr>
    </w:p>
    <w:p w:rsidR="008107C7" w:rsidRDefault="008107C7" w:rsidP="008107C7">
      <w:pPr>
        <w:pStyle w:val="TextoNormal"/>
      </w:pPr>
      <w:r w:rsidRPr="008107C7">
        <w:rPr>
          <w:rStyle w:val="NumeroAFNegritaCaracter"/>
        </w:rPr>
        <w:t>5</w:t>
      </w:r>
      <w:r>
        <w:t>. Mediante escrito, de 11 de octubre de 1996, el Abogado del Estado solicita que se le tenga por personado en los presente autos en la representación que ostenta.</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Recibidas las actuaciones, por providencia de 14 de noviembre de 1996, la Sección Cuarta de este Tribunal acuerda dar vista de las mismas a la parte recurrente, al Abogado </w:t>
      </w:r>
      <w:r>
        <w:lastRenderedPageBreak/>
        <w:t>del Estado y al Ministerio Fiscal, con concesión de un plazo común de veinte días para la presentación de las alegaciones previstas en el art. 52.1 LOTC.</w:t>
      </w:r>
    </w:p>
    <w:p w:rsidR="008107C7" w:rsidRDefault="008107C7" w:rsidP="008107C7">
      <w:pPr>
        <w:pStyle w:val="TextoNormal"/>
      </w:pPr>
    </w:p>
    <w:p w:rsidR="008107C7" w:rsidRDefault="008107C7" w:rsidP="008107C7">
      <w:pPr>
        <w:pStyle w:val="TextoNormal"/>
      </w:pPr>
      <w:r w:rsidRPr="008107C7">
        <w:rPr>
          <w:rStyle w:val="NumeroAFNegritaCaracter"/>
        </w:rPr>
        <w:t>7</w:t>
      </w:r>
      <w:r>
        <w:t>. En su escrito de 3 de diciembre de 1996, el Abogado del Estado recuerda que la STC 134/1996 "declaró que el art. 62 de la Ley 21/1993, de 29 de diciembre, de Presupuestos Generales del Estado, en el que se dio nueva redacción al art. 9.1 c) de la Ley 18/1991, de 6 de julio, es inconstitucional y nulo sólo en la medida en que viene a suprimir, únicamente para los funcionarios de las Administraciones Públicas que se hallen en situación de incapacidad permanente absoluta, la exención de dicho Impuesto, todo ello en causa al razonamiento de que al declarar exentas las rentas de idéntica naturaleza (pensiones de incapacidad permanente absoluta) cuando el perceptor está en el sistema de la Seguridad Social y no cuando está adscrito al régimen de clases pasivas se vulnera el principio de igualdad tributaria". Interesa por ello que se dicte la Sentencia que proceda con arreglo a la Constitución.</w:t>
      </w:r>
    </w:p>
    <w:p w:rsidR="008107C7" w:rsidRDefault="008107C7" w:rsidP="008107C7">
      <w:pPr>
        <w:pStyle w:val="TextoNormal"/>
      </w:pPr>
    </w:p>
    <w:p w:rsidR="008107C7" w:rsidRDefault="008107C7" w:rsidP="008107C7">
      <w:pPr>
        <w:pStyle w:val="TextoNormal"/>
      </w:pPr>
      <w:r w:rsidRPr="008107C7">
        <w:rPr>
          <w:rStyle w:val="NumeroAFNegritaCaracter"/>
        </w:rPr>
        <w:t>8</w:t>
      </w:r>
      <w:r>
        <w:t>. El Fiscal concluye su informe, de 11 de diciembre de 1996, interesado el otorgamiento del amparo por vulneración del derecho de igualdad ante la Ley, con declaración de nulidad tanto de los actos administrativos como de la Sentencia impugnada. Esta solución sería consecuencia de lo ya resuelto por la STC 134/1996 y de la declaración de la Sentencia impugnada de que procede la calificación de la incapacidad del recurrente como permanente absoluta.</w:t>
      </w:r>
    </w:p>
    <w:p w:rsidR="008107C7" w:rsidRDefault="008107C7" w:rsidP="008107C7">
      <w:pPr>
        <w:pStyle w:val="TextoNormal"/>
      </w:pPr>
    </w:p>
    <w:p w:rsidR="008107C7" w:rsidRDefault="008107C7" w:rsidP="008107C7">
      <w:pPr>
        <w:pStyle w:val="TextoNormal"/>
      </w:pPr>
      <w:r w:rsidRPr="008107C7">
        <w:rPr>
          <w:rStyle w:val="NumeroAFNegritaCaracter"/>
        </w:rPr>
        <w:t>9</w:t>
      </w:r>
      <w:r>
        <w:t>. La representación del recurrente se reafirma en su escrito de alegaciones, de 2 de diciembre de 1996, en las ya vertidas en la demanda. Añade a las mismas, en primer lugar, que la STC 134/1996 habría venido a dar razón a su planteamiento. En segundo lugar, aporta dos documentos posteriores a la misma de la Delegación Provincial de Economía y Hacienda de La Coruña y de la Dirección General de Costes de Personal y Pensiones Públicas en los que se reconoce como tal la situación de incapacidad permanente absoluta y la correspondiente exención de tributación en el I.R.P.F. y se fijan unos requisitos para la misma que el recurrente reúne y que ya ha acreditado en el presente proceso.</w:t>
      </w:r>
    </w:p>
    <w:p w:rsidR="008107C7" w:rsidRDefault="008107C7" w:rsidP="008107C7">
      <w:pPr>
        <w:pStyle w:val="TextoNormal"/>
      </w:pPr>
    </w:p>
    <w:p w:rsidR="008107C7" w:rsidRDefault="008107C7" w:rsidP="008107C7">
      <w:pPr>
        <w:pStyle w:val="TextoNormal"/>
      </w:pPr>
      <w:r w:rsidRPr="008107C7">
        <w:rPr>
          <w:rStyle w:val="NumeroAFNegritaCaracter"/>
        </w:rPr>
        <w:t>10</w:t>
      </w:r>
      <w:r>
        <w:t>. Mediante providencia de 17 de abril de 1997, se señaló para deliberación y votación de la presente Sentencia el día 21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t xml:space="preserve">Unico. El planteamiento jurídico-constitucional que sirve de base a la demanda se refiere a la contrariedad al principio de igualdad del tratamiento fiscal diferente de las prestaciones que reciben los funcionarios de las Administraciones Públicas que se hallan en situación de incapacidad permanente absoluta y a causa de la misma. Como sostienen las partes en el presente proceso de amparo, esta cuestión ha sido ya resuelta, en sentido afirmativo, por la STC 134/1996, que declaraba la inconstitucionalidad parcial del art. 62 de la Ley 21/1993, de 29 de diciembre, de Presupuestos Generales del Estado para 1994, en el que se dio una nueva redacción al art. 9.1 c) de la Ley 18/1991, de 6 de junio, del Impuesto sobre la Renta de las Personas Físicas. A su fundamentación nos remitimos ahora. Como además, y también en ello están de acuerdo las partes personadas a partir del propio reconocimiento al </w:t>
      </w:r>
      <w:r>
        <w:lastRenderedPageBreak/>
        <w:t>respecto de la Sentencia impugnada, el recurrente se encuentra en una situación de incapacidad permanente absoluta, procede la subsunción de la situación fiscal de la que se queja -no exención del Impuesto sobre la Renta de las Personas Físicas de la prestación que recibe- en las que este Tribunal ha declarado discriminatorias.  Debe, pues, otorgarse el amparo solicitado ex art. 14 C.E.</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Otorgar el amparo solicitado y, en su virtud:</w:t>
      </w:r>
    </w:p>
    <w:p w:rsidR="008107C7" w:rsidRDefault="008107C7" w:rsidP="008107C7">
      <w:pPr>
        <w:pStyle w:val="TextoNormal"/>
      </w:pPr>
      <w:r>
        <w:t>1º. Declarar que el acto administrativo de retención a cuenta del Impuesto sobre la Renta de las Personas Físicas respecto a la pensión de jubilación por incapacidad absoluta del recurrente, realizada por la Dirección General de Costes de Personal del Ministerio de Economía y confirmada por la Resolución del Tribunal Económico-Administrativo Regional de Galicia, de 24 de enero de 1995, constituye un tratamiento fiscal discriminatorio que vulnera su derecho a la igualdad en la Ley.</w:t>
      </w:r>
    </w:p>
    <w:p w:rsidR="008107C7" w:rsidRDefault="008107C7" w:rsidP="008107C7">
      <w:pPr>
        <w:pStyle w:val="TextoNormal"/>
      </w:pPr>
      <w:r>
        <w:t>2º. Anular el citado acto administrativo y la Resolución que lo confirma, así como la Sentencia de la Sección Tercera de la Sala de lo Contencioso-Administrativo del Tribunal Superior de Justicia de Galicia de 27 de mayo de 1996.</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veintiuno de abril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84" w:name="SENTENCIA_1997_81"/>
      <w:r>
        <w:lastRenderedPageBreak/>
        <w:t>SENTENCIA 81/1997, de 22 de abril de 1997</w:t>
      </w:r>
    </w:p>
    <w:bookmarkEnd w:id="84"/>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121, de 21 de mayo de 1997)</w:t>
      </w:r>
    </w:p>
    <w:p w:rsidR="008107C7" w:rsidRDefault="008107C7" w:rsidP="008107C7">
      <w:pPr>
        <w:pStyle w:val="TtuloBOE"/>
      </w:pPr>
    </w:p>
    <w:p w:rsidR="008107C7" w:rsidRDefault="008107C7" w:rsidP="008107C7">
      <w:pPr>
        <w:pStyle w:val="SntesisDescriptiva"/>
      </w:pPr>
      <w:r>
        <w:t>ECLI:ES:TC:1997:81</w:t>
      </w:r>
    </w:p>
    <w:p w:rsidR="008107C7" w:rsidRDefault="008107C7" w:rsidP="008107C7">
      <w:pPr>
        <w:pStyle w:val="SntesisDescriptiva"/>
      </w:pPr>
    </w:p>
    <w:p w:rsidR="008107C7" w:rsidRDefault="008107C7" w:rsidP="008107C7">
      <w:pPr>
        <w:pStyle w:val="SntesisDescriptiva"/>
      </w:pPr>
      <w:r>
        <w:t>Recurso de amparo 566/1994. Contra Auto de la Audiencia Provincial de Vitoria confirmatorio en apelación de la denegación de un permiso de salida solicitado por el recurrente, interno en un centro penitenciario.</w:t>
      </w:r>
    </w:p>
    <w:p w:rsidR="008107C7" w:rsidRDefault="008107C7" w:rsidP="008107C7">
      <w:pPr>
        <w:pStyle w:val="SntesisDescriptiva"/>
      </w:pPr>
    </w:p>
    <w:p w:rsidR="008107C7" w:rsidRDefault="008107C7" w:rsidP="008107C7">
      <w:pPr>
        <w:pStyle w:val="SntesisAnaltica"/>
      </w:pPr>
      <w:r>
        <w:t>Supuesta vulneración del derecho a la tutela judicial efectiva: motivación suficiente de la resolución recurrida.</w:t>
      </w:r>
    </w:p>
    <w:p w:rsidR="008107C7" w:rsidRDefault="008107C7" w:rsidP="008107C7">
      <w:pPr>
        <w:pStyle w:val="SntesisAnaltica"/>
      </w:pPr>
    </w:p>
    <w:p w:rsidR="008107C7" w:rsidRDefault="008107C7" w:rsidP="008107C7">
      <w:pPr>
        <w:pStyle w:val="Extracto"/>
      </w:pPr>
      <w:r>
        <w:t>1.</w:t>
      </w:r>
      <w:r>
        <w:tab/>
        <w:t>Los permisos de salida ordinarios a los reclusos resultan estar, en cuanto a su finalidad, orientados a la preparación de los mismos para la vida en libertad. A la vista del propio contexto en que se enmarcan dichas autorizaciones y de su finalidad, que acabamos de señalar, cabe descartar, en primer lugar, que la denegación de un permiso de salida ordinario pueda suponer, en sentido propio, una lesión del derecho fundamental a la libertad consagrado en el art. 17.1 C.E. Ello es así, en primer lugar, porque, como dijimos en la STC 2/1997, «es en efecto claro que, en puridad, la previa imposición de una pena de prisión conlleva la imposibilidad de fundar una pretensión de amparo frente a la denegación del permiso penitenciario de salida invocando el derecho fundamental a la libertad, pues es la Sentencia firme condenatoria (adoptada tras el proceso judicial debido) la que constituye título legítimo de privación de ese derecho fundamental». [F.J. 3]</w:t>
      </w:r>
    </w:p>
    <w:p w:rsidR="008107C7" w:rsidRDefault="008107C7" w:rsidP="008107C7">
      <w:pPr>
        <w:pStyle w:val="Extracto"/>
      </w:pPr>
    </w:p>
    <w:p w:rsidR="008107C7" w:rsidRDefault="008107C7" w:rsidP="008107C7">
      <w:pPr>
        <w:pStyle w:val="Extracto"/>
      </w:pPr>
      <w:r>
        <w:t>2.</w:t>
      </w:r>
      <w:r>
        <w:tab/>
        <w:t>Según doctrina reiterada de este Tribunal, el art. 25.2 C.E., en su primera frase, contiene tan sólo un mandato dirigido, en primer término, al legislador penal y penitenciario, que, aunque puede servir de parámetro de la constitucionalidad de las leyes, no es fuente en sí mismo de derechos subjetivos en favor de los condenados a penas privativas de libertad, ni menos aún de derechos fundamentales susceptibles de amparo constitucional (por todas, SSTC 2/1987, 19/1988, 28/1988, 150/1991, 209/1993 y 72/1994; y AATC 15/1984, 486/1985, 739/1986, 1.112/1988, 360/1990 y 25/1995). Por lo tanto, la simple congruencia de la institución de los permisos penitenciarios de salida con el mandato constitucional establecido en el art. 25.2 C.E. no es suficiente para conferirles la categoría de derecho subjetivo, ni menos aún de derecho fundamental. [F.J. 3]</w:t>
      </w:r>
    </w:p>
    <w:p w:rsidR="008107C7" w:rsidRDefault="008107C7" w:rsidP="008107C7">
      <w:pPr>
        <w:pStyle w:val="Extracto"/>
      </w:pPr>
    </w:p>
    <w:p w:rsidR="008107C7" w:rsidRDefault="008107C7" w:rsidP="008107C7">
      <w:pPr>
        <w:pStyle w:val="Extracto"/>
      </w:pPr>
      <w:r>
        <w:t>3.</w:t>
      </w:r>
      <w:r>
        <w:tab/>
        <w:t xml:space="preserve">Aunque tanto la L.O.G.P. como el Reglamento Penitenciario vigente al tiempo de los hechos aquí enjuiciados (e, igualmente, el actualmente en vigor) se abstienen de calificarlo expresamente como un derecho subjetivo, parece claro que, debido a su propia previsión legal, a los internos les asiste, al menos, un interés legítimo en la obtención de dichos permisos, siempre que en ellos concurran los requisitos y demás circunstancias a que se supedita su concesión. Aunque también resulta innegable, como señalamos en la propia STC 112/1996 que, puesto que «al mismo tiempo, constituyen una vía fácil de eludir la custodia», «su concesión no es automática una vez constatados los requisitos objetivos previstos en la Ley. No basta </w:t>
      </w:r>
      <w:r>
        <w:lastRenderedPageBreak/>
        <w:t>entonces con que éstos concurran, sino que además no han de darse otras circunstancias que aconsejen su denegación a la vista de la perturbación que puedan ocasionar en relación con los fines antes expresados», y cuya apreciación corresponde a las autoridades penitenciarias y, en último término, a los órganos judiciales encargados de la fiscalización de estas decisiones. [F.J. 3]</w:t>
      </w:r>
    </w:p>
    <w:p w:rsidR="008107C7" w:rsidRDefault="008107C7" w:rsidP="008107C7">
      <w:pPr>
        <w:pStyle w:val="Extracto"/>
      </w:pPr>
    </w:p>
    <w:p w:rsidR="008107C7" w:rsidRDefault="008107C7" w:rsidP="008107C7">
      <w:pPr>
        <w:pStyle w:val="Extracto"/>
      </w:pPr>
      <w:r>
        <w:t>4.</w:t>
      </w:r>
      <w:r>
        <w:tab/>
        <w:t>Así, pues, debido a la relación que la denegación de un permiso de salida guarda con la libertad, como valor superior del ordenamiento, para que las resoluciones judiciales que confirmen dicha denegación puedan entenderse conformes con el derecho a la tutela judicial efectiva no es suficiente con que quepa deducir de las mismas los criterios jurídicos fundamentadores de la decisión, conforme al estándar general exigible para entender respetado dicho derecho (por todas, STC 14/1991), sino que será preciso que estén fundadas en criterios que resulten conformes con los principios legales y constitucionales a los que está orientada la institución . [F.J. 4]</w:t>
      </w:r>
    </w:p>
    <w:p w:rsidR="008107C7" w:rsidRDefault="008107C7" w:rsidP="008107C7">
      <w:pPr>
        <w:pStyle w:val="Extracto"/>
      </w:pPr>
    </w:p>
    <w:p w:rsidR="008107C7" w:rsidRDefault="008107C7" w:rsidP="008107C7">
      <w:pPr>
        <w:pStyle w:val="Extracto"/>
      </w:pPr>
      <w:r>
        <w:t>5.</w:t>
      </w:r>
      <w:r>
        <w:tab/>
        <w:t>No le corresponde a este Tribunal, en sede de recurso de amparo, determinar cuál sea la interpretación más plausible de los condicionantes legales y reglamentarios de la concesión de los permisos de salida ni, por tanto, si el criterio de denegación expuesto en las resoluciones impugnadas resulta o no el más indicado para una correcta política de permisos. Basta con comprobar que, de acuerdo con su regulación legal y reglamentaria, el disfrute de dichos permisos no es un derecho incondicionado del interno, puesto que en su concesión interviene la ponderación de otra serie de circunstancias objetivas y subjetivas para impedir que la medida se vea frustrada en sus objetivos . [F.J. 5]</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566/94 interpuesto por don Antonio Rovira López, bajo la representación procesal de la Procuradora de los Tribunales doña Ana Isabel Muñoz de Juana y asistido por el Letrado don Emilio de Miguel Zamora, contra el Auto de la Sección Primera de la Audiencia Provincial de Vitoria de 27 de diciembre de 1993, confirmatorio en apelación de la denegación de un permiso de salida solicitado por el recurrente, interno en un centro penitenciario. Han comparecido el Ministerio Fiscal y el Abogado del Estado. Ha sido Ponente el Magistrado don Vicente Gimeno Sendra,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Mediante escrito remitido por el Establecimiento Penitenciario de Nanclares de Oca (Alava) el 16 de febrero de 1994 y registrado en este Tribunal el 24 de febrero de 1994, don Antonio Rovira López manifestó su intención de interponer recurso de amparo contra las resoluciones judiciales que confirmaron la denegación de un permiso de salida solicitado, pidiendo al mismo tiempo que se le nombrara Abogado y Procurador del turno de oficio para formalizar la demanda.</w:t>
      </w:r>
    </w:p>
    <w:p w:rsidR="008107C7" w:rsidRDefault="008107C7" w:rsidP="008107C7">
      <w:pPr>
        <w:pStyle w:val="TextoNormal"/>
      </w:pPr>
    </w:p>
    <w:p w:rsidR="008107C7" w:rsidRDefault="008107C7" w:rsidP="008107C7">
      <w:pPr>
        <w:pStyle w:val="TextoNormal"/>
      </w:pPr>
      <w:r w:rsidRPr="008107C7">
        <w:rPr>
          <w:rStyle w:val="NumeroAFNegritaCaracter"/>
        </w:rPr>
        <w:t>2</w:t>
      </w:r>
      <w:r>
        <w:t>. Por providencia de 7 de marzo de 1994 la Sección Segunda de este Tribunal acordó tener por recibido el escrito, librar los correspondientes despachos para la designación de Abogado y Procurador del turno de oficio para la defensa y representación del recurrente, y, de conformidad con lo previsto en el art. 88 LOTC, requerir atentamente a la Audiencia Provincial de Vitoria y al Juzgado de Vigilancia Penitenciaria de Bilbao para que remitieran testimonio, respectivamente, del rollo de apelación núm. 568/93 y del expediente núm. 5.579/93. Se interesaba, al propio tiempo, de la referida Audiencia Provincial que certificara la fecha de notificación al hoy recurrente en amparo del último de los Autos dictados, a los efectos del cómputo del plazo establecido por el art. 44.2 LOTC.</w:t>
      </w:r>
    </w:p>
    <w:p w:rsidR="008107C7" w:rsidRDefault="008107C7" w:rsidP="008107C7">
      <w:pPr>
        <w:pStyle w:val="TextoNormal"/>
      </w:pPr>
    </w:p>
    <w:p w:rsidR="008107C7" w:rsidRDefault="008107C7" w:rsidP="008107C7">
      <w:pPr>
        <w:pStyle w:val="TextoNormal"/>
      </w:pPr>
      <w:r w:rsidRPr="008107C7">
        <w:rPr>
          <w:rStyle w:val="NumeroAFNegritaCaracter"/>
        </w:rPr>
        <w:t>3</w:t>
      </w:r>
      <w:r>
        <w:t>. Por providencia de 3 de mayo de 1994 la Sección Segunda acordó tener por recibidos los testimonios de las actuaciones y por hechas las designaciones requeridas, y conceder un plazo de veinte días para que se formalizara la demanda de amparo.</w:t>
      </w:r>
    </w:p>
    <w:p w:rsidR="008107C7" w:rsidRDefault="008107C7" w:rsidP="008107C7">
      <w:pPr>
        <w:pStyle w:val="TextoNormal"/>
      </w:pPr>
    </w:p>
    <w:p w:rsidR="008107C7" w:rsidRDefault="008107C7" w:rsidP="008107C7">
      <w:pPr>
        <w:pStyle w:val="TextoNormal"/>
      </w:pPr>
      <w:r w:rsidRPr="008107C7">
        <w:rPr>
          <w:rStyle w:val="NumeroAFNegritaCaracter"/>
        </w:rPr>
        <w:t>4</w:t>
      </w:r>
      <w:r>
        <w:t>. Por providencia de 6 de junio de 1994 la Sección Segunda acordó, a instancias de la representación del recurrente y de conformidad con lo previsto en el art. 88 LOTC, requerir atentamente al Juzgado de Vigilancia Penitenciaria de Bilbao la remisión de testimonio de una serie de documentos no contenidos en las actuaciones recibidas. Una vez cumplimentado el envío, la Sección Segunda, por providencia de 4 de julio de 1994, acordó conceder un nuevo plazo de veinte días para formalizar la demanda.</w:t>
      </w:r>
    </w:p>
    <w:p w:rsidR="008107C7" w:rsidRDefault="008107C7" w:rsidP="008107C7">
      <w:pPr>
        <w:pStyle w:val="TextoNormal"/>
      </w:pPr>
    </w:p>
    <w:p w:rsidR="008107C7" w:rsidRDefault="008107C7" w:rsidP="008107C7">
      <w:pPr>
        <w:pStyle w:val="TextoNormal"/>
      </w:pPr>
      <w:r w:rsidRPr="008107C7">
        <w:rPr>
          <w:rStyle w:val="NumeroAFNegritaCaracter"/>
        </w:rPr>
        <w:t>5</w:t>
      </w:r>
      <w:r>
        <w:t>. Mediante escrito registrado en este Tribunal el 27 de julio de 1994, la Procuradora de los Tribunales doña Ana Isabel Muñoz de Juana, en nombre y representación de don Antonio Rovira López, formalizó la demanda de amparo contra el Auto de la Sección Primera de la Audiencia Provincial de Vitoria de 27 de diciembre de 1993.</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De la demanda y actuaciones recibidas se desprenden los siguientes hechos relevantes: </w:t>
      </w:r>
    </w:p>
    <w:p w:rsidR="008107C7" w:rsidRDefault="008107C7" w:rsidP="008107C7">
      <w:pPr>
        <w:pStyle w:val="TextoNormal"/>
      </w:pPr>
      <w:r>
        <w:t xml:space="preserve">a) El hoy demandante de amparo, condenado como autor de un delito de parricidio e interno a la sazón en el establecimiento penitenciario de Nanclares de Oca, solicitó a la dirección del Centro un permiso de salida, de acuerdo con lo previsto en el art. 47.2 de la Ley Orgánica General Penitenciaria (L.O.G.P.) y en el art. 254 del Reglamento Penitenciario, entonces vigente, de 1981 (R.P. de 1981). Según se alega en la demanda, en el momento de hacer la solicitud el hoy recurrente llevaba preso cuatro años ininterrumpidos, contaba con 450 días de redenciones extraordinarias, dos años de redenciones ordinarias y dos hojas </w:t>
      </w:r>
      <w:r>
        <w:lastRenderedPageBreak/>
        <w:t xml:space="preserve">meritorias, no se le había impuesto ninguna sanción (realmente, en el expediente penitenciario del interno consta la existencia de sanciones canceladas) y disponía de vivienda y ocupación. </w:t>
      </w:r>
    </w:p>
    <w:p w:rsidR="008107C7" w:rsidRDefault="008107C7" w:rsidP="008107C7">
      <w:pPr>
        <w:pStyle w:val="TextoNormal"/>
      </w:pPr>
      <w:r>
        <w:t xml:space="preserve">b) Dicha solicitud fue rechazada por Acuerdo de la Junta de Régimen y Administración del Centro, adoptado por unanimidad en sesión del día 24 de junio de 1993, previo informe del Equipo de Observación y Tratamiento, que había sido desfavorable, también por unanimidad de sus miembros. Dicho informe (acompañado de una hoja con el historial penal y penitenciario del interno y de una tabla de evaluación de variables de riesgo) está redactado sobre la base de un modelo, en el que aparece cumplimentado el subapartado: "presencia de circunstancias peculiares en el interno: por las características del hecho delictivo: larga condena (cumplimiento de las tres cuartas partes en... 1998)". </w:t>
      </w:r>
    </w:p>
    <w:p w:rsidR="008107C7" w:rsidRDefault="008107C7" w:rsidP="008107C7">
      <w:pPr>
        <w:pStyle w:val="TextoNormal"/>
      </w:pPr>
      <w:r>
        <w:t xml:space="preserve">c) Contra dicho Acuerdo el interno formuló una queja ante el Juzgado de Vigilancia Penitenciaria de Bilbao, tramitada con el núm. de expediente 5.579/93, que fue desestimada por Auto de 27 de julio de 1993, con la siguiente fundamentación jurídica: </w:t>
      </w:r>
    </w:p>
    <w:p w:rsidR="008107C7" w:rsidRDefault="008107C7" w:rsidP="008107C7">
      <w:pPr>
        <w:pStyle w:val="TextoNormal"/>
      </w:pPr>
      <w:r>
        <w:t xml:space="preserve">"A la vista del informe del Centro Penitenciario es forzoso estimar que si bien el interno cumple el requisito de haber cumplido una cuarta parte de la condena y estar clasificado en segundo grado de tratamiento, como lo establece el art. 254.2 del Reglamento Penitenciario, no concurren las demás circunstancias que dicho precepto exige para la concesión del permiso de salida solicitado, por lo que ante el informe negativo de la Junta de Régimen y la oposición del Ministerio Fiscal, no procede estimarse la queja del interno." </w:t>
      </w:r>
    </w:p>
    <w:p w:rsidR="008107C7" w:rsidRDefault="008107C7" w:rsidP="008107C7">
      <w:pPr>
        <w:pStyle w:val="TextoNormal"/>
      </w:pPr>
      <w:r>
        <w:t xml:space="preserve">En el antecedente 2º del Auto se señalaba: </w:t>
      </w:r>
    </w:p>
    <w:p w:rsidR="008107C7" w:rsidRDefault="008107C7" w:rsidP="008107C7">
      <w:pPr>
        <w:pStyle w:val="TextoNormal"/>
      </w:pPr>
      <w:r>
        <w:t xml:space="preserve">"Del informe recibido del Establecimiento se desprende que el Acuerdo desfavorable de la Junta se funda en la lejanía de la fecha de cumplimiento de las 3/4 partes de la condena". </w:t>
      </w:r>
    </w:p>
    <w:p w:rsidR="008107C7" w:rsidRDefault="008107C7" w:rsidP="008107C7">
      <w:pPr>
        <w:pStyle w:val="TextoNormal"/>
      </w:pPr>
      <w:r>
        <w:t xml:space="preserve">d) Contra dicho Auto el interno interpuso recurso de reforma ante el propio Juzgado de Vigilancia Penitenciaria de Bilbao, que fue desestimado por Auto de 8 de septiembre de 1993, con la siguiente fundamentación jurídica: </w:t>
      </w:r>
    </w:p>
    <w:p w:rsidR="008107C7" w:rsidRDefault="008107C7" w:rsidP="008107C7">
      <w:pPr>
        <w:pStyle w:val="TextoNormal"/>
      </w:pPr>
      <w:r>
        <w:t xml:space="preserve">"Dado que por el momento no concurren circunstancias modificativas que puedan tomarse en consideración para la reforma del Auto recurrido no obstante las alegaciones del interno y el informe negativo del Ministerio Fiscal, procede desestimar el recurso de reforma interpuesto." </w:t>
      </w:r>
    </w:p>
    <w:p w:rsidR="008107C7" w:rsidRDefault="008107C7" w:rsidP="008107C7">
      <w:pPr>
        <w:pStyle w:val="TextoNormal"/>
      </w:pPr>
      <w:r>
        <w:t xml:space="preserve">e) Finalmente, contra dicho Auto interpuso recurso de apelación ante la Audiencia Provincial de Vitoria, tramitado con el núm. de rollo 568/93, que también fue desestimado por Auto de su Sección Primera de 27 de diciembre de 1993, con el siguiente fundamento jurídico: </w:t>
      </w:r>
    </w:p>
    <w:p w:rsidR="008107C7" w:rsidRDefault="008107C7" w:rsidP="008107C7">
      <w:pPr>
        <w:pStyle w:val="TextoNormal"/>
      </w:pPr>
      <w:r>
        <w:t>"Contra lo afirmado en la resolución de instancia, en el interno recurrente concurren todos y cada uno de los requisitos normados ex arts. 47.2 L.O.G.P. y 254.2 de su Reglamento desarrollador. Lo que sucede es que el recurrente no cumplirá las tres cuartas partes de su condena hasta el 24 de octubre de 1998, lo que le sitúa en un momento no idóneo para la progresiva preparación para la vida en libertad conforme al propio espíritu y finalidad de los permisos ordinarios de salida dentro del contexto de la reinserción social orientador de la legislación en materia penitenciaria. Por ello el recurso debe desestimarse."</w:t>
      </w:r>
    </w:p>
    <w:p w:rsidR="008107C7" w:rsidRDefault="008107C7" w:rsidP="008107C7">
      <w:pPr>
        <w:pStyle w:val="TextoNormal"/>
      </w:pPr>
    </w:p>
    <w:p w:rsidR="008107C7" w:rsidRDefault="008107C7" w:rsidP="008107C7">
      <w:pPr>
        <w:pStyle w:val="TextoNormal"/>
      </w:pPr>
      <w:r w:rsidRPr="008107C7">
        <w:rPr>
          <w:rStyle w:val="NumeroAFNegritaCaracter"/>
        </w:rPr>
        <w:t>7</w:t>
      </w:r>
      <w:r>
        <w:t xml:space="preserve">. La defensa del demandante de amparo entiende que la denegación del permiso de salida ha supuesto una vulneración del principio de igualdad consagrado por el art. 14 C.E. </w:t>
      </w:r>
    </w:p>
    <w:p w:rsidR="008107C7" w:rsidRDefault="008107C7" w:rsidP="008107C7">
      <w:pPr>
        <w:pStyle w:val="TextoNormal"/>
      </w:pPr>
      <w:r>
        <w:t xml:space="preserve">Se alega, en este sentido, que el interno solicitante cumplía ampliamente todas las condiciones establecidas por el art. 254.2 del Reglamento Penitenciario para la concesión del permiso de salida, pues se encontraba en segundo grado, había extinguido la cuarta parte de la totalidad de la condena y no había observado mala conducta (al contrario, contaba con </w:t>
      </w:r>
      <w:r>
        <w:lastRenderedPageBreak/>
        <w:t xml:space="preserve">dos hojas meritorias e incluso con 450 días de redenciones extraordinarias), pese a lo cual le fue denegado, sin justificar dicha denegación, o, por lo menos, sin que del expediente tramitado se deduzca la posible incidencia de alguna de las circunstancias señaladas en el precepto como impeditivas de la concesión del permiso. </w:t>
      </w:r>
    </w:p>
    <w:p w:rsidR="008107C7" w:rsidRDefault="008107C7" w:rsidP="008107C7">
      <w:pPr>
        <w:pStyle w:val="TextoNormal"/>
      </w:pPr>
      <w:r>
        <w:t xml:space="preserve">Según la demanda, la consecuencia de ello sería que con la denegación del permiso el hoy recurrente se ha visto discriminado frente a sus compañeros y a todos aquellos que pueden acceder a este beneficio carcelario, pese a su excelente comportamiento, en ningún momento desvirtuado por las resoluciones impugnadas. </w:t>
      </w:r>
    </w:p>
    <w:p w:rsidR="008107C7" w:rsidRDefault="008107C7" w:rsidP="008107C7">
      <w:pPr>
        <w:pStyle w:val="TextoNormal"/>
      </w:pPr>
      <w:r>
        <w:t>En consecuencia, se suplica en la demanda el otorgamiento del amparo y la concesión al recurrente del permiso solicitado.</w:t>
      </w:r>
    </w:p>
    <w:p w:rsidR="008107C7" w:rsidRDefault="008107C7" w:rsidP="008107C7">
      <w:pPr>
        <w:pStyle w:val="TextoNormal"/>
      </w:pPr>
    </w:p>
    <w:p w:rsidR="008107C7" w:rsidRDefault="008107C7" w:rsidP="008107C7">
      <w:pPr>
        <w:pStyle w:val="TextoNormal"/>
      </w:pPr>
      <w:r w:rsidRPr="008107C7">
        <w:rPr>
          <w:rStyle w:val="NumeroAFNegritaCaracter"/>
        </w:rPr>
        <w:t>8</w:t>
      </w:r>
      <w:r>
        <w:t>. Por providencia de 24 de enero de 1995 la Sección Segunda acordó, de conformidad con lo previsto en el art. 88 LOTC, requerir atentamente al Centro Penitenciario de Nanclares de Oca para que remitiera acreditación de la fecha de entrega por el recurrente a los funcionarios del Centro del escrito de interposición del recurso de amparo. Recibida la acreditación, tal fecha resultó ser el 30 de enero de 1994.</w:t>
      </w:r>
    </w:p>
    <w:p w:rsidR="008107C7" w:rsidRDefault="008107C7" w:rsidP="008107C7">
      <w:pPr>
        <w:pStyle w:val="TextoNormal"/>
      </w:pPr>
    </w:p>
    <w:p w:rsidR="008107C7" w:rsidRDefault="008107C7" w:rsidP="008107C7">
      <w:pPr>
        <w:pStyle w:val="TextoNormal"/>
      </w:pPr>
      <w:r w:rsidRPr="008107C7">
        <w:rPr>
          <w:rStyle w:val="NumeroAFNegritaCaracter"/>
        </w:rPr>
        <w:t>9</w:t>
      </w:r>
      <w:r>
        <w:t>. Por providencia de 19 de junio de 1995 la Sección Primera de este Tribunal acordó, antes de decidir sobre la admisión o inadmisión del recurso, y en aplicación del art. 84 LOTC, conceder un plazo común de diez días al Ministerio Fiscal y al recurrente para formular alegaciones sobre la eventual existencia del motivo, distinto del alegado en la demanda, con relevancia para adoptar aquella decisión, consistente en la posible vulneración por las resoluciones impugnadas del derecho a la tutela judicial efectiva del recurrente (art. 24.1 C.E.), en cuanto podrían carecer de motivación suficiente y no arbitraria.</w:t>
      </w:r>
    </w:p>
    <w:p w:rsidR="008107C7" w:rsidRDefault="008107C7" w:rsidP="008107C7">
      <w:pPr>
        <w:pStyle w:val="TextoNormal"/>
      </w:pPr>
    </w:p>
    <w:p w:rsidR="008107C7" w:rsidRDefault="008107C7" w:rsidP="008107C7">
      <w:pPr>
        <w:pStyle w:val="TextoNormal"/>
      </w:pPr>
      <w:r w:rsidRPr="008107C7">
        <w:rPr>
          <w:rStyle w:val="NumeroAFNegritaCaracter"/>
        </w:rPr>
        <w:t>10</w:t>
      </w:r>
      <w:r>
        <w:t xml:space="preserve">. El Ministerio Fiscal presentó su escrito de alegaciones en el Registro el 4 de julio de 1995, apreciando la concurrencia del motivo de impugnación consultado. A su juicio, y sin perjuicio de la posición que el Ministerio Fiscal pudiera adoptar en dictámenes ulteriores, el Auto de la Audiencia Provincial de Vitoria podría haber incurrido en un error patente con trascendencia constitucional al poner como fundamento de la desestimación del recurso de apelación un requisito que dice extraer de los arts. 47.2 L.O.G.P. y 254.2 R.P. </w:t>
      </w:r>
    </w:p>
    <w:p w:rsidR="008107C7" w:rsidRDefault="008107C7" w:rsidP="008107C7">
      <w:pPr>
        <w:pStyle w:val="TextoNormal"/>
      </w:pPr>
      <w:r>
        <w:t>La representación del recurrente no presentó alegaciones.</w:t>
      </w:r>
    </w:p>
    <w:p w:rsidR="008107C7" w:rsidRDefault="008107C7" w:rsidP="008107C7">
      <w:pPr>
        <w:pStyle w:val="TextoNormal"/>
      </w:pPr>
    </w:p>
    <w:p w:rsidR="008107C7" w:rsidRDefault="008107C7" w:rsidP="008107C7">
      <w:pPr>
        <w:pStyle w:val="TextoNormal"/>
      </w:pPr>
      <w:r w:rsidRPr="008107C7">
        <w:rPr>
          <w:rStyle w:val="NumeroAFNegritaCaracter"/>
        </w:rPr>
        <w:t>11</w:t>
      </w:r>
      <w:r>
        <w:t xml:space="preserve">. Por providencia de 2 de octubre de 1995 la Sección Primera acordó admitir a trámite la demanda de amparo, prescindir de reclamar testimonio de las actuaciones por obrar ya en poder del Tribunal, y emplazar al Abogado del Estado para su posible comparecencia en este proceso constitucional. </w:t>
      </w:r>
    </w:p>
    <w:p w:rsidR="008107C7" w:rsidRDefault="008107C7" w:rsidP="008107C7">
      <w:pPr>
        <w:pStyle w:val="TextoNormal"/>
      </w:pPr>
      <w:r>
        <w:t>El 9 de octubre de 1995 se registró el escrito de personación del Abogado del Estado.</w:t>
      </w:r>
    </w:p>
    <w:p w:rsidR="008107C7" w:rsidRDefault="008107C7" w:rsidP="008107C7">
      <w:pPr>
        <w:pStyle w:val="TextoNormal"/>
      </w:pPr>
    </w:p>
    <w:p w:rsidR="008107C7" w:rsidRDefault="008107C7" w:rsidP="008107C7">
      <w:pPr>
        <w:pStyle w:val="TextoNormal"/>
      </w:pPr>
      <w:r w:rsidRPr="008107C7">
        <w:rPr>
          <w:rStyle w:val="NumeroAFNegritaCaracter"/>
        </w:rPr>
        <w:t>12</w:t>
      </w:r>
      <w:r>
        <w:t>. Por providencia de 23 de octubre de 1995 la Sección Segunda de este Tribunal acordó, a tenor de lo dispuesto en el art. 52 LOTC, dar vista de las actuaciones por un plazo común de veinte días al Ministerio Fiscal, al Abogado del Estado y al solicitante del amparo para presentar las alegaciones que a su derecho conviniera.</w:t>
      </w:r>
    </w:p>
    <w:p w:rsidR="008107C7" w:rsidRDefault="008107C7" w:rsidP="008107C7">
      <w:pPr>
        <w:pStyle w:val="TextoNormal"/>
      </w:pPr>
    </w:p>
    <w:p w:rsidR="008107C7" w:rsidRDefault="008107C7" w:rsidP="008107C7">
      <w:pPr>
        <w:pStyle w:val="TextoNormal"/>
      </w:pPr>
      <w:r w:rsidRPr="008107C7">
        <w:rPr>
          <w:rStyle w:val="NumeroAFNegritaCaracter"/>
        </w:rPr>
        <w:t>13</w:t>
      </w:r>
      <w:r>
        <w:t xml:space="preserve">. El Abogado del Estado presentó su escrito de alegaciones en el Registro el 13 de noviembre de 1995, suplicando la denegación del amparo solicitado. </w:t>
      </w:r>
    </w:p>
    <w:p w:rsidR="008107C7" w:rsidRDefault="008107C7" w:rsidP="008107C7">
      <w:pPr>
        <w:pStyle w:val="TextoNormal"/>
      </w:pPr>
      <w:r>
        <w:lastRenderedPageBreak/>
        <w:t xml:space="preserve">En cuanto a la vulneración del art. 14 C.E. alegada en la demanda, el Abogado del Estado entiende que no se acredita en modo alguno. El recurrente no aporta un término de comparación válido que permita entender producida la pretendida desigualdad en la aplicación de la ley. </w:t>
      </w:r>
    </w:p>
    <w:p w:rsidR="008107C7" w:rsidRDefault="008107C7" w:rsidP="008107C7">
      <w:pPr>
        <w:pStyle w:val="TextoNormal"/>
      </w:pPr>
      <w:r>
        <w:t xml:space="preserve">Pero, a su juicio, tampoco se ha producido vulneración del art. 24.1 C.E. El Auto impugnado de la Audiencia Provincial parte de que se daban las circunstancias para poder solicitar el permiso de salida previstas en el primer inciso del art. 254.2 R.P. (que no hace sino reproducir el art. 47.2 L.O.G.P.). Ahora bien, ni el art. 47.2 de la citada Ley Orgánica ni el art. 254.2 del Reglamento determinan que la concesión de permisos de salida sea automática cumpliéndose tales condiciones. El primero alude a que "se podrán conceder como preparación de la vida en libertad", y el segundo, en su último inciso, prevé expresamente que podrán denegarse si se considera que "repercutirán perjudicialmente sobre el interesado desde el punto de vista de su preparación para la vida en libertad". Para el Abogado del Estado estas disposiciones constituyen, sin duda, la verdadera ratio decidendi del Auto, que considera que en el momento actual del cumplimiento de la pena privativa de libertad (a su juicio, sólo a mayor abundamiento se dice que el 24 de octubre de 1998 habrá cumplido las tres cuartas partes de la condena) el otorgamiento del permiso de salida resulta "no idóneo para la progresiva preparación para la vida en libertad...". Evidentemente, a su juicio, el Auto parte de la específica situación del recurrente y de la pena impuesta, entendiéndose que las circunstancias concurrentes hacen conveniente aguardar a un momento futuro para otorgar este tipo de permiso, cuyo fin social no es otro que, atendiendo a la situación específica de quienes los disfrutan, facilitar su reinserción social. </w:t>
      </w:r>
    </w:p>
    <w:p w:rsidR="008107C7" w:rsidRDefault="008107C7" w:rsidP="008107C7">
      <w:pPr>
        <w:pStyle w:val="TextoNormal"/>
      </w:pPr>
      <w:r>
        <w:t>Alude, finalmente, a este respecto, al informe elaborado por los miembros del Equipo de Observación y Tratamiento. En dicho informe se recoge que el interno cumple "larga condena", y en estos casos se considera como uno de los hechos relevantes para la concesión del permiso, el tiempo de condena cumplida y el número de años que faltan para su terminación. Pues bien, en el caso del recurrente, condenado por parricidio, apenas se había cumplido una cuarta parte de la pena impuesta, y esta circunstancia fue valorada por el citado equipo "por unanimidad" para informar desfavorablemente la solicitud. A su juicio, este dato fue tenido en cuenta, sin duda, por el Auto, que consideró el delito cometido (parricidio), la larga pena impuesta y el cumplimiento de poco más de la cuarta parte.</w:t>
      </w:r>
    </w:p>
    <w:p w:rsidR="008107C7" w:rsidRDefault="008107C7" w:rsidP="008107C7">
      <w:pPr>
        <w:pStyle w:val="TextoNormal"/>
      </w:pPr>
    </w:p>
    <w:p w:rsidR="008107C7" w:rsidRDefault="008107C7" w:rsidP="008107C7">
      <w:pPr>
        <w:pStyle w:val="TextoNormal"/>
      </w:pPr>
      <w:r w:rsidRPr="008107C7">
        <w:rPr>
          <w:rStyle w:val="NumeroAFNegritaCaracter"/>
        </w:rPr>
        <w:t>14</w:t>
      </w:r>
      <w:r>
        <w:t xml:space="preserve">. El Ministerio Fiscal registró su escrito de alegaciones el 21 de noviembre de 1995, interesando el otorgamiento del amparo. </w:t>
      </w:r>
    </w:p>
    <w:p w:rsidR="008107C7" w:rsidRDefault="008107C7" w:rsidP="008107C7">
      <w:pPr>
        <w:pStyle w:val="TextoNormal"/>
      </w:pPr>
      <w:r>
        <w:t xml:space="preserve">Por lo que se refiere a la vulneración alegada en la demanda del derecho a la igualdad en la aplicación de la norma, el Ministerio Fiscal también entiende que no puede ser atendida, por cuanto el recurrente hace un alegato genérico, pero en modo alguno aporta elementos de juicio que permitan hacer el juicio de igualdad: ni se aporta un tertium comparationis, ni se demuestra que los órganos jurisdiccionales de los que proceden las resoluciones impugnadas hubieran dictado otras en sentido contrario con anterioridad. </w:t>
      </w:r>
    </w:p>
    <w:p w:rsidR="008107C7" w:rsidRDefault="008107C7" w:rsidP="008107C7">
      <w:pPr>
        <w:pStyle w:val="TextoNormal"/>
      </w:pPr>
      <w:r>
        <w:t xml:space="preserve">En cambio, para el Ministerio Fiscal sí tiene fundamento el motivo sugerido por la Sección, esto es, la falta de motivación de las resoluciones recurridas. </w:t>
      </w:r>
    </w:p>
    <w:p w:rsidR="008107C7" w:rsidRDefault="008107C7" w:rsidP="008107C7">
      <w:pPr>
        <w:pStyle w:val="TextoNormal"/>
      </w:pPr>
      <w:r>
        <w:t xml:space="preserve">A título previo, considera necesario precisar que, aunque el recurso se dirige solamente contra los Autos de 8 de septiembre de 1993 y 27 de diciembre de 1993, también debe entenderse impugnado el de 27 de julio de 1993, de desestimación inicial de la queja del demandante de amparo, que aquéllos vinieron a confirmar. Examina, pues, a continuación, si cada uno de estos tres Autos satisface o no las exigencias constitucionales en cuanto a la motivación de las resoluciones judiciales: </w:t>
      </w:r>
    </w:p>
    <w:p w:rsidR="008107C7" w:rsidRDefault="008107C7" w:rsidP="008107C7">
      <w:pPr>
        <w:pStyle w:val="TextoNormal"/>
      </w:pPr>
      <w:r>
        <w:lastRenderedPageBreak/>
        <w:t xml:space="preserve">a) Para el Ministerio Fiscal, el Auto del Juzgado de Vigilancia Penitenciaria de 27 de julio de 1993 no precisa el fundamento de la desestimación de la queja contra el Acuerdo denegatorio del permiso de salida, pues, aunque señala los requisitos que se cumplen, no precisa los que fundan la resolución desestimatoria, que se aluden con la expresión "las demás circunstancias de dicho precepto", sin especificación alguna. Así pues, a su juicio, los términos de dicho Auto no parecen satisfacer las exigencias del derecho a la tutela judicial efectiva en lo que se refiere a la exigencia de una resolución razonada y razonable. Y no cabe reargüir, añade, que la alusión al "Acuerdo desfavorable de la Junta" implique una fundamentación por remisión, pues, según resulta del antecedente 2º del propio Auto, dicho acuerdo se apoyó "en la lejanía del cumplimiento de las tres cuartas partes de la condena", razón ésta que no es ninguna de las previstas en los arts. 47.2 L.O.G.P. y 254.2 R.P., aunque pueda considerarse incluida en la esencia y finalidad de la institución. </w:t>
      </w:r>
    </w:p>
    <w:p w:rsidR="008107C7" w:rsidRDefault="008107C7" w:rsidP="008107C7">
      <w:pPr>
        <w:pStyle w:val="TextoNormal"/>
      </w:pPr>
      <w:r>
        <w:t xml:space="preserve">b) Por lo que se refiere al Auto, también del Juez de Vigilancia Penitenciaria, de 8 de septiembre de 1993, su único fundamento jurídico se limita a basar la desestimación del recurso de reforma en que "no concurren circunstancias modificativas que puedan tomarse en consideración", lo que entraña una absoluta orfandad de motivación si se tiene en cuenta la insuficiente motivación de la resolución impugnada. </w:t>
      </w:r>
    </w:p>
    <w:p w:rsidR="008107C7" w:rsidRDefault="008107C7" w:rsidP="008107C7">
      <w:pPr>
        <w:pStyle w:val="TextoNormal"/>
      </w:pPr>
      <w:r>
        <w:t xml:space="preserve">c) Finalmente, el Auto de la Audiencia Provincial de Vitoria de 27 de diciembre de 1993, que contradice terminantemente el impugnado en apelación, apoya la desestimación del recurso en un requisito no exigido de modo expreso por los preceptos en que dice fundarse. Ello hace pensar que aplica como condicionamiento de la concesión del permiso el "cuasi cumplimiento" de lo que constituye un requisito para el acceso al cuarto grado (libertad condicional), establecido por el art. 98 C.P., lo cual integraría un error patente en la interpretación de la norma con influencia en el derecho a la tutela judicial efectiva. </w:t>
      </w:r>
    </w:p>
    <w:p w:rsidR="008107C7" w:rsidRDefault="008107C7" w:rsidP="008107C7">
      <w:pPr>
        <w:pStyle w:val="TextoNormal"/>
      </w:pPr>
      <w:r>
        <w:t>Para el Ministerio Fiscal la resolución pone de manifiesto su falta de precisión en la motivación. Supeditar el otorgamiento del permiso a la apreciación de que se cumpla o no su fin esencial, en función de un condicionamiento temporal que no está previsto en la norma, prescindiendo, por tanto, de los requisitos legales y reglamentarios en los que es preciso entender que tal fin se plasma, no es técnica correcta y respetuosa con los derechos fundamentales. Concluye, pues, que tampoco esta resolución es satisfactoria desde las exigencias del art. 24.1 C.E.</w:t>
      </w:r>
    </w:p>
    <w:p w:rsidR="008107C7" w:rsidRDefault="008107C7" w:rsidP="008107C7">
      <w:pPr>
        <w:pStyle w:val="TextoNormal"/>
      </w:pPr>
    </w:p>
    <w:p w:rsidR="008107C7" w:rsidRDefault="008107C7" w:rsidP="008107C7">
      <w:pPr>
        <w:pStyle w:val="TextoNormal"/>
      </w:pPr>
      <w:r w:rsidRPr="008107C7">
        <w:rPr>
          <w:rStyle w:val="NumeroAFNegritaCaracter"/>
        </w:rPr>
        <w:t>15</w:t>
      </w:r>
      <w:r>
        <w:t>. Por providencia de 21 de abril de 1997 se acordó señalar el siguiente día 22 de abril para deliberación y votación de la presente Sentencia.</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Se impugnan en el presente recurso de amparo dos Autos del Juzgado de Vigilancia Penitenciaria de Bilbao y otro de la Audiencia Provincial de Vitoria, que, mediante la sucesiva desestimación de la queja presentada por el interno y actual demandante de amparo y de sus posteriores recursos de reforma y apelación, vinieron a confirmar el Acuerdo de la Junta de Régimen y Administración del Centro Penitenciario de Nanclares de Oca (Alava) de denegación de un permiso de salida ordinario por él solicitado.</w:t>
      </w:r>
    </w:p>
    <w:p w:rsidR="008107C7" w:rsidRDefault="008107C7" w:rsidP="008107C7">
      <w:pPr>
        <w:pStyle w:val="TextoNormal"/>
      </w:pPr>
      <w:r>
        <w:t xml:space="preserve">El objeto del presente recurso de amparo consiste, pues, en determinar si dichas resoluciones judiciales han supuesto una vulneración del derecho del recurrente a la igualdad en la aplicación de la ley (art. 14 C.E.), como se sostiene en la demanda, o de su derecho a la tutela judicial efectiva, por falta de motivación suficiente y no arbitraria (art. 24.1 C.E.), </w:t>
      </w:r>
      <w:r>
        <w:lastRenderedPageBreak/>
        <w:t>como fue sugerido de oficio por este Tribunal haciendo uso de la facultad prevista en el art. 84 LOTC.</w:t>
      </w:r>
    </w:p>
    <w:p w:rsidR="008107C7" w:rsidRDefault="008107C7" w:rsidP="008107C7">
      <w:pPr>
        <w:pStyle w:val="TextoNormal"/>
      </w:pPr>
      <w:r>
        <w:t>Antes de iniciar el examen de dichas cuestiones, conviene señalar que dos Sentencias recientes de la Sala Segunda de este Tribunal (las SSTC 112/1996 y 2/1997) han enjuiciado casos sustancialmente iguales al presente, planteados frente a resoluciones procedentes de los mismos órganos judiciales y recaídas aproximadamente en las mismas fechas. En la primera se otorgó el amparo porque se entendió que las resoluciones impugnadas adolecían de falta de motivación suficiente, vulnerando, en consecuencia, el derecho a la tutela judicial efectiva del allí recurrente (art. 24.1 C.E.), en relación con su derecho a la libertad (art. 17 C.E.)  y los principios constitucionales establecidos en el art. 25 C.E. La segunda, en cambio, denegó el amparo, debido a la concurrencia, en el caso entonces enjuiciado, de circunstancias diferenciadoras, pero iniciando, al mismo tiempo, una cierta reconsideración de la doctrina establecida en la primera. Resulta, pues, procedente, a juicio de esta Sala, continuar y profundizar aquí en esta línea de evolución de la doctrina del Tribunal.</w:t>
      </w:r>
    </w:p>
    <w:p w:rsidR="008107C7" w:rsidRDefault="008107C7" w:rsidP="008107C7">
      <w:pPr>
        <w:pStyle w:val="TextoNormal"/>
      </w:pPr>
    </w:p>
    <w:p w:rsidR="008107C7" w:rsidRDefault="008107C7" w:rsidP="008107C7">
      <w:pPr>
        <w:pStyle w:val="TextoNormal"/>
      </w:pPr>
      <w:r w:rsidRPr="008107C7">
        <w:rPr>
          <w:rStyle w:val="NumeroAFNegritaCaracter"/>
        </w:rPr>
        <w:t>2</w:t>
      </w:r>
      <w:r>
        <w:t>. La infracción denunciada en la demanda del principio de igualdad en la aplicación de la ley (art. 14 C.E.)  puede ser objeto de fácil respuesta, al igual que lo fueron alegaciones equivalentes en los casos examinados por las SSTC 112/1996 y 2/1997.  En efecto, la demanda se limita a extraer del hecho de la denegación supuestamente injustificada del permiso de salida la conclusión de que el recurrente se ha visto "discriminado frente a sus compañeros y a todos aquellos que pueden acceder a este beneficio carcelario", pero sin aportar ningún término de comparación concreto e idóneo, como exige la doctrina de este Tribunal (por todas SSTC 261/1988, 85/1989, 90/1990 y 57/1994), a partir del cual poder apreciar, en su caso, la existencia de una vulneración del principio de igualdad en la aplicación de la ley, como apartamiento inadvertido o inmotivado de la decisión tomada en casos anteriores sustancialmente iguales (por todas, SSTC 161/1989, 235/1992, 42/1993 y 119/1994)</w:t>
      </w:r>
    </w:p>
    <w:p w:rsidR="008107C7" w:rsidRDefault="008107C7" w:rsidP="008107C7">
      <w:pPr>
        <w:pStyle w:val="TextoNormal"/>
      </w:pPr>
      <w:r>
        <w:t>En consecuencia, procede rechazar la pretendida vulneración por las resoluciones impugnadas del principio de igualdad en la aplicación de la ley.</w:t>
      </w:r>
    </w:p>
    <w:p w:rsidR="008107C7" w:rsidRDefault="008107C7" w:rsidP="008107C7">
      <w:pPr>
        <w:pStyle w:val="TextoNormal"/>
      </w:pPr>
    </w:p>
    <w:p w:rsidR="008107C7" w:rsidRDefault="008107C7" w:rsidP="008107C7">
      <w:pPr>
        <w:pStyle w:val="TextoNormal"/>
      </w:pPr>
      <w:r w:rsidRPr="008107C7">
        <w:rPr>
          <w:rStyle w:val="NumeroAFNegritaCaracter"/>
        </w:rPr>
        <w:t>3</w:t>
      </w:r>
      <w:r>
        <w:t>. Aunque en el presente proceso constitucional, a diferencia de lo ocurrido en los resueltos por las SSTC 112/1996 y 2/1997, no se ha suscitado de oficio por esta Sala la cuestión de la posible incidencia en la temática aquí debatida de los derechos y principios constitucionales consagrados en los arts.  17.1 y 25.2 C.E., también parece oportuno hacer referencia a la misma para centrar adecuadamente el objeto del proceso en el marco del derecho a la tutela judicial efectiva (art. 24.1 C.E.)</w:t>
      </w:r>
    </w:p>
    <w:p w:rsidR="008107C7" w:rsidRDefault="008107C7" w:rsidP="008107C7">
      <w:pPr>
        <w:pStyle w:val="TextoNormal"/>
      </w:pPr>
      <w:r>
        <w:t>Se trata, pues, de determinar si, al margen de la eventual existencia, en el caso presente, de una lesión del derecho a la tutela judicial efectiva, la denegación de un permiso de salida ordinario solicitado por un interno en un Centro penitenciario puede suponer en sí misma la lesión de algún derecho fundamental sustantivo del mismo, derivable, en particular, de los arts. 17.1 y 25.2 C.E.</w:t>
      </w:r>
    </w:p>
    <w:p w:rsidR="008107C7" w:rsidRDefault="008107C7" w:rsidP="008107C7">
      <w:pPr>
        <w:pStyle w:val="TextoNormal"/>
      </w:pPr>
      <w:r>
        <w:t xml:space="preserve">Y para abordar esta tarea, que es, en definitiva, la del encuadramiento constitucional de los permisos de salida, conviene, antes que nada, reproducir los términos en que la misma está prevista y regulada por la legislación penitenciaria. El art. 47.2 de la Ley Organica General Penitenciaria de 1979 (en adelante, L.O.G.P.)  dispone que: "... se podrán conceder permisos de salida de hasta siete días como preparación para la vida en libertad, previo informe del equipo técnico, hasta un total de treinta y seis o cuarenta y ocho días por año, a los condenados de segundo o tercer grado, respectivamente, siempre que hayan extinguido </w:t>
      </w:r>
      <w:r>
        <w:lastRenderedPageBreak/>
        <w:t>la cuarta parte de la condena y no observen mala conducta". Por su parte, el art. 254.2 del Reglamento Penitenciario de 1981, a la sazón vigente, tras reiterar lo dispuesto en la Ley, añade: "No obstante, la propuesta de los equipos o el acuerdo de las Juntas de Régimen sobre las solicitudes de permiso serán negativos si consideran, por informaciones o datos fidedignos o por la concurrencia en el interno de circunstancias peculiares, que, a su juicio, es probable el quebrantamiento de la condena, la comisión de nuevos delitos o que el permiso repercutirá perjudicialmente sobre el interesado desde el punto de vista de su preparación para la vida en libertad" (en similares términos se expresa el art. 156.1 del nuevo Reglamento Penitenciario de 1996)</w:t>
      </w:r>
    </w:p>
    <w:p w:rsidR="008107C7" w:rsidRDefault="008107C7" w:rsidP="008107C7">
      <w:pPr>
        <w:pStyle w:val="TextoNormal"/>
      </w:pPr>
      <w:r>
        <w:t>Así pues, los permisos de salida ordinarios resultan estar, en cuanto a su finalidad, orientados a la preparación de los internos para la vida en libertad.</w:t>
      </w:r>
    </w:p>
    <w:p w:rsidR="008107C7" w:rsidRDefault="008107C7" w:rsidP="008107C7">
      <w:pPr>
        <w:pStyle w:val="TextoNormal"/>
      </w:pPr>
      <w:r>
        <w:t>A) A la vista del propio contexto en que se enmarcan dichas autorizaciones y de su finalidad, que acabamos de señalar, cabe descartar, en primer lugar, que la denegación de un permiso de salida ordinario pueda suponer, en sentido propio, una lesión del derecho fundamental a la libertad consagrado en el art.  17.1 C.E.</w:t>
      </w:r>
    </w:p>
    <w:p w:rsidR="008107C7" w:rsidRDefault="008107C7" w:rsidP="008107C7">
      <w:pPr>
        <w:pStyle w:val="TextoNormal"/>
      </w:pPr>
      <w:r>
        <w:t>Ello es así, en primer lugar, porque, como dijimos en la STC 2/1997 (fundamento jurídico 3º), "es en efecto claro que, en puridad, la previa imposición de una pena de prisión conlleva la imposibilidad de fundar una pretensión de amparo frente a la denegación del permiso penitenciario de salida invocando el derecho fundamental a la libertad, pues es la Sentencia firme condenatoria (adoptada tras el proceso judicial debido) la que constituye título legítimo de privación de ese derecho fundamental".</w:t>
      </w:r>
    </w:p>
    <w:p w:rsidR="008107C7" w:rsidRDefault="008107C7" w:rsidP="008107C7">
      <w:pPr>
        <w:pStyle w:val="TextoNormal"/>
      </w:pPr>
      <w:r>
        <w:t>A lo que cabe añadir que el disfrute de esta clase de permisos no representa para el interno el paso a una auténtica situación de libertad, sino tan sólo una medida de "preparación para la vida en libertad", y, por lo tanto, su denegación tampoco puede ser interpretada propiamente como un empeoramiento del status libertatis del interno modificado por la condena privativa de libertad (al que se hace referencia en las SSTC 2/1987, 57/1994 y 35/1996)</w:t>
      </w:r>
    </w:p>
    <w:p w:rsidR="008107C7" w:rsidRDefault="008107C7" w:rsidP="008107C7">
      <w:pPr>
        <w:pStyle w:val="TextoNormal"/>
      </w:pPr>
      <w:r>
        <w:t>B) El engarce constitucional de la institución penitenciaria de los permisos de salida ordinarios hay que buscarlo, más que en el derecho fundamental a la libertad del art. 17.1 C.E., en el mandato constitucional, reflejado en la primera frase del art.  25.2 C.E., de orientación de las penas privativas de libertad (en este caso, de su ejecución) "hacia la reeducación y reinserción social" de los condenados.</w:t>
      </w:r>
    </w:p>
    <w:p w:rsidR="008107C7" w:rsidRDefault="008107C7" w:rsidP="008107C7">
      <w:pPr>
        <w:pStyle w:val="TextoNormal"/>
      </w:pPr>
      <w:r>
        <w:t>Así lo indicó certeramente la STC 112/1996 (fundamento jurídico 4º): "La posibilidad de conceder permisos de salida se conecta con una de las finalidades esenciales de la pena privativa de libertad, la reeducación y reinserción social (art.  25.2 C.E.)  o, como ha señalado la STC 19/1988, la "corrección y readaptación del penado", y se integra en el sistema progresivo formando parte del tratamiento". La misma STC 112/1996 (fundamento jurídico 4º) se encargó, además, de destacar (con palabras luego reiteradas en la STC 2/1997, fundamento jurídico 4º) los fines y utilidades que comporta esta institución: "Todos los permisos de salida cooperan potencialmente a la preparación de la vida en libertad del interno, pueden fortalecer los vínculos familiares, reducen las tensiones propias del internamiento y las consecuencias de la vida continuada en prisión que siempre conlleva el subsiguiente alejamiento de la realidad diaria. Constituyen un estímulo a la buena conducta, a la creación de un sentido de responsabilidad del interno, y con ello al desarrollo de su personalidad. Le proporcionan información sobre el medio social en el que ha de integrarse e indican cuál es la evolución del penado...".</w:t>
      </w:r>
    </w:p>
    <w:p w:rsidR="008107C7" w:rsidRDefault="008107C7" w:rsidP="008107C7">
      <w:pPr>
        <w:pStyle w:val="TextoNormal"/>
      </w:pPr>
      <w:r>
        <w:t xml:space="preserve">Ahora bien (como también se encargan de recordar de consuno las citadas SSTC 112/1996 y 2/1997), según doctrina reiterada de este Tribunal, el art. 25.2 C.E., en su primera frase, contiene tan sólo un mandato dirigido, en primer término, al legislador penal y </w:t>
      </w:r>
      <w:r>
        <w:lastRenderedPageBreak/>
        <w:t>penitenciario, que, aunque puede servir de parámetro de la constitucionalidad de las leyes, no es fuente en sí mismo de derechos subjetivos en favor de los condenados a penas privativas de libertad, ni menos aún de derechos fundamentales susceptibles de amparo constitucional (por todas, SSTC 2/1987, 19/1988, 28/1988, 150/1991, 209/1993 y 72/1994; y AATC 15/1984, 486/1985, 739/1986, 1.112/1988, 360/1990 y 25/1995). Por lo tanto, la simple congruencia de la institución de los permisos penitenciarios de salida con el mandato constitucional establecido en el art. 25.2 C.E. no es suficiente para conferirles la categoría de derecho subjetivo, ni menos aún de derecho fundamental.</w:t>
      </w:r>
    </w:p>
    <w:p w:rsidR="008107C7" w:rsidRDefault="008107C7" w:rsidP="008107C7">
      <w:pPr>
        <w:pStyle w:val="TextoNormal"/>
      </w:pPr>
      <w:r>
        <w:t>C) Lo dicho hasta ahora convierte todo lo relacionado con los permisos de salida en una cuestión situada esencialmente en el terreno de la aplicación de la legalidad ordinaria.</w:t>
      </w:r>
    </w:p>
    <w:p w:rsidR="008107C7" w:rsidRDefault="008107C7" w:rsidP="008107C7">
      <w:pPr>
        <w:pStyle w:val="TextoNormal"/>
      </w:pPr>
      <w:r>
        <w:t>En efecto, la existencia de un derecho subjetivo a la obtención de tales permisos, y los requisitos y condiciones de su disfrute, dependen, pues, ante todo, de los términos en que dicha institución está regulada en la legislación ordinaria. A este respecto, aunque tanto la L.O.G.P. como el Reglamento Penitenciario vigente al tiempo de los hechos aquí enjuiciados (e, igualmente, el actualmente en vigor) se abstienen de calificarlo expresamente como un derecho subjetivo, parece claro que, debido a su propia previsión legal, a los internos les asiste, al menos, un interés legítimo en la obtención de dichos permisos, siempre que en ellos concurran los requisitos y demás circunstancias a que se supedita su concesión. Aunque también resulta innegable, como señalamos en la propia STC 112/1996 (fundamento jurídico 4º) que, puesto que "al mismo tiempo, constituyen una vía fácil de eludir la custodia", "su concesión no es automática una vez constatados los requisitos objetivos previstos en la Ley. No basta entonces con que éstos concurran, sino que además no han de darse otras circunstancias que aconsejen su denegación a la vista de la perturbación que puedan ocasionar en relación con los fines antes expresados", y cuya apreciación corresponde a las autoridades penitenciarias y, en último término, a los órganos judiciales encargados de la fiscalización de estas decisiones.</w:t>
      </w:r>
    </w:p>
    <w:p w:rsidR="008107C7" w:rsidRDefault="008107C7" w:rsidP="008107C7">
      <w:pPr>
        <w:pStyle w:val="TextoNormal"/>
      </w:pPr>
    </w:p>
    <w:p w:rsidR="008107C7" w:rsidRDefault="008107C7" w:rsidP="008107C7">
      <w:pPr>
        <w:pStyle w:val="TextoNormal"/>
      </w:pPr>
      <w:r w:rsidRPr="008107C7">
        <w:rPr>
          <w:rStyle w:val="NumeroAFNegritaCaracter"/>
        </w:rPr>
        <w:t>4</w:t>
      </w:r>
      <w:r>
        <w:t>. Una vez apreciada la inexistencia de una posible lesión del derecho fundamental a la libertad (art. 17.1 C.E.)  o de algún otro derecho fundamental derivable del art. 25.2 C.E., el objeto del presente proceso de amparo debe situarse en el marco del art.  24.1 C.E., como se sugirió de oficio por esta Sala en el caso presente.</w:t>
      </w:r>
    </w:p>
    <w:p w:rsidR="008107C7" w:rsidRDefault="008107C7" w:rsidP="008107C7">
      <w:pPr>
        <w:pStyle w:val="TextoNormal"/>
      </w:pPr>
      <w:r>
        <w:t>Se trata, pues, de determinar si las resoluciones judiciales aquí impugnadas otorgaron o no al actual recurrente en amparo la tutela judicial efectiva exigida por el art. 24.1 C.E. al resolver sobre su queja frente al Acuerdo de la Junta de Régimen y Administración del Centro Penitenciario que denegó su solicitud de disfrute del permiso.</w:t>
      </w:r>
    </w:p>
    <w:p w:rsidR="008107C7" w:rsidRDefault="008107C7" w:rsidP="008107C7">
      <w:pPr>
        <w:pStyle w:val="TextoNormal"/>
      </w:pPr>
      <w:r>
        <w:t xml:space="preserve">A este respecto, y como se recuerda en la STC 2/1997 (fundamento jurídico 3º), "una vez apreciada la existencia de una motivación suficiente, la jurisdicción de este Tribunal no llega tan lejos como para enjuiciar el acierto o desacierto sustancial de las resoluciones judiciales, pues ello llevaría, como tantas veces hemos afirmado, a incidir en cuestiones de mera legalidad, y que, por esto mismo, pertenecen a la esfera competencial estricta de los Jueces y Tribunales ordinarios". Como proclamó la STC 148/1994, del Pleno del Tribunal (fundamento jurídico 4º), también invocada en aquella Sentencia, "el art. 24.1 C.E... no ampara el acierto de las resoluciones judiciales, de modo que la selección e interpretación de la norma aplicable (siendo esto último lo único que ahora importa) corresponde en exclusiva a los órganos judiciales, sin otra excepción que la de aquellos supuestos en que la resolución judicial sea manifiestamente infundada, arbitraria, que no podría considerarse expresión del ejercicio de la justicia, sino simple apariencia de la misma. A efectos del art. 24.1 C.E., la cuestión no es, pues, la de mayor o menor corrección en la interpretación de la legalidad, </w:t>
      </w:r>
      <w:r>
        <w:lastRenderedPageBreak/>
        <w:t>sino, para respetar el propio ámbito del recurso de amparo constitucional, el terreno de la arbitrariedad o manifiesta irrazonabilidad y el de la motivación suficiente".</w:t>
      </w:r>
    </w:p>
    <w:p w:rsidR="008107C7" w:rsidRDefault="008107C7" w:rsidP="008107C7">
      <w:pPr>
        <w:pStyle w:val="TextoNormal"/>
      </w:pPr>
      <w:r>
        <w:t>No obstante lo anterior, en la STC 2/1997 hemos reconocido que el estandar de control puede ser superior al general en casos como el presente, en los que si bien no puede llegar a apreciarse lesión del derecho fundamental a la libertad (art. 17.1 C.E.), tampoco puede decirse que no atañan de alguna manera a la libertad, como valor superior del ordenamiento jurídico. Ello es así, por cuanto, como se indicó en dicha STC 2/1997 (fundamento jurídico 3º), "la situación de prisión supone una radical exclusión del valor superior de la libertad". A lo que cabe añadir que los permisos ordinarios de salida, aunque sea con los indicados fines de resocialización y de preparación para la vida en libertad, por razón de su propio contenido representan para el condenado a una pena privativa de libertad el disfrute de una cierta situación de libertad de la que de ordinario, y con fundamento en la propia condena que así lo legitima, carecen.</w:t>
      </w:r>
    </w:p>
    <w:p w:rsidR="008107C7" w:rsidRDefault="008107C7" w:rsidP="008107C7">
      <w:pPr>
        <w:pStyle w:val="TextoNormal"/>
      </w:pPr>
      <w:r>
        <w:t>Así pues, debido a la relación que la denegación de un permiso de salida guarda con la libertad, como valor superior del ordenamiento, para que las resoluciones judiciales que confirmen dicha denegación puedan entenderse conformes con el derecho a la tutela judicial efectiva no es suficiente con que quepa deducir de las mismas los criterios jurídicos fundamentadores de la decisión, conforme al estandar general exigible para entender respetado dicho derecho (por todas, STC 14/1991), sino que será preciso que estén fundadas en criterios que resulten conformes con los principios legales y constitucionales a los que está orientada la institución.</w:t>
      </w:r>
    </w:p>
    <w:p w:rsidR="008107C7" w:rsidRDefault="008107C7" w:rsidP="008107C7">
      <w:pPr>
        <w:pStyle w:val="TextoNormal"/>
      </w:pPr>
    </w:p>
    <w:p w:rsidR="008107C7" w:rsidRDefault="008107C7" w:rsidP="008107C7">
      <w:pPr>
        <w:pStyle w:val="TextoNormal"/>
      </w:pPr>
      <w:r w:rsidRPr="008107C7">
        <w:rPr>
          <w:rStyle w:val="NumeroAFNegritaCaracter"/>
        </w:rPr>
        <w:t>5</w:t>
      </w:r>
      <w:r>
        <w:t>. De acuerdo con la doctrina que acabamos de exponer, no cabe entender que las resoluciones aquí impugnadas hayan supuesto, en el caso presente, una vulneración del derecho del actual demandante de amparo a la tutela judicial efectiva (art.  24.1 C.E.)</w:t>
      </w:r>
    </w:p>
    <w:p w:rsidR="008107C7" w:rsidRDefault="008107C7" w:rsidP="008107C7">
      <w:pPr>
        <w:pStyle w:val="TextoNormal"/>
      </w:pPr>
      <w:r>
        <w:t>En efecto, de la lectura de las resoluciones impugnadas se desprende con claridad que los órganos judiciales consideraron justificada la denegación del permiso por el principal motivo expresado en el Informe del Equipo de Observación y Tratamiento del Centro Penitenciario, esto es, la lejanía, en el momento de realizarse la solicitud del permiso, de la fecha de cumplimiento por parte del interno de las tres cuartas partes de su condena, para la cual faltaban todavía más de cinco años. Así se desprende ya, con independencia de la mayor o menor fortuna en la redacción de su fundamento jurídico, de la primera de las resoluciones impugnadas, el Auto del Juzgado de Vigilancia Penitenciaria de desestimación de la queja inicial, poniendo en conexión dicho fundamento jurídico con el antecedente segundo del mismo Auto. Y, con mayor claridad, del Auto de la Audiencia Provincial resolutorio del recurso de apelación, en el que se expresan las razones por las que dicho motivo de denegación se considera ajustado a Derecho y conforme con los fines de la institución.  Entiende la Audiencia Provincial que, pese a la concurrencia en el interno recurrente de "los requisitos normados ex arts. 47.2 L.O.G.P. y 254.2 de su Reglamento", la lejanía de la fecha de cumplimiento de las tres cuartas partes de su condena, "le sitúa en un momento no idóneo para la progresiva preparación para la vida en libertad, conforme al propio espíritu y finalidad de los permisos ordinarios de salida dentro del contexto de la reinserción social orientador de la legislación en materia penitenciaria", por lo que el recurso debe desestimarse.</w:t>
      </w:r>
    </w:p>
    <w:p w:rsidR="008107C7" w:rsidRDefault="008107C7" w:rsidP="008107C7">
      <w:pPr>
        <w:pStyle w:val="TextoNormal"/>
      </w:pPr>
      <w:r>
        <w:t xml:space="preserve">No cabe dudar, pues, de que el interno, actual demandante de amparo, obtuvo la tutela judicial efectiva reclamada, pues recibió una respuesta sobre el fondo de la pretensión deducida (la reconsideración de la decisión del Centro de denegarle el permiso solicitado), motivada y fundada en Derecho, por cuanto permite conocer las razones del rechazo de su </w:t>
      </w:r>
      <w:r>
        <w:lastRenderedPageBreak/>
        <w:t>pretensión, y éstas no pueden ser consideradas como arbitrarias o irrazonables, ni desconectadas con los fines constitucionales y legales de la institución.</w:t>
      </w:r>
    </w:p>
    <w:p w:rsidR="008107C7" w:rsidRDefault="008107C7" w:rsidP="008107C7">
      <w:pPr>
        <w:pStyle w:val="TextoNormal"/>
      </w:pPr>
      <w:r>
        <w:t>No le corresponde a este Tribunal, en sede de recurso de amparo, determinar cuál sea la interpretación más plausible de los condicionantes legales y reglamentarios de la concesión de los permisos de salida, ni, por tanto, si el criterio de denegación expuesto en las resoluciones impugnadas resulta o no el más indicado para una correcta política de permisos. Basta con comprobar, como ya se indicó anteriormente, que, de acuerdo con su regulación legal y reglamentaria, el disfrute de dichos permisos no es un derecho incondicionado del interno, puesto que en su concesión interviene la ponderación de otra serie de circunstancias objetivas y subjetivas para impedir que la medida se vea frustrada en sus objetivos. Y basta, por último, con comprobar que las razones empleadas para fundamentar el rechazo de la pretensión del recurrente no se encuentran desconectadas con los fines de la institución, que, como ya se ha señalado, son los de preparación del interno para la vida en libertad.  En efecto, y en contra del parecer del Ministerio Fiscal, las resoluciones impugnadas no subordinan la obtención del permiso al cuasi cumplimiento del requisito para acceder a la libertad condicional, añadiendo un requisto no previsto legalmente, sino que se limitan a apreciar que en el caso presente dicha fecha se encuentra, como es manifiesto, todavía lejana, en lo que resulta ser la ponderación de una circunstancia que evidentemente guarda conexión con los fines de la institución, y que, por supuesto, no impide la reiteración de la solicitud y la obtención del permiso en un momento posterior. Todo ello, además, como señalamos en la STC 2/1997 (fundamento jurídico 4º) desde unas condiciones de inmediación para la valoración de las concretas circunstancias del caso de las que este Tribunal no goza.</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Denegar el amparo solicitado por don Antonio Rovira López.</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veintidós de abril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85" w:name="SENTENCIA_1997_82"/>
      <w:r>
        <w:lastRenderedPageBreak/>
        <w:t>SENTENCIA 82/1997, de 22 de abril de 1997</w:t>
      </w:r>
    </w:p>
    <w:bookmarkEnd w:id="85"/>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121, de 21 de mayo de 1997)</w:t>
      </w:r>
    </w:p>
    <w:p w:rsidR="008107C7" w:rsidRDefault="008107C7" w:rsidP="008107C7">
      <w:pPr>
        <w:pStyle w:val="TtuloBOE"/>
      </w:pPr>
    </w:p>
    <w:p w:rsidR="008107C7" w:rsidRDefault="008107C7" w:rsidP="008107C7">
      <w:pPr>
        <w:pStyle w:val="SntesisDescriptiva"/>
      </w:pPr>
      <w:r>
        <w:t>ECLI:ES:TC:1997:82</w:t>
      </w:r>
    </w:p>
    <w:p w:rsidR="008107C7" w:rsidRDefault="008107C7" w:rsidP="008107C7">
      <w:pPr>
        <w:pStyle w:val="SntesisDescriptiva"/>
      </w:pPr>
    </w:p>
    <w:p w:rsidR="008107C7" w:rsidRDefault="008107C7" w:rsidP="008107C7">
      <w:pPr>
        <w:pStyle w:val="SntesisDescriptiva"/>
      </w:pPr>
      <w:r>
        <w:t>Recurso de amparo 3.475/1994. Contra Sentencial del T.S.J. de Madrid, revocatoria de la dictada por el Juzgado de lo Social núm. 3 de Madrid, en procedimiento de reclamación de cantidad, y contra Auto de la Sala de lo Social del Tribunal Supremo que inadmite recurso de casación para la unificación de doctrina.</w:t>
      </w:r>
    </w:p>
    <w:p w:rsidR="008107C7" w:rsidRDefault="008107C7" w:rsidP="008107C7">
      <w:pPr>
        <w:pStyle w:val="SntesisDescriptiva"/>
      </w:pPr>
    </w:p>
    <w:p w:rsidR="008107C7" w:rsidRDefault="008107C7" w:rsidP="008107C7">
      <w:pPr>
        <w:pStyle w:val="SntesisAnaltica"/>
      </w:pPr>
      <w:r>
        <w:t>Vulneración del derecho a la igualdad: discriminación por motivos sindicales.</w:t>
      </w:r>
    </w:p>
    <w:p w:rsidR="008107C7" w:rsidRDefault="008107C7" w:rsidP="008107C7">
      <w:pPr>
        <w:pStyle w:val="SntesisAnaltica"/>
      </w:pPr>
    </w:p>
    <w:p w:rsidR="008107C7" w:rsidRDefault="008107C7" w:rsidP="008107C7">
      <w:pPr>
        <w:pStyle w:val="Extracto"/>
      </w:pPr>
      <w:r>
        <w:t>1.</w:t>
      </w:r>
      <w:r>
        <w:tab/>
        <w:t>La necesidad de una adecuada distribución de la carga de la prueba tiene su base no sólo en la primacía o el mayor valor de los derechos fundamentales, al que tantas veces hemos hecho referencia, sino también en la dificultad que el trabajador encuentra en probar la causa discriminatoria o lesiva de un derecho fundamental por la decisión empresarial, lo que contribuye a perpetuar situaciones contrarias a la Constitución. La experiencia enseña que de no existir aquella adecuada distribución de la carga de la prueba la interdicción de la discriminación no es efectiva ni real, permaneciendo, podría decirse, en el plano de la mera declaración de buenas intenciones o de la simple retórica. Particular importancia tiene para el supuesto planteado la STC 34/1984, que parte de la afirmación de que «la legislación laboral, desarrollando y aplicando el art. 14 C.E., ha establecido en el art. 4.2 c) E.T. y en el 17 de igual norma la prohibición de discriminación entre trabajadores por una serie de factores que cita, pero, según general opinión, no ha ordenado la existencia de una igualdad de trato en sentido absoluto». En lo que aquí importa, la STC 34/1984 concluye que la «desviación de la carga de la prueba -o, como ha señalado la doctrina-, la presunción del carácter discriminatorio opera sólo cuando nos movemos en el ámbito de actuación del principio de igualdad. Al trabajador corresponde probar que está en juego el factor que determina la igualdad y que el principio que la consagra ha sido vulnerado, y en tal supuesto -porque existe, por ejemplo, una diferencia vinculada al sexo, afiliación sindical, etc.-, es cuando el empresario deberá destruir la presunción probando que existe una causa justificadora suficiente». [F.J. 3]</w:t>
      </w:r>
    </w:p>
    <w:p w:rsidR="008107C7" w:rsidRDefault="008107C7" w:rsidP="008107C7">
      <w:pPr>
        <w:pStyle w:val="Extracto"/>
      </w:pPr>
    </w:p>
    <w:p w:rsidR="008107C7" w:rsidRDefault="008107C7" w:rsidP="008107C7">
      <w:pPr>
        <w:pStyle w:val="Extracto"/>
      </w:pPr>
      <w:r>
        <w:t>2.</w:t>
      </w:r>
      <w:r>
        <w:tab/>
        <w:t xml:space="preserve">La trabajadora no sólo aportó hechos que permitían deducir la existencia de un indicio o apariencia de discriminación, sino que tales hechos fueron declarados probados por los órganos judiciales. A la vista de lo cual, la doctrina de este Tribunal exigía hacer recaer en la empresa la prueba de que el trato salarial recibido por la actora respondía a razones empresariales objetivas, ajenas a su condición de representante de los trabajadores en representación de un sindicato y, muy singularmente, a todas las peripecias de la trabajadora en la empresa que acaban de ser recordadas. Era obligado, en consecuencia, hacer transparentes los criterios salariales utilizados, acreditando la existencia de razones objetivas y razonables que justificaran suficientemente el trato dado por la empresa a la trabajadora. O, en otros términos, que, aunque la actora no reuniera las condiciones citadas ni </w:t>
      </w:r>
      <w:r>
        <w:lastRenderedPageBreak/>
        <w:t>hubiera tenido que pasar por las peripecias relatadas, el trato salarial por ella recibido habría sido verosímilmente el mismo, por existir las razones objetivas que hubieran justificado suficientemente dicho trato. Esto es lo que tenía que haber explicitado y probado la empresa, sin que, como hace notar el Ministerio Fiscal, pudiera limitarse a recabar para sí la libertad en la fijación de las retribuciones y a insistir en que la actora percibía más salario que otros trabajadores de su mismo grupo y más que lo establecido en el Convenio Colectivo aplicable . [F.J. 4]</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3.475/94, interpuesto por doña Sofía Fernández Mancera, representada por la Procuradora de los Tribunales doña María José Millán Valero y asistida por el Letrado don Luis Suárez Machota, contra la Sentencia de la Sala de lo Social del Tribunal Superior de Justicia de Madrid de 21 de septiembre de 1993, revocatoria de la Sentencia del Juzgado de lo Social núm. 3 de Madrid de 28 de marzo de 1992, en procedimiento de reclamación de cantidad, y contra el Auto de la Sala de lo Social del Tribunal Supremo de 12 de julio de 1994, que inadmite el recurso de casación para la unificación de doctrina interpuesto contra la Sentencia del Tribunal Superior de Justicia. Han comparecido la empresa "Merck Sharp («BOE» núm. 121, de 21 de mayo de 1997) Dohme de España, S.A.", representada por la Procuradora de los Tribunales doña María del Pilar de los Santos Holgado y asistida por el Letrado don August Torà Barnadas, y el Ministerio Fiscal. Ha sido Ponente el Presidente don Alvaro Rodríguez Bereijo,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Por escrito registrado en este Tribunal el 29 de octubre de 1994, la representación procesal de doña Sofía Fernández Macera interpuso el recurso de amparo del que se ha hecho mención en el encabezamiento.</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La demanda de amparo se basa, en síntesis, en los siguientes hechos: </w:t>
      </w:r>
    </w:p>
    <w:p w:rsidR="008107C7" w:rsidRDefault="008107C7" w:rsidP="008107C7">
      <w:pPr>
        <w:pStyle w:val="TextoNormal"/>
      </w:pPr>
      <w:r>
        <w:t xml:space="preserve">a) La demandante de amparo, miembro del Comité de empresa en representación del sindicato Comisiones Obreras (CC.OO.) desde 1986, habiendo sido reelegida en noviembre de 1990, interpuso en su día demanda contra la empresa para la que presta sus servicios, reclamando 378.118 pts. más el importe de los correspondientes intereses. La demanda fue parcialmente estimada por la Sentencia del Juzgado de lo Social núm. 3 de Madrid de 28 de </w:t>
      </w:r>
      <w:r>
        <w:lastRenderedPageBreak/>
        <w:t xml:space="preserve">marzo de 1992, condenando a la empresa demandada a abonar a la actora 378.118 pts. Con anterioridad, la Sentencia del Juzgado de lo Social núm. 8 de Madrid, de 14 de septiembre de 1990, había estimado otra demanda de la actora, declarando su derecho a estar incluida en el grupo profesional III desde el día 21 de marzo de 1989, retrotrayendo así a dicha fecha los efectos de la inclusión en dicha categoría, lo que había tenido lugar en mayo de 1990 como consecuencia de la previa intervención de la Inspección de Trabajo. Las 378.118 pts. a cuyo abono fue condenada la empresa por el Juzgado de lo Social núm. 3 de Madrid correspondían a las diferencias retributivas entre lo percibido por la actora desde aquella fecha hasta el 31 de diciembre de 1990 y el salario "medio" que se percibe en el citado grupo III. A partir del 1 de enero de 1991 la actora tuvo un incremento salarial personal del 14,70 por 100, lo que le fue comunicado por carta de fecha 22 de abril de 1991. La Sentencia del Juzgado de lo Social núm. 18 de Madrid de 27 de febrero de 1992 estimó (parcialmente) otra demanda de la actora, que había sido interpuesta el 7 de febrero de 1991, ordenando a la empresa reponerla en su anterior puesto de trabajo y el cese inmediato del comportamiento antisindical y de la discriminación sufrida, fijando en 400.000 pts. la cantidad a abonar a la actora en concepto de indemnización por los daños causados. No consta la firmeza de esta Sentencia. </w:t>
      </w:r>
    </w:p>
    <w:p w:rsidR="008107C7" w:rsidRDefault="008107C7" w:rsidP="008107C7">
      <w:pPr>
        <w:pStyle w:val="TextoNormal"/>
      </w:pPr>
      <w:r>
        <w:t xml:space="preserve">La Sentencia del Juzgado de lo Social núm. 3 de Madrid, de 28 de marzo de 1992, condena a la empresa a abonar a la actora la cantidad de 378.118 pts. por entender que ésta ha sido discriminada. Partiendo de que las diferencias salariales no atentan en principio contra el principio de igualdad, salvo que respondan a razones discriminatorias (arts. 14 C.E. y 17, 26 y 28 E.T.), el Juzgado de lo Social acepta que en la empresa existan distintos niveles salariales -unos mayores, otros menores- dentro del mismo grupo, cuando en todos los casos se superan los mínimos legales o convencionales, pues de esta forma se pueden retribuir de modo singular las características personales de cada trabajador atendiendo a criterios como la productividad, asiduidad, responsabilidad, dedicación, exclusividad, etc. Pero ocurre que en el caso enjuiciado el Juzgado de lo Social aprecia una "actitud discriminatoria" de la empresa hacia la actora. Actitud que se revela en la condena de la empresa por comportamiento antisindical y discriminatorio por el Juzgado de lo Social núm. 18 de Madrid (con independencia de la firmeza de la Sentencia) y que se corrobora, en primer lugar, por la existencia de una dilatada controversia entre las partes por la adecuada clasificación profesional de la actora (grupo II o grupo III), siendo ésta la unica trabajadora que ha tenido que reclamar judicialmente el ascenso, lo que no ha ocurrido con ningun otro trabajador de la empresa; en segundo término, por una relación conflictiva que ha merecido actuaciones específicas del comité de empresa, que se ha reunido numerosas veces con la empresa para tratar el caso de la actora; en tercer lugar, por ser ésta miembro sindical activo; y, en fin, por el hecho de que los propios actos de la empresa demandada, concediendo a la actora "de modo inopinado" una subida personal del 14,70 por 100, cuando la subida general fue del 7,5 por 100 para el año 1991, suponen un reconocimiento de la anterior "situación anómala" de la demandante. De todo ello infiere el Juzgado de lo Social que "la razón jurídica asiste a la actora", toda vez que la diferencia salarial por ella soportada no tenía causa o motivo lícito, que la empresa "debió probar", lo que no ha hecho en el proceso, acreditando que la retribución específica de la actora obedecía a criterios razonables y objetivos. Para el Juzgado no es suficiente alegar y probar que otros trabajadores del mismo grupo recibían igualmente retribuciones inferiores al salario "medio". El Juzgado entiende que, aun cuando en la empresa no existe este concepto de salario "medio" en tanto que tal, es aceptable el proceder de la actora de reclamar no ser retribuida en menor medida que la media del grupo, lo que es el resultado aritmético de computar los salarios percibidos por todos los miembros </w:t>
      </w:r>
      <w:r>
        <w:lastRenderedPageBreak/>
        <w:t xml:space="preserve">del grupo. A falta de otro criterio, "no ofrecido tampoco por la empresa", el Juzgado declara que el citado "se muestra como el único capaz de restablecer a la actora en (la) igualdad en relación con el resto de sus compañeros de trabajo", por efecto de los arts. 14 C.E. y 17 E.T., "sin que al socaire de estas normas pretenda alcanzar el nivel retributivo superior, mostrando un ejercicio ‘civiliter’ de su derecho (arts. 20.2 E.T. y 7.1 C.C.)". </w:t>
      </w:r>
    </w:p>
    <w:p w:rsidR="008107C7" w:rsidRDefault="008107C7" w:rsidP="008107C7">
      <w:pPr>
        <w:pStyle w:val="TextoNormal"/>
      </w:pPr>
      <w:r>
        <w:t xml:space="preserve">b) Recurrida en suplicación por la empresa demandada la Sentencia del Juzgado de lo Social núm. 3 de Madrid de 28 de marzo de 1992, el recurso fue estimado por la Sentencia de la Sala de lo Social del Tribunal Superior de Justicia de Madrid de 21 de septiembre de 1993, en base a las siguientes "consideraciones jurídicas". En primer lugar, para el Tribunal Superior de Justicia "resulta difícil admitir ánimo persecutorio o discriminatorio de la empresa respecto a la actora, cuando consta que percibía más que otros compañeros de su misma categoría profesional y, desde luego, cantidad superior a la que correspondía conforme a su respectivo Convenio Colectivo". En segundo lugar, la pretensión de la actora de que se le asigne un salario "medio" implicaría "alterar arbitrariamente el sistema retributivo tradicionalmente establecido y respetado" en la empresa, "como lo evidencia que la demandante cobra más que unos y menos que otros de idéntica categoría y funciones". En tercer lugar, "la circunstancia de que exista litigio pendiente entre las partes respecto a posible atentado a la libertad sindical, no debe en modo alguno incidir en una cuestión puramente salarial, que es la aquí controvertida, aparte de que aún no se ha resuelto por Sentencia firme". Finalmente, el Tribunal Superior de Justicia declara que el principio de igualdad (art. 14 C.E.) "no impone igualdad de remuneración para idéntica categoría y funciones, sino que, en aras del principio de organización empresarial, permite imponer desigualdades retributivas, siempre que se respeten las cantidades mínimas legales o convencionales y obedezca a móviles puramente empresariales de premiar o incentivar determinados valores laborales (responsabilidad, asiduidad, lealtad, disciplina, etc.), pues lo contrario implicaría conducir no sólo a situaciones de apatía y desmoralización de la plantilla, sino que se incurriría en la notoria injusticia social distributiva de que obtuvieran idéntico salario trabajadores de distinto rendimiento y actitud respecto a la producción". </w:t>
      </w:r>
    </w:p>
    <w:p w:rsidR="008107C7" w:rsidRDefault="008107C7" w:rsidP="008107C7">
      <w:pPr>
        <w:pStyle w:val="TextoNormal"/>
      </w:pPr>
      <w:r>
        <w:t>c) Interpuesto por la actora recurso de casación para la unificación de doctrina contra la Sentencia del Tribunal Superior de Justicia, el recurso fue inadmitido por Auto de la Sala de lo Social del Tribunal Supremo de 12 de julio de 1994. La Sala entiende que la Sentencia de contraste aportada "no puede calificarse de contradictoria" con la Sentencia impugnada, al no concurrir la exigencia de igualdad sustancial de las pretensiones (art. 216 -actual 217- L.P.L.).</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La demanda de amparo afirma que la Sentencia de la Sala de lo Social del Tribunal Superior de Justicia de Madrid de 21 de septiembre de 1993 infringe el derecho de igualdad y no discriminación del art. 14 C.E., en relación con el art. 28 C.E. </w:t>
      </w:r>
    </w:p>
    <w:p w:rsidR="008107C7" w:rsidRDefault="008107C7" w:rsidP="008107C7">
      <w:pPr>
        <w:pStyle w:val="TextoNormal"/>
      </w:pPr>
      <w:r>
        <w:t xml:space="preserve">De los hechos declarados probados, la demanda deduce que la menor retribución de la demandante respecto a la media de su grupo profesional, no sólo en el momento al que se refiere la demanda inicialmente deducida ante el Juzgado de lo Social, sino a lo largo de su paso por los grupos profesionales II y III, se debe a su activismo sindical en tanto que representante de los trabajadores. La demandante proporcionó suficientes indicios de la actitud discriminatoria, por lo que correspondía y era exigible a la empresa la carga de probar la racionalidad y objetividad de la conducta empresarial. Sin embargo, el Tribunal Superior de Justicia impone la carga de la prueba de la discriminación a la trabajadora miembro del comité de empresa, lo que contradice la doctrina del Tribunal Constitucional, infringiéndose así el art. 14 C.E. Según se declara en los hechos probados, la actora es miembro del comité </w:t>
      </w:r>
      <w:r>
        <w:lastRenderedPageBreak/>
        <w:t xml:space="preserve">de empresa en representación de CC.OO. desde 1986, cobra menos que la media de sus compañeros de categoría, es la única de sus compañeros que para obtener el ascenso al grupo II y después al grupo III se ha visto obligada a demandar a la empresa, lo que no ha ocurrido en ningún otro caso, y, en fin, en el proceso de tutela de los derechos fundamentales promovido contra la empresa en el Juzgado de lo Social núm. 18 de Madrid, la demanda ha sido estimada por la Sentencia de 27 de febrero de 1992, Sentencia ésta que, si bien no era firme cuando se dictaron las Sentencias del Juzgado de lo Social núm. 3 de Madrid, de 28 de marzo de 1992, y de la Sala de lo Social del Tribunal Superior de Justicia de Madrid, de 21 de septiembre de 1993, ha sido ratificada posteriormente por la Sala de lo Social del Tribunal Superior de Justicia de Madrid. Los enunciados son indicios suficientes de discriminación, por lo que, como se decía en la Sentencia de instancia, correspondía a la empresa acreditar que la diferencia salarial obedecía a motivos lícitos, objetivos y razonables. No entendiéndolo así, la Sentencia del Tribunal Superior de Justicia impugnada en amparo ha lesionado la doctrina del Tribunal Constitucional respecto a la distribución de la carga de la prueba en estos supuestos. </w:t>
      </w:r>
    </w:p>
    <w:p w:rsidR="008107C7" w:rsidRDefault="008107C7" w:rsidP="008107C7">
      <w:pPr>
        <w:pStyle w:val="TextoNormal"/>
      </w:pPr>
      <w:r>
        <w:t>Se solicita la revocación de la Sentencia de la Sala de lo Social del Tribunal Superior de Justicia de Madrid de 21 de septiembre de 1993 y, en consecuencia, del Auto de la Sala de lo Social del Tribunal Supremo de 12 de julio de 1994, ratificando así la Sentencia del Juzgado de lo Social núm. 3 de Madrid de 28 de marzo de 1992.</w:t>
      </w:r>
    </w:p>
    <w:p w:rsidR="008107C7" w:rsidRDefault="008107C7" w:rsidP="008107C7">
      <w:pPr>
        <w:pStyle w:val="TextoNormal"/>
      </w:pPr>
    </w:p>
    <w:p w:rsidR="008107C7" w:rsidRDefault="008107C7" w:rsidP="008107C7">
      <w:pPr>
        <w:pStyle w:val="TextoNormal"/>
      </w:pPr>
      <w:r w:rsidRPr="008107C7">
        <w:rPr>
          <w:rStyle w:val="NumeroAFNegritaCaracter"/>
        </w:rPr>
        <w:t>4</w:t>
      </w:r>
      <w:r>
        <w:t>. Por providencia de 28 de noviembre de 1994, la Sección Primera de este Tribunal acuerda admitir a trámite la demanda de amparo y, de conformidad con lo dispuesto por el art. 51 LOTC, requerir atentamente a la Sala de lo Social del Tribunal Supremo, a la Sala de lo Social del Tribunal Superior de Justicia de Madrid y al Juzgado de lo Social núm. 3 de Madrid para que en el plazo de diez días remitan, respectivamente, testimonio del recurso de unificación de doctrina núm. 3.233/93, del recurso de suplicación núm. 2.477/92 y de los autos núm. 198/91, interesándose al propio tiempo el emplazamiento de quienes fueron parte en el procedimiento judicial, con excepción de la recurrente en amparo, para que en el plazo de diez días puedan comparecerer en este proceso constitucional.</w:t>
      </w:r>
    </w:p>
    <w:p w:rsidR="008107C7" w:rsidRDefault="008107C7" w:rsidP="008107C7">
      <w:pPr>
        <w:pStyle w:val="TextoNormal"/>
      </w:pPr>
    </w:p>
    <w:p w:rsidR="008107C7" w:rsidRDefault="008107C7" w:rsidP="008107C7">
      <w:pPr>
        <w:pStyle w:val="TextoNormal"/>
      </w:pPr>
      <w:r w:rsidRPr="008107C7">
        <w:rPr>
          <w:rStyle w:val="NumeroAFNegritaCaracter"/>
        </w:rPr>
        <w:t>5</w:t>
      </w:r>
      <w:r>
        <w:t>. Tras recibirse las actuaciones requeridas y el escrito de personación de la Procuradora de los Tribunales doña María del Pilar de los Santos Holgado, en nombre y representación de la entidad "Merck Sharp («BOE» núm. 121, de 21 de mayo de 1997) Dhome de España, S.A", la Sección, por providencia de 13 de febrero de 1995, acuerda tener por recibidas las actuaciones remitidas y tener por personada a la citada Procuradora y, de conformidad con lo dispuesto por el art. 52 LOTC, dar vista de todas las actuaciones del recurso de amparo, en la Secretaría de la Sala, por un plazo común de veinte días, al Ministerio Fiscal y a las Procuradores Sras. Millán Valero y Santos Holgado, para que, dentro de dicho término, formulen las alegaciones que a su derecho convengan.</w:t>
      </w:r>
    </w:p>
    <w:p w:rsidR="008107C7" w:rsidRDefault="008107C7" w:rsidP="008107C7">
      <w:pPr>
        <w:pStyle w:val="TextoNormal"/>
      </w:pPr>
    </w:p>
    <w:p w:rsidR="008107C7" w:rsidRDefault="008107C7" w:rsidP="008107C7">
      <w:pPr>
        <w:pStyle w:val="TextoNormal"/>
      </w:pPr>
      <w:r w:rsidRPr="008107C7">
        <w:rPr>
          <w:rStyle w:val="NumeroAFNegritaCaracter"/>
        </w:rPr>
        <w:t>6</w:t>
      </w:r>
      <w:r>
        <w:t>. La representación de la recurrente presenta su escrito de alegaciones el 10 de marzo de 1995, ratificando íntegramente la demanda de amparo.</w:t>
      </w:r>
    </w:p>
    <w:p w:rsidR="008107C7" w:rsidRDefault="008107C7" w:rsidP="008107C7">
      <w:pPr>
        <w:pStyle w:val="TextoNormal"/>
      </w:pPr>
    </w:p>
    <w:p w:rsidR="008107C7" w:rsidRDefault="008107C7" w:rsidP="008107C7">
      <w:pPr>
        <w:pStyle w:val="TextoNormal"/>
      </w:pPr>
      <w:r w:rsidRPr="008107C7">
        <w:rPr>
          <w:rStyle w:val="NumeroAFNegritaCaracter"/>
        </w:rPr>
        <w:t>7</w:t>
      </w:r>
      <w:r>
        <w:t xml:space="preserve">. El 10 de marzo de 1995 se registra el escrito de alegaciones de la representación procesal de la entidad "Merck Sharp («BOE» núm. 121, de 21 de mayo de 1997) Dhome de España, S.A". </w:t>
      </w:r>
    </w:p>
    <w:p w:rsidR="008107C7" w:rsidRDefault="008107C7" w:rsidP="008107C7">
      <w:pPr>
        <w:pStyle w:val="TextoNormal"/>
      </w:pPr>
      <w:r>
        <w:lastRenderedPageBreak/>
        <w:t xml:space="preserve">El escrito comienza por rechazar que en la demanda por reclamación de cantidad que se halla en el origen de este proceso constitucional se alegara discriminación salarial, por lo que se quiebra lo dispuesto en el art. 44.1 c) LOTC. Si se deduce una simple reclamación salarial, no puede posteriormente convertirse en un problema de discriminación salarial, pues se causaría indefensión a la empresa demandada. En todo caso, la Sentencia del Tribunal Superior de Justicia declara que queda acreditado que la demandante percibía más que otros compañeros de su misma categoría profesional, por lo que no se alcanza a comprender en qué medida se han vulnerado los preceptos constitucionales invocados. Y el Tribunal Constitucional ha de partir necesariamente de los hechos declarados probados [art. 44.1 b) LOTC]. De otra parte, la aducida vulneración del art. 28 C.E. es un problema nuevo que no ha sido debatido en las anteriores instancias. También rechaza el escrito que el Tribunal Superior de Justicia no haya respetado la doctrina del Tribunal Constitucional sobre la distribución de la carga de la prueba en supuestos en los que se alega discriminación. De conformidad con esta doctrina, para que opere la inversión de la carga de la prueba es indispensable que quien alege discriminación aporte indicios de la existencia de la misma. Pues bien, en la demanda inicial no se proporciona indicio alguno. La empresa demandada podía haber alegado indefensión al verse envuelta en una demanda de discriminación salarial cuando se la demandaba por diferencias salariales. Pero, aun así, aporta pruebas que acreditan que a la actora se la retribuye de la misma forma que al resto de los integrantes de su grupo profesional. Pruebas que resultan tan convincentes que el Tribunal Superior de Justicia revoca la Sentencia de instancia al apreciar que la demandante cobra más que otros compañeros de su grupo. Por tanto, aun en el negado caso de que tuviera que operar la inversión de la carga de la prueba, ha quedado acreditado que la demandante es retribuida conforme a criterios no discriminatorios. Es sorprendente la solución que propone la recurrente en su escrito de demanda inicial de ser retribuida conforme al salario "medio" de su grupo profesional, pues no se alega norma legal o pactada que ampare esa pretensión. Los salarios los fija el mercado; si existe exceso de mano de obra para un determinado trabajo los salarios bajan, respetando los mínimos del convenio; si, por el contrario, existe escasez, los salarios suben. En el grupo profesional III, al que pertenece la actora, conviven funciones muy variadas. Y, al calcular el promedio aritmético del que extrae el salario "medio", la trabajadora incluye en un mismo concepto funciones que son muy diferentes y tienen otros criterios de remuneración. Además, como acertadamente señala el Tribunal Superior de Justicia, la pretensión de que se le asigne un salario "medio" implica "alterar arbitrariamente el sistema retributivo tradicionalmente establecido y respetado en (la) empresa, como lo evidencia que la demandante cobra más que unos y menos que otros de idéntica categoría y funciones". La trabajadora calcula un salario "medio" con personas de idéntica categoría pero de distintas funciones. Por lo demás, el llamado salario "medio" está sujeto a todo tipo de incidencias, pues si se incentiva a un determinado colectivo, ese salario sube y si, por el contrario, deja de incentivársele, el salario baja. El salario de la trabajadora se hallaría sujeto a revisión constante, con las dudas que pueden surgir si en un determinado ejercicio el salario "medio" baja. Se hace referencia en el escrito, finalmente, a la STC 34/1984. </w:t>
      </w:r>
    </w:p>
    <w:p w:rsidR="008107C7" w:rsidRDefault="008107C7" w:rsidP="008107C7">
      <w:pPr>
        <w:pStyle w:val="TextoNormal"/>
      </w:pPr>
      <w:r>
        <w:t>Se solicita la denegación del amparo solicitado y, asimismo, en virtud del art. 89 LOTC, el recibimiento a prueba para que se oficie al Juzgado de lo Social núm. 3 de Madrid la aportación de testimonio del escrito de la demanda inicial de los autos 198/91, por si no estuviera aportado al presente recurso de amparo.</w:t>
      </w:r>
    </w:p>
    <w:p w:rsidR="008107C7" w:rsidRDefault="008107C7" w:rsidP="008107C7">
      <w:pPr>
        <w:pStyle w:val="TextoNormal"/>
      </w:pPr>
    </w:p>
    <w:p w:rsidR="008107C7" w:rsidRDefault="008107C7" w:rsidP="008107C7">
      <w:pPr>
        <w:pStyle w:val="TextoNormal"/>
      </w:pPr>
      <w:r w:rsidRPr="008107C7">
        <w:rPr>
          <w:rStyle w:val="NumeroAFNegritaCaracter"/>
        </w:rPr>
        <w:t>8</w:t>
      </w:r>
      <w:r>
        <w:t xml:space="preserve">. El día 13 de marzo de 1995 se registra el escrito de alegaciones del Ministerio Fiscal. </w:t>
      </w:r>
    </w:p>
    <w:p w:rsidR="008107C7" w:rsidRDefault="008107C7" w:rsidP="008107C7">
      <w:pPr>
        <w:pStyle w:val="TextoNormal"/>
      </w:pPr>
      <w:r>
        <w:lastRenderedPageBreak/>
        <w:t xml:space="preserve">Tras relatar los antecedentes del caso, el escrito delimita el objeto del recurso de amparo, en el sentido de que la demanda aduce que la actora alegó con razonable fundamento la dicriminación sufrida y, sin embargo, la empresa no probó que las diferencias salariales se debían a móviles ajenos a esa discriminación, por lo que es preciso reconocer el carácter discriminatorio de tales diferencias, declarar la lesión del derecho fundamental reconocido en el art. 14 C.E. y el derecho al pago de la cantidad reclamada. Con cita de la STC 293/1993, que describiría el entorno en que debe desenvolverse la interpretación de cualquier alegato sobre discriminación, y de la STC 34/1984, el escrito recuerda que la trabajadora invocó como indicios de la discriminación padecida: su condición de miembro del comité de empresa; que cobra menos que la media de sus compañeros; tener entablado en otro Juzgado de lo Social litigio por lesión de su derecho a la libertad sindical, al parecer terminado con Sentencia a su favor; y, en fin, que es la única de sus compañeros que para obtener su clasificación en otro grupo se ha visto obligada a demandar a la empresa. De tales afirmaciones, la única que puede constituir razonable sospecha, apariencia o presunción de discriminación es la última, pues las demás se encuentran neutralizadas por el propio funcionamiento de la empresa y las diferencias de trato entre todos los trabajadores, sin que la existencia de otro litigio, cuya causa concreta se desconoce, pueda, en principio, servir de indicio bastante. En todo caso, con lo dicho por la actora, en su conjunto, se hace necesaria la prueba por la empresa de que las diferencias retributivas responden a fines distintos de los puramente discriminatorios. Es verdad que está asimismo acreditado: que la recurrente percibía más que otros compañeros de su misma categoría profesional y, desde luego, cantidad superior a la que correspondía por convenio colectivo; y que no existe en la empresa el concepto de salario "medio" de cada grupo y que los trabajadores no pueden por ello reclamarlo, ya que cobran más de lo que exige el convenio y cobran cantidades distintas dentro de cada grupo. Ahora bien, ante la condición sindical de la actora, los conflictos existentes por motivos discriminatorios y la clasificación laboral de la trabajadora conseguida judicialmente, lo que no ocurrió con otros trabajadores, la empresa estaba obligada a probar que existían otros motivos determinantes de la retribución asignada a la actora. Y esto no ha quedado acreditado. La empresa no alega razones de eficiencia en el trabajo u otras que expliquen la retribución de la reclamante. Tampoco aporta la empresa líneas generales que justifiquen la diferencia de trato entre los trabajadores y que sirvan para fijar sus retribuciones, ajenas a las puramente discriminatorias, sino que se limita a recabar para sí la libertad en la fijación de las retribuciones y a insistir en que la actora percibía más que otros trabajadores y más de lo que establecía el convenio colectivo. Con ello la empresa no despeja las dudas sobre discriminación introducidas por la trabajadora y, en consecuencia, es obligado declarar la existencia de esta discriminación, de conformidad con la doctrina del Tribunal Constitucional. </w:t>
      </w:r>
    </w:p>
    <w:p w:rsidR="008107C7" w:rsidRDefault="008107C7" w:rsidP="008107C7">
      <w:pPr>
        <w:pStyle w:val="TextoNormal"/>
      </w:pPr>
      <w:r>
        <w:t>Se solicita, en consecuencia, la estimación del recurso de amparo.</w:t>
      </w:r>
    </w:p>
    <w:p w:rsidR="008107C7" w:rsidRDefault="008107C7" w:rsidP="008107C7">
      <w:pPr>
        <w:pStyle w:val="TextoNormal"/>
      </w:pPr>
    </w:p>
    <w:p w:rsidR="008107C7" w:rsidRDefault="008107C7" w:rsidP="008107C7">
      <w:pPr>
        <w:pStyle w:val="TextoNormal"/>
      </w:pPr>
      <w:r w:rsidRPr="008107C7">
        <w:rPr>
          <w:rStyle w:val="NumeroAFNegritaCaracter"/>
        </w:rPr>
        <w:t>9</w:t>
      </w:r>
      <w:r>
        <w:t>. Por providencia de 27 de marzo de 1995, la Sección acuerda tener por recibidos los escritos de alegaciones del Ministerio Fiscal y de las Procuradoras Sras. Millán Valero y Santos Holgado, quedar conclusos los autos y pendientes de señalamiento de día para votación y deliberación cuando por turno corresponda y no haber lugar al recibimiento a prueba solicitado por la Procuradora Sra. Santos Holgado porque, como ha podido comprobar en la instrucción de los testimonios de actuaciones que le fueron puestos de manifiesto por la providencia de 13 de febrero de 1995, aparece unido a los mismos el escrito inicial de la demanda origen de los autos 198/91 del Juzgado de lo Social núm. 3 de Madrid.</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10</w:t>
      </w:r>
      <w:r>
        <w:t>. Por providencia de 21 de abril de 1997 se señaló para deliberación y votación el día 22 de abril del presente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El objeto del presente recurso de amparo consiste en determinar si la Sentencia de la Sala de lo Social del Tribunal Superior de Justicia de Madrid impugnada ha vulnerado o no el derecho a la igualdad y no discriminación de la demandante (art.  14 C.E.), en relación con su derecho a la libertad sindical (art.  28.1 C.E.). Es verdad que la demanda solicita, además, la declaración de nulidad del Auto de la Sala de lo Social del Tribunal Supremo que inadmitió el recurso de casación para la unificación de doctrina interpuesto contra la Sentencia del Tribunal Superior de Justicia. Pero, desde la perspectiva de los derechos reconocidos en los preceptos constitucionales citados, ningún reproche cabe formular contra este Auto, toda vez que se limita a inadmitir el recurso por no apreciar contradicción entre esta Sentencia y la aportada como Sentencia de contraste, al no ser sustancialmente iguales las pretensiones deducidas en uno y otro caso (art. 217 L.P.L. hoy vigente). Hay que rechazar, en consecuencia, que el Auto dictado por la Sala de lo Social del Tribunal Supremo haya lesionado el derecho a la igualdad y no discriminación de la demandante de amparo (art. 14 C.E.), en relación con su derecho a la libertad sindical (art. 28.1 C.E.).</w:t>
      </w:r>
    </w:p>
    <w:p w:rsidR="008107C7" w:rsidRDefault="008107C7" w:rsidP="008107C7">
      <w:pPr>
        <w:pStyle w:val="TextoNormal"/>
      </w:pPr>
      <w:r>
        <w:t>Como se describe con mayor detalle en el apartado segundo de los antecedentes, la recurrente, miembro del comité de empresa en representación del sindicato Comisiones Obreras (CC.OO.)  desde 1986, interpuso en su día demanda salarial contra la empresa para la que presta sus servicios, reclamando 378.118 pts.  más el importe de los correspondientes intereses. La demanda fue parcialmente estimada por la Sentencia del Juzgado de lo Social núm. 3 de Madrid de 28 de marzo de 1992, condenado a la empresa demandada a abonar a la actora 378.118 pts. Con anterioridad, el Juzgado de lo Social núm. 8 de Madrid había estimado otra demanda de la actora, declarando su derecho a estar incluida en el grupo profesional III desde el día 21 de marzo de 1989, retrotrayendo así a dicha fecha los efectos de la inclusión en dicha categoría, lo que había tenido lugar en mayo de 1990 como consecuencia de la previa intervención de la Inspección de Trabajo. Las 378.118 pts.  a cuyo abono fue condenada la empresa por el Juzgado de lo Social núm. 3 de Madrid correspondían a las diferencias retributivas entre lo percibido por la actora desde aquella fecha hasta el 31 de diciembre de 1990 y el salario "medio" que se percibe en el citado grupo III. La Sentencia del Juzgado de lo Social núm. 3 de Madrid condena a la empresa a abonar la cantidad citada por entender que la actora ha sido discriminada. El órgano judicial declara que el trato salarial dado a la trabajadora no responde a criterios razonables y objetivos, toda vez que, a la vista de los hechos probados [apartado 2 a) de los Antecedentes], la empresa debió acreditar -lo que no hizo- que dicho trato salarial se ajustaba a estos criterios. Pero el Tribunal Superior de Justicia revocó esta Sentencia por estimar, con base en las razones que se recogen en los antecedentes [apartado 2 b) de los antecedentes], que el trato salarial dado a la demandante no era discriminatorio.</w:t>
      </w:r>
    </w:p>
    <w:p w:rsidR="008107C7" w:rsidRDefault="008107C7" w:rsidP="008107C7">
      <w:pPr>
        <w:pStyle w:val="TextoNormal"/>
      </w:pPr>
    </w:p>
    <w:p w:rsidR="008107C7" w:rsidRDefault="008107C7" w:rsidP="008107C7">
      <w:pPr>
        <w:pStyle w:val="TextoNormal"/>
      </w:pPr>
      <w:r w:rsidRPr="008107C7">
        <w:rPr>
          <w:rStyle w:val="NumeroAFNegritaCaracter"/>
        </w:rPr>
        <w:t>2</w:t>
      </w:r>
      <w:r>
        <w:t>. La demanda imputa a la Sentencia del Tribunal Superior de Justicia la lesión del derecho a la igualdad y no discriminación de la recurrente (art. 14 C.E.), en relación con su derecho a la libertad sindical (art. 28.1 C.E.).</w:t>
      </w:r>
    </w:p>
    <w:p w:rsidR="008107C7" w:rsidRDefault="008107C7" w:rsidP="008107C7">
      <w:pPr>
        <w:pStyle w:val="TextoNormal"/>
      </w:pPr>
      <w:r>
        <w:lastRenderedPageBreak/>
        <w:t>Pero, con carácter previo, hay que examinar si la demanda de amparo cumple con el requisito de la previa invocación de los derechos [art. 44.1 c) LOTC] que la empresa demandada considera incumplido.</w:t>
      </w:r>
    </w:p>
    <w:p w:rsidR="008107C7" w:rsidRDefault="008107C7" w:rsidP="008107C7">
      <w:pPr>
        <w:pStyle w:val="TextoNormal"/>
      </w:pPr>
      <w:r>
        <w:t>Sin embargo, tal objeción no puede ser admitida. Como se desprende de las actuaciones, en el propio acto del juicio la demandante invocó el art. 14 C.E.  y tachó de discriminatorio el trato salarial recibido, aduciendo su actividad sindical. Debe recordarse, por lo demás, que no es requisito de la demanda laboral expresar los fundamentos jurídicos de la pretensión formulada (art.  80.1 L.P.L.). Así pues, desde el primer momento el debate se centró en si el trato salarial recibido por la actora era o no discriminatorio, alegándose en este sentido por ambas partes en el acto del juicio, a favor y en contra respectivamente de la discriminación denunciada, constituyendo lógicamente esta denuncia el objeto del enjuiciamiento realizado por el Juzgado de lo Social, primero, y por el Tribunal Superior de Justicia, después. En todo caso, y sea como fuere, la empresa demandada y ahora recurrida pudo alegar y probar en todo momento respecto a la discriminación aducida por la trabajadora.</w:t>
      </w:r>
    </w:p>
    <w:p w:rsidR="008107C7" w:rsidRDefault="008107C7" w:rsidP="008107C7">
      <w:pPr>
        <w:pStyle w:val="TextoNormal"/>
      </w:pPr>
    </w:p>
    <w:p w:rsidR="008107C7" w:rsidRDefault="008107C7" w:rsidP="008107C7">
      <w:pPr>
        <w:pStyle w:val="TextoNormal"/>
      </w:pPr>
      <w:r w:rsidRPr="008107C7">
        <w:rPr>
          <w:rStyle w:val="NumeroAFNegritaCaracter"/>
        </w:rPr>
        <w:t>3</w:t>
      </w:r>
      <w:r>
        <w:t>. La demanda de amparo alega que la Sentencia del Tribunal Superior de Justicia impugnada no se ajusta a la doctrina de este Tribunal sobre la distribución de la carga de la prueba en los supuestos de medidas y decisiones empresariales consideradas discriminatorias o lesivas de cualesquiera otros de los derechos fundamentales del trabajador. Esta posición es compartida por el Ministerio Fiscal, que solicita asímismo la estimación del amparo. Y no lo es, lógicamente, por la empresa que aquí comparece como parte.</w:t>
      </w:r>
    </w:p>
    <w:p w:rsidR="008107C7" w:rsidRDefault="008107C7" w:rsidP="008107C7">
      <w:pPr>
        <w:pStyle w:val="TextoNormal"/>
      </w:pPr>
      <w:r>
        <w:t>Hemos de partir, pues, de la doctrina de este Tribunal sobre la cuestión planteada.</w:t>
      </w:r>
    </w:p>
    <w:p w:rsidR="008107C7" w:rsidRDefault="008107C7" w:rsidP="008107C7">
      <w:pPr>
        <w:pStyle w:val="TextoNormal"/>
      </w:pPr>
      <w:r>
        <w:t>Como sintetiza la STC 293/1993, citada tanto por el Ministerio Fiscal como por la empresa recurrida, desde la STC 38/1981 -que también invoca- "este Tribunal ha resaltado la importancia de las reglas de distribución de la carga de la prueba para la efectividad de la tutela antidiscriminatoria por razones sindicales, señalando que cuando se alegue que determinada decisión encubre en realidad una conducta lesiva de derechos fundamentales del afectado, incumbe al autor de la medida probar que obedece a motivos razonables y ajenos a todo propósito atentatorio a un derecho fundamental. Pero para que opere este desplazamiento al demandado del onus probandi no basta que el actor la tilde de discriminatoria, sino que ha de acreditar la existencia de indicios que generen una razonable sospecha, apariencia o presunción en favor de semejante alegato y, presente esta prueba indiciaria, el demandado asume la carga de probar que los hechos motivadores de la decisión son legítimos o, aun sin justificar su licitud, se presentan razonablemente ajenos a todo móvil atentario de derechos fundamentales; no se le impone, por tanto, la prueba diabólica de un hecho negativo -la no discriminación-, sino la razonabilidad y proporcionalidad de la medida adoptada y su carácter absolutamente ajeno a todo propósito atentatorio de derechos fundamentales (SSTC 55/1983, 104/1987, 166/1988, 114/1989, 135/1990, 197/1990, 21/1992, 7/1993 y 266/1993)".</w:t>
      </w:r>
    </w:p>
    <w:p w:rsidR="008107C7" w:rsidRDefault="008107C7" w:rsidP="008107C7">
      <w:pPr>
        <w:pStyle w:val="TextoNormal"/>
      </w:pPr>
      <w:r>
        <w:t>Con posterioridad a la STC 293/1993 y a las SSTC por ella citadas, hay que mencionar las SSTC 99/1994, 180/1994, 54/1995, 85/1995, 127/1995, 17/1996, 106/1996, 136/1996 y 198/1996. Son de interés, asimismo, las SSTC 94/1984, 47/1985, 88/1985, 38/1986, 14/1993, 66/1993 y 173/1994.</w:t>
      </w:r>
    </w:p>
    <w:p w:rsidR="008107C7" w:rsidRDefault="008107C7" w:rsidP="008107C7">
      <w:pPr>
        <w:pStyle w:val="TextoNormal"/>
      </w:pPr>
      <w:r>
        <w:t xml:space="preserve">La necesidad de una adecuada distribución de la carga de la prueba tiene su base no sólo en la primacía o el mayor valor de los derechos fundamentales, al que tantas veces hemos hecho referencia, sino también en la dificultad que el trabajador encuentra en probar la causa discriminatoria o lesiva de un derecho fundamental por la decisión empresarial, lo que contribuye a perpetuar situaciones contrarias a la Constitución.  La experiencia enseña que de </w:t>
      </w:r>
      <w:r>
        <w:lastRenderedPageBreak/>
        <w:t>no existir aquella adecuada distribución de la carga de la prueba la interdicción de la discriminación no es efectiva ni real, permaneciendo, podría decirse, en el plano de la mera declaración de buenas intenciones o de la simple retórica.</w:t>
      </w:r>
    </w:p>
    <w:p w:rsidR="008107C7" w:rsidRDefault="008107C7" w:rsidP="008107C7">
      <w:pPr>
        <w:pStyle w:val="TextoNormal"/>
      </w:pPr>
      <w:r>
        <w:t>Particular importancia tiene para el supuesto planteado la STC 34/1984, dictada en un supuesto en que también se denunciaba la incompatibilidad con el art. 14 C.E. de ciertas diferencias salariales y que, sin duda por tal razón, se cita por la Sentencia del Juzgado de lo Social, por la Sentencia del Tribunal Superior de Justicia que revoca la anterior, por la demandante de amparo y, en fin, por el resto de las partes que han comparecido en este proceso.</w:t>
      </w:r>
    </w:p>
    <w:p w:rsidR="008107C7" w:rsidRDefault="008107C7" w:rsidP="008107C7">
      <w:pPr>
        <w:pStyle w:val="TextoNormal"/>
      </w:pPr>
      <w:r>
        <w:t>La STC 34/1984 parte de la afirmación de que "la legislación laboral, desarrollando y aplicando el art. 14 C.E., ha establecido en el art. 4.2 c) E.T. y en el 17 de igual norma la prohibición de discriminación entre trabajadores por una serie de factores que cita, pero, según general opinión, no ha ordenado la existencia de una igualdad de trato en sentido absoluto".  Ello no es sino -prosigue la STC 34/1984- "el resultado de la eficacia del principio de autonomía de la voluntad, que, si bien aparece fuertemente limitado en el Derecho del Trabajo, por virtud, entre otros factores, precisamente del principio de igualdad, no desaparece, dejando un margen en que el acuerdo privado o la decisión unilateral del empresario en ejercicio de sus poderes de organización de la empresa, puede libremente disponer la retribución del trabajador respetando los límites legales o convencionales".  De ahí que las diferencias salariales no posean, por sí sólas, un significado discriminatorio, salvo que incidan "en algunas de las causas prohibidas por la Constitución o el Estatuto de los Trabajadores". Entre otras, las SSTC 58/1995, 105/1992 y 208/1993 han profundizado en el papel de la autonomía individual de la voluntad, pero fundamentalmente desde el ángulo de su articulación y relaciones con la autonomía colectiva.</w:t>
      </w:r>
    </w:p>
    <w:p w:rsidR="008107C7" w:rsidRDefault="008107C7" w:rsidP="008107C7">
      <w:pPr>
        <w:pStyle w:val="TextoNormal"/>
      </w:pPr>
      <w:r>
        <w:t>En lo que aquí importa, la STC 34/1984 concluye que la "desviación de la carga de la prueba -o, como ha señalado la doctrina-, la presunción del carácter discriminatorio opera sólo cuando nos movemos en el ámbito de actuación del principio de igualdad.  Al trabajador corresponde probar que está en juego el factor que determina la igualdad y que el principio que la consagra ha sido vulnerado, y en tal supuesto -porque existe, por ejemplo, una diferencia vinculada al sexo, afiliación sindical, etc.- es cuando el empresario deberá destruir la presunción probando que existe una causa justificadora suficiente".</w:t>
      </w:r>
    </w:p>
    <w:p w:rsidR="008107C7" w:rsidRDefault="008107C7" w:rsidP="008107C7">
      <w:pPr>
        <w:pStyle w:val="TextoNormal"/>
      </w:pPr>
    </w:p>
    <w:p w:rsidR="008107C7" w:rsidRDefault="008107C7" w:rsidP="008107C7">
      <w:pPr>
        <w:pStyle w:val="TextoNormal"/>
      </w:pPr>
      <w:r w:rsidRPr="008107C7">
        <w:rPr>
          <w:rStyle w:val="NumeroAFNegritaCaracter"/>
        </w:rPr>
        <w:t>4</w:t>
      </w:r>
      <w:r>
        <w:t>. La aplicación de la anterior doctrina obliga a examinar si, en el presente caso, la demandante acreditó o no "un principio de prueba revelador de la existencia de un fondo o panorama discriminatorio general o de hechos de los que surja la sospecha vehemente de una discriminación por razones sindicales" (STC 293/1993).</w:t>
      </w:r>
    </w:p>
    <w:p w:rsidR="008107C7" w:rsidRDefault="008107C7" w:rsidP="008107C7">
      <w:pPr>
        <w:pStyle w:val="TextoNormal"/>
      </w:pPr>
      <w:r>
        <w:t xml:space="preserve">La Sentencia del Juzgado de lo Social núm. 3 de Madrid, de 28 de marzo de 1992, no modificada en este extremo -ni siquiera se intentó hacerlo en el correspondiente recurso de suplicación- por la Sentencia del Tribunal Superior de Justicia de Madrid de 21 de septiembre de 1993, declara probados los siguientes hechos: 1º) La condición de miembro del Comité de empresa en representación de CC.OO. que reúne la actora desde 1986, habiendo sido reelegida en noviembre de 1990.  2º) La trabajadora tuvo que reclamar judicialmente su ascenso a los grupos profesionales II y III, lo que no ha ocurrido con ningún otro trabajador de la empresa (la Sentencia del Juzgado de lo Social núm. 8 de Madrid, de 14 de septiembre de 1990, le reconoció el derecho a estar incluida en el grupo profesional III desde el 21 de marzo de 1989, retrotrayendo así a dicha fecha los efectos de la inclusión en dicha categoría, lo que había tenido lugar en mayo de 1990 como consecuencia de la previa intervención de la Inspección de Trabajo). 3º) La actora presentó otra demanda el 7 de febrero </w:t>
      </w:r>
      <w:r>
        <w:lastRenderedPageBreak/>
        <w:t>de 1991 por tutela de su derecho a la libertad sindical, estimada en la instancia (Sentencia del Juzgado de lo Social núm. 18 de Madrid, de 27 de febrero de 1992), sin que conste su firmeza.  4º) Con efectos 1 de enero de 1991, la actora tuvo una subida salarial del 14,70 por 100, que le fue comunicada por la empresa mediante carta de 22 de abril de 1991. 5º) La existencia de numerosas reuniones entre el comité de empresa y la dirección de ésta para tratar acerca de la situación de la actora.</w:t>
      </w:r>
    </w:p>
    <w:p w:rsidR="008107C7" w:rsidRDefault="008107C7" w:rsidP="008107C7">
      <w:pPr>
        <w:pStyle w:val="TextoNormal"/>
      </w:pPr>
      <w:r>
        <w:t>Así pues, la trabajadora no sólo aportó hechos que permitían deducir la existencia de un indicio o apariencia de discriminación, sino que tales hechos fueron declarados probados por los órganos judiciales. A la vista de lo cual, la doctrina de este Tribunal exigía hacer recaer en la empresa la prueba de que el trato salarial recibido por la actora respondía a razones empresariales objetivas, ajenas a su condición de representante de los trabajadores en representación de un sindicato y, muy singularmente, a todas las peripecias de la trabajadora en la empresa que acaban de ser recordadas. Era obligado, en consecuencia, hacer transparentes los criterios salariales utilizados, acreditando la existencia de razones objetivas y razonables que justificaran suficientemente el trato dado por la empresa a la trabajadora. O, en otros términos, que, aunque la actora no reuniera las condiciones citadas ni hubiera tenido que pasar por las peripecias relatadas, el trato salarial por ella recibido habría sido verosímilmente el mismo, por existir las razones objetivas que hubieran justificado suficientemente dicho trato. Esto es lo que tenía que haber explicitado y probado la empresa, sin que, como hace notar el Ministerio Fiscal, pudiera limitarse a recabar para sí la libertad en la fijación de las retribuciones y a insistir en que la actora percibía más salario que otros trabajadores de su mismo grupo y más que lo establecido en el Convenio Colectivo aplicable.</w:t>
      </w:r>
    </w:p>
    <w:p w:rsidR="008107C7" w:rsidRDefault="008107C7" w:rsidP="008107C7">
      <w:pPr>
        <w:pStyle w:val="TextoNormal"/>
      </w:pPr>
      <w:r>
        <w:t>Ciertamente, el hecho de que la trabajadora percibiera más salario que otros trabajadores de su mismo grupo es tenido muy en cuenta por la Sentencia del Tribunal Superior de Justicia impugnada en amparo para deducir la inexistencia de discriminación.  Además de resaltar la inexistencia en la empresa del denominado salario "medio", el Tribunal Superior de Justicia insiste, asimismo, en que el empresario puede establecer desigualdades retributivas siempre que se respeten las cantidades mínimas legales o convencionales y ello "obedezca a móviles puramente empresariales de premiar o incentivar determinados valores laborales (responsabilidad, asiduidad, lealtad, disciplina, etc.)". Pero el problema se plantea, precisamente, porque el órgano judicial no muestra su convicción de que en el presente caso han sido dichos móviles y valores los que explican la diferencia salarial, sino que se limita a hablar en abstracto y al margen de las circunstancias del caso y de las que concurren en la demandante de amparo. Lo que no puede extrañar porque, como ha quedado dicho, la empresa en ningún momento acreditó las razones que justificaran suficientemente, desde la perspectiva empresarial, el trato salarial recibido por la actora y se limitó a ampararse en su poder de determinación unilateral, una vez cubiertos los mínimos salariales legales o convencionales.</w:t>
      </w:r>
    </w:p>
    <w:p w:rsidR="008107C7" w:rsidRDefault="008107C7" w:rsidP="008107C7">
      <w:pPr>
        <w:pStyle w:val="TextoNormal"/>
      </w:pPr>
      <w:r>
        <w:t>Pero al actuar así, no se ha respetado el derecho fundamental invocado (art.  14 C.E.)  según el contenido declarado por la doctrina de este Tribunal en tales supuestos. La empresa no probó lo que tenía que haber probado y ello fue aceptado por el Tribunal Superior de Justicia, quien eximió a la empresa de dicha prueba, sin que el órgano judicial afirmara en ningún momento las razones empresariales, y ajenas a las condiciones y circunstancias de la actora, justificadoras del trato salarial recibido, ni tampoco su convicción de que tales razones fueron las únicas que explican la diferencia retributiva y que nada tenían que ver con la condición de miembro del comité de empresa en representación de un sindicato de la ahora demandante de amparo.</w:t>
      </w:r>
    </w:p>
    <w:p w:rsidR="008107C7" w:rsidRDefault="008107C7" w:rsidP="008107C7">
      <w:pPr>
        <w:pStyle w:val="TextoNormal"/>
      </w:pPr>
    </w:p>
    <w:p w:rsidR="008107C7" w:rsidRDefault="008107C7" w:rsidP="008107C7">
      <w:pPr>
        <w:pStyle w:val="TextoNormal"/>
      </w:pPr>
      <w:r w:rsidRPr="008107C7">
        <w:rPr>
          <w:rStyle w:val="NumeroAFNegritaCaracter"/>
        </w:rPr>
        <w:t>5</w:t>
      </w:r>
      <w:r>
        <w:t>. Todo lo anteriormente expuesto conduce derechamente al otorgamiento del amparo.</w:t>
      </w:r>
    </w:p>
    <w:p w:rsidR="008107C7" w:rsidRDefault="008107C7" w:rsidP="008107C7">
      <w:pPr>
        <w:pStyle w:val="TextoNormal"/>
      </w:pPr>
      <w:r>
        <w:t>Ahora bien, como ya se dijo inicialmente, ningún reproche cabe dirigir al Auto de la Sala de lo Social del Tribunal Supremo cuya revocación, sin embargo, asimismo se solicita en la demanda.  No resulta posible, en consecuencia, anular este Auto y basta con declarar la nulidad de la Sentencia del Tribunal Superior de Justicia impugnada.</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Otorgar parcialmente el amparo solicitado por doña Sofía Fernández Macera y, en consecuencia:</w:t>
      </w:r>
    </w:p>
    <w:p w:rsidR="008107C7" w:rsidRDefault="008107C7" w:rsidP="008107C7">
      <w:pPr>
        <w:pStyle w:val="TextoNormal"/>
      </w:pPr>
      <w:r>
        <w:t>1º. Reconocer el derecho fundamental de la recurrente a la igualdad y a no ser discriminada por su condición de representante de los trabajadores.</w:t>
      </w:r>
    </w:p>
    <w:p w:rsidR="008107C7" w:rsidRDefault="008107C7" w:rsidP="008107C7">
      <w:pPr>
        <w:pStyle w:val="TextoNormal"/>
      </w:pPr>
      <w:r>
        <w:t>2º. Declarar la nulidad de la Sentencia de la Sala de lo Social del Tribunal Superior de Justicia de Madrid, de 21 de septiembre de 1993.</w:t>
      </w:r>
    </w:p>
    <w:p w:rsidR="008107C7" w:rsidRDefault="008107C7" w:rsidP="008107C7">
      <w:pPr>
        <w:pStyle w:val="TextoNormal"/>
      </w:pPr>
      <w:r>
        <w:t>3º. Desestimar la demanda en todo lo demás.</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veintidós de abril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86" w:name="SENTENCIA_1997_83"/>
      <w:r>
        <w:lastRenderedPageBreak/>
        <w:t>SENTENCIA 83/1997, de 22 de abril de 1997</w:t>
      </w:r>
    </w:p>
    <w:bookmarkEnd w:id="86"/>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121, de 21 de mayo de 1997)</w:t>
      </w:r>
    </w:p>
    <w:p w:rsidR="008107C7" w:rsidRDefault="008107C7" w:rsidP="008107C7">
      <w:pPr>
        <w:pStyle w:val="TtuloBOE"/>
      </w:pPr>
    </w:p>
    <w:p w:rsidR="008107C7" w:rsidRDefault="008107C7" w:rsidP="008107C7">
      <w:pPr>
        <w:pStyle w:val="SntesisDescriptiva"/>
      </w:pPr>
      <w:r>
        <w:t>ECLI:ES:TC:1997:83</w:t>
      </w:r>
    </w:p>
    <w:p w:rsidR="008107C7" w:rsidRDefault="008107C7" w:rsidP="008107C7">
      <w:pPr>
        <w:pStyle w:val="SntesisDescriptiva"/>
      </w:pPr>
    </w:p>
    <w:p w:rsidR="008107C7" w:rsidRDefault="008107C7" w:rsidP="008107C7">
      <w:pPr>
        <w:pStyle w:val="SntesisDescriptiva"/>
      </w:pPr>
      <w:r>
        <w:t>Recurso de amparo 4.042/1994. Contra Acuerdo sancionador de la Junta de Régimen y Administración del Establecimiento Penitenciario de Málaga recaído en expediente sancionador así como contra Autos del Juzgado de Vigilancia Penitenciaria de la misma ciudad recaídos en recurso de alzada.</w:t>
      </w:r>
    </w:p>
    <w:p w:rsidR="008107C7" w:rsidRDefault="008107C7" w:rsidP="008107C7">
      <w:pPr>
        <w:pStyle w:val="SntesisDescriptiva"/>
      </w:pPr>
    </w:p>
    <w:p w:rsidR="008107C7" w:rsidRDefault="008107C7" w:rsidP="008107C7">
      <w:pPr>
        <w:pStyle w:val="SntesisAnaltica"/>
      </w:pPr>
      <w:r>
        <w:t>Vulneración de los derechos a la asistencia letrada y a los medios de prueba pertinentes.</w:t>
      </w:r>
    </w:p>
    <w:p w:rsidR="008107C7" w:rsidRDefault="008107C7" w:rsidP="008107C7">
      <w:pPr>
        <w:pStyle w:val="SntesisAnaltica"/>
      </w:pPr>
    </w:p>
    <w:p w:rsidR="008107C7" w:rsidRDefault="008107C7" w:rsidP="008107C7">
      <w:pPr>
        <w:pStyle w:val="Extracto"/>
      </w:pPr>
      <w:r>
        <w:t>1.</w:t>
      </w:r>
      <w:r>
        <w:tab/>
        <w:t>Ya desde su STC 18/1981 viene declarando este Tribunal que las garantías procesales establecidas en el art. 24.2 C.E. son aplicables no sólo en el proceso penal, sino también en los procedimientos administrativos sancionadores con las matizaciones que resultan de su propia naturaleza, en cuanto que en ambos casos se ejerce la potestad punitiva del Estado. En lo que afecta al presente recurso, ha de precisarse que este Tribunal viene destacando que, tratándose de sanciones disciplinarias impuestas a internos penitenciarios, este conjunto de garantías se aplica con especial rigor, al considerar que la sanción supone una grave limitación a la ya restringida libertad inherente al cumplimiento de una pena, resultando además evidente que las peculiaridades del internamiento en un establecimiento penitenciario no pueden implicar que «la justicia se detenga en la puerta de las prisiones». [F.J. 2]</w:t>
      </w:r>
    </w:p>
    <w:p w:rsidR="008107C7" w:rsidRDefault="008107C7" w:rsidP="008107C7">
      <w:pPr>
        <w:pStyle w:val="Extracto"/>
      </w:pPr>
    </w:p>
    <w:p w:rsidR="008107C7" w:rsidRDefault="008107C7" w:rsidP="008107C7">
      <w:pPr>
        <w:pStyle w:val="Extracto"/>
      </w:pPr>
      <w:r>
        <w:t>2.</w:t>
      </w:r>
      <w:r>
        <w:tab/>
        <w:t>Como bien es sabido, este Tribunal ha concretado el contenido del derecho a la asistencia letrada en el sentido de que no implica el reconocimiento del derecho a la asistencia jurídica gratuita durante el procedimiento administrativo, (por todas, SSTC 74/1985, 2/1987 y 229/1993), lo que no contradice el art. 24.2 de la Constitución, pues, como resulta del art. 6.3 del Convenio Europeo de Derechos Humanos, tal derecho a la gratuidad de la asistencia letrada sólo existe en los procesos judiciales y, además, no en todos, sino sólo cuando el derecho de defensa y los intereses de la justicia lo requieran. Sin embargo, no puede entenderse que la pretensión esgrimida al respecto por el recurrente en el pliego de descargos lo fuera de justicia gratuita, dado que mencionaba expresamente los profesionales por los que deseaba ser asistido, asistencia a la que, por tratarse de profesionales de su libre elección, tiene derecho quien, como el actor, se encuentra incurso en expediente penitenciario sancionador (SSTC 74/1985, 2/1987, 190/1987, 143/1995, etc).. [F.J. 3]</w:t>
      </w:r>
    </w:p>
    <w:p w:rsidR="008107C7" w:rsidRDefault="008107C7" w:rsidP="008107C7">
      <w:pPr>
        <w:pStyle w:val="Extracto"/>
      </w:pPr>
    </w:p>
    <w:p w:rsidR="008107C7" w:rsidRDefault="008107C7" w:rsidP="008107C7">
      <w:pPr>
        <w:pStyle w:val="Extracto"/>
      </w:pPr>
      <w:r>
        <w:t>3.</w:t>
      </w:r>
      <w:r>
        <w:tab/>
        <w:t xml:space="preserve">El actor, en su contestación al pliego de cargos, entre otros extremos, solicitaba la práctica de prueba testifical, en concreto, el testimonio del funcionario que le atribuía los hechos imputados y la del funcionario que habría presenciado los hechos. No existe constancia alguna en las actuaciones de que el Director del Centro diera cumplimiento a lo prescrito en el art. 130.2, párrafo 2., del Reglamento Penitenciario de 1981, precepto según el cual, con anterioridad a que recaiga Acuerdo </w:t>
      </w:r>
      <w:r>
        <w:lastRenderedPageBreak/>
        <w:t>sancionador «si alguna prueba propuesta por el interno fuese estimada impertinente o innecesaria por el Director o Delegado, lo hará constar así en Acuerdo motivado». El recurrente no recibió respuesta alguna sobre la prueba propuesta hasta que recayó el Acuerdo sancionador, que se limitaba a declarar que fueron desestimadas por «no procedentes», con esta escueta frase. Tal referencia no puede considerarse motivación suficiente desde la perspectiva del derecho a la utilización de los medios de prueba pertinentes, en cuanto la calificación de «no procedentes» tan sólo expresa el juicio negativo del órgano decisor sobre la prueba propuesta pero en modo alguno las razones determinantes de tal denegación . [F.J. 4]</w:t>
      </w:r>
    </w:p>
    <w:p w:rsidR="008107C7" w:rsidRDefault="008107C7" w:rsidP="008107C7">
      <w:pPr>
        <w:pStyle w:val="Extracto"/>
      </w:pPr>
    </w:p>
    <w:p w:rsidR="008107C7" w:rsidRDefault="008107C7" w:rsidP="008107C7">
      <w:pPr>
        <w:pStyle w:val="Extracto"/>
      </w:pPr>
      <w:r>
        <w:t>4.</w:t>
      </w:r>
      <w:r>
        <w:tab/>
        <w:t>Bien es cierto que la lectura detenida de los escritos de recurso que el interno formuló ante el Juzgado de Vigilancia Penitenciaria no contienen expresa y literalmente la petición de práctica de las pruebas denegadas en el anterior expediente penitenciario, posibilidad reconocida en el art. 131 b) del Reglamento Penitenciario de 1981 -petición ésta que hubiera permitido al Juez de Vigilancia Penitenciaria bien ordenar su práctica, bien motivar su impertinencia-. Sin embargo, en dichos escritos, el interno argumenta de forma persistente, tanto en torno a la trascendencia exculpatoria de la prueba cuya práctica le fue denegada, como en todo lo relativo a la falta de motivación de su denegación por la Administración, lo que, en una interpretación no excesivamente rigorista, y aconsejada por el hecho de que el interno carecía de asistencia letrada, ha de interpretarse como una nueva proposición de su práctica ante el Juzgado de Vigilancia Penitenciaria . [F.J. 4]</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Álvaro Rodríguez Bereijo, Presidente, don Vicente Gimeno Sendra, don Pedro Cruz Villalón, don Enrique Ruiz Vadillo, don Manuel Jiménez de Parga Cabrera,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4.042/94, promovido por don Jaime Padrum, representado por la Procuradora de los Tribunales doña María Dolores Mateos Ruiz y bajo la dirección letrada de doña Cristina Arpe Muñoz, contra el Acuerdo sancionador de la Junta de Régimen y Administración del Establecimiento Penitenciario de Málaga, de 10 de octubre de 1994, recaído en el expediente sancionador núm. 839/94, así como contra los Autos del Juzgado de Vigilancia Penitenciaria de Málaga de 7 y 29 de noviembre de 1994, recaídos en el expediente de recurso de alzada núm. 1.045/94. Han comparecido el Ministerio Fiscal y el Abogado del Estado. Ha sido Ponente el Magistrado don Vicente Gimeno Sendra, quien expresa el parecer de la Sala.</w:t>
      </w:r>
    </w:p>
    <w:p w:rsidR="008107C7" w:rsidRDefault="008107C7" w:rsidP="008107C7">
      <w:pPr>
        <w:pStyle w:val="TextoNormal"/>
      </w:pPr>
    </w:p>
    <w:p w:rsidR="008107C7" w:rsidRDefault="008107C7" w:rsidP="008107C7">
      <w:pPr>
        <w:pStyle w:val="TextoNormalNegritaCentrado"/>
        <w:keepNext/>
      </w:pPr>
      <w:r>
        <w:lastRenderedPageBreak/>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Mediante escrito que tuvo entrada en el Registro General de este Tribunal el día 17 de diciembre de 1994, don Jaime Padrum solicitó el beneficio de justicia gratuita para interponer recurso de amparo contra las resoluciones a las que se ha hecho mención en el encabezamiento. </w:t>
      </w:r>
    </w:p>
    <w:p w:rsidR="008107C7" w:rsidRDefault="008107C7" w:rsidP="008107C7">
      <w:pPr>
        <w:pStyle w:val="TextoNormal"/>
      </w:pPr>
      <w:r>
        <w:t>Designados por el turno de oficio Procurador y Letrado, se formalizó la demanda de amparo que fue presentada en este Tribunal el 5 de abril de 1995.</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La demanda se fundamenta en los siguientes antecedentes de hecho: </w:t>
      </w:r>
    </w:p>
    <w:p w:rsidR="008107C7" w:rsidRDefault="008107C7" w:rsidP="008107C7">
      <w:pPr>
        <w:pStyle w:val="TextoNormal"/>
      </w:pPr>
      <w:r>
        <w:t xml:space="preserve">a) El Director del Centro Penitenciario de Málaga, incoó expediente disciplinario contra el recurrente (núm. 839/94), en virtud de denuncia de funcionarios, notificándole el día 6 de octubre de 1994, el correspondiente pliego de cargos en el que se le imputaba haber insultado a un funcionario. En concreto, los hechos imputados eran que «el día 30 de septiembre de 1994, al percatarse de la presencia del señor funcionario, usted exclamó: "aquí viene el mierda de funcionario éste"». </w:t>
      </w:r>
    </w:p>
    <w:p w:rsidR="008107C7" w:rsidRDefault="008107C7" w:rsidP="008107C7">
      <w:pPr>
        <w:pStyle w:val="TextoNormal"/>
      </w:pPr>
      <w:r>
        <w:t xml:space="preserve">El pliego de cargos calificaba estos hechos como constitutivos de una falta grave del art. 109 del apartado A del Reglamento Penitenciario. </w:t>
      </w:r>
    </w:p>
    <w:p w:rsidR="008107C7" w:rsidRDefault="008107C7" w:rsidP="008107C7">
      <w:pPr>
        <w:pStyle w:val="TextoNormal"/>
      </w:pPr>
      <w:r>
        <w:t xml:space="preserve">b) El día 7 de octubre siguiente, dentro del plazo de setenta y dos horas previsto en el art. 130.1 d) del Reglamento Penitenciario, el interno formuló pliego de descargos en el que sustancialmente, alegaba, por una parte, la imprecisión con que estaban narrados los hechos que se le imputaban -sólo se mencionaba el día, pero no la hora ni el lugar donde se habría realizado el comentario insultante- lo que dificultaba, a su entender, la posibilidad de probar que no había hecho el comentario que se le atribuía; y por otra, proporcionaba una versión distinta de los hechos, señalando que el incidente, en la versión por él propuesta, fue presenciado por un funcionario. </w:t>
      </w:r>
    </w:p>
    <w:p w:rsidR="008107C7" w:rsidRDefault="008107C7" w:rsidP="008107C7">
      <w:pPr>
        <w:pStyle w:val="TextoNormal"/>
      </w:pPr>
      <w:r>
        <w:t xml:space="preserve">En el pliego de descargos el interno solicitó también la práctica de prueba testifical y, en concreto, el testimonio del funcionario que le imputaba los hechos y el del funcionario que presenció la versión alternativa de los mismos por él propuesta, a que antes se hizo mención. </w:t>
      </w:r>
    </w:p>
    <w:p w:rsidR="008107C7" w:rsidRDefault="008107C7" w:rsidP="008107C7">
      <w:pPr>
        <w:pStyle w:val="TextoNormal"/>
      </w:pPr>
      <w:r>
        <w:t xml:space="preserve">Asimismo, en dicho escrito solicitaba "ser asesorado durante la tramitación del expediente por mis Abogados doña María Socorro Mármol Bris, Madrid, y don Juan Carlos Ramírez, Marbella, cuyas señas constan en esta casa"; tener acceso, el mismo y su Abogado, a todo el material probatorio de cargo que pudiera obrar en el expediente disciplinario; y, por último, que se le notificara a él y a su Abogado, con la suficiente antelación el lugar, fecha y hora de práctica de las pruebas, momento en que deseaba igualmente estar asistido de su Abogado. </w:t>
      </w:r>
    </w:p>
    <w:p w:rsidR="008107C7" w:rsidRDefault="008107C7" w:rsidP="008107C7">
      <w:pPr>
        <w:pStyle w:val="TextoNormal"/>
      </w:pPr>
      <w:r>
        <w:t xml:space="preserve">c) Sin haber recibido respuesta en cuanto a su solicitud de asesoramiento de Letrado ni a su petición de práctica de prueba, con fecha 11 de octubre de 1994, se le notifica el Acuerdo sancionador adoptado por la Junta de Régimen y Administración del Centro en el que se declaran probados los mismos hechos reflejados en el pliego de cargos, que se califican como falta grave prevista en el art. 109, apartado A del Reglamento Penitenciario, siéndole impuesta la sanción de dos fines de semana de aislamiento en celda, prevista en el art. 111, apartado B de aquélla norma reglamentaria. </w:t>
      </w:r>
    </w:p>
    <w:p w:rsidR="008107C7" w:rsidRDefault="008107C7" w:rsidP="008107C7">
      <w:pPr>
        <w:pStyle w:val="TextoNormal"/>
      </w:pPr>
      <w:r>
        <w:t xml:space="preserve">En relación con las pruebas cuya práctica solicitó el recurrente, el Acuerdo sancionador se limita a manifestar "propuso pruebas que, desestimadas por no procedentes, dieron el siguiente resultado .....". </w:t>
      </w:r>
    </w:p>
    <w:p w:rsidR="008107C7" w:rsidRDefault="008107C7" w:rsidP="008107C7">
      <w:pPr>
        <w:pStyle w:val="TextoNormal"/>
      </w:pPr>
      <w:r>
        <w:lastRenderedPageBreak/>
        <w:t xml:space="preserve">d) Contra dicho Acuerdo el demandante de amparo interpuso recurso de alzada ante el Juzgado de Vigilancia Penitenciaria de Málaga en el que sustancialmente alegaba la importancia que para desvirtuar los hechos imputados tenían las pruebas por él propuestas en el pliego de descargo, cuya denegación se efectuó de forma inmotivada. También se refería a que la Administración penitenciaria no habría respetado su derecho a ser asesorado por Letrado durante la tramitación del expediente. En dicho recurso el interno citaba los preceptos reglamentarios que consideraba infringidos, la doctrina de este Tribunal al efecto, así como otras resoluciones del mismo juzgado que en casos similares habían estimado el recurso interpuesto. Concluía solicitando del Juzgado de Vigilancia Penitenciaria la revocación del Acuerdo sancionador y la retroacción del procedimiento sancionador al "momento en que se ha producido la primera infracción en el procedimiento". </w:t>
      </w:r>
    </w:p>
    <w:p w:rsidR="008107C7" w:rsidRDefault="008107C7" w:rsidP="008107C7">
      <w:pPr>
        <w:pStyle w:val="TextoNormal"/>
      </w:pPr>
      <w:r>
        <w:t xml:space="preserve">e) El Juzgado de Vigilancia Penitenciaria, resolvió el recurso mediante Auto de 7 de noviembre de 1994, en el que confirmaba los hechos así como su calificación jurídica, rebajando la sanción impuesta de dos a un fin de semana de aislamiento en celdas, sin que esta resolución efectuara pronunciamiento alguno en torno a la denegación de la prueba propuesta por el recurrente así como en lo relativo a su solicitud de asesoramiento de Letrado. </w:t>
      </w:r>
    </w:p>
    <w:p w:rsidR="008107C7" w:rsidRDefault="008107C7" w:rsidP="008107C7">
      <w:pPr>
        <w:pStyle w:val="TextoNormal"/>
      </w:pPr>
      <w:r>
        <w:t xml:space="preserve">f) Contra este Auto, el interno interpuso recurso de reforma, en el que reproduce de forma casi idéntica las alegaciones contenidas en su anterior escrito de recurso. </w:t>
      </w:r>
    </w:p>
    <w:p w:rsidR="008107C7" w:rsidRDefault="008107C7" w:rsidP="008107C7">
      <w:pPr>
        <w:pStyle w:val="TextoNormal"/>
      </w:pPr>
      <w:r>
        <w:t>Este último recurso es resuelto por el Juzgado mediante Auto de 29 de noviembre de 1994, confirmatorio del anterior, contra el que se formula la presente demanda de amparo.</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En cuanto a la fundamentación jurídica del recurso, en la demanda de amparo se invoca como vulnerado el derecho a la tutela judicial efectiva, consagrado en el art. 24 1 C.E., con el resultado de indefensión proscrito en dicho precepto. </w:t>
      </w:r>
    </w:p>
    <w:p w:rsidR="008107C7" w:rsidRDefault="008107C7" w:rsidP="008107C7">
      <w:pPr>
        <w:pStyle w:val="TextoNormal"/>
      </w:pPr>
      <w:r>
        <w:t>Considera el recurrente que tal derecho fundamental resultó vulnerado por la Administración Penitenciaria y no subsanado por el Juzgado de Vigilancia Penitenciaria, ya que no sólo no fueron practicadas las pruebas por él propuestas y que consideraba esenciales para su argumentación exculpatoria, sino que ni siquiera obtuvo motivación alguna en torno a su desestimación. Asimismo la denunciada indefensión se habría producido al ignorarse durante la tramitación del procedimiento su solicitud de ser asesorado por Letrado por él propuesto.</w:t>
      </w:r>
    </w:p>
    <w:p w:rsidR="008107C7" w:rsidRDefault="008107C7" w:rsidP="008107C7">
      <w:pPr>
        <w:pStyle w:val="TextoNormal"/>
      </w:pPr>
    </w:p>
    <w:p w:rsidR="008107C7" w:rsidRDefault="008107C7" w:rsidP="008107C7">
      <w:pPr>
        <w:pStyle w:val="TextoNormal"/>
      </w:pPr>
      <w:r w:rsidRPr="008107C7">
        <w:rPr>
          <w:rStyle w:val="NumeroAFNegritaCaracter"/>
        </w:rPr>
        <w:t>4</w:t>
      </w:r>
      <w:r>
        <w:t>. Por providencia de 8 de enero de 1996 la Sección Segunda acordó tener por recibido el testimonio de las actuaciones remitido por el Juzgado de Vigilancia Penitenciaria de Málaga, previamente requerido, admitir a trámite la demanda de amparo y emplazar al Abogado del Estado para que en el plazo de diez días pudiera comparecer en el proceso constitucional de amparo.</w:t>
      </w:r>
    </w:p>
    <w:p w:rsidR="008107C7" w:rsidRDefault="008107C7" w:rsidP="008107C7">
      <w:pPr>
        <w:pStyle w:val="TextoNormal"/>
      </w:pPr>
    </w:p>
    <w:p w:rsidR="008107C7" w:rsidRDefault="008107C7" w:rsidP="008107C7">
      <w:pPr>
        <w:pStyle w:val="TextoNormal"/>
      </w:pPr>
      <w:r w:rsidRPr="008107C7">
        <w:rPr>
          <w:rStyle w:val="NumeroAFNegritaCaracter"/>
        </w:rPr>
        <w:t>5</w:t>
      </w:r>
      <w:r>
        <w:t>. El 29 de enero de 1996 la Sección Segunda dictó nueva providencia teniendo por personado al Abogado del Estado y, a tenor de lo dispuesto en el art. 52 LOTC, acordó dar vista de las actuaciones por plazo común de veinte días al Ministerio Fiscal, al Abogado del Estado y al solicitante de amparo, para que dentro de dicho término pudieran presentar las alegaciones que estimasen oportunas.</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El Abogado del Estado presenta su escrito de alegaciones el 2 de febrero de 1996. En él interesa la desestimación del amparo solicitado. La queja relativa a la lesión del derecho </w:t>
      </w:r>
      <w:r>
        <w:lastRenderedPageBreak/>
        <w:t xml:space="preserve">a la prueba carecería de fundamento por varias razones. En primer lugar por la carencia de trascendencia y virtualidad de la prueba testifical propuesta para desacreditar los hechos imputados. En segundo lugar, considera el Abogado del Estado que la calificación de la prueba propuesta como "no procedente" que contiene el Acuerdo sancionador ha de considerarse motivación suficiente a los efectos del derecho a la prueba. Por último, el recurrente no reprodujo la proposición de prueba ante el Juzgado de Vigilancia Penitenciaria, tal y como permite el art. 131.b del Reglamento Penitenciario, con lo que perdió la oportunidad de subsanar la pretendida lesión en sus sucesivas actuaciones ante el Juzgado de Vigilancia Penitenciaria. </w:t>
      </w:r>
    </w:p>
    <w:p w:rsidR="008107C7" w:rsidRDefault="008107C7" w:rsidP="008107C7">
      <w:pPr>
        <w:pStyle w:val="TextoNormal"/>
      </w:pPr>
      <w:r>
        <w:t>El Abogado del Estado reputa asimismo inexistente la lesión del derecho a la asistencia letrada, pues la Administración Penitenciaria en modo alguno habría obstaculizado el ejercicio de tal derecho, cuyo ejercicio pudo el recurrente además exigir, y no lo hizo, en las distintas fases procedimentales seguidas ante el Juzgado de Vigilancia Penitenciaria de Málaga.</w:t>
      </w:r>
    </w:p>
    <w:p w:rsidR="008107C7" w:rsidRDefault="008107C7" w:rsidP="008107C7">
      <w:pPr>
        <w:pStyle w:val="TextoNormal"/>
      </w:pPr>
    </w:p>
    <w:p w:rsidR="008107C7" w:rsidRDefault="008107C7" w:rsidP="008107C7">
      <w:pPr>
        <w:pStyle w:val="TextoNormal"/>
      </w:pPr>
      <w:r w:rsidRPr="008107C7">
        <w:rPr>
          <w:rStyle w:val="NumeroAFNegritaCaracter"/>
        </w:rPr>
        <w:t>7</w:t>
      </w:r>
      <w:r>
        <w:t xml:space="preserve">. El Ministerio Fiscal presentó su informe el 22 de febrero de 1996. En él interesaba la estimación del amparo solicitado al apreciar la denunciada lesión del derecho a la utilización de los medios de prueba pertinentes con el resultado de indefensión (art. 24.1 y 2 C.E.), así como la lesión del derecho a la asistencia letrada (art. 24.2 C.E.). </w:t>
      </w:r>
    </w:p>
    <w:p w:rsidR="008107C7" w:rsidRDefault="008107C7" w:rsidP="008107C7">
      <w:pPr>
        <w:pStyle w:val="TextoNormal"/>
      </w:pPr>
      <w:r>
        <w:t xml:space="preserve">La apreciación de la vulneración del derecho a la prueba sería consecuencia de la constatación de la íntima relación entre los hechos por los que se impuso la sanción y la prueba propuesta, lo que determina el carácter necesario de ésta y, en segundo lugar, de la falta de respuesta tanto administrativa como judicial que justificase la denegación de la prueba. A juicio del Fiscal, la concesión del amparo en este punto abarcaría también el segundo motivo del amparo formulado en relación con el incumplimiento de lo prevenido en el art. 130. 4 c) del Reglamento Penitenciario. </w:t>
      </w:r>
    </w:p>
    <w:p w:rsidR="008107C7" w:rsidRDefault="008107C7" w:rsidP="008107C7">
      <w:pPr>
        <w:pStyle w:val="TextoNormal"/>
      </w:pPr>
      <w:r>
        <w:t>También se habría inferido al recurrente la denunciada lesión del derecho a la asistencia letrada, en cuanto el actor en el pliego de descargos no solicitó el beneficio de justicia gratuita sino que designó expressis verbis unos profesionales para que le prestaran asesoramiento técnico. Entiende el Ministerio Fiscal que, de acuerdo con la jurisprudencia constitucional en supuestos similares, debió acordarse tal asistencia y representación letrada, por lo que al no hacerse así, se vulneró el invocado derecho fundamental.</w:t>
      </w:r>
    </w:p>
    <w:p w:rsidR="008107C7" w:rsidRDefault="008107C7" w:rsidP="008107C7">
      <w:pPr>
        <w:pStyle w:val="TextoNormal"/>
      </w:pPr>
    </w:p>
    <w:p w:rsidR="008107C7" w:rsidRDefault="008107C7" w:rsidP="008107C7">
      <w:pPr>
        <w:pStyle w:val="TextoNormal"/>
      </w:pPr>
      <w:r w:rsidRPr="008107C7">
        <w:rPr>
          <w:rStyle w:val="NumeroAFNegritaCaracter"/>
        </w:rPr>
        <w:t>8</w:t>
      </w:r>
      <w:r>
        <w:t>. Por providencia de 21 de abril de 1997 se acordó señalar el siguiente día 22 de abril para deliberación y votación de la presente Sentencia.</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El solicitante de amparo impugna en esta sede el Acuerdo sancionador de 10 de octubre de 1994 dictado por la Junta de Régimen y Administración del Centro Penitenciario de Málaga, así como los subsiguientes Autos del Juzgado de Vigilancia Penitenciaria de Málaga de 7 y 29 de noviembre de 1994.  La demanda de amparo, si bien bajo la invocación genérica del derecho a la tutela judicial efectiva, (art. 24.1 C.E.), imputa a la Administración Penitenciaria dos lesiones constitucionales cuyo correcto encuadre lo halla en el art. 24.2 de la Constitución y en concreto en los derechos fundamentales a la utilización de los medios de prueba pertinentes para la defensa y en el derecho a la asistencia letrada.  Al Juzgado de Vigilancia Penitenciaria tan sólo le reprocha la demanda de amparo el no haber reparado las </w:t>
      </w:r>
      <w:r>
        <w:lastRenderedPageBreak/>
        <w:t>vulneraciones constitucionales ante él denunciadas sin atribuir a dicho órgano judicial la lesión de ningún derecho fundamental.  De acuerdo con tal planteamiento, nos hallaríamos, pues, ante un recurso de amparo interpuesto por la vía de lo dispuesto en el art. 43 LOTC, donde las resoluciones judiciales supondrían una mera confirmación del acuerdo administrativo a efectos de agotamiento de la vía judicial previa al proceso constitucional de amparo.</w:t>
      </w:r>
    </w:p>
    <w:p w:rsidR="008107C7" w:rsidRDefault="008107C7" w:rsidP="008107C7">
      <w:pPr>
        <w:pStyle w:val="TextoNormal"/>
      </w:pPr>
    </w:p>
    <w:p w:rsidR="008107C7" w:rsidRDefault="008107C7" w:rsidP="008107C7">
      <w:pPr>
        <w:pStyle w:val="TextoNormal"/>
      </w:pPr>
      <w:r w:rsidRPr="008107C7">
        <w:rPr>
          <w:rStyle w:val="NumeroAFNegritaCaracter"/>
        </w:rPr>
        <w:t>2</w:t>
      </w:r>
      <w:r>
        <w:t>. Este Tribunal ha tenido reiterada ocasión de pronunciarse respecto del contenido en el ámbito penitenciario de los derechos invocados.  Por ello, conviene comenzar recordando los principios básicos de la doctrina general en este campo, para llevar a cabo después su concreción y aplicación a los datos de hecho que definen el caso que ahora se contempla.</w:t>
      </w:r>
    </w:p>
    <w:p w:rsidR="008107C7" w:rsidRDefault="008107C7" w:rsidP="008107C7">
      <w:pPr>
        <w:pStyle w:val="TextoNormal"/>
      </w:pPr>
      <w:r>
        <w:t>Ya desde su STC 18/1981 viene declarando este Tribunal que las garantías procesales establecidas en el art. 24.2 C.E.  son aplicables no sólo en el proceso penal, sino también en los procedimientos administrativos sancionadores con las matizaciones que resultan de su propia naturaleza, en cuanto que en ambos casos se ejerce la potestad punitiva del Estado (SSTC 2/1987, 2/1990, 145/1993, 297/1993, 97/1995, 143/1995, 195/1995, 127/1996, 128/1996, etc.).  Y, en lo que afecta al presente recurso, ha de precisarse que este Tribunal viene destacando que, tratándose de sanciones disciplinarias impuestas a internos penitenciarios, este conjunto de garantías se aplica con especial rigor, al considerar que la sanción supone una grave limitación a la ya restringida libertad inherente al cumplimiento de una pena (SSTC 74/1985, 2/1987, 297/1993, 97/1995, 128/1996, etc.), resultando además evidente que las peculiaridades del internamiento en un establecimiento penitenciario no pueden implicar que "la justicia se detenga en la puerta de las prisiones" (SSTC 2/1987, 297/1993, 97/1995, 127/1996, 128/1996 y S.T.E.D.H. Campbell y Fell, de 28 de junio de 1984).</w:t>
      </w:r>
    </w:p>
    <w:p w:rsidR="008107C7" w:rsidRDefault="008107C7" w:rsidP="008107C7">
      <w:pPr>
        <w:pStyle w:val="TextoNormal"/>
      </w:pPr>
      <w:r>
        <w:t>En este ámbito de declaraciones generales tampoco resulta gratuito insistir en el relevante papel que en nuestro sistema penitenciario tiene encomendado el Juzgado de Vigilancia Penitenciaria, a quien corresponde no sólo "resolver por vía de recurso las reclamaciones que formulen los internos sobre sanciones disciplinarias" «art. 76.2 e) Ley Orgánica General Penitenciaria y art. 94 Ley Orgánica Poder Judicial», sino en general "salvaguardar los derechos de los internos y corregir los abusos y desviaciones que en el cumplimiento de los preceptos del régimen penitenciario pueden producirse" (art.  76.1 Ley Orgánica General Penitenciaria).</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Comenzando nuestro análisis por el derecho a la asistencia letrada, como acabamos de mencionar, dentro de las garantías consagradas en el art. 24.2 C.E. y de aplicación a los procedimientos administrativos en los que se decide la imposición de una sanción a un recluso, se incluye el derecho a la asistencia letrada.  Tal derecho viene reconocido expresamente y en un sentido más amplio en el art. 130.1 e) del Reglamento Penitenciario de 1981 (Reglamento en vigor durante la tramitación del expediente y de los subsiguientes recursos), precepto según el cual en el pliego de cargos ha de hacerse constar la posibilidad de asesorarse durante la tramitación del expediente administrativo.  Como bien es sabido, este Tribunal ha concretado el contenido del mencionado derecho fundamental en el sentido de que no implica el reconocimiento del derecho a la asistencia jurídica gratuita durante el procedimiento administrativo, (por todas, SSTC 74/1985, 2/1987, 229/1993), lo que no contradice el art. 24.2 de la Constitución, pues, como resulta del art. 6.3 del Convenio Europeo de Derechos Humanos, tal derecho a la gratuidad de la asistencia letrada sólo existe en los </w:t>
      </w:r>
      <w:r>
        <w:lastRenderedPageBreak/>
        <w:t>procesos judiciales y, además, no en todos, sino sólo cuando el derecho de defensa y los intereses de la justicia lo requieran.</w:t>
      </w:r>
    </w:p>
    <w:p w:rsidR="008107C7" w:rsidRDefault="008107C7" w:rsidP="008107C7">
      <w:pPr>
        <w:pStyle w:val="TextoNormal"/>
      </w:pPr>
      <w:r>
        <w:t>Sin embargo no puede entenderse que la pretensión esgrimida al respecto por el recurrente en el pliego de descargos lo fuera de justicia gratuita, dado que mencionaba expresamente los profesionales por los que deseaba ser asistido, asistencia a la que, por tratarse de profesionales de su libre elección, tiene derecho quien, como el actor, se encuentra incurso en expediente penitenciario sancionador (SSTC 74/1985, 2/1987, 190/1987, 143/1995, etc).</w:t>
      </w:r>
    </w:p>
    <w:p w:rsidR="008107C7" w:rsidRDefault="008107C7" w:rsidP="008107C7">
      <w:pPr>
        <w:pStyle w:val="TextoNormal"/>
      </w:pPr>
      <w:r>
        <w:t>A pesar de que tal solicitud la realizó el recurrente en su escrito de contestación al pliego de cargos, no puede afirmarse que la asistencia requerida careciera de toda efectividad y ello, aunque el actor no solicitara alegar verbalmente ante la Junta de Régimen y Administración del Centro, puesto que el recurrente requería la presencia de su Abogado durante la práctica de la prueba instada, pudiendo ser eficaz tal asesoramiento, en cualquier caso, en la formulación de los recursos posteriormente planteados por el actor ante el Juzgado de Vigilancia Penitenciaria.  Por ello, de acuerdo con lo informado por el Ministerio Fiscal y con lo decidido por este Tribunal en su reciente STC 128/1996, la ausencia de respuesta por parte de la Administración Penitenciaria a la analizada solicitud no puede considerarse sino lesiva del derecho a la asistencia letrada consagrado en el art. 24.2 de la Constitución.</w:t>
      </w:r>
    </w:p>
    <w:p w:rsidR="008107C7" w:rsidRDefault="008107C7" w:rsidP="008107C7">
      <w:pPr>
        <w:pStyle w:val="TextoNormal"/>
      </w:pPr>
    </w:p>
    <w:p w:rsidR="008107C7" w:rsidRDefault="008107C7" w:rsidP="008107C7">
      <w:pPr>
        <w:pStyle w:val="TextoNormal"/>
      </w:pPr>
      <w:r w:rsidRPr="008107C7">
        <w:rPr>
          <w:rStyle w:val="NumeroAFNegritaCaracter"/>
        </w:rPr>
        <w:t>4</w:t>
      </w:r>
      <w:r>
        <w:t>. Por lo que respecta a la lesión del derecho a la utilización de los medios de prueba pertinentes, conviene comenzar recordando que según consagrada jurisprudencia constitucional tal derecho fundamental no implica la pérdida de la potestad del órgano decisor para declarar su impertinencia, si bien debe éste explicar razonadamente su juicio negativo sobre la admisión de la misma (SSTC 94/1992, 297/1993, 97/1995, 169/1996, 35/1997 y 39/1997 entre otras muchas).</w:t>
      </w:r>
    </w:p>
    <w:p w:rsidR="008107C7" w:rsidRDefault="008107C7" w:rsidP="008107C7">
      <w:pPr>
        <w:pStyle w:val="TextoNormal"/>
      </w:pPr>
      <w:r>
        <w:t>Como se ha relatado en los antecedentes, el actor en su contestación al pliego de cargos, entre otros extremos, solicitaba la práctica de prueba testifical, en concreto, el testimonio del funcionario que le atribuía los hechos imputados y la del funcionario que habría presenciado los hechos. No existe constancia alguna en las actuaciones de que el Director del Centro diera cumplimiento a lo prescrito en el art. 130.2, párrafo 2º del Reglamento Penitenciario de 1981, precepto según el cual, con anterioridad a que recaiga Acuerdo sancionador "si alguna prueba propuesta por el interno fuese estimada impertinente o innecesaria por el Director o Delegado, lo hará constar así en Acuerdo motivado".  El recurrente no recibió respuesta alguna sobre la prueba propuesta hasta que recayó el Acuerdo sancionador, que se limitaba a declarar que fueron desestimadas por "no procedentes", con esta escueta frase.  En contra de lo que entiende el Abogado del Estado tal referencia no puede considerarse motivación suficiente desde la perspectiva del derecho a la utilización de los medios de prueba pertinentes, en cuanto la calificación de "no procedentes" tan sólo expresa el juicio negativo del órgano decisor sobre la prueba propuesta pero en modo alguno las razones determinantes de tal denegación.</w:t>
      </w:r>
    </w:p>
    <w:p w:rsidR="008107C7" w:rsidRDefault="008107C7" w:rsidP="008107C7">
      <w:pPr>
        <w:pStyle w:val="TextoNormal"/>
      </w:pPr>
      <w:r>
        <w:t>Esta falta de motivación, determinante de la lesión del derecho invocado, no fue corregida por el Juzgado de Vigilancia Penitenciaria ante el cual el interno puso de manifiesto tanto la ausencia de práctica de las pruebas por él propuestas como su inmotivada denegación.</w:t>
      </w:r>
    </w:p>
    <w:p w:rsidR="008107C7" w:rsidRDefault="008107C7" w:rsidP="008107C7">
      <w:pPr>
        <w:pStyle w:val="TextoNormal"/>
      </w:pPr>
      <w:r>
        <w:t xml:space="preserve">Bien es cierto que la lectura detenida de los escritos de recurso que el interno formuló ante el Juzgado de Vigilancia Penitenciaria no contienen expresa y literalmente la petición de práctica de las pruebas denegadas en el anterior expediente penitenciario, posibilidad reconocida en el art. 131 b) del Reglamento Penitenciario de 1981, -petición ésta que hubiera permitido al Juez de Vigilancia Penitenciaria bien ordenar su práctica, bien motivar su </w:t>
      </w:r>
      <w:r>
        <w:lastRenderedPageBreak/>
        <w:t>impertinencia-.  Sin embargo, en dichos escritos, el interno argumenta de forma persistente, tanto en torno a la trascendencia exculpatoria de la prueba cuya práctica le fue denegada, como en todo lo relativo a la falta de motivación de su denegación por la Administración, lo que, en una interpretación no excesivamente rigorista, y aconsejada por el hecho de que el interno carecía de asistencia letrada, ha de interpretarse como una nueva proposición de su práctica ante el Juzgado de Vigilancia Penitenciaria. Por ello, en contra de lo que propone el Abogado del Estado, la falta de reiteración de la petición de prueba ante el Juzgado de Vigilancia Penitenciaria, no ha de ser obstáculo para la estimación del presente motivo del amparo (en este sentido, STC 169/1996, fundamento jurídico 6º).</w:t>
      </w:r>
    </w:p>
    <w:p w:rsidR="008107C7" w:rsidRDefault="008107C7" w:rsidP="008107C7">
      <w:pPr>
        <w:pStyle w:val="TextoNormal"/>
      </w:pPr>
      <w:r>
        <w:t>A lo anterior ha de añadirse que no cabe excluir la relevancia que en las resoluciones impugnadas pudo haber tenido el resultado de las pruebas denegadas, dado que con ellas el demandante en amparo pretendía demostrar una versión de los hechos distinta a la que se le imputaba.  Corolario de cuanto antecede no puede ser sino la apreciación de la denunciada lesión del derecho a la utilización de los medios de prueba pertinentes y la consiguiente estimación del presente motivo del amparo</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CONSTITUCIÓN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Estimar el amparo promovido por don Jaime Padrum y, en consecuencia</w:t>
      </w:r>
    </w:p>
    <w:p w:rsidR="008107C7" w:rsidRDefault="008107C7" w:rsidP="008107C7">
      <w:pPr>
        <w:pStyle w:val="TextoNormal"/>
      </w:pPr>
      <w:r>
        <w:t>1º Reconocer al recurrente su derecho a la asistencia letrada y a la utilización de los medios de prueba pertinentes para la defensa.</w:t>
      </w:r>
    </w:p>
    <w:p w:rsidR="008107C7" w:rsidRDefault="008107C7" w:rsidP="008107C7">
      <w:pPr>
        <w:pStyle w:val="TextoNormal"/>
      </w:pPr>
      <w:r>
        <w:t>2º Anular el Acuerdo sancionador de 10 de octubre de 1994, dictado por la Junta de Régimen y Administración del Centro Penitenciario de Málaga y los Autos del Juzgado de Vigilancia Penitenciaria de Málaga de 7 de noviembre de 1994 y 29 de noviembre de 1994.</w:t>
      </w:r>
    </w:p>
    <w:p w:rsidR="008107C7" w:rsidRDefault="008107C7" w:rsidP="008107C7">
      <w:pPr>
        <w:pStyle w:val="TextoNormal"/>
      </w:pPr>
      <w:r>
        <w:t>3º Retrotraer las actuaciones al momento procedimental oportuno a fin de que por parte de la Junta de Régimen y Administración del Centro Peninteciario de Málaga se le permita al recurrente defenderse mediante Abogado de su confianza y se practique la prueba por él propuesta en el procedimiento sancionador del que trae causa este recurso de amparo.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veintidós de abril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87" w:name="SENTENCIA_1997_84"/>
      <w:r>
        <w:lastRenderedPageBreak/>
        <w:t>SENTENCIA 84/1997, de 22 de abril de 1997</w:t>
      </w:r>
    </w:p>
    <w:bookmarkEnd w:id="87"/>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121, de 21 de mayo de 1997)</w:t>
      </w:r>
    </w:p>
    <w:p w:rsidR="008107C7" w:rsidRDefault="008107C7" w:rsidP="008107C7">
      <w:pPr>
        <w:pStyle w:val="TtuloBOE"/>
      </w:pPr>
    </w:p>
    <w:p w:rsidR="008107C7" w:rsidRDefault="008107C7" w:rsidP="008107C7">
      <w:pPr>
        <w:pStyle w:val="SntesisDescriptiva"/>
      </w:pPr>
      <w:r>
        <w:t>ECLI:ES:TC:1997:84</w:t>
      </w:r>
    </w:p>
    <w:p w:rsidR="008107C7" w:rsidRDefault="008107C7" w:rsidP="008107C7">
      <w:pPr>
        <w:pStyle w:val="SntesisDescriptiva"/>
      </w:pPr>
    </w:p>
    <w:p w:rsidR="008107C7" w:rsidRDefault="008107C7" w:rsidP="008107C7">
      <w:pPr>
        <w:pStyle w:val="SntesisDescriptiva"/>
      </w:pPr>
      <w:r>
        <w:t>Recurso de amparo 2.513/1995. Contra Auto dictado por el Juzgado de lo Social núm. 25 de Madrid recaído en diversos procedimientos laborales acumulados.</w:t>
      </w:r>
    </w:p>
    <w:p w:rsidR="008107C7" w:rsidRDefault="008107C7" w:rsidP="008107C7">
      <w:pPr>
        <w:pStyle w:val="SntesisDescriptiva"/>
      </w:pPr>
    </w:p>
    <w:p w:rsidR="008107C7" w:rsidRDefault="008107C7" w:rsidP="008107C7">
      <w:pPr>
        <w:pStyle w:val="SntesisAnaltica"/>
      </w:pPr>
      <w:r>
        <w:t>Vulneración del derecho a la tutela judicial efectiva: indefensión imputable al órgano judicial.</w:t>
      </w:r>
    </w:p>
    <w:p w:rsidR="008107C7" w:rsidRDefault="008107C7" w:rsidP="008107C7">
      <w:pPr>
        <w:pStyle w:val="SntesisAnaltica"/>
      </w:pPr>
    </w:p>
    <w:p w:rsidR="008107C7" w:rsidRDefault="008107C7" w:rsidP="008107C7">
      <w:pPr>
        <w:pStyle w:val="Extracto"/>
      </w:pPr>
      <w:r>
        <w:t>1.</w:t>
      </w:r>
      <w:r>
        <w:tab/>
        <w:t>El art. 81.1 L.P.L. prescribe que el órgano judicial advertirá a la parte de los defectos, omisiones o imprecisiones en que haya incurrido el actor al redactar la demanda, a fin de que los subsane en el plazo de cuatro días, con apercibimiento de que, si no lo efectuase, se ordenará su archivo. La doctrina elaborada por este Tribunal en torno a su precedente inmediato -párrafo 1 del art. 72 L.P.L. de 1980- ha tenido ocasión de precisar, de un lado, que tal atribución es constitucionalmente inobjetable, puesto que responde a una finalidad razonable y necesaria, incluso respecto de la brevedad del plazo de subsanación establecido, acorde con el principio de celeridad que preside los procesos laborales (STC 154/1992) y, de otro, que se trata, no de una mera facultad, sino de una auténtica obligación legal del órgano judicial dirigida a garantizar que los derechos e intereses legítimos deducidos en una demanda laboral no resulten ineficaces por el juego riguroso y formalista de la falta o defecto de los requisitos formales que pudiera imputársele a aquélla. En principio, pues, la decisión de archivar el procedimiento si el demandante incumple el mandato judicial no viola el art. 24.1 C.E., porque se basa en la concurrencia de una causa legalmente prevista para la inadmisión de la demanda, aunque la norma ha de ser aplicada con un criterio antiformalista y no rigorista, a fin de no impedir injustificadamente la obtención de una resolución de fondo sobre la pretensión ejercitada, analizando, en particular, si la subsanación requerida, por ser jurídicamente exigible, no constituye un obstáculo innecesario para acceder al proceso (SSTC 39/1984, 172/1987 y 216/1989). [F.J. 2]</w:t>
      </w:r>
    </w:p>
    <w:p w:rsidR="008107C7" w:rsidRDefault="008107C7" w:rsidP="008107C7">
      <w:pPr>
        <w:pStyle w:val="Extracto"/>
      </w:pPr>
    </w:p>
    <w:p w:rsidR="008107C7" w:rsidRDefault="008107C7" w:rsidP="008107C7">
      <w:pPr>
        <w:pStyle w:val="Extracto"/>
      </w:pPr>
      <w:r>
        <w:t>2.</w:t>
      </w:r>
      <w:r>
        <w:tab/>
        <w:t>La jurisprudencia social viene sosteniendo, en general, que el juzgador, de oficio y a través de este cauce, debe velar por la correcta constitución de la relación jurídico-procesal en las situaciones de litisconsorcio pasivo, a fin de conseguir, salvaguardando el principio de audiencia bilateral, que la cosa juzgada material despliegue sus efectos y evitar así que se dicten eventuales fallos contradictorios sobre un mismo asunto (Sentencias del T.S. de 15 de diciembre de 1987; 14 de marzo, 19 de septiembre y 22 de diciembre de 1988; 24 de febrero, 17 de julio y 1 y 11 de diciembre de 1989; y 19 de mayo de 1992). En segundo lugar, aunque es en la fase de admisión de la demanda cuando ha de tener lugar el requerimiento, también propugna la jurisprudencia que la inadvertencia inicial no precluye la obligación del órgano judicial de poner de manifiesto en un momento procesal posterior los defectos observados, como tuvo oportunidad de subrayar la STC 25/1991. [F.J. 2]</w:t>
      </w:r>
    </w:p>
    <w:p w:rsidR="008107C7" w:rsidRDefault="008107C7" w:rsidP="008107C7">
      <w:pPr>
        <w:pStyle w:val="Extracto"/>
      </w:pPr>
    </w:p>
    <w:p w:rsidR="008107C7" w:rsidRDefault="008107C7" w:rsidP="008107C7">
      <w:pPr>
        <w:pStyle w:val="Extracto"/>
      </w:pPr>
      <w:r>
        <w:lastRenderedPageBreak/>
        <w:t>3.</w:t>
      </w:r>
      <w:r>
        <w:tab/>
        <w:t>Es evidente que tanto en la providencia de 25 de mayo de 1995, en la que sin justificación alguna el Juez transforma una pretensión de suspensión del plazo concedido para cumplimentar precisamente ese requerimiento judicial en un recurso de reposición, contrariando así la voluntad del demandante, como en el Auto de 7 de junio de dicho año, en el que se resuelve el meritado recurso de reposición, se ha utilizado, sin duda, la atribución que también es deber, y que a tal efecto concede el art. 81 L.P.L. al Juez «a quo» de un modo poco respetuoso con el derecho a la tutela judicial efectiva del demandante, pese a que en la primera de tales resoluciones se manifestaba que el propósito de la misma era precisamente la salvaguarda de tal derecho fundamental. En este caso se adoptó una decisión gravemente perjudicial a sus intereses, que, de hecho, le cerró el acceso al proceso, impidíendole así obtener una resolución fundada en Derecho, cualquiera que fuera su signo, susceptible de impugnación por medio de los correspondientes recursos procesales . [F.J. 4]</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2.513/95, promovido por don Jean Luc Lachaut, representado por el Procurador de los Tribunales don Antonio Andrés García Arribas, y asistido del Letrado Sr. Rayón Suárez, interpuesto contra el Auto de 7 de junio de 1995, dictado por el Juzgado de lo Social núm. 25 de Madrid, recaído en los procedimientos laborales acumulados que se tramitan bajo los núms. 218/95 y 281/95. En el que ha comparecido don Celso Marcos Fortín, Procurador de los Tribunales, en nombre y representación de Eurofip S.A., quien se encuentra asistida del Letrado don Fermín de Santiago y Velasco. Ha intervenido el Ministerio Fiscal. Ha sido Ponente el Magistrado don Enrique Ruiz Vadillo,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Mediante escrito de 5 de julio de 1995, don Jean Luc Lachaut, representado por el Procurador de los Tribunales don Antonio Andrés García Arribas, y asistido del Letrado Sr. Suárez Rayón, interpuso recurso de amparo contra el Auto del Juzgado de lo Social núm. 25 de Madrid de fecha 7 de junio de 1995, recaído en los procedimientos laborales acumulados que se tramitan bajo el núm. 218/1995, basándose en síntesis en los siguientes hechos: </w:t>
      </w:r>
    </w:p>
    <w:p w:rsidR="008107C7" w:rsidRDefault="008107C7" w:rsidP="008107C7">
      <w:pPr>
        <w:pStyle w:val="TextoNormal"/>
      </w:pPr>
      <w:r>
        <w:lastRenderedPageBreak/>
        <w:t xml:space="preserve">A) Con fecha 23 de marzo de 1995 don Jean Luc Lachaut presentó demanda sobre resolución de contrato por falta de ocupación efectiva y modificación sustancial de las condiciones de trabajo frente a la Compañía Eurofip, S.A. , domiciliada en Madrid, Calle de Serrano, núm. 67. </w:t>
      </w:r>
    </w:p>
    <w:p w:rsidR="008107C7" w:rsidRDefault="008107C7" w:rsidP="008107C7">
      <w:pPr>
        <w:pStyle w:val="TextoNormal"/>
      </w:pPr>
      <w:r>
        <w:t xml:space="preserve">El conocimiento de dicha demanda correspondió por turno al Juzgado de lo Social núm. 25 de los de Madrid bajo el núm. de autos 218/95. </w:t>
      </w:r>
    </w:p>
    <w:p w:rsidR="008107C7" w:rsidRDefault="008107C7" w:rsidP="008107C7">
      <w:pPr>
        <w:pStyle w:val="TextoNormal"/>
      </w:pPr>
      <w:r>
        <w:t xml:space="preserve">B) Con fecha 11 de abril de 1995 el mismo actor, reaccionando contra la decisión de la Compañía Eurofip, S.A.,que le prohibió según el contenido de la pretensión, la entrada en el Centro de trabajo, procedió a formular demanda por despido nulo o, en su caso, improcedente frente a la misma Compañía, solicitando la acumulación de la misma a la anterior. </w:t>
      </w:r>
    </w:p>
    <w:p w:rsidR="008107C7" w:rsidRDefault="008107C7" w:rsidP="008107C7">
      <w:pPr>
        <w:pStyle w:val="TextoNormal"/>
      </w:pPr>
      <w:r>
        <w:t xml:space="preserve">C) Por providencia de 20 de abril de 1995, el Juzgado de lo Social núm. 25 acordó la acumulación solicitada de los autos sobre despido seguidos con el número 281/95 a los mencionados en primer lugar, es decir, los autos 218/95. </w:t>
      </w:r>
    </w:p>
    <w:p w:rsidR="008107C7" w:rsidRDefault="008107C7" w:rsidP="008107C7">
      <w:pPr>
        <w:pStyle w:val="TextoNormal"/>
      </w:pPr>
      <w:r>
        <w:t xml:space="preserve">D) Habiéndose fijado para la celebración de los actos de conciliación y juicio el día 11 de mayo de 1995, a las 11 horas de su mañana a fin de resolver en una sola Sentencia las cuestiones planteadas en cada uno de los procedimientos acumulados, el Sr. Lachaut compareció en la Sala de Audiencias del Juzgado en cuestión, según manifiesta en la demanda de amparo. </w:t>
      </w:r>
    </w:p>
    <w:p w:rsidR="008107C7" w:rsidRDefault="008107C7" w:rsidP="008107C7">
      <w:pPr>
        <w:pStyle w:val="TextoNormal"/>
      </w:pPr>
      <w:r>
        <w:t xml:space="preserve">E) Al Sr. Lachaut antes de entrar en juicio le fue planteada por el Magistrado la necesidad de que se ampliara la demanda contra B.N.P. Sucursal en España, por entender que Eurofip S.A. siendo una Sociedad filial del Holding del que aquella es matriz, la relación jurídico procesal no estaría bien constituida ya que, al existir un litis-consorcio pasivo necesario, era preciso traer a autos a la mencionada Compañía B.N.P. Sucursal en España, a cuyo efecto el Juzgado concedió un plazo de cuatro días para subsanar defectos, mediante notificación verbal y sin entrega del documento en que constara tal decisión. Y ello con advertencia de archivo. </w:t>
      </w:r>
    </w:p>
    <w:p w:rsidR="008107C7" w:rsidRDefault="008107C7" w:rsidP="008107C7">
      <w:pPr>
        <w:pStyle w:val="TextoNormal"/>
      </w:pPr>
      <w:r>
        <w:t xml:space="preserve">F) Consultado el Registro Mercantil de Madrid, se indicó verbalmente al Sr. Lachaut que en el mismo no existía inscripción alguna relativa a Compañía que girara con tal denominación. Por ello se solicitó la expedición de certificación que acreditara tal extremo. </w:t>
      </w:r>
    </w:p>
    <w:p w:rsidR="008107C7" w:rsidRDefault="008107C7" w:rsidP="008107C7">
      <w:pPr>
        <w:pStyle w:val="TextoNormal"/>
      </w:pPr>
      <w:r>
        <w:t xml:space="preserve">G) De manera inmediata el Sr. Lachaut procedió a poner en conocimiento del Juzgado tal extremo mediante escrito presentado el día 12 de mayo de 1995, a la vez que se comprometía a entregar al Juzgado el correspondiente certificado negativo expedido por el Registro Mercantil, una vez estuviera en su poder. En el suplico del mismo se interesaba del Juzgado que suspendiera el plazo para completar la demanda, hasta el momento de que dispusiera del mencionado certificado para acordar lo que procediera. </w:t>
      </w:r>
    </w:p>
    <w:p w:rsidR="008107C7" w:rsidRDefault="008107C7" w:rsidP="008107C7">
      <w:pPr>
        <w:pStyle w:val="TextoNormal"/>
      </w:pPr>
      <w:r>
        <w:t xml:space="preserve">H) Por providencia del Juzgado de lo Social núm. 25, de 25 de mayo siguiente notificada el día 30 del mismo mes, se acordó lo siguiente: "Por presentado el anterior escrito, únase a los autos de su razón. En aras de una tutela efectiva, y haciendo en este supuesto una muy generosa interpretación del art. 24 de la C.E., a la vista de que una de las acciones acumuladas es la de despido, se ha de entender por los términos del escrito del 12 de mayo de 1995, puesto en conexión con el Acuerdo de este Juzgado adoptado el día anterior, el propósito de recurrir el mismo, que únicamente lo puede ser en reposición, al amparo del art.183 de la L.P.L. por lo que se tiene por interpuesto en tiempo y forma dicho recurso, dándose el traslado a la demandada para que en el plazo máximo de tres días lo impugne si así lo estimara por conveniente." </w:t>
      </w:r>
    </w:p>
    <w:p w:rsidR="008107C7" w:rsidRDefault="008107C7" w:rsidP="008107C7">
      <w:pPr>
        <w:pStyle w:val="TextoNormal"/>
      </w:pPr>
      <w:r>
        <w:lastRenderedPageBreak/>
        <w:t>I) El 7 de junio de 1995 el Juzgado de lo Social núm. 25 dictó Auto, en el que se desestimó el recurso de reposición que el propio Juzgado entendió formulado en el escrito presentado el 12 de mayo contra la resolución del mismo del día anterior, que ratifica en todos sus términos ordenando el archivo de las actuaciones.</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Don Jean Luc Lachaut presenta demanda de amparo contra el Auto del Juzgado de lo Social núm. 25 de 7 de Junio de 1995 la que tiene entrada en el Registro General del Tribunal Constitucional el 5 de julio de 1995, habiendo sido notificado dicho Auto el día 13 de junio de 1995. </w:t>
      </w:r>
    </w:p>
    <w:p w:rsidR="008107C7" w:rsidRDefault="008107C7" w:rsidP="008107C7">
      <w:pPr>
        <w:pStyle w:val="TextoNormal"/>
      </w:pPr>
      <w:r>
        <w:t>El recurso de amparo entiende vulnerado el art. 24.1 de la C.E., alegando que dicha resolución ha sido dictada sin la suficiente motivación, que por otra parte resulta arbitraria o irrazonada, habiéndose aplicado restrictivamente las normas que regulan los requisitos o presupuestos procesales, coartando el derecho del demandante al proceso debido.</w:t>
      </w:r>
    </w:p>
    <w:p w:rsidR="008107C7" w:rsidRDefault="008107C7" w:rsidP="008107C7">
      <w:pPr>
        <w:pStyle w:val="TextoNormal"/>
      </w:pPr>
    </w:p>
    <w:p w:rsidR="008107C7" w:rsidRDefault="008107C7" w:rsidP="008107C7">
      <w:pPr>
        <w:pStyle w:val="TextoNormal"/>
      </w:pPr>
      <w:r w:rsidRPr="008107C7">
        <w:rPr>
          <w:rStyle w:val="NumeroAFNegritaCaracter"/>
        </w:rPr>
        <w:t>3</w:t>
      </w:r>
      <w:r>
        <w:t>. Por providencia de 14 de diciembre de 1995 se acordó, a tenor de lo dispuesto en el art. 50.3 LOTC, conceder un plazo común de diez días al Ministerio Fiscal y al solicitante de amparo, para que dentro de dicho término aleguen lo que estimen pertinente en relación con la posible existencia del siguiente motivo de inadmisión: carecer la demanda manifiestamente de contenido que justifique una decisión por parte del Tribunal Constitucional de conformidad con lo prevenido en el art. 50.1c) de la citada Ley Orgánica.</w:t>
      </w:r>
    </w:p>
    <w:p w:rsidR="008107C7" w:rsidRDefault="008107C7" w:rsidP="008107C7">
      <w:pPr>
        <w:pStyle w:val="TextoNormal"/>
      </w:pPr>
    </w:p>
    <w:p w:rsidR="008107C7" w:rsidRDefault="008107C7" w:rsidP="008107C7">
      <w:pPr>
        <w:pStyle w:val="TextoNormal"/>
      </w:pPr>
      <w:r w:rsidRPr="008107C7">
        <w:rPr>
          <w:rStyle w:val="NumeroAFNegritaCaracter"/>
        </w:rPr>
        <w:t>4</w:t>
      </w:r>
      <w:r>
        <w:t>. Por escrito de 28 de diciembre de 1995, la representación del demandante, se ratificó en las alegaciones contenidas en su demanda de amparo.</w:t>
      </w:r>
    </w:p>
    <w:p w:rsidR="008107C7" w:rsidRDefault="008107C7" w:rsidP="008107C7">
      <w:pPr>
        <w:pStyle w:val="TextoNormal"/>
      </w:pPr>
    </w:p>
    <w:p w:rsidR="008107C7" w:rsidRDefault="008107C7" w:rsidP="008107C7">
      <w:pPr>
        <w:pStyle w:val="TextoNormal"/>
      </w:pPr>
      <w:r w:rsidRPr="008107C7">
        <w:rPr>
          <w:rStyle w:val="NumeroAFNegritaCaracter"/>
        </w:rPr>
        <w:t>5</w:t>
      </w:r>
      <w:r>
        <w:t>. Por escrito registrado el día 12 de enero de 1996, el Ministerio Fiscal manifestó que en el presente caso, no concurre la causa de inadmisión del art. 50.1c) LOTC, y por tanto procedía la admisión a trámite del recurso de amparo interpuesto por el demandante.</w:t>
      </w:r>
    </w:p>
    <w:p w:rsidR="008107C7" w:rsidRDefault="008107C7" w:rsidP="008107C7">
      <w:pPr>
        <w:pStyle w:val="TextoNormal"/>
      </w:pPr>
    </w:p>
    <w:p w:rsidR="008107C7" w:rsidRDefault="008107C7" w:rsidP="008107C7">
      <w:pPr>
        <w:pStyle w:val="TextoNormal"/>
      </w:pPr>
      <w:r w:rsidRPr="008107C7">
        <w:rPr>
          <w:rStyle w:val="NumeroAFNegritaCaracter"/>
        </w:rPr>
        <w:t>6</w:t>
      </w:r>
      <w:r>
        <w:t>. Por providencia de 10 de julio de 1996, se acordó la admisión a trámite de la presente demanda de amparo, así como a tenor de lo dispuesto en el art. 51 LOTC, requerir al Juzgado de lo Social núm. 25 de Madrid, para que en el plazo de diez días remitiera testimonio de los autos núms. 218/95 y 281/95, interesando al mismo tiempo, el emplazamiento de cuantas personas fueron parte en dicha causa judicial, con excepción del recurrente en amparo, para que en el plazo máximo e improrrogable de diez días, comparecieran en el presente procedimiento constitucional, si a su derecho convinieran.</w:t>
      </w:r>
    </w:p>
    <w:p w:rsidR="008107C7" w:rsidRDefault="008107C7" w:rsidP="008107C7">
      <w:pPr>
        <w:pStyle w:val="TextoNormal"/>
      </w:pPr>
    </w:p>
    <w:p w:rsidR="008107C7" w:rsidRDefault="008107C7" w:rsidP="008107C7">
      <w:pPr>
        <w:pStyle w:val="TextoNormal"/>
      </w:pPr>
      <w:r w:rsidRPr="008107C7">
        <w:rPr>
          <w:rStyle w:val="NumeroAFNegritaCaracter"/>
        </w:rPr>
        <w:t>7</w:t>
      </w:r>
      <w:r>
        <w:t>. Por providencia de 19 de diciembre de 1996 se tuvo por personado a don Celso Marcos Fortín, Procurador de los Tribunales, en nombre y representación de Eurofip,S.A., así como por recibidos los testimonios de las actuaciones solicitadas. Al mismo tiempo, conforme a lo dispuesto en el art. 52 LOTC, se acordó dar vista de las actuaciones recibidas, y de las demás existentes en el presente recurso de amparo en Secretaría, por un plazo común de veinte días al Ministerio Fiscal, a la representación procesal del recurrente en amparo, así como a don Celso Marcos Fortín, Procurador de los Tribunales, en nombre y representación de Eurofip,S.A. para que dentro de dicho plazo pudieran presentar las alegaciones que a su derecho conviniera.</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8</w:t>
      </w:r>
      <w:r>
        <w:t>. La representación procesal del recurrente en amparo por escrito registrado el día 28 de octubre de 1996, se ratificó en las manifestaciones efectuadas con anterioridad en el presente recurso de amparo, reiterando su contenido.</w:t>
      </w:r>
    </w:p>
    <w:p w:rsidR="008107C7" w:rsidRDefault="008107C7" w:rsidP="008107C7">
      <w:pPr>
        <w:pStyle w:val="TextoNormal"/>
      </w:pPr>
    </w:p>
    <w:p w:rsidR="008107C7" w:rsidRDefault="008107C7" w:rsidP="008107C7">
      <w:pPr>
        <w:pStyle w:val="TextoNormal"/>
      </w:pPr>
      <w:r w:rsidRPr="008107C7">
        <w:rPr>
          <w:rStyle w:val="NumeroAFNegritaCaracter"/>
        </w:rPr>
        <w:t>9</w:t>
      </w:r>
      <w:r>
        <w:t xml:space="preserve">. Por el Ministerio Fiscal, mediante escrito de 7 de noviembre de 1997, se efectuaron las siguientes manifestaciones: </w:t>
      </w:r>
    </w:p>
    <w:p w:rsidR="008107C7" w:rsidRDefault="008107C7" w:rsidP="008107C7">
      <w:pPr>
        <w:pStyle w:val="TextoNormal"/>
      </w:pPr>
      <w:r>
        <w:t xml:space="preserve">A) Desde este momento interesa destacar que lo pretendido y que debe ser resuelto en esta sede, es si de tal auto se infiere la lesión del derecho fundamental a la tutela judicial efectiva, en su derivación del derecho a la congruencia y de acceso al proceso sin que, por el contrario, ello suponga penetración de ningún género en las facultades de la jurisdicción ordinaria en orden a las posibles excepciones que se puedan en su día alegar en torno a una presunta falta de legitimación pasiva o a un defecto en la constitución de la relación jurídico procesal. Menos aún, procede que nos ocupemos ni en Derecho ni de modo tangencial, de la pretensión de fondo, que puede venir ligada a la cuestión anterior. </w:t>
      </w:r>
    </w:p>
    <w:p w:rsidR="008107C7" w:rsidRDefault="008107C7" w:rsidP="008107C7">
      <w:pPr>
        <w:pStyle w:val="TextoNormal"/>
      </w:pPr>
      <w:r>
        <w:t xml:space="preserve">La decisión judicial de solicitar ampliación de demanda viene enmarcada en las potestades que en el proceso laboral, dado su carácter protector de intereses especiales, otorga el legislador al Juez que puede, en determinados supuestos con base en el art. 81 L.P.L., "advertir a la parte de los defectos, omisiones o imprevisiones en que haya incurrido al redactar la demanda...", todo ello en el plazo de cuatro días y con apercibimiento de archivo. </w:t>
      </w:r>
    </w:p>
    <w:p w:rsidR="008107C7" w:rsidRDefault="008107C7" w:rsidP="008107C7">
      <w:pPr>
        <w:pStyle w:val="TextoNormal"/>
      </w:pPr>
      <w:r>
        <w:t xml:space="preserve">El citado precepto ha sido objeto de numerosas Sentencias del Tribunal Constitucional, siendo el tenor de la doctrina el siguiente (STC 335/1994, fundamento jurídico 4º): el juzgador debe advertir a la parte actora la existencia de defectos en la demanda y concederle un plazo para su subsanación, pero el incumplimiento del requerimiento judicial en el plazo improrrogable legalmente establecido determina irremisiblemente el archivo de las actuaciones (STC 25/1991). En principio, pues, la decisión de archivar el procedimiento si el demandante incumple el mandato judicial no viola el art. 24.1 C.E. porque se basa en la concurrencia de una causa legalmente prevista para la inadmisión de la demanda, aunque la norma ha de ser aplicada con un criterio antiformalista y no rigorista a fin de no impedir injustificadamente la obtención de una resolución de fondo sobre la pretensión ejercitada, analizando, en particular, si la subsanación requerida, por ser jurídicamente exigible, no constituía un obstáculo innecesario para acceder al proceso (SSTC 39/1984, 172/1987 y 216/1989) [fundamento jurídico 4º])". </w:t>
      </w:r>
    </w:p>
    <w:p w:rsidR="008107C7" w:rsidRDefault="008107C7" w:rsidP="008107C7">
      <w:pPr>
        <w:pStyle w:val="TextoNormal"/>
      </w:pPr>
      <w:r>
        <w:t xml:space="preserve">Lo anterior está en consonancia con la doctrina general en orden, de un lado a la debida observancia de las leyes procesales y los plazos marcados por ella y, de otro, a la evitación de los rigorismos desproporcionados y contrarios al derecho al proceso. La conclusión que se obtiene es que se hace necesario analizar caso por caso para detectar si hay o no la lesión de derecho fundamental. </w:t>
      </w:r>
    </w:p>
    <w:p w:rsidR="008107C7" w:rsidRDefault="008107C7" w:rsidP="008107C7">
      <w:pPr>
        <w:pStyle w:val="TextoNormal"/>
      </w:pPr>
      <w:r>
        <w:t xml:space="preserve">B) Ocurre en el presente caso que una decisión judicial que quiere ser respetuosa y generosa, se dice, de la tutela judicial efectiva, se torna en vulneradora de tal derecho. </w:t>
      </w:r>
    </w:p>
    <w:p w:rsidR="008107C7" w:rsidRDefault="008107C7" w:rsidP="008107C7">
      <w:pPr>
        <w:pStyle w:val="TextoNormal"/>
      </w:pPr>
      <w:r>
        <w:t xml:space="preserve">La mutación del escrito del recurrente en amparo en recurso de reposición no tiene razón de ser no solo porque se subvierte la voluntad de la parte que no menciona la palabra recurso en el escrito sino porque no se detecta una disconformidad con el Acuerdo judicial del día anterior. No se niega a ampliar la demanda ni a vulnerar el plazo dado. Simplemente se limita a pedir su suspensión, con independencia de que, como obiter dicta, se hagan afirmaciones relacionadas con el fondo. Lo que debe primar es el destacado suplico anteriormente referido. </w:t>
      </w:r>
    </w:p>
    <w:p w:rsidR="008107C7" w:rsidRDefault="008107C7" w:rsidP="008107C7">
      <w:pPr>
        <w:pStyle w:val="TextoNormal"/>
      </w:pPr>
      <w:r>
        <w:t xml:space="preserve">En este sentido el Ministerio Fiscal reiterando su escrito pidiendo la admisión pone de relieve: </w:t>
      </w:r>
    </w:p>
    <w:p w:rsidR="008107C7" w:rsidRDefault="008107C7" w:rsidP="008107C7">
      <w:pPr>
        <w:pStyle w:val="TextoNormal"/>
      </w:pPr>
      <w:r>
        <w:lastRenderedPageBreak/>
        <w:t xml:space="preserve">1º) El recurrente centra su argumentación sobre la ampliación de la demanda, tema que solo tangencialmente y como refuerzo de su petición de suspensión había alegado en su escrito de 12 de mayo de 1995. </w:t>
      </w:r>
    </w:p>
    <w:p w:rsidR="008107C7" w:rsidRDefault="008107C7" w:rsidP="008107C7">
      <w:pPr>
        <w:pStyle w:val="TextoNormal"/>
      </w:pPr>
      <w:r>
        <w:t xml:space="preserve">2º) El Juzgado no se pronuncia, sobre la petición del actor de suspensión ni dispuso del documento registral que había anunciado aportar el actor. </w:t>
      </w:r>
    </w:p>
    <w:p w:rsidR="008107C7" w:rsidRDefault="008107C7" w:rsidP="008107C7">
      <w:pPr>
        <w:pStyle w:val="TextoNormal"/>
      </w:pPr>
      <w:r>
        <w:t xml:space="preserve">3º) Acuerda el archivo por haber transcurrido el plazo de la ampliación de la demanda, cuando se había interesado su suspensión. </w:t>
      </w:r>
    </w:p>
    <w:p w:rsidR="008107C7" w:rsidRDefault="008107C7" w:rsidP="008107C7">
      <w:pPr>
        <w:pStyle w:val="TextoNormal"/>
      </w:pPr>
      <w:r>
        <w:t>Como en alguna frase del Auto se desliza, la cuestión en él resuelta está relacionada con el fondo de la pretensión sin que procediera resolverla en ese momento procesal. Se desconecta de otro lado de la pretensión de suspensión, a la que no se contesta ni explícita ni implícitamente. Esta última no puede consistir en la mera remisión al fallo o "resuelvo" del auto ni tampoco se deduce de los anteriores razonamientos toda vez que una cosa es que el juez considere que se debe demandar al B.N.P. y otra distinta es que estime que el plazo no debía ser prorrogado lo que exige una explicación al justiciable. Se puede pensar lícitamente que hubiera sido preferible acordar directamente el archivo, en vez de cambiar el sentido del escrito, toda vez que, en este caso el aquí recurrente en amparo hubiera podido desplegar sus argumentos en un eventual recurso de reposición que se niega en el dictado y recurrido en amparo al no ser admisible un recurso de reposición contra el que desestima uno del mismo género.</w:t>
      </w:r>
    </w:p>
    <w:p w:rsidR="008107C7" w:rsidRDefault="008107C7" w:rsidP="008107C7">
      <w:pPr>
        <w:pStyle w:val="TextoNormal"/>
      </w:pPr>
    </w:p>
    <w:p w:rsidR="008107C7" w:rsidRDefault="008107C7" w:rsidP="008107C7">
      <w:pPr>
        <w:pStyle w:val="TextoNormal"/>
      </w:pPr>
      <w:r w:rsidRPr="008107C7">
        <w:rPr>
          <w:rStyle w:val="NumeroAFNegritaCaracter"/>
        </w:rPr>
        <w:t>10</w:t>
      </w:r>
      <w:r>
        <w:t>. Por escrito de 7 de noviembre de 1996, don Celso Marcos Fortín, Procurador de los Tribunales, en nombre y representación de Eurofip,S.A., manifestó su oposición a las pretensiones manifestadas por el recurrente en amparo, al no haber existido la quiebra constitucional denunciada en la demanda de amparo.</w:t>
      </w:r>
    </w:p>
    <w:p w:rsidR="008107C7" w:rsidRDefault="008107C7" w:rsidP="008107C7">
      <w:pPr>
        <w:pStyle w:val="TextoNormal"/>
      </w:pPr>
    </w:p>
    <w:p w:rsidR="008107C7" w:rsidRDefault="008107C7" w:rsidP="008107C7">
      <w:pPr>
        <w:pStyle w:val="TextoNormal"/>
      </w:pPr>
      <w:r w:rsidRPr="008107C7">
        <w:rPr>
          <w:rStyle w:val="NumeroAFNegritaCaracter"/>
        </w:rPr>
        <w:t>11</w:t>
      </w:r>
      <w:r>
        <w:t>. Por providencia de 21 de abril de 1997, se señaló para la deliberación y votación de la presente Sentencia el día 22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Antes de resolver sobre el tema que se somete a nuestra consideración es importante destacar la significación que en nuestro ordenamiento tiene el derecho a la tutela judicial, esto es, en expresión del art. 24.1 C.E., el derecho a obtener la tutela judicial efectiva del Jueces y Tribunales en el ejercicio de sus derechos e intereses legítimos sin que en ningún caso pueda producirse indefensión. En este sentido existe una extensísima jurisprudencia de este Tribunal (SSTC 162/1993 y 39/1995, entre otras), y especialmente la STC 99/1985 al manifestar que la tutela judicial efectiva comprende el derecho a obtener una resolución fundada en Derecho que podrá ser de inadmisión cuando concurra alguna causa legal para ello y así lo acuerde el Juez o Tribunal en aplicación razonada de la misma</w:t>
      </w:r>
    </w:p>
    <w:p w:rsidR="008107C7" w:rsidRDefault="008107C7" w:rsidP="008107C7">
      <w:pPr>
        <w:pStyle w:val="TextoNormal"/>
      </w:pPr>
    </w:p>
    <w:p w:rsidR="008107C7" w:rsidRDefault="008107C7" w:rsidP="008107C7">
      <w:pPr>
        <w:pStyle w:val="TextoNormal"/>
      </w:pPr>
      <w:r w:rsidRPr="008107C7">
        <w:rPr>
          <w:rStyle w:val="NumeroAFNegritaCaracter"/>
        </w:rPr>
        <w:t>2</w:t>
      </w:r>
      <w:r>
        <w:t>. Por otra parte es frecuente que, en el orden jurisdiccional laboral o social, los Jueces, teniendo en cuenta la naturaleza de las relaciones a ella incorporadas, reciban de las leyes correspondientes una serie de facultades discrecionales dirigidas precisamente para una mejor efectividad de este derecho que obviamente no se pueden transformar en obstáculos para el buen desarrollo del proceso que en definitiva pretende terminar con la resolución que en cada caso proceda en Derecho.</w:t>
      </w:r>
    </w:p>
    <w:p w:rsidR="008107C7" w:rsidRDefault="008107C7" w:rsidP="008107C7">
      <w:pPr>
        <w:pStyle w:val="TextoNormal"/>
      </w:pPr>
      <w:r>
        <w:lastRenderedPageBreak/>
        <w:t>En este sentido el art.81.1 L.P.L. prescribe, tal como ha puesto de manifiesto la STC 335/1994, que el órgano judicial advertirá a la parte de los defectos, omisiones o imprecisiones en que haya incurrido el actor al redactar la demanda, a fin de que los subsane en el plazo de cuatro días, con apercibimiento de que, si no lo efectuase, se ordenará su archivo. La doctrina elaborada por este Tribunal en torno a su precedente inmediato - párrafo 1º del art.  72 L.P.L. de 1980- ha tenido ocasión de precisar, de un lado, que tal atribución es constitucionalmente inobjetable puesto que responde a una finalidad razonable y necesaria, incluso respecto de la brevedad del plazo de subsanación establecido, acorde con el principio de celeridad que preside los procesos laborales (STC 154/1992, fundamento jurídico 3º) y, de otro, que se trata, no de una mera facultad, sino de una auténtica obligación legal del órgano judicial dirigida a garantizar que los derechos e intereses legítimos deducidos en una demanda laboral no resulten ineficaces por el juego riguroso y formalista de la falta o defecto de los requisitos formales que pudiera imputársele a aquélla (SSTC 118/1987, 11/1988 y 232/1988).  El juzgador debe advertir a la parte actora la existencia de defectos en la demanda y concederle un plazo para su subsanación, pero el incumplimiento del requerimiento judicial en el plazo improrrogable legalmente establecido determina irremisiblemente el archivo de las actuaciones (STC 25/1991). En principio, pues, la decisión de archivar el procedimiento si el demandante incumple el mandato judicial no viola el art. 24.1 C.E., porque se basa en la concurrencia de una causa legalmente prevista para la inadmisión de la demanda, aunque la norma ha de ser aplicada con un criterio antiformalista y no rigorista a fin de no impedir injustificadamente la obtención de una resolución de fondo sobre la pretensión ejercitada, analizando, en particular, si la subsanación requerida, por ser jurídicamente exigible, no constituye un obstáculo innecesario para acceder al proceso (SSTC 39/1984, 172/1987 y 216/1989).</w:t>
      </w:r>
    </w:p>
    <w:p w:rsidR="008107C7" w:rsidRDefault="008107C7" w:rsidP="008107C7">
      <w:pPr>
        <w:pStyle w:val="TextoNormal"/>
      </w:pPr>
      <w:r>
        <w:t>Al respecto tampoco es ocioso recordar que el art.  24.1 C.E. no deja los plazos legales al arbitrio de las partes, ni somete a la libre disposición de éstas su prórroga ni el tiempo en que han de ser cumplidos, sin que sea posible subsanar la extemporaneidad o el incumplimiento de un plazo, el cual se agota una vez que llega a su término.</w:t>
      </w:r>
    </w:p>
    <w:p w:rsidR="008107C7" w:rsidRDefault="008107C7" w:rsidP="008107C7">
      <w:pPr>
        <w:pStyle w:val="TextoNormal"/>
      </w:pPr>
      <w:r>
        <w:t>En el mismo sentido no puede afirmarse que la subsanación exigida entrañe un obstáculo innecesario para obtener un pronunciamiento de fondo sobre la pretensión ejercitada.  Ciertamente, el precepto parece circunscribir el ámbito de la subsanación a defectos de tipo formal (STC 210/1992, fundamento jurídico 1º), al incumplimiento de los requisitos generales y específicos de las distintas demandas, y, por tanto, el control judicial no se extiende al examen de los presupuestos procesales. Sin embargo, la jurisprudencia social viene sosteniendo, en general, que el juzgador, de oficio y a través de este cauce, debe velar por la correcta constitución de la relación jurídico-procesal en las situaciones de litisconsorcio pasivo, a fin de conseguir, salvaguardando el principio de audiencia bilateral, que la cosa juzgada material despliegue sus efectos y evitar así que se dicten eventuales fallos contradictorios sobre un mismo asunto (SSTS de 15 de diciembre de 1987; 14 de marzo, 19 de septiembre y 22 de diciembre de 1988; 24 de febrero, 17 de julio y 1 y 11 de diciembre de 1989; y 19 de mayo de 1992). En segundo lugar, aunque es en la fase de admisión de la demanda cuando ha de tener lugar el requerimiento, también propugna la jurisprudencia que la inadvertencia inicial no precluye la obligación del órgano judicial de poner de manifiesto en un momento procesal posterior los defectos observados, como tuvo oportunidad de subrayar la STC 25/1991.</w:t>
      </w:r>
    </w:p>
    <w:p w:rsidR="008107C7" w:rsidRDefault="008107C7" w:rsidP="008107C7">
      <w:pPr>
        <w:pStyle w:val="TextoNormal"/>
      </w:pPr>
    </w:p>
    <w:p w:rsidR="008107C7" w:rsidRDefault="008107C7" w:rsidP="008107C7">
      <w:pPr>
        <w:pStyle w:val="TextoNormal"/>
      </w:pPr>
      <w:r w:rsidRPr="008107C7">
        <w:rPr>
          <w:rStyle w:val="NumeroAFNegritaCaracter"/>
        </w:rPr>
        <w:t>3</w:t>
      </w:r>
      <w:r>
        <w:t xml:space="preserve">. En el caso que nos ocupa, el Juez de lo Social, al entender que la relación jurídico-procesal estaba deficientemente constituida requirió al actor para que subsanara el defecto, </w:t>
      </w:r>
      <w:r>
        <w:lastRenderedPageBreak/>
        <w:t>con advertencia de archivo y concedió un plazo de cuatro días para que demandara a otra Sociedad, lo que dio lugar a un escrito del entonces actor y ahora demandante en amparo en el que únicamente se solicitaba una suspensión del plazo concedido para completar la demanda hasta que la certificación del Registro público correspondiente le fuera facilitada.</w:t>
      </w:r>
    </w:p>
    <w:p w:rsidR="008107C7" w:rsidRDefault="008107C7" w:rsidP="008107C7">
      <w:pPr>
        <w:pStyle w:val="TextoNormal"/>
      </w:pPr>
      <w:r>
        <w:t>Según se explicita por el Juzgado, tal pretensión es transformada por el Juez en un recurso de reposición, algo que realmente era contrario a la voluntad del actor, y ello se lleva a cabo con la finalidad de facilitar la aplicación de la tutela efectiva.  Sin embargo el escrito del demandante tenía otra finalidad bien distinta, muy precisa y concreta, y desde luego inequívoca.</w:t>
      </w:r>
    </w:p>
    <w:p w:rsidR="008107C7" w:rsidRDefault="008107C7" w:rsidP="008107C7">
      <w:pPr>
        <w:pStyle w:val="TextoNormal"/>
      </w:pPr>
    </w:p>
    <w:p w:rsidR="008107C7" w:rsidRDefault="008107C7" w:rsidP="008107C7">
      <w:pPr>
        <w:pStyle w:val="TextoNormal"/>
      </w:pPr>
      <w:r w:rsidRPr="008107C7">
        <w:rPr>
          <w:rStyle w:val="NumeroAFNegritaCaracter"/>
        </w:rPr>
        <w:t>4</w:t>
      </w:r>
      <w:r>
        <w:t>. Así las cosas, es evidente que tanto en la providencia de 25 de mayo de 1995, en la que sin justificación alguna el Juez transforma una pretensión de suspensión del plazo concedido para cumplimentar precisamente ese requerimiento judicial en un recurso de reposición, contrariando así la voluntad del demandante, como en el Auto de 7 de junio de dicho año, en el que se resuelve el meritado recurso de reposición, se ha utilizado sin duda la atribución que también es deber, y que a tal efecto concede el art. 81 L.P.L.  al Juez a quo de un modo poco respetuoso con el derecho a la tutela judicial efectiva del demandante, pese a que en la primera de tales resoluciones se manifestaba que el propósito de la misma era precisamente la salvaguarda de tal derecho fundamental. En este caso se adoptó una decisión gravemente perjudicial a sus intereses, que, de hecho, le cerró el acceso al proceso, impidíendole así obtener una resolución fundada en Derecho, cualquiera que fuera su signo, susceptible de impugnación por medio de los correspondientes recursos procesales.</w:t>
      </w:r>
    </w:p>
    <w:p w:rsidR="008107C7" w:rsidRDefault="008107C7" w:rsidP="008107C7">
      <w:pPr>
        <w:pStyle w:val="TextoNormal"/>
      </w:pPr>
      <w:r>
        <w:t>Como bien indica el Ministerio Fiscal, una decisión judicial que quiso ser respetuosa -e incluso generosa, según expresamente se advierte en la misma- se tornó vulneradora del derecho del trabajador, a recibir una respuesta respecto de unas pretensiones acumuladas frente a un empleador.</w:t>
      </w:r>
    </w:p>
    <w:p w:rsidR="008107C7" w:rsidRDefault="008107C7" w:rsidP="008107C7">
      <w:pPr>
        <w:pStyle w:val="TextoNormal"/>
      </w:pPr>
      <w:r>
        <w:t>Ello determina, en definitiva, que la aplicación que el órgano judicial ha efectuado del citado art. 81 L.P.L., como ha quedado dicho, merezca reproche constitucional, toda vez que tal precepto ha sido interpretado con un criterio formalista y rigorista, lo que ha impedido injustificadamente al demandante la obtención de una resolución de fondo sobre la pretensión ejercitada. Por todo ello, la respuesta de este Tribunal no puede ser otra que conceder al demandante el amparo solicitado, como consecuencia de la lesión constitucional producida en su derecho a la tutela judicial efectiva (art. 24.1 C.E.).</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Estimar el amparo solicitado por don Jean Luc Lachaut y, en su virtud :</w:t>
      </w:r>
    </w:p>
    <w:p w:rsidR="008107C7" w:rsidRDefault="008107C7" w:rsidP="008107C7">
      <w:pPr>
        <w:pStyle w:val="TextoNormal"/>
      </w:pPr>
      <w:r>
        <w:t>1º Reconocer el derecho del demandante a la tutela judicial efectiva (art. 24.1 C.E.).</w:t>
      </w:r>
    </w:p>
    <w:p w:rsidR="008107C7" w:rsidRDefault="008107C7" w:rsidP="008107C7">
      <w:pPr>
        <w:pStyle w:val="TextoNormal"/>
      </w:pPr>
      <w:r>
        <w:t>2º Declarar la nulidad del Auto de 7 de junio de 1995 y de la providencia de 25 de mayo de dicho año, del Juzgado de lo Social núm. 25 de Madrid, dictado en los procedimientos laborales acumulados núm. 218/95 y 281/95.</w:t>
      </w:r>
    </w:p>
    <w:p w:rsidR="008107C7" w:rsidRDefault="008107C7" w:rsidP="008107C7">
      <w:pPr>
        <w:pStyle w:val="TextoNormal"/>
      </w:pPr>
      <w:r>
        <w:lastRenderedPageBreak/>
        <w:t>3º Retrotraer tales actuaciones judiciales al momento anterior a la citada providencia de 25 de mayo de 1995, a fin de que por dicho órgano judicial se dicte nueva resolución que sea respetuosa con el derecho a la tutela judicial efectiva de don Jean Luc Lachaut.</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veintidós de abril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88" w:name="SENTENCIA_1997_85"/>
      <w:r>
        <w:lastRenderedPageBreak/>
        <w:t>SENTENCIA 85/1997, de 22 de abril de 1997</w:t>
      </w:r>
    </w:p>
    <w:bookmarkEnd w:id="88"/>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121, de 21 de mayo de 1997)</w:t>
      </w:r>
    </w:p>
    <w:p w:rsidR="008107C7" w:rsidRDefault="008107C7" w:rsidP="008107C7">
      <w:pPr>
        <w:pStyle w:val="TtuloBOE"/>
      </w:pPr>
    </w:p>
    <w:p w:rsidR="008107C7" w:rsidRDefault="008107C7" w:rsidP="008107C7">
      <w:pPr>
        <w:pStyle w:val="SntesisDescriptiva"/>
      </w:pPr>
      <w:r>
        <w:t>ECLI:ES:TC:1997:85</w:t>
      </w:r>
    </w:p>
    <w:p w:rsidR="008107C7" w:rsidRDefault="008107C7" w:rsidP="008107C7">
      <w:pPr>
        <w:pStyle w:val="SntesisDescriptiva"/>
      </w:pPr>
    </w:p>
    <w:p w:rsidR="008107C7" w:rsidRDefault="008107C7" w:rsidP="008107C7">
      <w:pPr>
        <w:pStyle w:val="SntesisDescriptiva"/>
      </w:pPr>
      <w:r>
        <w:t>Recurso de amparo 3.850/1995. Contra Auto  de la Audiencia Provincial de Albacete desestimatorio de recurso de apelación interpuesto frente al Auto del Juzgado de Instrucción núm. 3 de Albacete, dictado en procedimiento abreviado.</w:t>
      </w:r>
    </w:p>
    <w:p w:rsidR="008107C7" w:rsidRDefault="008107C7" w:rsidP="008107C7">
      <w:pPr>
        <w:pStyle w:val="SntesisDescriptiva"/>
      </w:pPr>
    </w:p>
    <w:p w:rsidR="008107C7" w:rsidRDefault="008107C7" w:rsidP="008107C7">
      <w:pPr>
        <w:pStyle w:val="SntesisAnaltica"/>
      </w:pPr>
      <w:r>
        <w:t>Supuesta vulneración del derecho a la tutela judicial efectiva: alcance del "ius ut procedatur" que ostenta el ofendido por el delito.</w:t>
      </w:r>
    </w:p>
    <w:p w:rsidR="008107C7" w:rsidRDefault="008107C7" w:rsidP="008107C7">
      <w:pPr>
        <w:pStyle w:val="SntesisAnaltica"/>
      </w:pPr>
    </w:p>
    <w:p w:rsidR="008107C7" w:rsidRDefault="008107C7" w:rsidP="008107C7">
      <w:pPr>
        <w:pStyle w:val="Extracto"/>
      </w:pPr>
      <w:r>
        <w:t>1.</w:t>
      </w:r>
      <w:r>
        <w:tab/>
        <w:t>En la STC 186/1990 quedó establecido: «La Ley concede al Juez de instrucción -no al órgano de enjuiciamiento- la facultad de controlar la consistencia o solidez de la acusación que se formula, pues (...) el art. 790.6 L.E.Crim., tras enunciar la regla general de la vinculación del Instructor con la petición de apertura del juicio, permite al Juez denegar la apertura del juicio en dos supuestos, a saber: cuando el hecho no sea constitutivo de delito o ante la inexistencia de indicios racionales de criminalidad contra el acusado, en cuyo caso acordará el sobreseimiento que corresponda. Pero este juicio acerca de la improcedencia de abrir el juicio oral -en definitiva de la improcedencia de la acusación formulada-, de existir, es un juicio negativo en virtud del cual el Juez cumple funciones de garantía jurisdiccional». [F.J. 3]</w:t>
      </w:r>
    </w:p>
    <w:p w:rsidR="008107C7" w:rsidRDefault="008107C7" w:rsidP="008107C7">
      <w:pPr>
        <w:pStyle w:val="Extracto"/>
      </w:pPr>
    </w:p>
    <w:p w:rsidR="008107C7" w:rsidRDefault="008107C7" w:rsidP="008107C7">
      <w:pPr>
        <w:pStyle w:val="Extracto"/>
      </w:pPr>
      <w:r>
        <w:t>2.</w:t>
      </w:r>
      <w:r>
        <w:tab/>
        <w:t>Respecto a los actos de investigación solicitados por las partes, este Tribunal Constitucional ha manifestado que la regulación del procedimiento abreviado en nuestra Ley de Enjuiciamiento Criminal -especialmente los arts. 789. 5 y 790.6- no obliga al juzgador a practicar todas las diligencias pedidas por las partes, sino que en el ejercicio de su potestad jurisdiccional y a la vista de las diligencias practicadas, que sean necesarias, debe decidir con arreglo a su criterio debidamente motivado la resolución que estime aplicable al caso, ya que, en definitiva, la apreciación de si existen o no indicios de criminalidad contra determinadas personas, no es una cuestión trasladable al ámbito constitucional (SSTC 136/1986 y 191/1989). La decisión de sobreseer podría ser revisada en esta vía de amparo «si se violan las garantías constitucionales, entre las que se encuentra el agotamiento de los medios de investigación (STC 46/1982 y 40/1988), entendido no como un derecho a practicar todas las diligencias que la parte solicite, sino, como reiteradamente ha afirmado este Tribunal, solamente aquellas que el Juez estime pertinentes» (STC 351/1993), lo que no es el caso. [F.J. 3]</w:t>
      </w:r>
    </w:p>
    <w:p w:rsidR="008107C7" w:rsidRDefault="008107C7" w:rsidP="008107C7">
      <w:pPr>
        <w:pStyle w:val="Extracto"/>
      </w:pPr>
    </w:p>
    <w:p w:rsidR="008107C7" w:rsidRDefault="008107C7" w:rsidP="008107C7">
      <w:pPr>
        <w:pStyle w:val="Extracto"/>
      </w:pPr>
      <w:r>
        <w:t>3.</w:t>
      </w:r>
      <w:r>
        <w:tab/>
        <w:t xml:space="preserve">Y respecto a la tercera queja, basada en el supuesto derecho a la total sustanciación del proceso, hay que recordar que el derecho a la tutela judicial efectiva «no otorga a sus titulares un derecho incondicionado a la plena sustanciación del proceso, sino que es compatible con un pronunciamiento motivado del órgano judicial en fase instructora que le ponga término anticipadamente, siempre que el órgano </w:t>
      </w:r>
      <w:r>
        <w:lastRenderedPageBreak/>
        <w:t>judicial entienda razonadamente que los hechos imputados carecen de ilicitud penal (SSTC 203/1989 y 351/1993, por todas). La decisión de sobreseimiento provisional contra la que se recurre en amparo fue adoptada en la llamada «fase de preparación de juicio oral» del procedimiento abreviado. Este momento procesal comienza después de la terminación de la instrucción jurisdiccional. La finalidad de tal decisión es resolver sobre la procedencia de abrir o no el juicio oral y, en su caso, la fijación del procedimiento adecuado y el órgano competente para el enjuiciamiento. [F.J. 3]</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3.850/95, interpuesto por don Eduardo-Javier Martínez Ruiz, don Rafael Baeza Gomis, don Pascual Martínez Segovia, don Rodrigo Antonio Gutiérrez García, don Antonio Juncos Murcia, doña Francisca Navarro Ródenas, doña María Josefa Molina Renovales, don Enrique Gómez Robles, don Juan Gómez Ortega, doña Concepción Jiménez Martínez, doña Ana María Martínez Pérez, don Francisco Javier Aragón Navarro, don Epifanio Miñano Recuero, doña María Luciana Torres Estévez, doña Isabel García Calderón, don Manuel Cifuentes Oliver, Don Diego Jiménez Martínez, don Alejandro Gil Díaz, don Juan Sotoca García, don Llanos García Toledano, don José Luis López Zafrilla, don Juan López Zafrilla, don Ramón Barrios Socuéllamos, don Marcial Rodríguez Belmonte, doña Josefa Martínez García, don Jesús-Amable Robles Blanco, don Ismael Robles Rodríguez, don Pedro Bernabé Molina, don Jesús Jiménez Megías, doña Rafaela Salmerón de la Rosa, don Luis Fernández López Illera, don Juan Acebal Miñana, doña Juana Barberá Gómez, doña Rosario Jaén Hernández, don Ignacio-Juan Tendero Valero, don Francisco Javier Montero Fernández, don Cristóbal Rozalen Parra, don Francisco-Marcelino Cordón Marcos, don Sebastián Maestro Cañadas, don Carlos Martín Sánchez, representados por el Procurador don Tomás Cuevas Villamañán y bajo la dirección del Letrado don Miguel Andújar, contra el Auto de 19 de octubre de 1995 de la Sección Primera de la Audiencia Provincial de Albacete, que desestimó el recurso de apelación interpuesto frente al Auto de 18 de julio de 1995 del Juzgado de Instrucción núm. 3 de Albacete, dictado en el procedimiento abreviado núm. 43/94. Ha intervenido el Ministerio Fiscal. Ha sido Ponente el Magistrado, don Manuel Jiménez de Parga y Cabrera, quien expresa el parecer de la Sala.</w:t>
      </w:r>
    </w:p>
    <w:p w:rsidR="008107C7" w:rsidRDefault="008107C7" w:rsidP="008107C7">
      <w:pPr>
        <w:pStyle w:val="TextoNormal"/>
      </w:pPr>
    </w:p>
    <w:p w:rsidR="008107C7" w:rsidRDefault="008107C7" w:rsidP="008107C7">
      <w:pPr>
        <w:pStyle w:val="TextoNormalNegritaCentrado"/>
        <w:keepNext/>
      </w:pPr>
      <w:r>
        <w:lastRenderedPageBreak/>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Por escrito presentado el 14 de noviembre de 1995 en el Juzgado de Guardia, y registrado en este Tribunal el día 15 del mismo mes y año, se interpuso el recurso de amparo mencionado en el encabezamiento y que se fundamenta en los siguientes hechos: </w:t>
      </w:r>
    </w:p>
    <w:p w:rsidR="008107C7" w:rsidRDefault="008107C7" w:rsidP="008107C7">
      <w:pPr>
        <w:pStyle w:val="TextoNormal"/>
      </w:pPr>
      <w:r>
        <w:t xml:space="preserve">a) El Juzgado de Instrucción núm. 3 de Albacete, por Auto de 11 de octubre de 1993, admitió a trámite las querellas presentadas por los hoy recurrentes, por presunto delito de estafa, maquinaciones para alterar el precio de las cosas y falsedad documental, al tiempo que decretaba su acumulación y disponía la incoación de las correspondientes diligencias previas, seguidas con el núm. 1.106/93. </w:t>
      </w:r>
    </w:p>
    <w:p w:rsidR="008107C7" w:rsidRDefault="008107C7" w:rsidP="008107C7">
      <w:pPr>
        <w:pStyle w:val="TextoNormal"/>
      </w:pPr>
      <w:r>
        <w:t xml:space="preserve">b) En el mismo Auto, el Juez instructor dispuso la práctica de una parte de las pruebas solicitadas por los querellantes: declaración de los querellados, examen de testigos, libramiento de sendos mandamientos al Registro Mercantil y al Notario, entre otras. </w:t>
      </w:r>
    </w:p>
    <w:p w:rsidR="008107C7" w:rsidRDefault="008107C7" w:rsidP="008107C7">
      <w:pPr>
        <w:pStyle w:val="TextoNormal"/>
      </w:pPr>
      <w:r>
        <w:t xml:space="preserve">c) Por Auto de 24 de marzo de 1994, se acordó la transformación de las diligencias previas núm. 1.106/93 en procedimiento abreviado, dándose traslado a las partes para que en el plazo de cinco días formularen escrito de acusación, pidiesen el sobreseimiento de la causa, o, en su caso, se instase la práctica de nuevas diligencias. </w:t>
      </w:r>
    </w:p>
    <w:p w:rsidR="008107C7" w:rsidRDefault="008107C7" w:rsidP="008107C7">
      <w:pPr>
        <w:pStyle w:val="TextoNormal"/>
      </w:pPr>
      <w:r>
        <w:t xml:space="preserve">d) El Ministerio Fiscal, mediante escrito de 7 de abril de 1994, interesó la práctica de nuevas diligencias, a lo que accedió el Juez instructor, dándose traslado de las actuaciones, a los efectos del art. 790 L.E.Crim., en fecha de 10 de mayo de 1995. </w:t>
      </w:r>
    </w:p>
    <w:p w:rsidR="008107C7" w:rsidRDefault="008107C7" w:rsidP="008107C7">
      <w:pPr>
        <w:pStyle w:val="TextoNormal"/>
      </w:pPr>
      <w:r>
        <w:t xml:space="preserve">Por providencia de 14 de junio de 1995, el Juzgado acordó no haber lugar a la práctica de ninguna de las diligencias interesadas por la acusación particular, haciéndole entrega de actuaciones para que, dentro del término de cinco días, solicitare la apertura del juicio oral, formulando escrito de acusación o pidiendo el sobreseimiento de la causa. </w:t>
      </w:r>
    </w:p>
    <w:p w:rsidR="008107C7" w:rsidRDefault="008107C7" w:rsidP="008107C7">
      <w:pPr>
        <w:pStyle w:val="TextoNormal"/>
      </w:pPr>
      <w:r>
        <w:t xml:space="preserve">e) El Ministerio Fiscal solicitó, en virtud del art. 641.1 en relación con el 790.3 de la L.E.Crim., el sobreseimiento provisional de la causa, con reserva de acciones civiles a los querellantes. La acusación particular interesó la apertura del juicio oral ante el Juzgado de lo Penal, formulando escrito de acusación contra los querellados por los delitos de estafa, falsedad en documento mercantil, maquinaciones para alterar el precio de las cosas y estafa por imprudencia. </w:t>
      </w:r>
    </w:p>
    <w:p w:rsidR="008107C7" w:rsidRDefault="008107C7" w:rsidP="008107C7">
      <w:pPr>
        <w:pStyle w:val="TextoNormal"/>
      </w:pPr>
      <w:r>
        <w:t xml:space="preserve">f) El Juzgado de Instrucción, por Auto de 18 de julio de 1995, acordó el sobreseimiento provisional de la causa, en virtud de lo dispuesto en el art. 641.1, en relación con el art. 790.3, de la Ley de Enjuiciamiento Criminal, reservando a los interesados y querellantes las acciones civiles que correspondieren. </w:t>
      </w:r>
    </w:p>
    <w:p w:rsidR="008107C7" w:rsidRDefault="008107C7" w:rsidP="008107C7">
      <w:pPr>
        <w:pStyle w:val="TextoNormal"/>
      </w:pPr>
      <w:r>
        <w:t>g) Contra la anterior resolución, se interpuso recurso de apelación ante la Audiencia Provincial de Albacete, que fue resuelto por Auto de 19 de octubre de 1995, desestimándolo y confirmando la decisión del Juzgado.</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La demanda funda su queja de amparo en que los Autos recurridos, tanto el del Juzgado como el de la Audiencia, efectuaron una aplicación errónea de la legalidad al decretar el sobreseimiento provisional cuando la acusación particular ya había instado la apertura del juicio oral, vulnerando su derecho a la tutela judicial efectiva sin indefensión (art. 24.1 C.E.). Así, el Juzgado de instrucción apoya su decisión en el art. 790.3, en relación con el art. 641.1 de la L.E.Crim., cuando el precepto aplicable, según los recurrentes, sería el art. 790.6 L.E.Crim., que ordena al Juez instructor la apertura de juicio oral si una de las partes acusadoras lo solicita, salvo que estimare que concurre el supuesto del núm. 2 del art. 637 de la Ley de Enjuiciamiento Criminal o que no existen indicios racionales de criminalidad </w:t>
      </w:r>
      <w:r>
        <w:lastRenderedPageBreak/>
        <w:t xml:space="preserve">contra el acusado. En este caso, a su entender, solo cabría dictar Auto acordando el sobreseimiento libre. Aducen igualmente los quejosos que la Audiencia Provincial no sólo no reparó dicha vulneración, en cuanto confirmó el Auto del Juzgado de Instrucción, sino que incurrió en otro error, al considerar aplicable al supuesto enjuiciado el art. 793.3 L.E.Crim., norma que no contempla este concreto trámite procesal. </w:t>
      </w:r>
    </w:p>
    <w:p w:rsidR="008107C7" w:rsidRDefault="008107C7" w:rsidP="008107C7">
      <w:pPr>
        <w:pStyle w:val="TextoNormal"/>
      </w:pPr>
      <w:r>
        <w:t>Mediante un otrosí, se interesó la suspensión de las resoluciones recurridas.</w:t>
      </w:r>
    </w:p>
    <w:p w:rsidR="008107C7" w:rsidRDefault="008107C7" w:rsidP="008107C7">
      <w:pPr>
        <w:pStyle w:val="TextoNormal"/>
      </w:pPr>
    </w:p>
    <w:p w:rsidR="008107C7" w:rsidRDefault="008107C7" w:rsidP="008107C7">
      <w:pPr>
        <w:pStyle w:val="TextoNormal"/>
      </w:pPr>
      <w:r w:rsidRPr="008107C7">
        <w:rPr>
          <w:rStyle w:val="NumeroAFNegritaCaracter"/>
        </w:rPr>
        <w:t>3</w:t>
      </w:r>
      <w:r>
        <w:t>. Por providencia de 28 de marzo de 1996, la Sección Segunda de este Tribunal acordó admitir a trámite la demanda de amparo y, a tenor de lo dispuesto en el art. 51 de la Ley Orgánica del Tribunal Constitucional, requerir atentamente a la Audiencia Provincial de Albacete y al Juzgado de Instrucción núm. 3 de dicha ciudad, para que, en el término de diez días, remitiesen testimonio del rollo de Sala 91/95 y del procedimiento abreviado 43/94, respectivamente. Al mismo tiempo interesó que se emplazase a cuantos hubieren sido parte en el proceso judicial antecedente, excepto los recurrentes en amparo, para que pudieren comparecer en el presente proceso constitucional. En la misma providencia se acordó formar la pieza separada de suspensión.</w:t>
      </w:r>
    </w:p>
    <w:p w:rsidR="008107C7" w:rsidRDefault="008107C7" w:rsidP="008107C7">
      <w:pPr>
        <w:pStyle w:val="TextoNormal"/>
      </w:pPr>
    </w:p>
    <w:p w:rsidR="008107C7" w:rsidRDefault="008107C7" w:rsidP="008107C7">
      <w:pPr>
        <w:pStyle w:val="TextoNormal"/>
      </w:pPr>
      <w:r w:rsidRPr="008107C7">
        <w:rPr>
          <w:rStyle w:val="NumeroAFNegritaCaracter"/>
        </w:rPr>
        <w:t>4</w:t>
      </w:r>
      <w:r>
        <w:t>. Por Auto de 29 de abril de 1996 la Sala Primera de este Tribunal acordó suspender la ejecución de las resoluciones impugnadas, en cuanto a sus efectos en el proceso civil núm. 428/92, juicio sumario del art. 131 de la Ley Hipotecaria, que se tramitaba en el Juzgado de Primera Instancia núm. 12 de Valencia.</w:t>
      </w:r>
    </w:p>
    <w:p w:rsidR="008107C7" w:rsidRDefault="008107C7" w:rsidP="008107C7">
      <w:pPr>
        <w:pStyle w:val="TextoNormal"/>
      </w:pPr>
    </w:p>
    <w:p w:rsidR="008107C7" w:rsidRDefault="008107C7" w:rsidP="008107C7">
      <w:pPr>
        <w:pStyle w:val="TextoNormal"/>
      </w:pPr>
      <w:r w:rsidRPr="008107C7">
        <w:rPr>
          <w:rStyle w:val="NumeroAFNegritaCaracter"/>
        </w:rPr>
        <w:t>5</w:t>
      </w:r>
      <w:r>
        <w:t>. Por providencia de 3 de junio de 1996, la Sección Segunda acordó tener por recibidos los testimonios de actuaciones remitidos por el Juzgado de Instrucción y la Audiencia Provincial de Albacete. Asimismo, a tenor de lo dispuesto en el art. 52 de la ley Orgánica del Tribunal Constitucional, decidió dar vista de todas las actuaciones del presente recurso de amparo, por un plazo común de veinte días, al Ministerio Fiscal y al Procurador Sr. Cuevas Villamañán, para que dentro de dicho término pudieren presentar sus escritos de alegaciones.</w:t>
      </w:r>
    </w:p>
    <w:p w:rsidR="008107C7" w:rsidRDefault="008107C7" w:rsidP="008107C7">
      <w:pPr>
        <w:pStyle w:val="TextoNormal"/>
      </w:pPr>
    </w:p>
    <w:p w:rsidR="008107C7" w:rsidRDefault="008107C7" w:rsidP="008107C7">
      <w:pPr>
        <w:pStyle w:val="TextoNormal"/>
      </w:pPr>
      <w:r w:rsidRPr="008107C7">
        <w:rPr>
          <w:rStyle w:val="NumeroAFNegritaCaracter"/>
        </w:rPr>
        <w:t>6</w:t>
      </w:r>
      <w:r>
        <w:t xml:space="preserve">. El Ministerio Fiscal presentó sus alegaciones mediante escrito registrado el 27 de junio de 1996. </w:t>
      </w:r>
    </w:p>
    <w:p w:rsidR="008107C7" w:rsidRDefault="008107C7" w:rsidP="008107C7">
      <w:pPr>
        <w:pStyle w:val="TextoNormal"/>
      </w:pPr>
      <w:r>
        <w:t xml:space="preserve">Manifiesta el Fiscal que, en efecto, tanto el Auto del Juzgado de Instrucción como el de la Audiencia Provincial de Albacete yerran, respectivamente, en la cita del art. 790.3 y en la del art. 793.3 L.E.Crim., siendo el único precepto aplicable al caso el art. 790.6 L.E.Crim. Sin embargo, entiende que tales errores no pueden, sin más y automáticamente, conllevar el amparo (ex art. 24.1 C.E.), pues los órganos judiciales que dictaron las resoluciones aquí impugnadas no aplicaron en realidad tales preceptos, sino que, aun citando erróneamente el art. 793.3 de la L.E.Crim., el Auto dictado en apelación desgrana el tenor literal del precepto aplicable, esto es, el art. 790.6 L.E.Crim. </w:t>
      </w:r>
    </w:p>
    <w:p w:rsidR="008107C7" w:rsidRDefault="008107C7" w:rsidP="008107C7">
      <w:pPr>
        <w:pStyle w:val="TextoNormal"/>
      </w:pPr>
      <w:r>
        <w:t xml:space="preserve">El Fiscal, tras reproducir el contenido de este último precepto, considera igualmente que la referencia del Auto del Juzgado al art. 641.1 L.E.Crim. no resulta incorrecta, pues el art. 790.6 dispone que el Juez instructor acordará el sobreseimiento que corresponda conforme a los arts. 637 y 641 de dicha Ley (sobreseimiento libre y sobreseimiento provisional) si estimare que concurre el supuesto del núm. 2 del art. 637, o que no existen "indicios racionales de criminalidad contra el acusado". El alcance de esta última expresión ha de conectarse, según el Fiscal, con los supuestos mencionados en los arts. 637.1 y 3 y 641.1 y 2 </w:t>
      </w:r>
      <w:r>
        <w:lastRenderedPageBreak/>
        <w:t xml:space="preserve">L.E.Crim., a fin de apreciar los indicios racionales de criminalidad. De este modo, los argumentos contenidos en los autos impugnados no parecen irrazonables o desproporcionados. </w:t>
      </w:r>
    </w:p>
    <w:p w:rsidR="008107C7" w:rsidRDefault="008107C7" w:rsidP="008107C7">
      <w:pPr>
        <w:pStyle w:val="TextoNormal"/>
      </w:pPr>
      <w:r>
        <w:t>Concluye el Fiscal, con apoyo de la doctrina de este Tribunal relativa al mencionado art. 790.6 L.E.Crim., solicitando la desestimación del amparo, por entender que las resoluciones judiciales recurridas no han vulnerado el art. 24.1 C.E.</w:t>
      </w:r>
    </w:p>
    <w:p w:rsidR="008107C7" w:rsidRDefault="008107C7" w:rsidP="008107C7">
      <w:pPr>
        <w:pStyle w:val="TextoNormal"/>
      </w:pPr>
    </w:p>
    <w:p w:rsidR="008107C7" w:rsidRDefault="008107C7" w:rsidP="008107C7">
      <w:pPr>
        <w:pStyle w:val="TextoNormal"/>
      </w:pPr>
      <w:r w:rsidRPr="008107C7">
        <w:rPr>
          <w:rStyle w:val="NumeroAFNegritaCaracter"/>
        </w:rPr>
        <w:t>7</w:t>
      </w:r>
      <w:r>
        <w:t>. Por escrito registrado el 1 de julio de 1996, la representación procesal de los recurrentes presentó sus alegaciones, reiterando sustancialmente las contenidas en la correspondiente demanda.</w:t>
      </w:r>
    </w:p>
    <w:p w:rsidR="008107C7" w:rsidRDefault="008107C7" w:rsidP="008107C7">
      <w:pPr>
        <w:pStyle w:val="TextoNormal"/>
      </w:pPr>
    </w:p>
    <w:p w:rsidR="008107C7" w:rsidRDefault="008107C7" w:rsidP="008107C7">
      <w:pPr>
        <w:pStyle w:val="TextoNormal"/>
      </w:pPr>
      <w:r w:rsidRPr="008107C7">
        <w:rPr>
          <w:rStyle w:val="NumeroAFNegritaCaracter"/>
        </w:rPr>
        <w:t>8</w:t>
      </w:r>
      <w:r>
        <w:t>. Por providencia de fecha 21 de abril de 1997 se señaló para deliberación y votación de la presente Sentencia el siguiente día 22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El presente recurso de amparo se dirige contra el Auto dictado en apelación por la Sección Primera de la Audiencia Provincial de Albacete, el día 19 de octubre de 1995, que confirmó el sobreseimiento provisional decidido por el Juzgado de Instrucción núm. 3 de Albacete, mediante Auto de 18 de julio de 1995, en el procedimiento abreviado núm. 43/94. Tiene por objeto el recurso determinar si dichas resoluciones judiciales han vulnerado el derecho fundamental a la tutela judicial efectiva sin indefensión (art. 24.1), en su vertiente de derecho al ejercicio de la acción penal: ius ut procedatur.</w:t>
      </w:r>
    </w:p>
    <w:p w:rsidR="008107C7" w:rsidRDefault="008107C7" w:rsidP="008107C7">
      <w:pPr>
        <w:pStyle w:val="TextoNormal"/>
      </w:pPr>
    </w:p>
    <w:p w:rsidR="008107C7" w:rsidRDefault="008107C7" w:rsidP="008107C7">
      <w:pPr>
        <w:pStyle w:val="TextoNormal"/>
      </w:pPr>
      <w:r w:rsidRPr="008107C7">
        <w:rPr>
          <w:rStyle w:val="NumeroAFNegritaCaracter"/>
        </w:rPr>
        <w:t>2</w:t>
      </w:r>
      <w:r>
        <w:t>. Consideran los recurrentes que la vulneración se produjo porque las resoluciones impugnadas efectuaron una aplicación errónea de las normas de la Ley de Enjuiciamiento Criminal, impidiéndoles, de este manera, el ejercicio de la acción penal, un derecho que debe entenderse incluido en el art. 24.1 C.E.  Aducen, en apoyo de su pretensión, que los preceptos citados, tanto por el Auto del Juzgado de Instrucción (art. 790.3 L.E.Crim.), como por la Audiencia Provincial (art. 793.3 L.E.Crim.), resultaban inaplicables al supuesto sometido a su decisión. El art. 790.6 L.E.Crim. es la única norma con la que se podría fundamentar en este caso el archivo de la causa, con dos posibilidades: o decretar el sobreseimiento libre bajo la cobertura del art.  637.2 L.E.Crim., o bien el sobreseimiento provisional, bajo la cobertura del art. 641.2º, porque se considerase que no existían indicios racionales de criminalidad contra los acusados. Según los recurrentes, el error fue decretar el sobreseimiento provisional del art. 641.1º, el supuesto legal previsto "cuando no resulte debidamente justificada la perpetración del delito, que haya dado motivo a la formación de la causa".</w:t>
      </w:r>
    </w:p>
    <w:p w:rsidR="008107C7" w:rsidRDefault="008107C7" w:rsidP="008107C7">
      <w:pPr>
        <w:pStyle w:val="TextoNormal"/>
      </w:pPr>
      <w:r>
        <w:t xml:space="preserve">El Ministerio Fiscal alega que, efectivamente, la cita de los arts. 790.3 y 793.3 L.E.Crim., que efectúan las resoluciones impugnadas, es incorrecta y que, tal como exponen los recurrentes, el precepto aplicable al supuesto concreto es el art. 790.6 L.E.Crim. Ahora bien, ambas resoluciones reproducen en cierto modo el contenido de este último precepto, el art.  790.6, lo que, a su entender, no excluye la posibilidad de que en su virtud se dicte el Auto de sobreseimiento provisional previsto en el art. 641.1 L.E.Crim. Argumenta el Fiscal que el art. 790.6 L.E.Crim. autoriza al Juez instructor a sobreseer la causa, aun cuando una de las partes acusadas haya solicitado la apertura del juicio oral, si estima -y transcribe el precepto legal- que "concurre el supuesto del núm. 2 del art. 637 de esta Ley, o que no existen </w:t>
      </w:r>
      <w:r>
        <w:lastRenderedPageBreak/>
        <w:t>indicios racionales de criminalidad contra el acusado, en cuyo caso acordara el sobreseimiento que corresponda conforme a los arts. 637 y 641 de esta Ley". Y serán precisamente los supuestos de los arts. 637, 1º y 3º, y 641, 1º y 2º L.E.Crim., los que sirvan de referencia al concepto de "indicios racionales de criminalidad". El Ministerio Fiscal niega que se haya producido vulneración del derecho a la tutela judicial efectiva (art. 24.1 C.E.).</w:t>
      </w:r>
    </w:p>
    <w:p w:rsidR="008107C7" w:rsidRDefault="008107C7" w:rsidP="008107C7">
      <w:pPr>
        <w:pStyle w:val="TextoNormal"/>
      </w:pPr>
    </w:p>
    <w:p w:rsidR="008107C7" w:rsidRDefault="008107C7" w:rsidP="008107C7">
      <w:pPr>
        <w:pStyle w:val="TextoNormal"/>
      </w:pPr>
      <w:r w:rsidRPr="008107C7">
        <w:rPr>
          <w:rStyle w:val="NumeroAFNegritaCaracter"/>
        </w:rPr>
        <w:t>3</w:t>
      </w:r>
      <w:r>
        <w:t>. La primera cuestión que hemos de resolver es si el sobreseimiento acordado por el Juzgado y confirmado por la Audiencia, infringe el derecho de los recurrentes a la tutela judicial efectiva (art. 24.1 C.E.), dado que, como expone el Fiscal, los Autos dictados al respecto contienen el error de apoyarse, uno en el art. 790.3 L.E.Crim. y en el art. 793.3 de la misma Ley el otro, cuando lo correcto era invocar, como fundamento jurídico de las resoluciones, el art. 790.6 L.E.Crim.</w:t>
      </w:r>
    </w:p>
    <w:p w:rsidR="008107C7" w:rsidRDefault="008107C7" w:rsidP="008107C7">
      <w:pPr>
        <w:pStyle w:val="TextoNormal"/>
      </w:pPr>
      <w:r>
        <w:t>Junto a este error en la cita de los preceptos que fundamentan los dos Autos recurridos, los quejosos denuncian también que no se practicaron todas las pruebas por ellos solicitadas al Juzgado de Instrucción, así como que se les denegó el derecho a la plena sustanciación del proceso.</w:t>
      </w:r>
    </w:p>
    <w:p w:rsidR="008107C7" w:rsidRDefault="008107C7" w:rsidP="008107C7">
      <w:pPr>
        <w:pStyle w:val="TextoNormal"/>
      </w:pPr>
      <w:r>
        <w:t>Vamos a considerar por separado las tres cuestiones:</w:t>
      </w:r>
    </w:p>
    <w:p w:rsidR="008107C7" w:rsidRDefault="008107C7" w:rsidP="008107C7">
      <w:pPr>
        <w:pStyle w:val="TextoNormal"/>
      </w:pPr>
      <w:r>
        <w:t>A) La equivocación no ha de llevarnos, en este caso, a considerar conculcado el derecho fundamental reconocido y protegido por el art. 24.1 C.E. En definitiva, el Juez de instrucción estaba facultado ex art. 790.6 L.E.Crim.  para decidir el sobreseimiento provisional de la causa, que es lo que hizo.</w:t>
      </w:r>
    </w:p>
    <w:p w:rsidR="008107C7" w:rsidRDefault="008107C7" w:rsidP="008107C7">
      <w:pPr>
        <w:pStyle w:val="TextoNormal"/>
      </w:pPr>
      <w:r>
        <w:t>La doctrina de este Tribunal Constitucional es clara al respecto. En la STC 186/1990 quedó establecido: "La Ley concede al Juez de instrucción -no al órgano de enjuiciamiento- la facultad de controlar la consistencia o solidez de la acusación que se formula, pues (...)  el art. 790.6 L.E.Crim., tras enunciar la regla general de la vinculación del Instructor con la petición de apertura del juicio, permite al Juez denegar la apertura del juicio en dos supuestos, a saber: cuando el hecho no sea constitutivo de delito, o ante la inexistencia de indicios racionales de criminalidad contra el acusado, en cuyo caso acordará el sobreseimiento que corresponda. Pero este juicio acerca de la improcedencia de abrir el juicio oral -en definitiva de la improcedencia de la acusación formulada- de existir, es un juicio negativo en virtud del cual el Juez cumple funciones de garantía jurisdiccional" [fundamento jurídico 4º B)].</w:t>
      </w:r>
    </w:p>
    <w:p w:rsidR="008107C7" w:rsidRDefault="008107C7" w:rsidP="008107C7">
      <w:pPr>
        <w:pStyle w:val="TextoNormal"/>
      </w:pPr>
      <w:r>
        <w:t>B) Respecto a los actos de investigación solicitados por las partes, este Tribunal Constitucional ha manifestado que la regulación del procedimiento abreviado en nuestra Ley de Enjuiciamiento Criminal -especialmente los arts.  789.5 y 790.6- no obliga al juzgador a practicar todas las diligencias pedidas por las partes, sino que en el ejercicio de su potestad jurisdiccional y a la vista de las diligencias practicadas, que sean necesarias, debe decidir con arreglo a su criterio debidamente motivado la resolución que estime aplicable al caso, ya que, en definitiva, la apreciación de si existen o no indicios de criminalidad contra determinadas personas, no es una cuestión trasladable al ámbito constitucional (SSTC 136/1986, fundamento jurídico 2º y 191/1989, fundamento jurídico 5º).  La decisión de sobreseer podría ser revisada en esta vía de amparo "si se violan las garantías constitucionales, entre las que se encuentra el agotamiento de los medios de investigación (STC 46/1982, fundamento jurídico 3º, y 40/1988, fundamento jurídico 3º), entendido no como un derecho a practicar todas las diligencias que la parte solicite, sino, como reiteradamente ha afirmado este Tribunal, solamente aquéllas que el Juez estime pertinentes" (STC 351/1993, fundamento jurídico 4º). Lo que no es el caso.</w:t>
      </w:r>
    </w:p>
    <w:p w:rsidR="008107C7" w:rsidRDefault="008107C7" w:rsidP="008107C7">
      <w:pPr>
        <w:pStyle w:val="TextoNormal"/>
      </w:pPr>
      <w:r>
        <w:t xml:space="preserve">C) Y respecto a la tercera queja, basada en el supuesto derecho a la total sustanciación del proceso, hay que recordar que el derecho a la tutela judicial efectiva "no otorga a sus </w:t>
      </w:r>
      <w:r>
        <w:lastRenderedPageBreak/>
        <w:t>titulares un derecho incondicionado a la plena sustanciación del proceso, sino que es compatible con un pronunciamiento motivado del órgano judicial en fase instructora que le ponga término anticipadamente, siempre que el órgano judicial entienda razonadamente que los hechos imputados carecen de ilicitud penal (SSTC 203/1989, fundamento jurídico 3º y 351/1993, fundamento jurídico 2º, por todas).</w:t>
      </w:r>
    </w:p>
    <w:p w:rsidR="008107C7" w:rsidRDefault="008107C7" w:rsidP="008107C7">
      <w:pPr>
        <w:pStyle w:val="TextoNormal"/>
      </w:pPr>
      <w:r>
        <w:t>La decisión de sobreseimiento provisional contra la que se recurre en amparo fue adoptada en la llamada "fase de preparación de juicio oral" del procedimiento abreviado. Este momento procesal comienza después de la terminación de la instrucción jurisdiccional. La finalidad de tal decisión es resolver sobre la procedencia de abrir o no el juicio oral y, en su caso, la fijación del procedimiento adecuado y el órgano competente para el enjuiciamiento.</w:t>
      </w:r>
    </w:p>
    <w:p w:rsidR="008107C7" w:rsidRDefault="008107C7" w:rsidP="008107C7">
      <w:pPr>
        <w:pStyle w:val="TextoNormal"/>
      </w:pPr>
    </w:p>
    <w:p w:rsidR="008107C7" w:rsidRDefault="008107C7" w:rsidP="008107C7">
      <w:pPr>
        <w:pStyle w:val="TextoNormal"/>
      </w:pPr>
      <w:r w:rsidRPr="008107C7">
        <w:rPr>
          <w:rStyle w:val="NumeroAFNegritaCaracter"/>
        </w:rPr>
        <w:t>4</w:t>
      </w:r>
      <w:r>
        <w:t>. En definitiva, los Autos que acordaron y confirmaron el sobreseimiento provisional no lesionaron el derecho de los recurrentes a la tutela judicial efectiva, pues el ius ut procedatur que ostenta el ofendido por el delito no contiene ni un derecho absoluto a la tramitación de toda la instrucción penal, ni un derecho a la práctica de todas las pruebas que las partes soliciten.  Tampoco se tutela constitucionalmente un derecho incondicionado a la apertura del juicio oral. Este Tribunal tiene declarada la conformidad con los principios y normas del ordenamiento constitucional, tanto de los Autos de inadmisión de la notitia criminis, los cuales pueden dictarse inaudita parte, como los de sobreseimiento, pues el derecho de querella no conlleva el de la obtención de una Sentencia favorable a la pretensión penal (SSTC 203/1989, 191/1992, 37/1993, entre otras).</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Denegar el amparo solicitado.</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veintidós de abril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89" w:name="SENTENCIA_1997_86"/>
      <w:r>
        <w:lastRenderedPageBreak/>
        <w:t>SENTENCIA 86/1997, de 22 de abril de 1997</w:t>
      </w:r>
    </w:p>
    <w:bookmarkEnd w:id="89"/>
    <w:p w:rsidR="008107C7" w:rsidRDefault="008107C7" w:rsidP="008107C7">
      <w:pPr>
        <w:pStyle w:val="TtuloResolucin"/>
      </w:pPr>
      <w:r>
        <w:t>Sala Primera</w:t>
      </w:r>
    </w:p>
    <w:p w:rsidR="008107C7" w:rsidRDefault="008107C7" w:rsidP="008107C7">
      <w:pPr>
        <w:pStyle w:val="TtuloResolucin"/>
      </w:pPr>
    </w:p>
    <w:p w:rsidR="008107C7" w:rsidRDefault="008107C7" w:rsidP="008107C7">
      <w:pPr>
        <w:pStyle w:val="TtuloBOE"/>
      </w:pPr>
      <w:r>
        <w:t>("BOE" núm. 121, de 21 de mayo de 1997)</w:t>
      </w:r>
    </w:p>
    <w:p w:rsidR="008107C7" w:rsidRDefault="008107C7" w:rsidP="008107C7">
      <w:pPr>
        <w:pStyle w:val="TtuloBOE"/>
      </w:pPr>
    </w:p>
    <w:p w:rsidR="008107C7" w:rsidRDefault="008107C7" w:rsidP="008107C7">
      <w:pPr>
        <w:pStyle w:val="SntesisDescriptiva"/>
      </w:pPr>
      <w:r>
        <w:t>ECLI:ES:TC:1997:86</w:t>
      </w:r>
    </w:p>
    <w:p w:rsidR="008107C7" w:rsidRDefault="008107C7" w:rsidP="008107C7">
      <w:pPr>
        <w:pStyle w:val="SntesisDescriptiva"/>
      </w:pPr>
    </w:p>
    <w:p w:rsidR="008107C7" w:rsidRDefault="008107C7" w:rsidP="008107C7">
      <w:pPr>
        <w:pStyle w:val="SntesisDescriptiva"/>
      </w:pPr>
      <w:r>
        <w:t>Recurso de amparo 3.070/1996. Contra Sentencia del Juzgado de Primera Instancia núm. 3 de Segovia recaída en procedimiento de menor cuantía.</w:t>
      </w:r>
    </w:p>
    <w:p w:rsidR="008107C7" w:rsidRDefault="008107C7" w:rsidP="008107C7">
      <w:pPr>
        <w:pStyle w:val="SntesisDescriptiva"/>
      </w:pPr>
    </w:p>
    <w:p w:rsidR="008107C7" w:rsidRDefault="008107C7" w:rsidP="008107C7">
      <w:pPr>
        <w:pStyle w:val="SntesisAnaltica"/>
      </w:pPr>
      <w:r>
        <w:t>Supuesta vulneración del derecho a la tutela judicial efectiva: emplazamiento edictal no lesivo del derecho.</w:t>
      </w:r>
    </w:p>
    <w:p w:rsidR="008107C7" w:rsidRDefault="008107C7" w:rsidP="008107C7">
      <w:pPr>
        <w:pStyle w:val="SntesisAnaltica"/>
      </w:pPr>
    </w:p>
    <w:p w:rsidR="008107C7" w:rsidRDefault="008107C7" w:rsidP="008107C7">
      <w:pPr>
        <w:pStyle w:val="Extracto"/>
      </w:pPr>
      <w:r>
        <w:t>1.</w:t>
      </w:r>
      <w:r>
        <w:tab/>
        <w:t>En el orden procesal civil hemos subrayado el carácter estrictamente subsidiario que debe asumir el emplazamiento por edictos previsto en el art. 269 L.E.C. En primer lugar, sólo cabe acudir a él en los supuestos que expresamente contempla el citado precepto; en segundo lugar, el emplazamiento edictal requiere no sólo el agotamiento previo de las otras modalidades que aseguren en mayor grado la recepción por el destinatario de la correspondiente notificación, sino también que el Acuerdo de considerar que la parte se halla en paradero ignorado se funde en criterios de razonabilidad que lleven a la convicción o certeza de la inutilidad de aquellos otros medios normales de emplazamiento. Ahora bien, como siempre que se trata de enjuiciar la existencia de una posible indefensión contraria al art. 24.1 C.E., no basta con que se haya producido la transgresión de una norma procesal sino que es necesaria la concurrencia de otros requisitos. En primer lugar, la indefensión ha de ser material y no meramente formal; pero, además, es necesario que la indefensión padecida no sea imputable a la propia voluntad o a la falta de diligencia del demandado . [F.J. 1]</w:t>
      </w:r>
    </w:p>
    <w:p w:rsidR="008107C7" w:rsidRDefault="008107C7" w:rsidP="008107C7">
      <w:pPr>
        <w:pStyle w:val="Extracto"/>
      </w:pPr>
    </w:p>
    <w:p w:rsidR="008107C7" w:rsidRDefault="008107C7" w:rsidP="008107C7">
      <w:pPr>
        <w:pStyle w:val="Extracto"/>
      </w:pPr>
      <w:r>
        <w:t>2.</w:t>
      </w:r>
      <w:r>
        <w:tab/>
        <w:t>De las actuaciones resulta que en el presente caso se adoptaron de manera razonable las cautelas y garantías adecuadas para asegurar que la finalidad de conocimiento de las resoluciones y demás actuaciones judiciales no quedara frustado por causas ajenas a la voluntad del demandado (SSTC 125/1995 y 64/1996). Por todo ello resulta obvio que en el supuesto de autos no existió por parte del Juzgado la infracción denunciada de las normas procesales que rigen el emplazamiento edictal en los procesos civiles, ya que las mismas fueron interpretadas de acuerdo con la doctrina de este Tribunal, no habiéndose provocado, por tanto, la manifestada indefensión. [F.J. 2]</w:t>
      </w:r>
    </w:p>
    <w:p w:rsidR="008107C7" w:rsidRDefault="008107C7" w:rsidP="008107C7">
      <w:pPr>
        <w:pStyle w:val="Extracto"/>
      </w:pPr>
    </w:p>
    <w:p w:rsidR="008107C7" w:rsidRDefault="008107C7" w:rsidP="008107C7">
      <w:pPr>
        <w:pStyle w:val="Extracto"/>
      </w:pPr>
      <w:r>
        <w:t>3.</w:t>
      </w:r>
      <w:r>
        <w:tab/>
        <w:t xml:space="preserve">Pese a que en el presente caso no cabe imputar el desconocimiento de la existencia del proceso a una falta de diligencia del recurrente, ello no es óbice a que el órgano judicial haya respetado suficientemente el derecho de defensa del mismo (art. 24.1 C.E), toda vez que se ha procedido, agotando las posibilidades a su alcance, a procurar su emplazamiento personal, a los efectos de garantizar la existencia de un juicio celebrado contradictoriamente. Al no haber sido posible la producción de dicho acto de comunicación procesal en tal forma, habiéndose llevado a cabo, en este caso, el previo agotamiento de los medios ordinarios establecidos en la ley procesal, que por otra parte, han resultado inútiles e inviables, debe considerarse </w:t>
      </w:r>
      <w:r>
        <w:lastRenderedPageBreak/>
        <w:t>que el recurso a la publicación de edictos es fruto de la utilización de un criterio de racionalidad al haber sido utilizado excepcional y supletoriamente como último remedio procesal, por lo que finalmente, cabe concluir, que en el presente caso no ha existido la indefensión alegada por el demandante, y por ende la lesión constitucional a su derecho a la tutela judicial efectiva . [F.J. 4]</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008107C7" w:rsidRDefault="008107C7" w:rsidP="008107C7">
      <w:pPr>
        <w:pStyle w:val="TextoNormal"/>
      </w:pPr>
    </w:p>
    <w:p w:rsidR="008107C7" w:rsidRDefault="008107C7" w:rsidP="008107C7">
      <w:pPr>
        <w:pStyle w:val="TextoNormalCentrado"/>
        <w:keepNext/>
      </w:pPr>
      <w:r>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recurso de amparo núm. 3.070/96, promovido por don Mario López de la Flor, representado por el Procurador de los Tribunales don Carlos de Grado Viejo, y asistido del Letrado don Pedro Hernández García, interpuesto contra la Sentencia del Juzgado de Primera Instancia núm. 3 de Segovia, de fecha 19 de junio de 1991, recaída en el procedimiento de menor cuantía núm. 41/91. Han sido parte don Alberto Esteban de Andrés y don Juan Francisco Lucas Yagüe, representados por el Procurador de los Tribunales don Víctor E. Mardomingo Herrero, y asistidos del Letrado don Manuel Holgueras Fariñas.Ha intervenido el Ministerio Fiscal. Ha sido Ponente el Magistrado don Enrique Ruiz Vadillo, quien expresa el parecer de la Sala.</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xml:space="preserve">. Mediante escrito de 29 de julio de 1996, don Mario López de la Flor, representado por el Procurador de los Tribunales don Carlos de Grado Viejo, y asistido del Letrado don Pedro Hernández García, interpuso recurso de amparo contra la Sentencia del Juzgado de Primera Instancia núm. 3 de Segovia de fecha 19 de junio de 1991, recaída en el procedimiento de menor cuantía núm. 41/91, basándose en síntesis en los siguientes hechos: </w:t>
      </w:r>
    </w:p>
    <w:p w:rsidR="008107C7" w:rsidRDefault="008107C7" w:rsidP="008107C7">
      <w:pPr>
        <w:pStyle w:val="TextoNormal"/>
      </w:pPr>
      <w:r>
        <w:t xml:space="preserve">A) La demanda iniciadora de los autos de juicio de menor cuantía núm. 41/91 seguida ante el Juzgado de Primera Instancia núm. 3 de Segovia se interpuso contra el ahora solicitante de amparo señalándose como su domicilio, el sito en la ciudad de Segovia, Avenida de Juan Carlos I, núm. 14. </w:t>
      </w:r>
    </w:p>
    <w:p w:rsidR="008107C7" w:rsidRDefault="008107C7" w:rsidP="008107C7">
      <w:pPr>
        <w:pStyle w:val="TextoNormal"/>
      </w:pPr>
      <w:r>
        <w:t xml:space="preserve">B) La demanda fue admitida a trámite por el referido Juzgado, mediante providencia de fecha 14 de febrero de 1991, y en el momento de la práctica del emplazamiento del recurrente, se levantó diligencia por la comisión judicial en la que se hizo constar que el núm. 14 de la Avda. Juan Carlos I de Segovia se correspondía con las instalaciones militares de la Base Mixta y Carros de Combate, así como que personada dicha Comisión en el núm.18 actual, - antiguo núm. 14-, se le comunicó por los vecinos del citado inmueble que don </w:t>
      </w:r>
      <w:r>
        <w:lastRenderedPageBreak/>
        <w:t xml:space="preserve">Mario López de la Flor se ausentó del domicilio indicado, en el pasado mes de diciembre de 1990, habiéndose trasladado a Madrid, ignorando más detalles sobre su paradero. </w:t>
      </w:r>
    </w:p>
    <w:p w:rsidR="008107C7" w:rsidRDefault="008107C7" w:rsidP="008107C7">
      <w:pPr>
        <w:pStyle w:val="TextoNormal"/>
      </w:pPr>
      <w:r>
        <w:t xml:space="preserve">C) Por providencia de 9 de mayo de 1991, se acordó poner dicha diligencia en conocimiento de la parte actora, a los efectos de que facilitara un nuevo domicilio, o en su caso, instara lo que a su derecho conviniera. Dicha representación presentó escrito al Juzgado el día 21 de mayo de 1991, en el que indicó su desconocimiento del domicilio del demandado, solicitando por ello, el emplazamiento del mismo mediante la publicación del correspondiente edicto en el Boletín Oficial de la Provincia de Segovia. </w:t>
      </w:r>
    </w:p>
    <w:p w:rsidR="008107C7" w:rsidRDefault="008107C7" w:rsidP="008107C7">
      <w:pPr>
        <w:pStyle w:val="TextoNormal"/>
      </w:pPr>
      <w:r>
        <w:t xml:space="preserve">D) Por providencia de fecha 22 de mayo de 1991, se acordó el emplazamiento del demandado mediante la publicación del edicto solicitado, en la forma prevenida en el art.269 L.E.C. Lo que en efecto se llevó a cabo en el Boletín Oficial de la Provincia de Segovia del día 5 de junio de 1991. Transcurrido el plazo de diez días señalado en el edicto publicado, se dictó providencia el 19 de junio de 1991 por la que se declaró en rebeldía a don Mario López de la Flor al no haber procedido a personarse en plazo y forma legal, continuándose el procedimiento por sus trámites procesales pertinentes. </w:t>
      </w:r>
    </w:p>
    <w:p w:rsidR="008107C7" w:rsidRDefault="008107C7" w:rsidP="008107C7">
      <w:pPr>
        <w:pStyle w:val="TextoNormal"/>
      </w:pPr>
      <w:r>
        <w:t xml:space="preserve">Se dictó Sentencia el día 18 de noviembre de 1991, en la que se estimó en su integridad la demanda formulada, publicándose la misma por medio del correspondiente edicto en el Boletín Oficial de la Provincia de Segovia de noviembre de 1991. </w:t>
      </w:r>
    </w:p>
    <w:p w:rsidR="008107C7" w:rsidRDefault="008107C7" w:rsidP="008107C7">
      <w:pPr>
        <w:pStyle w:val="TextoNormal"/>
      </w:pPr>
      <w:r>
        <w:t xml:space="preserve">E) El 19 de diciembre de 1995 por escrito de la Procuradora de los Tribunales Doña María Teresa Pérez Muñoz, en nombre de los demandantes don Francisco Lucas Yagüe y don Alberto Esteban de Andrés, se indicó al órgano judicial que a los efectos de llevar a cabo la ejecución de la Sentencia dictada, el demandado don Mario López de la Flor, mayor de edad, viajante, casado con doña María del Carmen Alonso Ramírez, tenía su domicilio en la vivienda sita en la planta cuarta, letra B, de la finca núm. 18 de la Calle de la Argentina, de la localidad de Coslada (Madrid). </w:t>
      </w:r>
    </w:p>
    <w:p w:rsidR="008107C7" w:rsidRDefault="008107C7" w:rsidP="008107C7">
      <w:pPr>
        <w:pStyle w:val="TextoNormal"/>
      </w:pPr>
      <w:r>
        <w:t xml:space="preserve">F) Don Mario López de la Flor vino a tener conocimiento de la existencia del procedimiento judicial seguido contra él, en la fecha del 12 de febrero de 1996, cuando se le practicó el embargo de sus bienes a través del Juzgado de Primera Instancia núm. 2 de Coslada (Madrid), mediante exhorto núm. 31/96, como consecuencia del procedimiento de menor cuantía antes indicado, requiriéndosele a tal efecto para que designara bienes de su propiedad sobre los que trabar embargo en cuantía suficiente para cubrir la suma de 41.000.000 de pesetas. En dicho momento se le efectuó el correspondiente traslado de la cédula de notificación y del escrito a la misma adjuntado, de fecha 18 de diciembre de 1995, en el que se incluía una relación de supuestos daños y perjuicios,acordado ello mediante providencia de 4 de enero de 1996. </w:t>
      </w:r>
    </w:p>
    <w:p w:rsidR="008107C7" w:rsidRDefault="008107C7" w:rsidP="008107C7">
      <w:pPr>
        <w:pStyle w:val="TextoNormal"/>
      </w:pPr>
      <w:r>
        <w:t xml:space="preserve">G) En esta última resolución se le indicaba que se tenía por instada la ejecución de la Sentencia firme dictada en el procedimiento citado, dándosele traslado de los referidos escritos en su domicilio de Coslada, para que en el plazo de seis días contestara lo que estimare por conveniente, bajo los apercibimientos legales pertinentes, además se le comunicaba que se tenía por solicitado el recibimiento del incidente a prueba y se decretaba el embargo en la cantidad referida sobre bienes del ahora solicitante de amparo. Contra dicha resolución interpuso finalmente el recurrente recurso de reposición, que fue desestimado. </w:t>
      </w:r>
    </w:p>
    <w:p w:rsidR="008107C7" w:rsidRDefault="008107C7" w:rsidP="008107C7">
      <w:pPr>
        <w:pStyle w:val="TextoNormal"/>
      </w:pPr>
      <w:r>
        <w:t>H) Asimismo, por el ahora demandante se interpuso recurso de revisión ante la Sala de lo Civil del Tribunal Supremo, tramitándose el mismo bajo el núm. 851/96, dictándose Auto el día 5 de julio de 1996, en el que se acordó inadmitir la demanda de revisión planteada, lo que motiva la interposición del presente recurso de amparo.</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2</w:t>
      </w:r>
      <w:r>
        <w:t>. En cuanto a la fundamentación jurídica de la demanda, alega el recurrente la vulneración de su derecho a la tutela judicial efectiva (art.24.1 C.E.), como consecuencia del hecho de haber sido emplazado en un domicilio que no se correspondía con la realidad, lo que le impidió contestar a la demanda origen del procedimiento judicial, así como practicar la prueba pertinente en defensa de sus intereses.</w:t>
      </w:r>
    </w:p>
    <w:p w:rsidR="008107C7" w:rsidRDefault="008107C7" w:rsidP="008107C7">
      <w:pPr>
        <w:pStyle w:val="TextoNormal"/>
      </w:pPr>
    </w:p>
    <w:p w:rsidR="008107C7" w:rsidRDefault="008107C7" w:rsidP="008107C7">
      <w:pPr>
        <w:pStyle w:val="TextoNormal"/>
      </w:pPr>
      <w:r w:rsidRPr="008107C7">
        <w:rPr>
          <w:rStyle w:val="NumeroAFNegritaCaracter"/>
        </w:rPr>
        <w:t>3</w:t>
      </w:r>
      <w:r>
        <w:t>. Por providencia de 4 de noviembre de 1996, se acordó la admisión a trámite de la presente demanda de amparo, así como, a tenor de lo dispuesto en el art. 51 LOTC, requerir al Juzgado de Primera Instancia núm. 3 de Segovia, para que en el plazo de diez días remitiera testimonio de los autos de juicio de menor cuantía 41/91, interesando al mismo tiempo, el emplazamiento de cuantas personas fueron parte en dicha causa judicial, con excepción del recurrente en amparo, para que en el plazo máximo e improrrogable de diez días, comparecieran en el presente procedimiento constitucional, si a su derecho conviniera.</w:t>
      </w:r>
    </w:p>
    <w:p w:rsidR="008107C7" w:rsidRDefault="008107C7" w:rsidP="008107C7">
      <w:pPr>
        <w:pStyle w:val="TextoNormal"/>
      </w:pPr>
    </w:p>
    <w:p w:rsidR="008107C7" w:rsidRDefault="008107C7" w:rsidP="008107C7">
      <w:pPr>
        <w:pStyle w:val="TextoNormal"/>
      </w:pPr>
      <w:r w:rsidRPr="008107C7">
        <w:rPr>
          <w:rStyle w:val="NumeroAFNegritaCaracter"/>
        </w:rPr>
        <w:t>4</w:t>
      </w:r>
      <w:r>
        <w:t>. Por providencia de 19 de diciembre de 1996 se tuvo por personado a don Víctor E. Mardomingo Herrero, Procurador de los Tribunales, en nombre y representación de don Alberto Esteban de Andrés y don Juan Francisco Lucas Yagüe, así como por recibido el testimonio de las actuaciones solicitado al Juzgado de Primera Instancia núm. 3 de Segovia.</w:t>
      </w:r>
    </w:p>
    <w:p w:rsidR="008107C7" w:rsidRDefault="008107C7" w:rsidP="008107C7">
      <w:pPr>
        <w:pStyle w:val="TextoNormal"/>
      </w:pPr>
    </w:p>
    <w:p w:rsidR="008107C7" w:rsidRDefault="008107C7" w:rsidP="008107C7">
      <w:pPr>
        <w:pStyle w:val="TextoNormal"/>
      </w:pPr>
      <w:r w:rsidRPr="008107C7">
        <w:rPr>
          <w:rStyle w:val="NumeroAFNegritaCaracter"/>
        </w:rPr>
        <w:t>5</w:t>
      </w:r>
      <w:r>
        <w:t>. Por providencia de 13 de enero de 1997, conforme a lo dispuesto en el art. 52 LOTC se acordó dar vista de las actuaciones recibidas, y de las demás existentes en el presente recurso de amparo en Secretaría, por un plazo común de veinte días al Ministerio Fiscal, a la representación procesal del recurrente en amparo, así como a don Víctor E. Mardomingo Herrero, Procurador de los Tribunales, en nombre y representación de don Alberto Esteban de Andrés, y don Juan Francisco Lucas Yagüe para que dentro de dicho plazo pudieran presentar las alegaciones que a su derecho conviniera.</w:t>
      </w:r>
    </w:p>
    <w:p w:rsidR="008107C7" w:rsidRDefault="008107C7" w:rsidP="008107C7">
      <w:pPr>
        <w:pStyle w:val="TextoNormal"/>
      </w:pPr>
    </w:p>
    <w:p w:rsidR="008107C7" w:rsidRDefault="008107C7" w:rsidP="008107C7">
      <w:pPr>
        <w:pStyle w:val="TextoNormal"/>
      </w:pPr>
      <w:r w:rsidRPr="008107C7">
        <w:rPr>
          <w:rStyle w:val="NumeroAFNegritaCaracter"/>
        </w:rPr>
        <w:t>6</w:t>
      </w:r>
      <w:r>
        <w:t>. La representación procesal del recurrente en amparo por escrito registrado el día 6 de febrero de 1997, se ratificó en las manifestaciones efectuadas con anterioridad en el presente recurso de amparo, reiterando su contenido.</w:t>
      </w:r>
    </w:p>
    <w:p w:rsidR="008107C7" w:rsidRDefault="008107C7" w:rsidP="008107C7">
      <w:pPr>
        <w:pStyle w:val="TextoNormal"/>
      </w:pPr>
    </w:p>
    <w:p w:rsidR="008107C7" w:rsidRDefault="008107C7" w:rsidP="008107C7">
      <w:pPr>
        <w:pStyle w:val="TextoNormal"/>
      </w:pPr>
      <w:r w:rsidRPr="008107C7">
        <w:rPr>
          <w:rStyle w:val="NumeroAFNegritaCaracter"/>
        </w:rPr>
        <w:t>7</w:t>
      </w:r>
      <w:r>
        <w:t xml:space="preserve">. Por escrito de 7 de febrero de 1997, don Víctor E. Mardomingo Herrero, Procurador de los Tribunales, en nombre y representación de don Alberto Esteban de Andrés, y don Juan Francisco Lucas Yagüe realizó las siguientes alegaciones: </w:t>
      </w:r>
    </w:p>
    <w:p w:rsidR="008107C7" w:rsidRDefault="008107C7" w:rsidP="008107C7">
      <w:pPr>
        <w:pStyle w:val="TextoNormal"/>
      </w:pPr>
      <w:r>
        <w:t xml:space="preserve">A) Por el recurrente en amparo, se estima vulnerado el art. 24.1 de la Constitución, por causarle indefensión, según sus propias palabras: "por no haber sido citado en el domicilio que correspondía, en el que sin embargo si resulta citado posteriormente pero ya en el trámite de ejecución", afirmación que no se comparte, puesto que el domicilio señalado es el que él mismo señala en Segovia, como se ha determinado en la relación de hechos precedente, aunque posteriormente pudo ser conocido su posible domicilio en Coslada (Madrid), y allí es intentada con éxito la notificación del incidente de ejecución con la finalidad de que procediera a personarse y exponer lo que a su derecho convenga, en el inicio del incidente de ejecución. </w:t>
      </w:r>
    </w:p>
    <w:p w:rsidR="008107C7" w:rsidRDefault="008107C7" w:rsidP="008107C7">
      <w:pPr>
        <w:pStyle w:val="TextoNormal"/>
      </w:pPr>
      <w:r>
        <w:t xml:space="preserve">B) Se comparte, con matices, la indicación de su domicilio como el de Coslada desde hace varios años, y en todo caso con anterioridad al inicio del tan señalado procedimiento de menor cuantía núm. 41/91, puesto que la demanda se presentó a reparto en fecha 12 de </w:t>
      </w:r>
      <w:r>
        <w:lastRenderedPageBreak/>
        <w:t xml:space="preserve">febrero de 1991, intentándose la notificación personal el día 9 de mayo de 1991, por el Agente judicial, el que señala en la propia diligencia que por indicación de los vecinos don Mario López de la Flor se ha trasladado a Madrid el pasado mes de diciembre, ignorando más detalles. Además de la documentación aportada por el propio recurrente en amparo consta que el contrato de suministro de Gas Madrid S.A., es de fecha 7 de enero de 1991, y por el justificante de empadronamiento de 1 de marzo de 1991, por cambio de domicilio en fecha próxima a la presentación de la demanda. </w:t>
      </w:r>
    </w:p>
    <w:p w:rsidR="008107C7" w:rsidRDefault="008107C7" w:rsidP="008107C7">
      <w:pPr>
        <w:pStyle w:val="TextoNormal"/>
      </w:pPr>
      <w:r>
        <w:t>C) Ignorando la parte actora el domicilio del demandado, se solicitó el emplazamiento por edictos, en la forma prevenida en el art. 269 de la L.E.C, ante la imposibilidad, por criterios de certeza racional, como así ha resultado, de citarle por los otros medios normales. La citación edictal se utilizó una vez agotadas el resto de posibilidades, intentando dar la mayor publicidad posible, y como último medio para que el demandado pudiera ejercitar sus derechos.</w:t>
      </w:r>
    </w:p>
    <w:p w:rsidR="008107C7" w:rsidRDefault="008107C7" w:rsidP="008107C7">
      <w:pPr>
        <w:pStyle w:val="TextoNormal"/>
      </w:pPr>
    </w:p>
    <w:p w:rsidR="008107C7" w:rsidRDefault="008107C7" w:rsidP="008107C7">
      <w:pPr>
        <w:pStyle w:val="TextoNormal"/>
      </w:pPr>
      <w:r w:rsidRPr="008107C7">
        <w:rPr>
          <w:rStyle w:val="NumeroAFNegritaCaracter"/>
        </w:rPr>
        <w:t>8</w:t>
      </w:r>
      <w:r>
        <w:t xml:space="preserve">. Por el Ministerio Fiscal, mediante escrito de 18 de febrero de 1997, se solicitó la denegación del amparo, efectuandose las siguientes manifestaciones: </w:t>
      </w:r>
    </w:p>
    <w:p w:rsidR="008107C7" w:rsidRDefault="008107C7" w:rsidP="008107C7">
      <w:pPr>
        <w:pStyle w:val="TextoNormal"/>
      </w:pPr>
      <w:r>
        <w:t xml:space="preserve">A) La demanda de amparo, con base en el art. 24.1 C.E., residencia la vulneración en la incorrecta comunicación de la existencia del pleito a través de un emplazamiento edictal: tal forma de proceder del Juzgado desencadenó la ausencia del proceso del aquí recurrente en amparo, que, siendo notificado por edictos para todos los actos procesales, se vio imposibilitado de defenderse, no acudiendo, en consecuencia, a alegar, a los actos de prueba o a la interposición de los recursos pertinentes contra la Sentencia que en su contra se dictó por el Juzgado de Primera Instancia núm. 3 de Segovia. A juicio del recurrente la actuación posterior al conocimiento del proceso, en ejecución de Sentencia o en recurso de revisión, no remedia la indefensión en que le sume la resolución del Juzgado que coronó un proceso en su ausencia. </w:t>
      </w:r>
    </w:p>
    <w:p w:rsidR="008107C7" w:rsidRDefault="008107C7" w:rsidP="008107C7">
      <w:pPr>
        <w:pStyle w:val="TextoNormal"/>
      </w:pPr>
      <w:r>
        <w:t xml:space="preserve">Una primera observación que cabría hacer al respecto es que, conteniendo el fallo de la Sentencia de instancia una parte declarativa del carácter doloso del modo de actuar del demandado -aquí recurrente- y otra de condena al pago de unos daños y perjuicios, es lo cierto que este último extremo se sigue discutiendo en su cuantía, lo que se revela del examen de las actuaciones. Efectivamente, una vez comparecido el condenado en la vía de apremio, pudo realizar toda clase de actos procesales de defensa atinentes a aquel objeto, lo que era factible toda vez que la Sentencia defería tal cuestión a la ejecución. Ello, naturalmente, no empece a la indefensión, en el curso del proceso hasta el dictado de la Sentencia, pero es significativa de la reversibilidad del fallo de condena que atenúa de alguna forma los perjuicios materiales habidos. </w:t>
      </w:r>
    </w:p>
    <w:p w:rsidR="008107C7" w:rsidRDefault="008107C7" w:rsidP="008107C7">
      <w:pPr>
        <w:pStyle w:val="TextoNormal"/>
      </w:pPr>
      <w:r>
        <w:t xml:space="preserve">B) De otro lado, la citación edictal no puede ser descalificada, sin más, como medio de comunicación de los actos procesales. Una cosa es que el Tribunal Constitucional señale la trascendencia de tales actos, lo que obliga al órgano judicial a agotar todos los medios posibles para lograr su efectividad, y otra cosa es que no sea lícita tal tipo de citación en los supuestos legales de domicilio desconocido o ignorado paradero. El criterio, para tal tipo de emplazamiento, aparece en la reciente STC 126/1996 en cuyo fundamento jurídico 2º, párrafo 2º, se dice: " La anterior argumentación permite razonar a contrario sensu que es lícita y constitucionalmente correcta tal forma de comunicación en supuestos de agotamiento de medios y certeza de inutilidad de emplear otros. En suma: en esta materia más que en ninguna otra se impone la consideración de las circunstancias del caso concreto". </w:t>
      </w:r>
    </w:p>
    <w:p w:rsidR="008107C7" w:rsidRDefault="008107C7" w:rsidP="008107C7">
      <w:pPr>
        <w:pStyle w:val="TextoNormal"/>
      </w:pPr>
      <w:r>
        <w:t xml:space="preserve">C) En el presente caso, la demanda dirigida contra el Sr. López de la Flor data del 1 de septiembre de 1990, si bien por razones ignoradas no se repartió al Juzgado de Primera </w:t>
      </w:r>
      <w:r>
        <w:lastRenderedPageBreak/>
        <w:t xml:space="preserve">Instancia núm. 3 de Segovia hasta el 12 de febrero del año siguiente. En la misma los actores señalaban como domicilio del demandado el del núm. 14 de la Avda. Juan Carlos I de Segovia. No ofrece dudas que tal fijación de domicilio obedecía a una realidad jurídica ya que este es un hecho que reconoce el propio demandado que dice no haberse ausentado de él en la fecha en que la demanda se presentó (septiembre de 1990), de otro lado, tal domicilio era el único que figura en la documentación anterior relativa a anteriores litigios entre actores y demandado y que puede comprobarse en las actuaciones llegadas a la sede del Tribunal Constitucional. </w:t>
      </w:r>
    </w:p>
    <w:p w:rsidR="008107C7" w:rsidRDefault="008107C7" w:rsidP="008107C7">
      <w:pPr>
        <w:pStyle w:val="TextoNormal"/>
      </w:pPr>
      <w:r>
        <w:t xml:space="preserve">A juicio del Ministerio Fiscal, lo anterior descarta no solo una maquinación del actor sino la creencia del Juzgado de que podía ser citado en el mismo. </w:t>
      </w:r>
    </w:p>
    <w:p w:rsidR="008107C7" w:rsidRDefault="008107C7" w:rsidP="008107C7">
      <w:pPr>
        <w:pStyle w:val="TextoNormal"/>
      </w:pPr>
      <w:r>
        <w:t xml:space="preserve">D) El emplazamiento se realiza, pues, en el antedicho domicilio en el que comparece la comisión judicial el 9 de mayo de 1991 en el que existe un acuartelamiento militar. Sin embargo, el Juzgado, se dirige al núm. 18 de la misma calle, que era el 14 antiguo, en donde se le comunica que se ha trasladado a Madrid sin que se sepan más detalles. Quizás, en este acto, hubiera sido necesario que se entregara la cédula al vecino, como preceptúa el art. 268 L.E.C. para que se le hiciera llegar "así que regrese a su domicilio". Sin embargo, tal precepto parece pensado para los supuestos de una ausencia no prolongada, perdiendo su virtualidad en supuestos como el de autos de desconocimiento del paradero por "haber mudado de habitación", como dice el art. 269 L.E.C. lo que justificaría la citación edictal, al no derivarse utilidad alguna de la entrega de documentación a persona que desconoce donde se halla el emplazado. </w:t>
      </w:r>
    </w:p>
    <w:p w:rsidR="008107C7" w:rsidRDefault="008107C7" w:rsidP="008107C7">
      <w:pPr>
        <w:pStyle w:val="TextoNormal"/>
      </w:pPr>
      <w:r>
        <w:t xml:space="preserve">Quizás, si de tal acto se hubiera pasado a la citación edictal, podría hablarse de indicio de lesión, pero el Juzgado llama al actor para que facilite otro domicilio del demandado, diligencia que resulta infructuosa. Solo después de ello se pasa a la citación edictal. La circunstancia de que los edictos se publiquen en el Boletín Oficial de la Provincia de Segovia y no en el de Madrid, no tiene, a juicio del Ministerio Fiscal, transcendencia alguna, a efecto de indefensión. </w:t>
      </w:r>
    </w:p>
    <w:p w:rsidR="008107C7" w:rsidRDefault="008107C7" w:rsidP="008107C7">
      <w:pPr>
        <w:pStyle w:val="TextoNormal"/>
      </w:pPr>
      <w:r>
        <w:t xml:space="preserve">Parece, pues, que se daban los condicionamientos, para que se produjera la citación edictal. </w:t>
      </w:r>
    </w:p>
    <w:p w:rsidR="008107C7" w:rsidRDefault="008107C7" w:rsidP="008107C7">
      <w:pPr>
        <w:pStyle w:val="TextoNormal"/>
      </w:pPr>
      <w:r>
        <w:t>E) Este caso se distancia, de esta forma, de otros en los que recientemente el amparo se otorgó cuando el Juzgado tuvo oportunidad de conocer otros domicilios por documentación obrante en la causa (STC 81/1996 y 121/1996), lo que cualifica aquellos supuestos en relación con el aquí contemplado. No parece, por último, que sea concebible, una negligencia del Juzgado en combinación con una conducta de los actores, renuente a localizar al demandado, cuando, siendo éstos últimos los más interesados en la ejecución de la Sentencia, no consiguen la localización de aquel sino cinco años después de su firmeza.</w:t>
      </w:r>
    </w:p>
    <w:p w:rsidR="008107C7" w:rsidRDefault="008107C7" w:rsidP="008107C7">
      <w:pPr>
        <w:pStyle w:val="TextoNormal"/>
      </w:pPr>
    </w:p>
    <w:p w:rsidR="008107C7" w:rsidRDefault="008107C7" w:rsidP="008107C7">
      <w:pPr>
        <w:pStyle w:val="TextoNormal"/>
      </w:pPr>
      <w:r w:rsidRPr="008107C7">
        <w:rPr>
          <w:rStyle w:val="NumeroAFNegritaCaracter"/>
        </w:rPr>
        <w:t>9</w:t>
      </w:r>
      <w:r>
        <w:t>. Por providencia de 21 de abril de 1997, se señaló para la deliberación y votación de la presente Sentencia el día 22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Este Tribunal, como se señala en la STC 126/1996, ha destacado en numerosas ocasiones la importancia en todos los órdenes jurisdiccionales de la efectividad de los actos de comunicación procesal, y, en particular, del primero de ellos, a través del cual el órgano judicial pone en conocimiento de las partes la propia existencia del proceso, por la trascen</w:t>
      </w:r>
      <w:r>
        <w:lastRenderedPageBreak/>
        <w:t>dencia que estos actos tienen para garantizar el principio de contradicción o audiencia bilateral de las partes, que forma parte del contenido del derecho reconocido en el art.  24.1 C.E.  a la tutela judicial efectiva sin que en ningún caso se produzca indefensión.  Ello impone a los órganos judiciales un especial deber de diligencia en la realización de dichos actos para asegurar,en la medida de lo posible, su recepción por los destinatarios, dándoles así la ocasión de defenderse y ello convierte, lógicamente, el emplazamiento, citación o notificación personal en el medio normal de comunicación (SSTC 242/1991, 275/1993, 108/1995 y 148/1995, entre otras). En este mismo sentido, nuestra doctrina ha sido particularmente estricta con la forma de emplazamiento edictal, dado el evidente riesgo de ineficacia causante de indefensión, sin que, no obstante, hayamos llegado por ello a negar validez constitucional en todo caso a esta forma de emplazamiento, aunque, eso sí, sometiéndola a una serie de condiciones rigurosas.</w:t>
      </w:r>
    </w:p>
    <w:p w:rsidR="008107C7" w:rsidRDefault="008107C7" w:rsidP="008107C7">
      <w:pPr>
        <w:pStyle w:val="TextoNormal"/>
      </w:pPr>
      <w:r>
        <w:t>De esta manera, en el orden procesal civil, hemos subrayado el carácter estrictamente subsidiario que debe asumir el emplazamiento por edictos previsto en el art.269 L.E.C.  En primer lugar, sólo cabe acudir a él en los supuestos que expresamente contempla el citado precepto, esto es, «cuando no conste el domicilio de la persona que deba ser notificada o por haber mudado de habitación se ignore su paradero», haciéndose constar así por diligencia.  Y, en segundo lugar, el emplazamiento edictal requiere, por su cualidad de último medio de comunicación, no sólo el agotamiento previo de las otras modalidades que aseguren en mayor grado la recepción por el destinatario de la correspondiente notificación, así como la constancia formal de haberse intentado su práctica, sino también que el acuerdo o resolución judicial de considerar que la parte se halla en paradero ignorado se funde en criterios de razonabilidad que lleven a la convicción o certeza de la inutilidad de aquellos otros medios normales de emplazamiento (SSTC 233/1988, 174/1990, 242/1991 y 324/1994, entre otras).</w:t>
      </w:r>
    </w:p>
    <w:p w:rsidR="008107C7" w:rsidRDefault="008107C7" w:rsidP="008107C7">
      <w:pPr>
        <w:pStyle w:val="TextoNormal"/>
      </w:pPr>
      <w:r>
        <w:t>Ahora bien, como siempre que se trata de enjuiciar la existencia de una posible indefensión contraria al art.  24.1 C.E., no basta, y así lo hemos declarado repetidamente (por todas, STC 105/1995), con que se haya producido la transgresión de una norma procesal, en este caso, por vía de hipótesis de las que rigen el emplazamiento edictal de los demandados en el proceso civil, interpretadas en los términos que se acaban de señalar, sino que es necesaria la concurrencia de otros requisitos.  En primer lugar, la indefensión ha de ser material y no meramente formal, lo que implica que ese defecto formal haya supuesto un perjuicio real y efectivo para el demandado en sus posibilidades de defensa (SSTC 43/1989, 101/1990, 6/1992 y 105/1995, entre otras).  Pero, además, en segundo lugar, es necesario que la indefensión padecida no sea imputable a la propia voluntad o a la falta de diligencia del demandado. Para juzgar este último extremo, hemos declarado también con reiteración que es necesario atender a las circunstancias concurrentes en cada caso y, en particular, a la diligencia que el emplazado edictalmente haya observado a fin de comparecer en el proceso y al conocimiento extraprocesal que haya podido tener de su existencia, pues está vedado que sostenga una denuncia constitucional de indefensión quien, por su actitud pasiva y negligente, coadyuvó a su producción al no comparecer en el proceso estando a tiempo de hacerlo, pese a tener conocimiento de su existencia por cauces distintos a su emplazamiento personal o haberlo podido tener si hubiera empleado una mínima diligencia (SSTC 87/1998, 72/1990, 174/1990, 275/1993 y 105/1995, entre otras).</w:t>
      </w:r>
    </w:p>
    <w:p w:rsidR="008107C7" w:rsidRDefault="008107C7" w:rsidP="008107C7">
      <w:pPr>
        <w:pStyle w:val="TextoNormal"/>
      </w:pPr>
    </w:p>
    <w:p w:rsidR="008107C7" w:rsidRDefault="008107C7" w:rsidP="008107C7">
      <w:pPr>
        <w:pStyle w:val="TextoNormal"/>
      </w:pPr>
      <w:r w:rsidRPr="008107C7">
        <w:rPr>
          <w:rStyle w:val="NumeroAFNegritaCaracter"/>
        </w:rPr>
        <w:t>2</w:t>
      </w:r>
      <w:r>
        <w:t>. Expuesta la doctrina general, debemos entrar ya en el examen del caso, comprobando si concurren o no todos los requisitos necesarios para apreciar la existencia de indefensión.</w:t>
      </w:r>
    </w:p>
    <w:p w:rsidR="008107C7" w:rsidRDefault="008107C7" w:rsidP="008107C7">
      <w:pPr>
        <w:pStyle w:val="TextoNormal"/>
      </w:pPr>
      <w:r>
        <w:lastRenderedPageBreak/>
        <w:t>Discuten, las partes acerca de la regularidad de su emplazamiento edictal, lo cual es relevante para poder determinar la existencia o no de una infracción procesal, como primero de los requisitos que integran el juicio de indefensión.  A este respecto, ambas partes consideran como un hecho cierto que el Juzgado intentó primero, con resultado negativo, el emplazamiento personal del demandado en el domicilio facilitado en la demanda: Avenida de Juan Carlos I, núm.  14, de Segovia.  Partiendo de esta base, el recurrente alega que el Juzgado no cumplió con las exigencias impuestas por la doctrina de este Tribunal para la utilización del emplazamiento edictal, pues, frustrado ese primer intento, no agotó las posibilidades de llevar a cabo un emplazamiento personal. Llega incluso el recurrente a imputar a la otra parte una ocultación del verdadero domicilio, toda vez que proporcionó el mismo al órgano judicial en la fase de ejecución del procedimiento, cuando dicha información debería haber sido puesta a disposición del Juzgado en el momento inicial de la causa, a los efectos de la correcta realización de la diligencia de emplazamiento con el ahora recurrente. Por el contrario, la parte demandante en aquel juicio y hoy comparecida en este recurso, defiende la pertinencia de aquel emplazamiento edictal, una vez intentado sin efecto el emplazamiento en el domicilio indicado en la demanda, puesto que el mismo era el único que constaba como cierto a dicha parte litigante, hecho que queda corroborado por el contenido de la propia diligencia negativa de emplazamiento, donde se hace constar que evidentemente el demandado y ahora recurrente tuvo en dicho inmueble su domicilio hasta el mes de diciembre de 1990.</w:t>
      </w:r>
    </w:p>
    <w:p w:rsidR="008107C7" w:rsidRDefault="008107C7" w:rsidP="008107C7">
      <w:pPr>
        <w:pStyle w:val="TextoNormal"/>
      </w:pPr>
      <w:r>
        <w:t>Se evidencia, por consiguiente, en el intento frustrado del órgano judicial por llevar a cabo el emplazamiento personal del demandado, lo que implica efectivamente que en el presente caso se adoptaron de manera razonable las cautelas y garantías adecuadas para asegurar que esa finalidad de conocimiento de las resoluciones y demás actuaciones judiciales no quedara frustado por causas ajenas a la voluntad del demandado (SSTC 125/1995 y 64/1996).</w:t>
      </w:r>
    </w:p>
    <w:p w:rsidR="008107C7" w:rsidRDefault="008107C7" w:rsidP="008107C7">
      <w:pPr>
        <w:pStyle w:val="TextoNormal"/>
      </w:pPr>
      <w:r>
        <w:t>Por todo ello resulta obvio que en el supuesto de autos no existió por parte del Juzgado la infracción denunciada de las normas procesales que rigen el emplazamiento edictal en los procesos civiles, ya que las mismas fueron interpretadas de acuerdo con la doctrina de este Tribunal, no habiéndose provocado, por tanto, la manifestada indefensión, a expensas sólo del examen del último de los requisitos necesarios para entenderla consumada, que abordamos a continuación.</w:t>
      </w:r>
    </w:p>
    <w:p w:rsidR="008107C7" w:rsidRDefault="008107C7" w:rsidP="008107C7">
      <w:pPr>
        <w:pStyle w:val="TextoNormal"/>
      </w:pPr>
    </w:p>
    <w:p w:rsidR="008107C7" w:rsidRDefault="008107C7" w:rsidP="008107C7">
      <w:pPr>
        <w:pStyle w:val="TextoNormal"/>
      </w:pPr>
      <w:r w:rsidRPr="008107C7">
        <w:rPr>
          <w:rStyle w:val="NumeroAFNegritaCaracter"/>
        </w:rPr>
        <w:t>3</w:t>
      </w:r>
      <w:r>
        <w:t>. Queda, pues, por examinar para responder a las cuestiones planteadas por las partes si, pese a la utilización por el Juzgado del emplazamiento edictal, el recurrente coadyuvó de alguna manera con su conducta a la producción del perjuicio padecido en sus posibilidades de defensa.  Como indicamos al exponer la doctrina de este Tribunal al respecto, el juicio de imputabilidad al recurrente de la propia indefensión sufrida ha de hacerse teniendo en cuenta las circunstancias concurrentes en el caso concreto y, dentro de ellas, en particular, si tuvo, o pudo haber tenido, empleando un mínimo de diligencia, un conocimiento extraprocesal de la pendencia del pleito en un momento procesal todavía oportuno para personarse y actuar en él en defensa de sus intereses (SSTC 181/1985, 24/1986, 87/1988, 101/1990, 129/1991, 227/1994 y 105/1995, entre otras).</w:t>
      </w:r>
    </w:p>
    <w:p w:rsidR="008107C7" w:rsidRDefault="008107C7" w:rsidP="008107C7">
      <w:pPr>
        <w:pStyle w:val="TextoNormal"/>
      </w:pPr>
      <w:r>
        <w:t xml:space="preserve">La cuestión se traslada, pues, a un problema de prueba de la concurrencia de dichas circunstancias, cuya carga no recae sobre el propio recurrente que alega la indefensión (SSTC 133/1986 y 334/1993, entre otras), y que ha de ser, en principio, fehaciente (SSTC 181/1985, 24/1986, 45/1987, 110/1987 y 129/1991, entre otras), aunque basta con que del examen de </w:t>
      </w:r>
      <w:r>
        <w:lastRenderedPageBreak/>
        <w:t>las actuaciones pueda deducirse de manera suficiente y razonable la concurrencia de las mismas (SSTC 87/1988, 151/1988, 163/1988, 57/1991 y 334/1993, entre otras).</w:t>
      </w:r>
    </w:p>
    <w:p w:rsidR="008107C7" w:rsidRDefault="008107C7" w:rsidP="008107C7">
      <w:pPr>
        <w:pStyle w:val="TextoNormal"/>
      </w:pPr>
      <w:r>
        <w:t>El recurrente manifiesta que fue en fecha 12 de febrero de 1996,-momento en el que le fue practicado el embargo de sus bienes a través del Juzgado de Primera Instancia núm. 2 de Coslada (Madrid), mediante exhorto núm. 31/1996, como consecuencia del procedimiento de menor cuantía antes indicado, requiriéndosele para que designara bienes de su propiedad sobre los que trabar embargo y en cuantía suficiente para cubrir la suma de 41.000.000 de pesetas-, cuando vino a tener conocimiento de la existencia del procedimiento seguido en su rebeldía, que hasta entonces desconoció por completo, aunque teniendo en cuenta las circunstancias concurrentes, llama la atención que el demandante no dejara constancia de su nuevo domicilio.</w:t>
      </w:r>
    </w:p>
    <w:p w:rsidR="008107C7" w:rsidRDefault="008107C7" w:rsidP="008107C7">
      <w:pPr>
        <w:pStyle w:val="TextoNormal"/>
      </w:pPr>
    </w:p>
    <w:p w:rsidR="008107C7" w:rsidRDefault="008107C7" w:rsidP="008107C7">
      <w:pPr>
        <w:pStyle w:val="TextoNormal"/>
      </w:pPr>
      <w:r w:rsidRPr="008107C7">
        <w:rPr>
          <w:rStyle w:val="NumeroAFNegritaCaracter"/>
        </w:rPr>
        <w:t>4</w:t>
      </w:r>
      <w:r>
        <w:t>. Por ello, ha de afirmarse que en el presente caso no cabe imputar el desconocimiento de la existencia del proceso a una falta de diligencia del recurrente, lo que no es óbice a que por el órgano judicial haya respetado suficientemente el derecho de defensa del mismo (art.24.1 C.E), toda vez que se ha procedido, agotando las posibilidades a su alcance, a procurar su emplazamiento personal, a los efectos de garantizar la existencia de un juicio celebrado contradictoriamente. Al no haber sido posible la producción de dicho acto de comunicación procesal en tal forma, habiéndose llevado a cabo, en este caso, el previo agotamiento de los medios ordinarios establecidos en la Ley Procesal, que por otra parte, han resultado inútiles e inviables, debe considerarse que el recurso a la publicación de edictos es fruto de la utilización de un criterio de racionalidad al haber sido utilizado excepcional y supletoriamente como último remedio procesal, por lo que finalmente, cabe concluir, como ya ha quedado dicho, que en el presente caso no ha existido la indefensión alegada por el demandante, y por ende la lesión constitucional a su derecho a la tutela judicial efectiva (art.24.1 C.E.), sin que se pueda considerar vulnerado dicho derecho fundamental como consecuencia de la publicación edictal llevada a cabo por el órgano judicial.</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NACIÓN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Denegar el amparo solicitado por don Mario López de la Flor.</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8107C7">
      <w:pPr>
        <w:pStyle w:val="TextoNormal"/>
      </w:pPr>
      <w:r>
        <w:t>Dada en Madrid a veintidós de abril de mil novecientos noventa y siete.</w:t>
      </w:r>
    </w:p>
    <w:p w:rsidR="008107C7" w:rsidRDefault="008107C7">
      <w:pPr>
        <w:spacing w:after="160" w:line="259" w:lineRule="auto"/>
        <w:rPr>
          <w:rFonts w:ascii="Times New Roman" w:eastAsia="Times New Roman" w:hAnsi="Times New Roman" w:cs="Times New Roman"/>
          <w:sz w:val="24"/>
          <w:szCs w:val="24"/>
          <w:lang w:eastAsia="es-ES"/>
        </w:rPr>
      </w:pPr>
      <w:r>
        <w:br w:type="page"/>
      </w:r>
    </w:p>
    <w:p w:rsidR="008107C7" w:rsidRDefault="008107C7" w:rsidP="008107C7">
      <w:pPr>
        <w:pStyle w:val="TtuloResolucin"/>
      </w:pPr>
      <w:bookmarkStart w:id="90" w:name="SENTENCIA_1997_87"/>
      <w:r>
        <w:lastRenderedPageBreak/>
        <w:t>SENTENCIA 87/1997, de 24 de abril de 1997</w:t>
      </w:r>
    </w:p>
    <w:bookmarkEnd w:id="90"/>
    <w:p w:rsidR="008107C7" w:rsidRDefault="008107C7" w:rsidP="008107C7">
      <w:pPr>
        <w:pStyle w:val="TtuloResolucin"/>
      </w:pPr>
      <w:r>
        <w:t>Pleno</w:t>
      </w:r>
    </w:p>
    <w:p w:rsidR="008107C7" w:rsidRDefault="008107C7" w:rsidP="008107C7">
      <w:pPr>
        <w:pStyle w:val="TtuloResolucin"/>
      </w:pPr>
    </w:p>
    <w:p w:rsidR="008107C7" w:rsidRDefault="008107C7" w:rsidP="008107C7">
      <w:pPr>
        <w:pStyle w:val="TtuloBOE"/>
      </w:pPr>
      <w:r>
        <w:t>("BOE" núm. 121, de 21 de mayo de 1997)</w:t>
      </w:r>
    </w:p>
    <w:p w:rsidR="008107C7" w:rsidRDefault="008107C7" w:rsidP="008107C7">
      <w:pPr>
        <w:pStyle w:val="TtuloBOE"/>
      </w:pPr>
    </w:p>
    <w:p w:rsidR="008107C7" w:rsidRDefault="008107C7" w:rsidP="008107C7">
      <w:pPr>
        <w:pStyle w:val="SntesisDescriptiva"/>
      </w:pPr>
      <w:r>
        <w:t>ECLI:ES:TC:1997:87</w:t>
      </w:r>
    </w:p>
    <w:p w:rsidR="008107C7" w:rsidRDefault="008107C7" w:rsidP="008107C7">
      <w:pPr>
        <w:pStyle w:val="SntesisDescriptiva"/>
      </w:pPr>
    </w:p>
    <w:p w:rsidR="008107C7" w:rsidRDefault="008107C7" w:rsidP="008107C7">
      <w:pPr>
        <w:pStyle w:val="SntesisDescriptiva"/>
      </w:pPr>
      <w:r>
        <w:t>Conflicto positivo de competencia 1.080/1990. Promovido por el Consejo Ejecutivo de la Generalidad de Cataluña en relación con la expresión "en lengua castellana" contenida en el art. 36.1 del Real Decreto 1.597/1989, de 29 de diciembre, por el que se aprueba el Reglamento del Registro Mercantil.</w:t>
      </w:r>
    </w:p>
    <w:p w:rsidR="008107C7" w:rsidRDefault="008107C7" w:rsidP="008107C7">
      <w:pPr>
        <w:pStyle w:val="SntesisDescriptiva"/>
      </w:pPr>
    </w:p>
    <w:p w:rsidR="008107C7" w:rsidRDefault="008107C7" w:rsidP="008107C7">
      <w:pPr>
        <w:pStyle w:val="SntesisAnaltica"/>
      </w:pPr>
    </w:p>
    <w:p w:rsidR="008107C7" w:rsidRDefault="008107C7" w:rsidP="008107C7">
      <w:pPr>
        <w:pStyle w:val="SntesisAnaltica"/>
      </w:pPr>
    </w:p>
    <w:p w:rsidR="008107C7" w:rsidRDefault="008107C7" w:rsidP="008107C7">
      <w:pPr>
        <w:pStyle w:val="Extracto"/>
      </w:pPr>
      <w:r>
        <w:t>1.</w:t>
      </w:r>
      <w:r>
        <w:tab/>
        <w:t>Este Tribunal tiene declarado que en los conflictos positivos de competencia pueden plantearse tanto reivindicaciones de la titularidad de las competencias controvertidas como denuncias relativas al ejercicio extralimitado de una competencia ajena con menoscabo de una propia, siempre que la controversia así suscitada afecte a la definición o a la delimitación de los títulos competenciales en litigio (por todas, STC 243/1993 con cita de las SSTC 1/1984, 1/1986, 104/88, 115/1991, 235/1991) [F.J. 2]</w:t>
      </w:r>
    </w:p>
    <w:p w:rsidR="008107C7" w:rsidRDefault="008107C7" w:rsidP="008107C7">
      <w:pPr>
        <w:pStyle w:val="Extracto"/>
      </w:pPr>
    </w:p>
    <w:p w:rsidR="008107C7" w:rsidRDefault="008107C7" w:rsidP="008107C7">
      <w:pPr>
        <w:pStyle w:val="Extracto"/>
      </w:pPr>
      <w:r>
        <w:t>2.</w:t>
      </w:r>
      <w:r>
        <w:tab/>
        <w:t>La Constitución, en su art. 3.2, remite a los Estatutos de Autonomía de las Comunidades con lengua propia distinta del castellano la decisión sobre la declaración de la oficialidad de esa lengua y acerca de su régimen jurídico. A su vez los Estatutos concretan esta remisión constitucional mediante preceptos, situados en los Títulos preliminares respectivos, en los que, después de efectuar la declaración de la oficialidad de la lengua propia de la Comunidad y reiterar la del castellano, lengua oficial común, incluyen un mandato dirigido a las correspondientes instituciones autonómicas de gobierno para que adopten las medidas necesarias en orden a asegurar el conocimiento de ambos idiomas y a garantizar la plena igualdad en lo que se refiere a los derechos y deberes lingüísticos de los ciudadanos, así como el uso normal y oficial de las lenguas oficiales [F.J. 3]</w:t>
      </w:r>
    </w:p>
    <w:p w:rsidR="008107C7" w:rsidRDefault="008107C7" w:rsidP="008107C7">
      <w:pPr>
        <w:pStyle w:val="Extracto"/>
      </w:pPr>
    </w:p>
    <w:p w:rsidR="008107C7" w:rsidRDefault="008107C7" w:rsidP="008107C7">
      <w:pPr>
        <w:pStyle w:val="Extracto"/>
      </w:pPr>
      <w:r>
        <w:t>3.</w:t>
      </w:r>
      <w:r>
        <w:tab/>
        <w:t>Sin necesidad de entrar en mayores desarrollos teóricos sobre la naturaleza del mandato o habilitación competencial contenida en los referidos preceptos constitucionales y estatutarios y sin perjuicio de lo que luego se dirá acerca del alcance de las competencias estatales y autonómicas en la regulación del uso de las lenguas en los distintos ámbitos materiales, de lo dicho hasta ahora se desprende que el Estado, al establecer que el castellano sea la única lengua en la que deben redactarse los asientos en el Registro Mercantil, puede sin duda, en hipótesis, afectar a la habilitación competencial atribuida a la Generalidad para regular el régimen de la cooficialidad de las lenguas o, cuando menos, puede menoscabar el ejercicio de esa habilitación que la Comunidad recurrente ha llevado a cabo a través de la Ley de normalización lingüística. Por ello, nada se opone en principio a que dicha Comunidad utilice el cauce procesal del conflicto positivo de competencia para denunciar esta pretendida vulneración del orden constitucional [F.J. 3]</w:t>
      </w:r>
    </w:p>
    <w:p w:rsidR="008107C7" w:rsidRDefault="008107C7" w:rsidP="008107C7">
      <w:pPr>
        <w:pStyle w:val="Extracto"/>
      </w:pPr>
    </w:p>
    <w:p w:rsidR="008107C7" w:rsidRDefault="008107C7" w:rsidP="008107C7">
      <w:pPr>
        <w:pStyle w:val="Extracto"/>
      </w:pPr>
      <w:r>
        <w:lastRenderedPageBreak/>
        <w:t>4.</w:t>
      </w:r>
      <w:r>
        <w:tab/>
        <w:t>Determinar cuáles sean las consecuencias genéricas o el alcance del contenido inherente de la oficialidad es cosa que aquí no es necesario analizar con pretensiones de exhaustividad. A los efectos de este proceso constitucional basta señalar que el Tribunal siempre ha considerado como tales, entre otras, el establecimiento de los derechos y deberes lingüísticos de los ciudadanos frente a todas las Administraciones Públicas -por ejemplo, el derecho a poder dirigirse a ellas en cualquiera de las lenguas oficiales en la Comunidad- y la proclamación de la plenitud e igualdad de efectos jurídicos de los documentos redactados en cualquiera de esas lenguas (por todas, SSTC 123/1988 y 56/1990). Más concretamente, el Tribunal Constitucional ha precisado que las denominadas leyes de normalización y en concreto los preceptos que proclaman los referidos derechos y la igualdad de efectos jurídicos son fruto del ejercicio de estas competencias o mandatos contenidos en los preceptos constitucionales y estatutarios que atribuyen a las respectivas Comunidades Autónomas la regulación del carácter oficial de las lenguas y el fomento de las mismas (SSTC 82/1986, 56/1990, 74/1989 y 337/1994) [F.J. 4]</w:t>
      </w:r>
    </w:p>
    <w:p w:rsidR="008107C7" w:rsidRDefault="008107C7" w:rsidP="008107C7">
      <w:pPr>
        <w:pStyle w:val="Extracto"/>
      </w:pPr>
    </w:p>
    <w:p w:rsidR="008107C7" w:rsidRDefault="008107C7" w:rsidP="008107C7">
      <w:pPr>
        <w:pStyle w:val="Extracto"/>
      </w:pPr>
      <w:r>
        <w:t>5.</w:t>
      </w:r>
      <w:r>
        <w:tab/>
        <w:t>De lo que antecede se desprenden, pues, dos conclusiones. En primer lugar, como ya hemos avanzado, la competencia del Estado para determinar la lengua en la que deben practicarse los asientos en el Registro Mercantil y, más concretamente, la competencia estatal para dictar el art. 36.1 R.R.M. objeto del presente conflicto. Así parece reconocerlo la propia Ley 7/1983, del Parlamento de Cataluña, de normalización lingüística, que, después de regular en el art. 11 la lengua oficial en la que deben redactarse los asientos en los registros públicos dependientes de la Generalidad, se limita a prever en su Disposición adicional, que la misma promoverá, de acuerdo con los órganos competentes, la normalización del catalán en los registros no dependientes de la misma. La segunda conclusión es la de que el Estado al regular el uso de la lengua en los Registros Mercantiles territoriales radicados en la Comunidad Autónoma debe respetar las cláusulas generales relativas a la oficialidad y normalización de las lenguas, que se concretan, en lo que aquí afecta y como ya hemos avanzado, en el art. 2.2 de la referida Ley 7/1983 que establece que "las manifestaciones de pensamiento o de voluntad y los actos orales o escritos, públicos o privados, no pueden dar lugar en Cataluña a ningún tipo de discriminación si se expresan total o parcialmente en lengua catalana y producen todos los efectos jurídicos igual que si se expresaran en lengua castellana, y, por consiguiente, en lo que respecta a su eficacia, no pueden ser objeto de ningún tipo de dificultad, retraso, requerimiento de traducción ni de ninguna otra exigencia" y en el art. 8.2 y 3, referido en general a la Administración civil del Estado, prevé que ésta debe expedir los documentos o testimonios contenidos en los expedientes por ella tramitados en el idioma oficial requerido por los ciudadanos que los soliciten [F.J. 4]</w:t>
      </w:r>
    </w:p>
    <w:p w:rsidR="008107C7" w:rsidRDefault="008107C7" w:rsidP="008107C7">
      <w:pPr>
        <w:pStyle w:val="Extracto"/>
      </w:pPr>
    </w:p>
    <w:p w:rsidR="008107C7" w:rsidRDefault="008107C7" w:rsidP="008107C7">
      <w:pPr>
        <w:pStyle w:val="Extracto"/>
      </w:pPr>
      <w:r>
        <w:t>6.</w:t>
      </w:r>
      <w:r>
        <w:tab/>
        <w:t xml:space="preserve">Pues bien, ni el R.R.M. ni ninguna otra disposición normativa obligan a quien presenta en el Registro un documento en catalán a traducirlo previamente al castellano. Este silencio debe interpretarse en el sentido de que, efectivamente, los documentos redactados en la lengua oficial propia de la Comunidad pueden presentarse en el Registro y el registrador deberá tomarlos como base para realizar la calificación y el asiento. Ninguna otra interpretación del silencio del R.R.M sería acorde con las consecuencias que derivan de la cooficialidad de las lenguas en los </w:t>
      </w:r>
      <w:r>
        <w:lastRenderedPageBreak/>
        <w:t>territorios con lengua oficial propia distinta del castellano entre las que figura, como ha reiterado este Tribunal y se acaba de recordar en fundamentos precedentes, el derecho de los ciudadanos de dirigirse a cualquier Administración en la lengua oficial que estime oportuno. Es cierto que una vez presentado en lengua distinta del castellano, el asiento se llevará a cabo en esta lengua pero, como queda dicho, en el momento de practicarse este asiento, el documento en cuanto tal, cualquiera que sea su lengua, ya habrá producido todos sus efectos ante el Registro [F.J. 5]</w:t>
      </w:r>
    </w:p>
    <w:p w:rsidR="008107C7" w:rsidRDefault="008107C7" w:rsidP="008107C7">
      <w:pPr>
        <w:pStyle w:val="Extracto"/>
      </w:pPr>
    </w:p>
    <w:p w:rsidR="008107C7" w:rsidRDefault="008107C7" w:rsidP="008107C7">
      <w:pPr>
        <w:pStyle w:val="Extracto"/>
      </w:pPr>
      <w:r>
        <w:t>7.</w:t>
      </w:r>
      <w:r>
        <w:tab/>
        <w:t>El Estado, en tanto que titular del Registro, al regular el uso de la lengua debe evitar que la traducción produzca inseguridad y retrasos indebidos, no sólo para no vulnerar derechos de los ciudadanos que han decidido libremente redactar o solicitar la redacción de sus documentos en una lengua oficial distinta del castellano, sino también para evitar posibles efectos disuasorios del uso de aquella lengua, en este caso del catalán, que sin duda pueden derivarse de una hipotética situación de inseguridad y que serían totalmente contrarios a la normalización de ese uso que el Estatuto de Autonomía de Cataluña encomienda a la Generalidad, pero que también vincula al Estado ex art. 3.3 C.E. (STC 337/1994. Si el Estado opta, como ha hecho a efectos de su inscripción, por la traducción de los documentos no redactados en castellano deberá establecer los medios, personales y materiales, necesarios para que no se produzcan ni inseguridad jurídica ni retrasos [F.J. 6]</w:t>
      </w:r>
    </w:p>
    <w:p w:rsidR="008107C7" w:rsidRDefault="008107C7" w:rsidP="008107C7">
      <w:pPr>
        <w:pStyle w:val="Extracto"/>
      </w:pPr>
    </w:p>
    <w:p w:rsidR="008107C7" w:rsidRDefault="008107C7" w:rsidP="008107C7">
      <w:pPr>
        <w:pStyle w:val="Extracto"/>
      </w:pPr>
      <w:r>
        <w:t>8.</w:t>
      </w:r>
      <w:r>
        <w:tab/>
        <w:t>En cuanto a los problemas relativos a la publicidad formal de los asientos debe notarse, en primer lugar, que respecto de la expedición de certificaciones de los mismos nada se opone ni en el precepto impugnado, ni en el resto del articulado del R.R.M., a que éstas se lleven a cabo en el idioma oficial escogido por el solicitante. Más problemas plantean algunas de las otras tres formas de publicidad formal previstas en el Reglamento (arts. 77 a 80), pues, si bien las notas informativas también pueden emitirse en la lengua del solicitante, las copias -cuando se efectúan por medios reprográficos- y las consultas por ordenador en principio se harán teniendo como objeto el texto del asiento redactado en castellano. Ahora bien debe tenerse en cuenta que de los cuatro medios de publicidad formal previstos en el R.R.M., la certificación puede obtenerse en cualquier lengua oficial- es la única que acredita fehacientemente el contenido de los asientos (art. 77.2 R.R.M.). Respecto de las demás formas de publicidad el titular del Registro deberá proveer los medios que faciliten la consulta de las mismas en la lengua oficial solicitada con plena garantía de seguridad y sin dilaciones [F.J. 6]</w:t>
      </w:r>
    </w:p>
    <w:p w:rsidR="008107C7" w:rsidRDefault="008107C7" w:rsidP="008107C7">
      <w:pPr>
        <w:pStyle w:val="Extracto"/>
      </w:pPr>
    </w:p>
    <w:p w:rsidR="008107C7" w:rsidRDefault="008107C7" w:rsidP="008107C7">
      <w:pPr>
        <w:pStyle w:val="Extracto"/>
      </w:pPr>
    </w:p>
    <w:p w:rsidR="008107C7" w:rsidRDefault="008107C7" w:rsidP="008107C7">
      <w:pPr>
        <w:pStyle w:val="TextoNormal"/>
      </w:pPr>
      <w:r>
        <w:t>El Pleno del Tribunal Constitucional, compuesto por don Alvaro Rodríguez Bereijo, Presidente, don Fernando García- Mon y González-Regueral, don Vicente Gimeno Sendra, don Julio Diego González Campos, don Pedro Cruz Villalón, don Carles Viver Pi-Sunyer, don Enrique Ruiz Vadillo, don Manuel Jiménez de Parga y Cabrera, don Tomás S. Vives Antón y don Pablo García Manzano, Magistrados, ha pronunciado</w:t>
      </w:r>
    </w:p>
    <w:p w:rsidR="008107C7" w:rsidRDefault="008107C7" w:rsidP="008107C7">
      <w:pPr>
        <w:pStyle w:val="TextoNormal"/>
      </w:pPr>
    </w:p>
    <w:p w:rsidR="008107C7" w:rsidRDefault="008107C7" w:rsidP="008107C7">
      <w:pPr>
        <w:pStyle w:val="TextoNormalCentrado"/>
        <w:keepNext/>
      </w:pPr>
      <w:r>
        <w:lastRenderedPageBreak/>
        <w:t>EN NOMBRE DEL REY</w:t>
      </w:r>
    </w:p>
    <w:p w:rsidR="008107C7" w:rsidRDefault="008107C7" w:rsidP="008107C7">
      <w:pPr>
        <w:pStyle w:val="TextoNormalCentrado"/>
        <w:keepNext/>
      </w:pPr>
    </w:p>
    <w:p w:rsidR="008107C7" w:rsidRDefault="008107C7" w:rsidP="008107C7">
      <w:pPr>
        <w:pStyle w:val="TextoNormalCentrado"/>
        <w:keepNext/>
      </w:pPr>
    </w:p>
    <w:p w:rsidR="008107C7" w:rsidRDefault="008107C7" w:rsidP="008107C7">
      <w:pPr>
        <w:pStyle w:val="TextoNormal"/>
      </w:pPr>
      <w:r>
        <w:t>la siguiente</w:t>
      </w:r>
    </w:p>
    <w:p w:rsidR="008107C7" w:rsidRDefault="008107C7" w:rsidP="008107C7">
      <w:pPr>
        <w:pStyle w:val="TextoNormal"/>
      </w:pPr>
    </w:p>
    <w:p w:rsidR="008107C7" w:rsidRDefault="008107C7" w:rsidP="008107C7">
      <w:pPr>
        <w:pStyle w:val="TextoNormalCentrado"/>
        <w:keepNext/>
      </w:pPr>
      <w:r>
        <w:t>SENTENCIA</w:t>
      </w:r>
    </w:p>
    <w:p w:rsidR="008107C7" w:rsidRDefault="008107C7" w:rsidP="008107C7">
      <w:pPr>
        <w:pStyle w:val="TextoNormalCentrado"/>
        <w:keepNext/>
      </w:pPr>
    </w:p>
    <w:p w:rsidR="008107C7" w:rsidRDefault="008107C7" w:rsidP="008107C7">
      <w:pPr>
        <w:pStyle w:val="TextoNormal"/>
      </w:pPr>
      <w:r>
        <w:t>En el conflicto positivo de competencia núm. 1.080/90, promovido por el Consejo Ejecutivo de la Generalidad de Cataluña, representado por el Letrado don Ramón Riu i Fortuny, en relación con la expresión «en lengua castellana» contenida en el art. 36.1 del Real Decreto 1.597/1989, de 29 de diciembre, por el que se aprueba el Reglamento del Registro Mercantil. Ha comparecido el Abogado del Estado, en la representación que legalmente ostenta y ha sido Ponente el Magistrado don Carles Viver Pi-Sunyer, quien expresa el parecer del Tribunal.</w:t>
      </w:r>
    </w:p>
    <w:p w:rsidR="008107C7" w:rsidRDefault="008107C7" w:rsidP="008107C7">
      <w:pPr>
        <w:pStyle w:val="TextoNormal"/>
      </w:pPr>
    </w:p>
    <w:p w:rsidR="008107C7" w:rsidRDefault="008107C7" w:rsidP="008107C7">
      <w:pPr>
        <w:pStyle w:val="TextoNormalNegritaCentrado"/>
        <w:keepNext/>
      </w:pPr>
      <w:r>
        <w:t>I. Antecedentes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En fecha 26 de abril de 1990, y tras haber sido rechazado el correspondiente requerimiento de incompetencia, el Letrado don Ramón Riu i Fortuny, en nombre del Consejo Ejecutivo de la Generalidad de Cataluña, promovió conflicto positivo de competencia frente al Gobierno de la Nación por estimar que la expresión «en lengua castellana» contenida en el art. 36.1 del Real Decreto 1.597/1989, de 29 de diciembre, por el que se aprueba el Reglamento del Registro Mercantil, vulnera las competencias asumidas por la Generalidad de Cataluña.</w:t>
      </w:r>
    </w:p>
    <w:p w:rsidR="008107C7" w:rsidRDefault="008107C7" w:rsidP="008107C7">
      <w:pPr>
        <w:pStyle w:val="TextoNormal"/>
      </w:pPr>
    </w:p>
    <w:p w:rsidR="008107C7" w:rsidRDefault="008107C7" w:rsidP="008107C7">
      <w:pPr>
        <w:pStyle w:val="TextoNormal"/>
      </w:pPr>
      <w:r w:rsidRPr="008107C7">
        <w:rPr>
          <w:rStyle w:val="NumeroAFNegritaCaracter"/>
        </w:rPr>
        <w:t>2</w:t>
      </w:r>
      <w:r>
        <w:t xml:space="preserve">. Los términos del conflicto, según resulta de la demanda y documentación adjunta, se cifran en lo siguiente: </w:t>
      </w:r>
    </w:p>
    <w:p w:rsidR="008107C7" w:rsidRDefault="008107C7" w:rsidP="008107C7">
      <w:pPr>
        <w:pStyle w:val="TextoNormal"/>
      </w:pPr>
      <w:r>
        <w:t xml:space="preserve">Afirma el Consejo Ejecutivo que se encuentra nuevamente en la necesidad de plantear una acción en una materia de especial transcendencia para Cataluña, como es la lingüística, debido a la escasa sensibilidad demostrada en este tema por el Gobierno al dictar una disposición general en la que se desconoce que, junto a la castellana, en Cataluña también es oficial la lengua catalana. </w:t>
      </w:r>
    </w:p>
    <w:p w:rsidR="008107C7" w:rsidRDefault="008107C7" w:rsidP="008107C7">
      <w:pPr>
        <w:pStyle w:val="TextoNormal"/>
      </w:pPr>
      <w:r>
        <w:t xml:space="preserve">El mandato contenido en el art. 36.1 del R.D. 1.597/1989, continúa el Consejo Ejecutivo, impide que puedan extenderse los asientos registrales en catalán, o en las demás lenguas oficiales en las respectivas Comunidades Autónomas, cuando el documento a inscribir está redactado en esa lengua, invadiéndose así la competencia de ordenación lingüística de la Generalidad, pues se establece un régimen lingüístico en el ámbito del Registro Mercantil, también para Cataluña, en el que no se admite que el catalán pueda producir los plenos efectos jurídicos que, como lengua oficial, han de corresponderle en Cataluña. Asimismo, el precepto en cuestión vulnera la competencia de la Generalidad en orden a la normalización lingüística, vaciándola de contenido en el ámbito del Registro Mercantil, al impedir que pueda procederse a la plena normalización del catalán en los Registros Mercantiles territoriales sitos en Cataluña, tal como se había previsto en la Ley de Normalización Lingüística. </w:t>
      </w:r>
    </w:p>
    <w:p w:rsidR="008107C7" w:rsidRDefault="008107C7" w:rsidP="008107C7">
      <w:pPr>
        <w:pStyle w:val="TextoNormal"/>
      </w:pPr>
      <w:r>
        <w:t xml:space="preserve">Para el Consejo Ejecutivo, la actitud del Gobierno no sólo demuestra su escasa sensibilidad en la materia, sino, incluso, su falta de respeto a los preceptos constitucionales, pues </w:t>
      </w:r>
      <w:r>
        <w:lastRenderedPageBreak/>
        <w:t xml:space="preserve">el precepto impugnado es plenamente contrario a los arts. 3 C.E. y 3 E.A.C., existiendo, además, suficiente doctrina de este Tribunal como para que pueda determinarse con claridad la inconstitucionalidad de la norma en cuestión. Es de observar, de otro lado, que de la aplicación del art. 36.1 del R.D. 1.597/1989 pueden derivar graves perjuicios para la seguridad jurídica y para los principios de fe pública registral y de legitimación enunciados en los arts. 7 y 8 del actual Reglamento del Registro Mercantil. Por ello habrá de solicitarse la suspensión de la aplicación del precepto ex art. 64.3 LOTC. </w:t>
      </w:r>
    </w:p>
    <w:p w:rsidR="008107C7" w:rsidRDefault="008107C7" w:rsidP="008107C7">
      <w:pPr>
        <w:pStyle w:val="TextoNormal"/>
      </w:pPr>
      <w:r>
        <w:t xml:space="preserve">La demanda se centra, a continuación, en el examen del valor y los efectos de la oficialidad del catalán. Tras referirse a los términos en los que se expresan el Preámbulo y el art. 3 C.E., recuerda el Consejo Ejecutivo que, por efecto de lo dispuesto en dicho precepto, ha quedado establecido, de manera inmediata, el carácter oficial del castellano y el reconocimiento, también, del carácter oficial a las demás lenguas del Estado, de conformidad con los respectivos Estatutos. Se deduce, asimismo, del art. 3 C.E. el principio de territorialidad que determinará el carácter oficial de las demás lenguas españolas y el reconocimiento de que los Estatutos podrán declarar el valor oficial de esas lenguas en toda la extensión que comporta el concepto mismo de oficialidad. </w:t>
      </w:r>
    </w:p>
    <w:p w:rsidR="008107C7" w:rsidRDefault="008107C7" w:rsidP="008107C7">
      <w:pPr>
        <w:pStyle w:val="TextoNormal"/>
      </w:pPr>
      <w:r>
        <w:t xml:space="preserve">Por su parte, el art. 3 del Estatuto de Autonomía de Cataluña configura, de acuerdo con la Constitución, un régimen de doble oficialidad de las lenguas catalana y castellana en Cataluña. Este régimen supone la declaración de la oficialidad efectiva y plena del catalán, lo que significa, en primer lugar, que se le ha atribuido la condición de vehículo de comunicación válido y eficaz para cualquier actividad con transcendencia jurídica, tanto si afecta a los poderes públicos situados en el territorio de Cataluña como si lo hace a las relaciones de éstos con los ciudadanos en este territorio o a las relaciones entre los propios ciudadanos. </w:t>
      </w:r>
    </w:p>
    <w:p w:rsidR="008107C7" w:rsidRDefault="008107C7" w:rsidP="008107C7">
      <w:pPr>
        <w:pStyle w:val="TextoNormal"/>
      </w:pPr>
      <w:r>
        <w:t xml:space="preserve">Ese, y no otro, continúa el Consejo Ejecutivo, es el concepto de oficialidad lingüística establecido por este Tribunal en la STC 82/1986, debiendo destacarse ahora, por su especial incidencia en la resolución del presente conflicto, que en la definición que el Tribunal hace de aquel concepto se enumeran separada pero explícitamente los tres ámbitos en los que la lengua oficial ha de producir efectos, citándose en primer lugar, precisamente, el ámbito interno de los poderes públicos. </w:t>
      </w:r>
    </w:p>
    <w:p w:rsidR="008107C7" w:rsidRDefault="008107C7" w:rsidP="008107C7">
      <w:pPr>
        <w:pStyle w:val="TextoNormal"/>
      </w:pPr>
      <w:r>
        <w:t xml:space="preserve">Para el Consejo Ejecutivo, de la declaración contenida en el art. 3.2 E.A.C. cabe deducir una segunda afirmación, relacionada con el sistema de doble oficialidad establecido, pues la cooficialidad comporta el derecho a la libre elección de los ciudadanos respecto a la lengua, ya que el marco normativo vigente determina el uso indistinto de las dos lenguas oficiales, con los mismos efectos jurídicos. Puede concluirse, por tanto, que ese régimen de cooficialidad supone la igualdad de efectos jurídicos de cada una de ambas lenguas, la garantía de la opción de uso de cualquiera de ellas y, por tanto, la prohibición de imponer, en cualquier ámbito, el uso exclusivo de una sola de las lenguas oficiales. </w:t>
      </w:r>
    </w:p>
    <w:p w:rsidR="008107C7" w:rsidRDefault="008107C7" w:rsidP="008107C7">
      <w:pPr>
        <w:pStyle w:val="TextoNormal"/>
      </w:pPr>
      <w:r>
        <w:t xml:space="preserve">Esto último es, precisamente -continúa la demanda-, lo que ha hecho el art. 36.1 del Reglamento del Registro Mercantil (en adelante, R.R.M.) al determinar que los asientos se practicarán únicamente en lengua castellana. Con ello se desconoce el valor oficial del catalán para practicar los asientos del Registro Mercantil en Cataluña, incurriéndose así en un claro vicio de inconstitucionalidad. </w:t>
      </w:r>
    </w:p>
    <w:p w:rsidR="008107C7" w:rsidRDefault="008107C7" w:rsidP="008107C7">
      <w:pPr>
        <w:pStyle w:val="TextoNormal"/>
      </w:pPr>
      <w:r>
        <w:t xml:space="preserve">Ciertamente, el art. 105 b) C.E. ha establecido que la Ley deberá regular el acceso de los ciudadanos a los archivos y registros administrativos, pero en modo alguno puede concluirse que para preservar ese derecho de acceso ha de quedar modificado el régimen de cooficialidad lingüística vigente en Cataluña. Para garantizar el acceso no es preciso que todos los asientos estén redactados en castellano, sino que existen múltiples técnicas instrumentales que permiten dar satisfacción a ese derecho sin negar el valor oficial del catalán en el ámbito </w:t>
      </w:r>
      <w:r>
        <w:lastRenderedPageBreak/>
        <w:t xml:space="preserve">interno de los registros ni impedir la posibilidad de que los asientos puedan también practicarse en catalán. Cabe, así, el establecimiento de un sistema de traducción gratuito para los ciudadanos que deseen tener constancia del contenido de determinados asientos en lengua oficial distinta de aquélla en la que fueron extendidos. En realidad, entiende el Consejo Ejecutivo que ésta es una cuestión que no merecería más comentarios, pues el propio Gobierno, en su respuesta al requerimiento previo, ha admitido que está garantizado que, en Cataluña, los particulares puedan dirigirse y ser atendidos por el Registro en cualquiera de las dos lenguas oficiales de esta Comunidad Autónoma. </w:t>
      </w:r>
    </w:p>
    <w:p w:rsidR="008107C7" w:rsidRDefault="008107C7" w:rsidP="008107C7">
      <w:pPr>
        <w:pStyle w:val="TextoNormal"/>
      </w:pPr>
      <w:r>
        <w:t xml:space="preserve">En el mismo sentido, tampoco cabe oponer al uso del catalán la necesidad de trasladar determinados datos al Registro Mercantil Central, pues éste tiene carácter meramente informativo, está organizado sobre una base informática y se nutre con datos que han de facilitarle los Registros Territoriales. Esos datos, sin embargo, son esencialmente nombres propios de personas, denominaciones de sociedades y entidades, direcciones, cifras, fechas, plazos, el objeto de la empresa descrito por el propio Registrador de forma extractada, referencia a determinadas operaciones societarias o a la causa de disolución, etc. En definitiva, todos ellos son datos que presentan una nula posibilidad de error o inexactitud ante una traducción, toda vez que, incluso en el caso del objeto social, se encomienda al Registrador la redacción de una descripción extractada. Asimismo, las denominaciones, por su propia naturaleza, no pueden ser objeto de traducción alguna. Por tanto, la necesidad de trasladar esos datos al Registro Mercantil Central no se ve perjudicada por el hecho de que los asientos se hayan practicado en catalán en los Registros Territoriales sitos en Cataluña cuando el documento presentado para su inscripción estaba redactado en esa lengua oficial. </w:t>
      </w:r>
    </w:p>
    <w:p w:rsidR="008107C7" w:rsidRDefault="008107C7" w:rsidP="008107C7">
      <w:pPr>
        <w:pStyle w:val="TextoNormal"/>
      </w:pPr>
      <w:r>
        <w:t xml:space="preserve">La demanda se refiere, a continuación, a las competencias de la Generalidad de Cataluña en materia lingüística. Se señala, en esta línea, que del art. 3 E.A.C. dimana la competencia autonómica para regular la cooficialidad del catalán y del castellano en Cataluña y su utilización por los distintos poderes públicos en el ámbito territorial de esa Comunidad Autónoma. Así se ha reconocido en las SSTC 82/1986 y 74/1989. La definición de la competencia lingüística de la Generalidad se completa, además, con la delimitación de su ámbito material en relación con los demás títulos competenciales que han quedado constitucionalmente reservados al Estado; así se reconoce en la STC 74/1989, en la que se analiza y resuelve una cuestión equivalente a la ahora planteada, admitiéndose que los distintos sectores materiales en los que el Estado pueda tener reservadas competencias son permeables al ejercicio de sus competencias en materia lingüística por parte de la Generalidad. </w:t>
      </w:r>
    </w:p>
    <w:p w:rsidR="008107C7" w:rsidRDefault="008107C7" w:rsidP="008107C7">
      <w:pPr>
        <w:pStyle w:val="TextoNormal"/>
      </w:pPr>
      <w:r>
        <w:t xml:space="preserve">En definitiva, el Tribunal, al resolver aquel conflicto, estableció que el criterio para hacer compatible el ejercicio de la competencia estatal en materia de ordenación de los instrumentos públicos (art. 149.1.8 C.E.) con la autonómica de normalización lingüística y de regulación, en su ámbito, del régimen de cooficialidad (arts. 3 C.E. y 3 E.A.C.) radicaba en el propio objeto de la norma, donde era preciso distinguir aquello que podía ser regulación sustantiva de lo que era simplemente el establecimiento de las reglas de cooficialidad y normalización lingüística en ese concreto sector. En aquel supuesto, el Tribunal determinaba, con rotundidad, que la reserva al Estado de la ordenación de los instrumentos públicos tiende al aseguramiento de un tratamiento normativo unitario y común de los documentos públicos notarialmente autorizados y, por tanto, de las escrituras públicas, uniformando a tal fin el régimen de su naturaleza y contenido, de sus requisitos internos y formales, de su validez y eficacia y, en general, de todos aquellos aspectos que comprometan la unidad de su disciplina jurídica; pero acaba considerando que la competencia estatal enunciada por el </w:t>
      </w:r>
      <w:r>
        <w:lastRenderedPageBreak/>
        <w:t xml:space="preserve">art. 149.1.8 C.E. no alcanzaba a la regulación del uso de las lenguas oficiales en las escrituras públicas, que, en cambio, se inscribía en la referida competencia lingüística de la Generalidad. </w:t>
      </w:r>
    </w:p>
    <w:p w:rsidR="008107C7" w:rsidRDefault="008107C7" w:rsidP="008107C7">
      <w:pPr>
        <w:pStyle w:val="TextoNormal"/>
      </w:pPr>
      <w:r>
        <w:t xml:space="preserve">El mismo razonamiento es trasladable, para el Consejo Ejecutivo, al caso que aquí nos ocupa, pues también resulta fácil establecer aquí la distinción entre lo que es regulación sustantiva del Registro Mercantil y su régimen lingüístico en Cataluña. En efecto, una cosa es la regulación de la organización y funcionamiento del Registro Mercantil, la determinación de su objeto y de los actos, negocios jurídicos y demás circunstancias que habrán de ser objeto de inscripción, la definición del valor y efectos de las inscripciones, del alcance del principio de publicidad registral y el modo en el que se producirá esa publicidad, y otra cosa, muy distinta, a efectos competenciales, es la determinación del valor y modo en que puedan ser empleadas en el seno del Registro las lenguas oficiales, o, lo que es lo mismo, el establecimiento del régimen lingüístico del Registro Mercantil en cada una de las Comunidades Autónomas donde rige un sistema de cooficialidad lingüística. </w:t>
      </w:r>
    </w:p>
    <w:p w:rsidR="008107C7" w:rsidRDefault="008107C7" w:rsidP="008107C7">
      <w:pPr>
        <w:pStyle w:val="TextoNormal"/>
      </w:pPr>
      <w:r>
        <w:t xml:space="preserve">Es evidente, continúa el Consejo Ejecutivo, que esta última cuestión sólo puede regularse, en Cataluña, desde las competencias atribuidas a la Generalidad en materia lingüística. Mantener lo contrario, como ha hecho el Gobierno, comporta una invasión de las referidas competencias autonómicas. </w:t>
      </w:r>
    </w:p>
    <w:p w:rsidR="008107C7" w:rsidRDefault="008107C7" w:rsidP="008107C7">
      <w:pPr>
        <w:pStyle w:val="TextoNormal"/>
      </w:pPr>
      <w:r>
        <w:t xml:space="preserve">Advierte, de otro lado, el Consejo Ejecutivo, que el Gobierno, al dar respuesta al requerimiento previo, ha invocado la competencia reservada en su favor por el art. 149.1.6 C.E. (legislación mercantil), pero la ha denominado «competencia en materia de ordenación de los registros públicos». En todo caso, esa confusión en la referencia numérica o en el enunciado de la competencia carece de mayor transcendencia para la resolución del presente conflicto, pues, sea cual sea el título que pretendiera invocarse, se trata en ambos casos de competencias sobre sectores materiales que, como ha declarado este Tribunal, no pueden vaciar de contenido al ejercicio, por la Generalidad, de sus competencias en materia lingüística. </w:t>
      </w:r>
    </w:p>
    <w:p w:rsidR="008107C7" w:rsidRDefault="008107C7" w:rsidP="008107C7">
      <w:pPr>
        <w:pStyle w:val="TextoNormal"/>
      </w:pPr>
      <w:r>
        <w:t xml:space="preserve">El escrito de demanda se refiere, a continuación, a la normalización lingüística en el Registro Mercantil, señalándose que el Parlamento de Cataluña aprobó la Ley 7/1983, de 18 de abril, de Normalización Lingüística en Cataluña, para llevar a cabo la normalización del uso de la lengua catalana en todos los ámbitos y garantizar el «uso normal y oficial del catalán y el castellano» (art. 1). Por su parte, el art. 11 estableció, con carácter directamente obligatorio para todos los registros públicos dependientes de la Generalidad, el deber de practicar los asientos en la lengua oficial en la que esté redactado el documento o en la que se haga la manifestación a inscribir. En cambio, la Disposición adicional de la Ley no impuso el deber de normalización lingüística en los mismos términos a los Registros dependientes del Estado y sitos en Cataluña, pues se dispuso que en esos Registros el proceso de normalización debería promoverlo la Generalidad de acuerdo con los órganos competentes respecto de tales Registros, es decir, en el caso que ahora nos ocupa, con los órganos estatales de los que dependan los Registros Mercantiles, que, por determinación del art. 17 del Código de Comercio, es el Ministerio de Justicia. </w:t>
      </w:r>
    </w:p>
    <w:p w:rsidR="008107C7" w:rsidRDefault="008107C7" w:rsidP="008107C7">
      <w:pPr>
        <w:pStyle w:val="TextoNormal"/>
      </w:pPr>
      <w:r>
        <w:t>Sin embargo, el hecho de que el legislador catalán estableciese como método operativo el previo acuerdo de la Generalidad con la Administración del Estado sólo puede ser entendido como una expresión más de la moderación y el tacto con que en Cataluña se ha conducido el progresivo proceso de normalización lingüística, prefiriéndose contar con la colaboración voluntaria de los afectados por este proceso antes que imponer fríamente determinadas conductas por puro imperio de la ley. En todo caso, esta moderación del legislador ca</w:t>
      </w:r>
      <w:r>
        <w:lastRenderedPageBreak/>
        <w:t xml:space="preserve">talán de 1983 no puede ser ahora aprovechada, en contra de los objetivos legales, para invertir el sentido del proceso de normalización lingüística impidiendo el uso del catalán en el Registro Mercantil. El precepto impugnado, al imponer el empleo del castellano, produce como efecto la opacidad de ese Registro frente al proceso normalizador, lo que contraría claramente lo dispuesto en los arts. 3 C.E. y 3 E.A.C., toda vez que en ese concreto ámbito nunca tendría la lengua catalana valor oficial por sí misma y quedaría vacía de contenido la competencia de normalización lingüística de la Generalidad de Cataluña. </w:t>
      </w:r>
    </w:p>
    <w:p w:rsidR="008107C7" w:rsidRDefault="008107C7" w:rsidP="008107C7">
      <w:pPr>
        <w:pStyle w:val="TextoNormal"/>
      </w:pPr>
      <w:r>
        <w:t xml:space="preserve">La demanda se detiene, a renglón seguido, en el examen del art. 36.1 R.R.M. Para el Consejo Ejecutivo, la exigencia de que los asientos registrales se practiquen en castellano impide que puedan realizarse en catalán cuando el documento a inscribir está redactado en esta lengua, invadiéndose la competencia de ordenación lingüística de la Generalidad de Cataluña, pues se establece un régimen lingüístico en el que no se admite que el catalán pueda producir los plenos efectos jurídicos que, como lengua oficial, han de corresponderle en Cataluña. </w:t>
      </w:r>
    </w:p>
    <w:p w:rsidR="008107C7" w:rsidRDefault="008107C7" w:rsidP="008107C7">
      <w:pPr>
        <w:pStyle w:val="TextoNormal"/>
      </w:pPr>
      <w:r>
        <w:t xml:space="preserve">Además, el precepto vulnera, en opinión del Consejo Ejecutivo, la competencia de la Generalidad en orden a la normalización lingüística, vaciándola de contenido en el ámbito del Registro Mercantil al impedir que pueda procederse a la normalización plena del catalán en los Registros Mercantiles territoriales sitos en Cataluña, tal como había sido previsto en la Ley de Normalización Lingüística. </w:t>
      </w:r>
    </w:p>
    <w:p w:rsidR="008107C7" w:rsidRDefault="008107C7" w:rsidP="008107C7">
      <w:pPr>
        <w:pStyle w:val="TextoNormal"/>
      </w:pPr>
      <w:r>
        <w:t xml:space="preserve">Advierte, también, el Consejo Ejecutivo que si los documentos que causan los asientos registrales pueden estar redactados en cualquiera de las dos lenguas oficiales en la Comunidad Autónoma, como se ha reconocido en la STC 74/1989, no hay razón legal para impedir que en Cataluña los asientos puedan ser redactados en la misma lengua oficial en la que esté redactado el documento que se presenta. Lo contrario supondría no admitir la plenitud de efectos jurídicos a la lengua catalana y discriminarla en relación con la castellana. </w:t>
      </w:r>
    </w:p>
    <w:p w:rsidR="008107C7" w:rsidRDefault="008107C7" w:rsidP="008107C7">
      <w:pPr>
        <w:pStyle w:val="TextoNormal"/>
      </w:pPr>
      <w:r>
        <w:t xml:space="preserve">Asimismo, continúa la demanda, no cabe oponer a la pretensión objeto de esta demanda que la lengua oficial en la que se practican los asientos del Registro Mercantil afecta exclusivamente al ámbito interno del Registro cuando, en realidad, y conforme a lo dispuesto en los arts. 20, 21 y concordantes del Código de Comercio, lo que causa efectos frente a terceros es precisamente el contenido exacto y literal de los asientos que constan en el Registro. </w:t>
      </w:r>
    </w:p>
    <w:p w:rsidR="008107C7" w:rsidRDefault="008107C7" w:rsidP="008107C7">
      <w:pPr>
        <w:pStyle w:val="TextoNormal"/>
      </w:pPr>
      <w:r>
        <w:t xml:space="preserve">Se sostiene, por último, que, de admitirse la constitucionalidad del precepto impugnado, cabría afirmar, como hace el art. 3.1 E.A.C., que el catalán es la lengua propia en Cataluña, pero debería añadirse «excepto en los asientos del Registro Mercantil», pues en ellos pasaría a ser una lengua «impropia». Aunque, verdaderamente, lo impropio es que, transcurridos más de diez años desde la aprobación del Estatuto de Autonomía de Cataluña y siete desde que se aprobó la Ley de Normalización Lingüística, sea preciso todavía acudir a este Tribunal, por cuestiones como las que aquí se plantean, para obtener el reconocimiento de lo que constituye quizás el valor más destacado del patrimonio cultural de Cataluña, su lengua propia, y que, además, es, junto a las restantes lenguas oficiales, uno de los primeros elementos que reconocen la riqueza del patrimonio cultural de España. </w:t>
      </w:r>
    </w:p>
    <w:p w:rsidR="008107C7" w:rsidRDefault="008107C7" w:rsidP="008107C7">
      <w:pPr>
        <w:pStyle w:val="TextoNormal"/>
      </w:pPr>
      <w:r>
        <w:t xml:space="preserve">Por todo lo expuesto, se solicita de este Tribunal la declaración de que la competencia controvertida corresponde a la Generalidad de Cataluña, así como que el precepto impugnado no es de aplicación en Cataluña. </w:t>
      </w:r>
    </w:p>
    <w:p w:rsidR="008107C7" w:rsidRDefault="008107C7" w:rsidP="008107C7">
      <w:pPr>
        <w:pStyle w:val="TextoNormal"/>
      </w:pPr>
      <w:r>
        <w:t>Por medio de otrosí, y al amparo de lo dispuesto en el art. 64.3 LOTC, se interesa la suspensión de la expresión «en lengua castellana» contenida en el art. 36.1 R.R.M., extendiéndose la demanda en las razones que justifican tal pretensión.</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3</w:t>
      </w:r>
      <w:r>
        <w:t>. Por providencia de 16 de mayo de 1990, la Sección Tercera de este Tribunal acordó admitir a trámite el presente conflicto positivo de competencia y dar traslado de la demanda y documentos adjuntos al Gobierno, por conducto de su Presidente, al objeto de que aportara, en el plazo de veinte días y por medio de representación procesal, cuantas alegaciones y documentos estimara pertinentes. Asimismo, se acordó dirigir oficio al Presidente del Tribunal Supremo para conocimiento de la Sala de lo Contencioso-Administrativo correspondiente por si ante ella estuviere impugnado o se impugnare el R.D. 1.597/1989, así como oír al Abogado del Estado para que, en representación del Gobierno y en el plazo de cinco días, expusiera lo que estimase procedente acerca de la suspensión interesada. Por último, se acordó publicar la incoación del conflicto en el Boletín Oficial del Estado y en el Diario Oficial de la Generalidad de Cataluña, para general conocimiento.</w:t>
      </w:r>
    </w:p>
    <w:p w:rsidR="008107C7" w:rsidRDefault="008107C7" w:rsidP="008107C7">
      <w:pPr>
        <w:pStyle w:val="TextoNormal"/>
      </w:pPr>
    </w:p>
    <w:p w:rsidR="008107C7" w:rsidRDefault="008107C7" w:rsidP="008107C7">
      <w:pPr>
        <w:pStyle w:val="TextoNormal"/>
      </w:pPr>
      <w:r w:rsidRPr="008107C7">
        <w:rPr>
          <w:rStyle w:val="NumeroAFNegritaCaracter"/>
        </w:rPr>
        <w:t>4</w:t>
      </w:r>
      <w:r>
        <w:t>. Recibidas las alegaciones del Abogado del Estado, y por Auto de 11 de julio de 1990, el Pleno del Tribunal acordó no acceder a la suspensión del inciso «en lengua castellana» del art. 36.1 del R.D. 1.597/1989.</w:t>
      </w:r>
    </w:p>
    <w:p w:rsidR="008107C7" w:rsidRDefault="008107C7" w:rsidP="008107C7">
      <w:pPr>
        <w:pStyle w:val="TextoNormal"/>
      </w:pPr>
    </w:p>
    <w:p w:rsidR="008107C7" w:rsidRDefault="008107C7" w:rsidP="008107C7">
      <w:pPr>
        <w:pStyle w:val="TextoNormal"/>
      </w:pPr>
      <w:r w:rsidRPr="008107C7">
        <w:rPr>
          <w:rStyle w:val="NumeroAFNegritaCaracter"/>
        </w:rPr>
        <w:t>5</w:t>
      </w:r>
      <w:r>
        <w:t xml:space="preserve">. El escrito de alegaciones del Abogado del Estado se registró en este Tribunal el 1 de junio de 1990. En él se sostiene, en primer lugar, que la STC 54/1990 recuerda una importante doctrina sentada por vez primera en la STC 110/1983, conforme a la cual los conflictos constitucionales positivos de competencia tienen dos aspectos: uno, «la determinación de la legitimidad o ilegitimidad constitucional» de la disposición o acto sobre el que se haya trabado el conflicto, y otro, «la interpretación y fijación del orden competencial» mediante «la determinación de qué competencias pertenecen a qué sujetos, yéndose así más allá de la mera solución del caso concreto origen del conflicto o de la controversia». Los dos pronunciamientos que el art. 66 LOTC enuncia como contenido de las Sentencias de conflicto (el declarativo de la titularidad competencial y el constitutivo, de carácter invalidatorio «en su caso») reflejan la doble faz del proceso conflictual. </w:t>
      </w:r>
    </w:p>
    <w:p w:rsidR="008107C7" w:rsidRDefault="008107C7" w:rsidP="008107C7">
      <w:pPr>
        <w:pStyle w:val="TextoNormal"/>
      </w:pPr>
      <w:r>
        <w:t xml:space="preserve">Ahora bien, continúa el Abogado del Estado, hay «determinación de la legitimidad o ilegitimidad constitucional» de un acto o disposición reglamentaria no sólo en los conflictos positivos de competencia, sino, también, en las impugnaciones del Título V de la LOTC. De lo que carecen estas impugnaciones es, en cambio, del otro elemento de los conflictos: la interpretación y fijación del orden de competencias, el examen de si éste ha sido o no infringido, la interpretación de «qué competencia pertenece a qué sujeto» (STC 64/1990, fundamento jurídico 1º). Sin embargo, la iniciación del proceso del Título V está reservada al Gobierno. Las Comunidades Autónomas no pueden acudir a dicho proceso cuando pretendan hacer valer la ilegitimidad constitucional de una disposición reglamentaria o de un acto estatal por razones diversas a la vulneración del orden constitucional de competencias. Esta ilegitimidad constitucional deberán hacerla valer promoviendo el procedente recurso contencioso- administrativo, para lo que les legítima la Ley 34/1981. Por tanto, si una Comunidad Autónoma impugna ante este Tribunal un acto o reglamento estatal que afecte a su ámbito de autonomía por considerarlo contrario al derecho constitucional, pero en virtud de razones que no entrañan vulneración del orden constitucional de competencias, el Tribunal deberá declarar su falta de jurisdicción (art. 4.2 LOTC), dado que el asunto corresponderá al orden contencioso-administrativo. </w:t>
      </w:r>
    </w:p>
    <w:p w:rsidR="008107C7" w:rsidRDefault="008107C7" w:rsidP="008107C7">
      <w:pPr>
        <w:pStyle w:val="TextoNormal"/>
      </w:pPr>
      <w:r>
        <w:t xml:space="preserve">Este es justamente, para el Abogado del Estado, el presente caso. El conflicto planteado es sólo aparente: le falta el segundo de los elementos precisos para que pueda reconocerse </w:t>
      </w:r>
      <w:r>
        <w:lastRenderedPageBreak/>
        <w:t xml:space="preserve">una real controversia competencial, la disputa sobre la infracción del orden de competencias, lo que determina la falta de jurisdicción de este Tribunal. Alega, seguidamente, el Abogado del Estado que conviene aclarar que se ha decidido a poner de manifiesto la carencia de jurisdicción a la vista del contenido del fundamento jurídico 1º de la STC 54/1990, a saber, que la falta de uno de los aspectos esenciales de los conflictos ha de tener por consecuencia que se declare a éste mal planteado, y que si hasta ahora no se ha seguido esta «interpretación rigurosa» -sino que el Tribunal «ha ampliado hasta el límite de lo posible el concepto de conflicto de competencia»- no será así en adelante. Confiando en esa declaración, el Abogado del Estado afirma osar «lo que sin ella probablemente no hubiéramos emprendido». </w:t>
      </w:r>
    </w:p>
    <w:p w:rsidR="008107C7" w:rsidRDefault="008107C7" w:rsidP="008107C7">
      <w:pPr>
        <w:pStyle w:val="TextoNormal"/>
      </w:pPr>
      <w:r>
        <w:t xml:space="preserve">En opinión del Abogado del Estado, si se lee atentamente el escrito promotor del conflicto se verá que el Consejo Ejecutivo no pone en tela de juicio la competencia del Estado para dictar el Reglamento del Registro Mercantil, ni, en particular, para incluir en él una norma que determine cómo han de redactarse los asientos registrales. Es cierto que la súplica del conflicto pide la declaración de que «la competencia controvertida corresponde a Cataluña» y que en su cuerpo hay varias alusiones a la incompetencia del Estado. Pero éstas son simplemente fórmulas rutinarias. El Consejo Ejecutivo no reclama para la Generalidad ni la competencia para dictar el Reglamento en general, ni la competencia para determinar con carácter general y abstracto cómo deben extenderse o redactarse los asientos del Registro Mercantil. No hay duda de que la competencia al respecto corresponde exclusivamente al Estado, pues la regulación del Registro Mercantil -y concretamente el art. 36.1 de su Reglamento- queda claramente incluida dentro de la «legislación mercantil» (art. 149.1.6 C.E.) y puede asimismo encuadrarse en la «ordenación de los registros» (art. 149.1.8 C.E.) (SSTC 71/1983, 72/1983, 157/1985). </w:t>
      </w:r>
    </w:p>
    <w:p w:rsidR="008107C7" w:rsidRDefault="008107C7" w:rsidP="008107C7">
      <w:pPr>
        <w:pStyle w:val="TextoNormal"/>
      </w:pPr>
      <w:r>
        <w:t xml:space="preserve">Tampoco cabe ninguna duda razonable, continúa el escrito de alegaciones, de que la determinación de la lengua en que han de redactarse los asientos es una de las circunstancias relevantes para su práctica. Luego la evidencia impone asentir al siguiente razonamiento: la reglamentación del Registro Mercantil corresponde al Estado (art. 149.1.6 y 8 C.E.); esta reglamentación comprende las normas sobre cómo deben redactarse los asientos; dentro de las reglas de redacción de los asientos se incluye, sin duda, su régimen lingüístico, es decir, la fijación del idioma en que deben practicarse o la enumeración de los idiomas en que pueden extenderse; luego la determinación de la lengua o lenguas en que deben o pueden redactarse los asientos corresponde al Estado. </w:t>
      </w:r>
    </w:p>
    <w:p w:rsidR="008107C7" w:rsidRDefault="008107C7" w:rsidP="008107C7">
      <w:pPr>
        <w:pStyle w:val="TextoNormal"/>
      </w:pPr>
      <w:r>
        <w:t xml:space="preserve">Son, en efecto, para el Abogado del Estado, cosas bien diferentes la competencia para dictar unas disposición o acto y el resultado del ejercicio de esa competencia, el acto o disposición dictados con un determinado contenido. Es perfectamente posible que se dicte la disposición o acto sin lesión del orden de competencias (porque se posea competencia para ello) y que, sin embargo, el acto o disposición sea inconstitucional por otras razones: violar derechos fundamentales, vulnerar la libertad de circulación o el principio de solidaridad (STC 64/1990, por ejemplo) o infringir las cláusulas lingüísticas de la Constitución y de los Estatutos de Autonomía («bloque de la constitucionalidad en materia lingüística»: STC 56/1990). La violación del art. 3.1 C.E. o del art. 3.2 E.A.C. no tiene por qué entrañar violación del orden constitucional de competencias (STC 69/1988). Y, sin embargo, recuerda el Abogado del Estado que hay alguna Sentencia que se refiere a «las competencias lingüísticas» autonómicas. Así sucede con la STC 82/1986 o con la STC 74/1989, que habla incluso de una «competencia de normalización lingüística». Pero no es difícil concordar estas aparentes discordancias. La noción de «competencias lingüísticas» autonómicas es una </w:t>
      </w:r>
      <w:r>
        <w:lastRenderedPageBreak/>
        <w:t xml:space="preserve">abreviatura conceptual, nacida probablemente para ser contrapuesta a la «competencia lingüística» estatal reconocida ya en la STC 6/1982 y corroborada en la STC 82/1986. En realidad, la «competencia lingüística» estatal no es una competencia sobre una materia denominada defensa del castellano o régimen lingüístico, sino el resultado de enlazar el art. 149.1.1 C.E. (un título de competencia sin «materia», como destaca la STC 75/1990) con el derecho constitucional de usar el castellano y el deber constitucional de conocerlo (art. 3.1 C.E.). Las «competencias lingüísticas» de las Comunidades Autónomas, por su parte, no son propiamente competencias stricto sensu, sino una abreviatura conceptual, un modo compendioso de hablar: por tales hay que entender el conjunto de todas las competencias autonómicas -que van de la organización de las instituciones de autogobierno a la defensa del consumidor, pasando por la educación, la cultura o el régimen de radiodifusión y televisión- en cuanto proyectadas sobre cuestiones de lengua, esto es, en cuanto se ejercen para regular el uso de una o varias lenguas; pero no hay una competencia lingüística sustantiva, como algunos pasajes de la STC 74/1989 podrían dar a entender. La regla de cooficialidad del art. 3.2 E.A.C., fundada en el art. 3.2 C.E., vincula a todos los poderes públicos estatales y autonómicos (otra cosa será determinar en qué grado o de qué manera), pero no altera la distribución constitucional y estatutaria de competencias, lo que lleva a una concurrencia competencial del Estado y de las Comunidades Autónomas en cuestiones lingüísticas (STC 56/1990). Algo parecido cabe decir del art. 3.3 E.A.C.: este precepto no pasa de ser una especificación programática (para la Generalidad, única destinataria de sus mandatos) de la regla de cooficialidad y nada permite interpretarlo como norma atributiva de competencia. </w:t>
      </w:r>
    </w:p>
    <w:p w:rsidR="008107C7" w:rsidRDefault="008107C7" w:rsidP="008107C7">
      <w:pPr>
        <w:pStyle w:val="TextoNormal"/>
      </w:pPr>
      <w:r>
        <w:t xml:space="preserve">Por lo tanto, en el contexto del precepto impugnado, no cabe oponer a la competencia estatal para la reglamentación del Registro Mercantil ninguna supuesta competencia lingüística catalana dentro de la que se incluya el decidir, por vía general y abstracta, sobre el régimen lingüístico apropiado para redactar los asientos que hayan de practicarse en los Registros Mercantiles sitos en Cataluña. La competencia para ello es exclusivamente estatal; cosa distinta será resolver si la norma dictada en el ejercicio de esa competencia estatal viola o no la declaración de oficialidad del catalán contenida en el art. 3.2 E.A.C. Pero ese no es un problema de competencia que pueda dar base para suscitar un conflicto, sino que, como se ha razonado antes, debe discutirse en vía contencioso- administrativa, lo que significa, en pocas palabras, que el presente conflicto es un conflicto aparente. </w:t>
      </w:r>
    </w:p>
    <w:p w:rsidR="008107C7" w:rsidRDefault="008107C7" w:rsidP="008107C7">
      <w:pPr>
        <w:pStyle w:val="TextoNormal"/>
      </w:pPr>
      <w:r>
        <w:t xml:space="preserve">Confirma esta conclusión la STC 123/1988, de la que cabe deducir, por lo que ahora interesa, que el art. 3.2 E.A.C. no puede suponer una atribución de competencias específicas a la Generalidad, si bien el art. 149.1. (6 y 8) C.E. excluye cualquier intervención de los poderes de las Comunidades Autónomas en la regulación del régimen de los asientos en el Registro Mercantil; mas, sin duda, la determinación de la lengua en que han de extenderse los asientos -punto que concierne al servicio interno del Registro, no a sus relaciones con los particulares- está claramente comprendida en aquél régimen; en consecuencia, la competencia corresponde exclusivamente al Estado. </w:t>
      </w:r>
    </w:p>
    <w:p w:rsidR="008107C7" w:rsidRDefault="008107C7" w:rsidP="008107C7">
      <w:pPr>
        <w:pStyle w:val="TextoNormal"/>
      </w:pPr>
      <w:r>
        <w:t xml:space="preserve">Subsidiariamente, pasa el Abogado del Estado a contestar la argumentación de fondo desarrollada por la parte actora. Tras sintetizar los argumentos del Consejo Ejecutivo, alega el Abogado del Estado que los mismos suponen una reiteración de los puntos de vista generales sobre el régimen de las lenguas oficiales en Cataluña, ya hechos valer en ocasiones anteriores, junto con algunos razonamientos más enderezados contra la norma impugnada. </w:t>
      </w:r>
    </w:p>
    <w:p w:rsidR="008107C7" w:rsidRDefault="008107C7" w:rsidP="008107C7">
      <w:pPr>
        <w:pStyle w:val="TextoNormal"/>
      </w:pPr>
      <w:r>
        <w:t xml:space="preserve">Centrándose, en primer lugar, en los argumentos de carácter general, reitera el Abogado del Estado que el art. 3.3 E.A.C. no representa una norma atributiva de competencia, sino una especificación programática -exclusivamente para la Generalidad- de la regla de cooficialidad del art. 3.2 E.A.C. Esta regla vincula tanto a los poderes públicos autonómicos </w:t>
      </w:r>
      <w:r>
        <w:lastRenderedPageBreak/>
        <w:t xml:space="preserve">como a los estatales dentro de su esfera territorial de vigencia, aunque esa vinculación no tenga por qué producirse ni en el mismo grado ni en la misma forma para todos los órganos autonómicos o estatales. Por tanto, las «competencias lingüísticas» o la «competencia de normalización lingüística» de la Generalidad no pueden ni deben designar una competencia sustantiva que no existe acuñada como tal. No designan otra cosa que la suma de las posibles proyecciones lingüísticas de las competencias asumidas por la Generalidad en el Título Primero de su Estatuto, es decir, la suma de la competencia para regular el uso de las lenguas cooficiales en las instituciones de autogobierno (como elemento de su organización, para la que la Generalidad es competente con arreglo al art. 9.1 E.A.C.), más la competencia para regular el uso de la lengua en los actos jurídicos regidos por el Derecho Civil catalán (art. 9.2 E.A.C.), más la competencia para regular el uso de la lengua en materia turística (art. 9.12 E.A.C.), y así sucesivamente. </w:t>
      </w:r>
    </w:p>
    <w:p w:rsidR="008107C7" w:rsidRDefault="008107C7" w:rsidP="008107C7">
      <w:pPr>
        <w:pStyle w:val="TextoNormal"/>
      </w:pPr>
      <w:r>
        <w:t xml:space="preserve">Es cierto, continúa el escrito de alegaciones, que la regla de cooficialidad del art. 3.2 E.A.C. alcanza también, dentro de su esfera territorial de vigencia, a los poderes públicos estatales y que éstos pueden vulnerarla con ocasión del ejercicio de sus competencias. Ahora bien, aparte de que la violación o no por un precepto estatal del art. 3.2 E.A.C. no sea problema de competencia, una regla de cooficialidad territorialmente limitada jamás puede llegar a ser interpretada como portadora de una prohibición de la uniformidad lingüística en cualesquiera actividades reservadas a la competencia exclusiva del Estado sensu stricto. </w:t>
      </w:r>
    </w:p>
    <w:p w:rsidR="008107C7" w:rsidRDefault="008107C7" w:rsidP="008107C7">
      <w:pPr>
        <w:pStyle w:val="TextoNormal"/>
      </w:pPr>
      <w:r>
        <w:t xml:space="preserve">Entiende el Abogado del Estado que para orientarse en estas cuestiones lingüísticas conviene resaltar algunos extremos de la doctrina contenida en las SSTC 82/1986, 83/1986 y 56/1990, de la que se extractan diversos pasajes en el escrito de alegaciones, concluyendo que la cooficialidad supone, ante todo, derecho a usar cualquiera de las lenguas oficiales como instrumento de relación del ciudadano con la Administración y que la determinación que la Comunidad Autónoma pueda hacer del alcance de la cooficialidad no le permite dictar normas de organización y funcionamiento en esferas competenciales ajenas ni, en general, alterar el orden de competencias. </w:t>
      </w:r>
    </w:p>
    <w:p w:rsidR="008107C7" w:rsidRDefault="008107C7" w:rsidP="008107C7">
      <w:pPr>
        <w:pStyle w:val="TextoNormal"/>
      </w:pPr>
      <w:r>
        <w:t xml:space="preserve">El escrito de alegaciones se ocupa, a continuación, del análisis del art. 36.1 R.R.M.. Recuerda el Abogado del Estado que el Gobierno, al contestar al requerimiento previo, ya señaló que el precepto en cuestión es -y así debe ser interpretado- una regla sobre la «lengua interna del Registro», no un precepto que rija la relación entre los Registros Mercantiles y sus usuarios. Por tanto, en los Registros Mercantiles cuya circunscripción y capitalidad queden comprendidos en territorio catalán, los particulares que se relacionen con esas oficinas registrales tienen perfecto derecho a usar la lengua oficial que por bien tengan; los documentos presentados a inscripción o para depósito podrán estar redactados en cualquier lengua oficial; y, en fin, las certificaciones registrales en catalán serán plenamente válidas y eficaces, sin necesidad de traducción dentro de la esfera territorial de vigencia del E.A.C. (lo mismo cabe decir, por ejemplo, de los actos de nombramiento de auditores y expertos redactados en catalán). Nada de esto resulta impedido ni estorbado por el art. 36.1 R.R.M., que se ciñe, exclusivamente, a ordenar en qué lengua deben redactarse los asientos registrales y nada más que éstos. Es obvio que la extensión o práctica de los asientos no dice relación ninguna con los usuarios: es una actividad interna del Registro, aunque ciertamente la más importante. </w:t>
      </w:r>
    </w:p>
    <w:p w:rsidR="008107C7" w:rsidRDefault="008107C7" w:rsidP="008107C7">
      <w:pPr>
        <w:pStyle w:val="TextoNormal"/>
      </w:pPr>
      <w:r>
        <w:t xml:space="preserve">Contra lo sostenido de contrario, alega el Abogado del Estado, el art. 36.1 R.R.M. reposa en razones objetivamente fundadas y, por supuesto, respeta plenamente a la Constitución y al Estatuto. Con este precepto no se pretende ni discriminar al catalán ni estorbar artificialmente su «normalización». Por el contrario, la uniformidad lingüística (en castellano) de los asientos del Registro es, en buena parte, consecuencia de los principios de organización y </w:t>
      </w:r>
      <w:r>
        <w:lastRenderedPageBreak/>
        <w:t xml:space="preserve">régimen registral por los que ha optado quien era constitucionalmente competente para hacerlo y de la transcendencia jurídica asignada a la publicación en el Boletín Oficial del Registro Mercantil. </w:t>
      </w:r>
    </w:p>
    <w:p w:rsidR="008107C7" w:rsidRDefault="008107C7" w:rsidP="008107C7">
      <w:pPr>
        <w:pStyle w:val="TextoNormal"/>
      </w:pPr>
      <w:r>
        <w:t xml:space="preserve">El Consejo Ejecutivo, prosigue el escrito de alegaciones, no ha tenido en cuenta este importante extremo. De acuerdo con los arts. 21.1 del Código de Comercio y 9.1 R.R.M., el efecto negativo de la publicidad no se enlaza a la inscripción, sino a la publicación en el Boletín Oficial del Registro Mercantil: ya no puede decirse «lo no inscrito no puede oponerse a terceros de buena fe», sino «lo no publicado no es oponible a terceros de buena fe». Y si los efectos positivos de la publicidad siguen vinculados a la inscripción, ello es así en cuanto no haya discordancia entre lo inscrito y lo publicado, pues en este caso «al tercero que haya confiado en lo publicado no puede oponérsele el contenido de lo inscrito» (arts. 21.3 del Código de Comercio y 9.3 R.R.M.). </w:t>
      </w:r>
    </w:p>
    <w:p w:rsidR="008107C7" w:rsidRDefault="008107C7" w:rsidP="008107C7">
      <w:pPr>
        <w:pStyle w:val="TextoNormal"/>
      </w:pPr>
      <w:r>
        <w:t xml:space="preserve">Ahora bien, el Boletín Oficial del Registro Mercantil es único para toda España. Es propiamente el Boletín del Registro Mercantil Central, según declara expresamente el art. 18.3 del Código de Comercio, aunque su confección sea tarea compartida con el organismo editor del Boletín Oficial del Estado (arts. 386, 388, 390 y 392 R.R.M.). El Boletín Oficial del Registro Mercantil aparece, claro es, en el idioma que todos los españoles tienen derecho constitucional de usar y deber constitucional de conocer, precisamente por ser de carácter nacional. El castellano es «la única lengua que es oficial» en todo el territorio nacional (SSTC 87/1983, fundamento jurídico 3º, y 88/1983, fundamento jurídico 4º), «lengua oficial de todos los poderes públicos y en todo el territorio español» o «lengua oficial común del Estado español en su conjunto» (STC 82/1986, fundamentos jurídicos 2º y 3º), «idioma común a todos los españoles» (STC 84/1986, fundamento jurídico 2º). </w:t>
      </w:r>
    </w:p>
    <w:p w:rsidR="008107C7" w:rsidRDefault="008107C7" w:rsidP="008107C7">
      <w:pPr>
        <w:pStyle w:val="TextoNormal"/>
      </w:pPr>
      <w:r>
        <w:t xml:space="preserve">El Boletín Oficial del Registro Mercantil, explica el Abogado del Estado, consta de dos secciones, «Empresarios» y «Anuncios y avisos legales» (art. 385 R.R.M.). La Sección 2ª comprende sólo actos de los empresarios que no causan inscripción en el Registro. La Sección 1ª comprende dos apartados: «Actos inscritos» y «Otros actos publicados en el Registro Mercantil» [art. 385 a) R.R.M.]. El apartado de «Actos inscritos» recoge los datos que los Registros Mercantiles territoriales han de remitir al Registro Central con arreglo a los arts. 351 a 356 R.R.M. (art. 386.1 I y II), esto es, los relativos a empresarios individuales (identificación, objeto de su empresa, apoderados, régimen económico matrimonial, emisión de obligaciones, v.gr.), los datos sobre la primera inscripción y actos posteriores de sociedades y otras entidades, los referentes a sucursales y, en general, los datos que constituyan el contenido esencial de los asientos, indicando siempre los extremos del art. 356 R.R.M. Los «Otros actos» del apartado segundo son los del art. 357 R.R.M. Toda esta masa de datos inscritos debe ser enviada por los Registros Territoriales al Registro Central en los tres días hábiles siguientes a la práctica de los asientos (art. 349.1 R.R.M.) en soporte magnético de almacenamiento o mediante comunicación telemática (art. 350.1 R.R.M.). El Registro Central debe entregar diariamente al organismo editor del B.O.E. un soporte informático adecuado (art. 390 del Reglamento). Este complejo sistema pretende conjugar exactitud y rapidez, porque así lo exige la transcendencia jurídica de la publicación en el periódico oficial del Registro. </w:t>
      </w:r>
    </w:p>
    <w:p w:rsidR="008107C7" w:rsidRDefault="008107C7" w:rsidP="008107C7">
      <w:pPr>
        <w:pStyle w:val="TextoNormal"/>
      </w:pPr>
      <w:r>
        <w:t xml:space="preserve">El esfuerzo por conseguir un funcionamiento adecuado, prosigue el escrito de alegaciones, del entero sistema registral mercantil ha hecho necesario (o, al menos, muy aconsejable) optar por la uniformidad idiomática en la práctica de los asientos del Registro. Y, una vez que se ha optado por la uniformidad idiomática, la lengua en la que han de redactarse los asientos sólo podrá ser la oficial para todo el Estado. La uniformidad idiomática facilita el </w:t>
      </w:r>
      <w:r>
        <w:lastRenderedPageBreak/>
        <w:t xml:space="preserve">tratamiento del flujo de datos inscritos que llegan al Registro Central para su ulterior publicación, con lo que, amén de reducir costes, se contribuye a minimizar el riesgo de discordancias entre lo inscrito y lo publicado, favoreciendo así, en definitiva, la rápida y fiel reproducción de los actos inscritos. Es decir, el art. 36.1 R.R.M. no debe ser enfocado desde la perspectiva de las relaciones de los ciudadanos con los Registros Territoriales sitos en Comunidades de pluralismo lingüístico oficial, sino desde el punto de vista del funcionamiento interno del sistema registral mercantil único, cuyo eslabón último -y capital- es la publicación en el Boletín Oficial del Registro Mercantil de los datos inscritos. </w:t>
      </w:r>
    </w:p>
    <w:p w:rsidR="008107C7" w:rsidRDefault="008107C7" w:rsidP="008107C7">
      <w:pPr>
        <w:pStyle w:val="TextoNormal"/>
      </w:pPr>
      <w:r>
        <w:t xml:space="preserve">Esta justificación objetiva del art. 36.1 R.R.M. aleja, en opinión del Abogado del Estado, toda sombra de violación de la regla de cooficialidad o de «discriminación del catalán». La regla de cooficialidad tiene limitada territorialmente su vigencia a Cataluña y el art. 36.1 se basa en las exigencias del sistema registral mercantil, único para toda España, y, en especial, en la exacta y rápida publicación de datos en su Boletín, único también para toda España. En otras palabras, el precepto incorpora, como ratio, un factor o elemento de dimensión nacional (supracomunitaria) que le hace inconmensurable con una norma particular (limitada territorialmente), cual es la regla de cooficialidad del art. 3.2 E.A.C. Tampoco cabe hablar de «discriminación del catalán». En buenos principios, la discriminación nunca es de una lengua, sino del ciudadano individual que pretende ejercer sus derechos lingüísticos reconocidos por la Constitución y el Estatuto. Pero esta discriminación -y, nótese, estamos tratando de supuestas discriminaciones en un llamado conflicto de competencias: véase la STC 122/1989, fundamento jurídico 5º- se produciría en la esfera de las relaciones entre el Registro y los usuarios, nunca en una actividad interna del Registro. En opinión del Letrado del Estado, el Consejo Ejecutivo parece partir de la premisa de que existe un vínculo férreo y necesario entre la lengua del título (documento que es objeto de calificación para causar el asiento que corresponda) y la lengua del asiento. Pero no hay norma o principio que imponga esa identidad lingüística entre título y asiento, que, como tal norma o principio, no tendría porqué limitarse a las lenguas oficiales en determinados territorios, sino que se extendería a los documentos en lenguas muertas o extranjeras; ocurre más bien todo lo contrario, como ilustra el art. 37 del Reglamento Hipotecario. Lo que de ninguna manera cabe es elevar subrepticiamente a principio general la regla particular formulada por el art. 11 de la Ley catalana 7/1983, de Normalización Lingüística, exclusivamente para los registros (administrativos) dependientes de la Generalidad. </w:t>
      </w:r>
    </w:p>
    <w:p w:rsidR="008107C7" w:rsidRDefault="008107C7" w:rsidP="008107C7">
      <w:pPr>
        <w:pStyle w:val="TextoNormal"/>
      </w:pPr>
      <w:r>
        <w:t xml:space="preserve">La determinación del alcance de la «normalización lingüística» del catalán podrá llegar tal vez a declarar la plena validez y eficacia de la redacción de documentos en esa lengua, incluido aquí su acceso al Registro, porque todo ello se refiere a las relaciones del ciudadano con quienes ejercen funciones públicas. Pero una Comunidad Autónoma carece de competencia para, en nombre de la normalización lingüística, impedir o dificultar una opción tomada por los órganos estatales competentes (art. 149.1. 6 y 8 C.E.) sobre la redacción de los asientos del Registro Mercantil (uso obligatorio del castellano) que se encuentra elegido para el sistema registral mercantil (centralización y publicación de datos inscritos). En virtud de este nexo, la lengua de redacción de los asientos registrales pasa a ser un problema de organización y funcionamiento de una institución cuyo régimen corresponde determinar únicamente al Estado, lo que hace aplicable la doctrina de la STC 82/1986 (fundamento jurídico 5º). </w:t>
      </w:r>
    </w:p>
    <w:p w:rsidR="008107C7" w:rsidRDefault="008107C7" w:rsidP="008107C7">
      <w:pPr>
        <w:pStyle w:val="TextoNormal"/>
      </w:pPr>
      <w:r>
        <w:t xml:space="preserve">Por último, concluye el Abogado del Estado, conviene responder a algunos argumentos más particulares esgrimidos en la demanda. En primer lugar, el art. 105 b) C.E. se refiere a «archivos y registros administrativos», lo que deja fuera los Registros Mercantiles; pero, en todo caso, el régimen idiomático del registro y el acceso a él de los ciudadanos son, en </w:t>
      </w:r>
      <w:r>
        <w:lastRenderedPageBreak/>
        <w:t xml:space="preserve">principio, asuntos distintos, sin perjuicio de la conveniencia -y, en ciertos casos, la necesidad- de un servicio de traducción. Pero poco tiene que ver todo ello con lo que aquí se discute. De otro lado, no le parece congruente al Abogado del Estado afirmar, por un lado, que se perjudican ciertos principios registrales y la seguridad jurídica porque se extienda en castellano el asiento causado por un documento en catalán, y sostener, por otro, que la pluralidad idiomática de los datos inscritos sólo afectaría mínimamente al funcionamiento del Registro Central y a la publicación en el Boletín del Registro. En cualquier caso, aducir supuestos padecimientos de los principios registrales o de la seguridad jurídica demuestra, una vez más, que este conflicto de competencia es sólo aparente. </w:t>
      </w:r>
    </w:p>
    <w:p w:rsidR="008107C7" w:rsidRDefault="008107C7" w:rsidP="008107C7">
      <w:pPr>
        <w:pStyle w:val="TextoNormal"/>
      </w:pPr>
      <w:r>
        <w:t xml:space="preserve">En cuanto a la invocación de la Ley catalana de Normalización Lingüística, se alega que el art. 11 se refiere exclusivamente a «los registros públicos dependientes de la Generalidad», lo que deja fuera a los Registros Mercantiles, para cuya regulación carecía de competencia el legislador catalán. Por su parte, la Disposición adicional de la Ley contiene un puro mandato promocional dirigido a la Generalidad para que, mediante la persuasión o la negociación política, llegue a acuerdos con «los órganos competentes». La Disposición no vincula, pues, a «los órganos [estatales] competentes» a asentir forzosamente a las iniciativas y deseos de la Generalidad en materia lingüística. No puede, en suma, decirse que el precepto impugnado sea inconstitucional por vulnerar aquella Disposición y mucho menos que esta violación haga al Estado incompetente para dictar una norma reglamentaria sobre la lengua en que han de redactarse los asientos del Registro Mercantil, norma de importancia extrema para el correcto funcionamiento del sistema registral mercantil. </w:t>
      </w:r>
    </w:p>
    <w:p w:rsidR="008107C7" w:rsidRDefault="008107C7" w:rsidP="008107C7">
      <w:pPr>
        <w:pStyle w:val="TextoNormal"/>
      </w:pPr>
      <w:r>
        <w:t>En razón de todo lo expuesto, se interesa que el Tribunal declare su falta de jurisdicción para conocer del presente asunto y, subsidiariamente, que declare que la expresión «en lengua castellana» contenida en el art. 36.1 R.R.M. no infringe el orden constitucional de competencias.</w:t>
      </w:r>
    </w:p>
    <w:p w:rsidR="008107C7" w:rsidRDefault="008107C7" w:rsidP="008107C7">
      <w:pPr>
        <w:pStyle w:val="TextoNormal"/>
      </w:pPr>
    </w:p>
    <w:p w:rsidR="008107C7" w:rsidRDefault="008107C7" w:rsidP="008107C7">
      <w:pPr>
        <w:pStyle w:val="TextoNormal"/>
      </w:pPr>
      <w:r w:rsidRPr="008107C7">
        <w:rPr>
          <w:rStyle w:val="NumeroAFNegritaCaracter"/>
        </w:rPr>
        <w:t>6</w:t>
      </w:r>
      <w:r>
        <w:t>. Por providencia de 22 de abril de 1997, se señaló para deliberación y votación del presente conflicto positivo de competencia el día 24 del mismo mes y año.</w:t>
      </w:r>
    </w:p>
    <w:p w:rsidR="008107C7" w:rsidRDefault="008107C7" w:rsidP="008107C7">
      <w:pPr>
        <w:pStyle w:val="TextoNormal"/>
      </w:pPr>
    </w:p>
    <w:p w:rsidR="008107C7" w:rsidRDefault="008107C7" w:rsidP="008107C7">
      <w:pPr>
        <w:pStyle w:val="TextoNormalNegritaCentrado"/>
        <w:keepNext/>
      </w:pPr>
      <w:r>
        <w:t>II. Fundamentos jurídicos</w:t>
      </w:r>
    </w:p>
    <w:p w:rsidR="008107C7" w:rsidRDefault="008107C7" w:rsidP="008107C7">
      <w:pPr>
        <w:pStyle w:val="TextoNormalNegritaCentrado"/>
        <w:keepNext/>
      </w:pPr>
    </w:p>
    <w:p w:rsidR="008107C7" w:rsidRDefault="008107C7" w:rsidP="008107C7">
      <w:pPr>
        <w:pStyle w:val="TextoNormal"/>
      </w:pPr>
      <w:r w:rsidRPr="008107C7">
        <w:rPr>
          <w:rStyle w:val="NumeroAFNegritaCaracter"/>
        </w:rPr>
        <w:t>1</w:t>
      </w:r>
      <w:r>
        <w:t>. El Consejo Ejecutivo de la Generalidad de Cataluña promueve conflicto positivo de competencia en relación con el inciso «en lengua castellana» contenida en el art. 36.1 del Reglamento del Registro Mercantil (R.D.  1.597/1989, de 29 de diciembre) (en adelante R.R.M.), cuyo tenor literal dispone que «los asientos del Registro se redactarán en lengua castellana, ajustados a los modelos oficiales aprobados y a las instrucciones impartidas por la Dirección General de los Registros y del Notariado». El nuevo Reglamento del Registro Mercantil aprobado por Real Decreto 1.784/1996 no modifica en este punto lo establecido en el precepto aquí cuestionado.</w:t>
      </w:r>
    </w:p>
    <w:p w:rsidR="008107C7" w:rsidRDefault="008107C7" w:rsidP="008107C7">
      <w:pPr>
        <w:pStyle w:val="TextoNormal"/>
      </w:pPr>
      <w:r>
        <w:t xml:space="preserve">Sostiene el Consejo Ejecutivo, básicamente, que el mandato contenido en el art. 36.1 del R.R.M. impide que puedan extenderse los asientos registrales en catalán cuando el documento a inscribir está redactado en esa lengua, invadiéndose así la competencia de ordenación lingüística de la Generalidad, pues se establece un régimen lingüístico en el ámbito de los Registros Territoriales radicados en Cataluña en los que no se admite que el catalán pueda producir los plenos efectos jurídicos que, como lengua oficial, han de corresponderle en esa Comunidad Autónoma. Asimismo, el precepto en cuestión vulneraría la competencia de la Generalidad en orden a la normalización lingüística, vaciándola de contenido en el </w:t>
      </w:r>
      <w:r>
        <w:lastRenderedPageBreak/>
        <w:t>ámbito del Registro Mercantil, al impedir que pueda procederse a la plena normalización del catalán en los Registros Mercantiles territoriales sitos en Cataluña, tal como se había previsto en la Ley de Normalización Lingüística.</w:t>
      </w:r>
    </w:p>
    <w:p w:rsidR="008107C7" w:rsidRDefault="008107C7" w:rsidP="008107C7">
      <w:pPr>
        <w:pStyle w:val="TextoNormal"/>
      </w:pPr>
      <w:r>
        <w:t>Por su parte, el Abogado del Estado, sin perjuicio de extenderse, con carácter subsidiario, en las razones que, a su juicio, redundan en la constitucionalidad de la previsión lingüística contenida en el meritado art.  36.1 del Reglamento, sostiene, como cuestión previa y principal, que no nos encontramos ante un verdadero conflicto positivo de competencia, sino frente a un litigio cuyo conocimiento ha de corresponder, con carácter exclusivo, a la jurisdicción contencioso-administrativa, de manera que no procede, en esta sede, sino apreciar la concurrencia de la falta de jurisdicción o competencia mencionada en el art. 4.2 LOTC. El planteamiento de esta objeción exige, obviamente, que comencemos en este punto la resolución del presente procedimiento, pues sólo acreditada la jurisdicción de este Tribunal será posible el examen de la cuestión de fondo.</w:t>
      </w:r>
    </w:p>
    <w:p w:rsidR="008107C7" w:rsidRDefault="008107C7" w:rsidP="008107C7">
      <w:pPr>
        <w:pStyle w:val="TextoNormal"/>
      </w:pPr>
    </w:p>
    <w:p w:rsidR="008107C7" w:rsidRDefault="008107C7" w:rsidP="008107C7">
      <w:pPr>
        <w:pStyle w:val="TextoNormal"/>
      </w:pPr>
      <w:r w:rsidRPr="008107C7">
        <w:rPr>
          <w:rStyle w:val="NumeroAFNegritaCaracter"/>
        </w:rPr>
        <w:t>2</w:t>
      </w:r>
      <w:r>
        <w:t>. En respuesta a esta alegación se debe tener presente, en primer lugar, que la Comunidad Autónoma que plantea el conflicto sí reivindica la titularidad de la competencia ejercida, ya que en la súplica del escrito de interposición solicita expresamente que se declare "que la competencia controvertida corresponde a la Generalidad de Cataluña y que el precepto objeto de este conflicto es inaplicable en Cataluña" y en los fundamentos jurídicos alude, con base en la STC 74/1989, a que la regulación del régimen lingüístico del Registro Mercantil se sitúa fuera del ámbito de la competencia estatal sobre ordenación de los registros. Con todo, es cierto que la línea argumental que vertebra el referido escrito de interposición del conflicto no se basa tanto en la reivindicación de la titularidad de la competencia para establecer la lengua en la que deben redactarse los asientos registrales, cuanto en la afirmación de que el Estado al ejercer esta competencia ha desconocido o menoscabado diversas competencias autonómicas.</w:t>
      </w:r>
    </w:p>
    <w:p w:rsidR="008107C7" w:rsidRDefault="008107C7" w:rsidP="008107C7">
      <w:pPr>
        <w:pStyle w:val="TextoNormal"/>
      </w:pPr>
      <w:r>
        <w:t>No obstante, esta última constatación no puede llevar sin más a la declaración de falta de jurisdicción, puesto que, como es sabido, este Tribunal tiene declarado que en los conflictos positivos de competencia pueden plantearse tanto reivindicaciones de la titularidad de las competencias controvertidas como denuncias relativas al ejercicio extralimitado de una competencia ajena con menoscabo de una propia, siempre que la controversia así suscitada afecte a la definición o a la delimitación de los títulos competenciales en litigio (por todas STC 243/1993, fundamento jurídico 2º con cita de las SSTC 1/1984, fundamento jurídico 2º; 1/1986, fundamento jurídico 1º; 104/88, fundamento jurídico 1º; 115/1991, fundamento jurídico 1º; 235/1991, fundamento jurídico 1º).</w:t>
      </w:r>
    </w:p>
    <w:p w:rsidR="008107C7" w:rsidRDefault="008107C7" w:rsidP="008107C7">
      <w:pPr>
        <w:pStyle w:val="TextoNormal"/>
      </w:pPr>
      <w:r>
        <w:t>Debe advertirse, sin embargo, que si el Abogado del Estado sostiene que en el presente proceso constitucional no nos hallamos ante un verdadero conflicto de competencia, ni siquiera ante un conflicto por menoscabo de una competencia ajena, ello se debe a que a su juicio el art. 3 del E.A.C. no consagra ninguna competencia y, por esto mismo, ninguna competencia puede haberse vulnerado.</w:t>
      </w:r>
    </w:p>
    <w:p w:rsidR="008107C7" w:rsidRDefault="008107C7" w:rsidP="008107C7">
      <w:pPr>
        <w:pStyle w:val="TextoNormal"/>
      </w:pPr>
    </w:p>
    <w:p w:rsidR="008107C7" w:rsidRDefault="008107C7" w:rsidP="008107C7">
      <w:pPr>
        <w:pStyle w:val="TextoNormal"/>
      </w:pPr>
      <w:r w:rsidRPr="008107C7">
        <w:rPr>
          <w:rStyle w:val="NumeroAFNegritaCaracter"/>
        </w:rPr>
        <w:t>3</w:t>
      </w:r>
      <w:r>
        <w:t>. En varias resoluciones este Tribunal ha tenido ocasión de declarar que de la relación entre los arts. 3.2 C.E.  y 3 E.A.C. surge un mandato, una habilitación competencial (que el Tribunal ha calificado como "mandato" -STC 69/1988, fundamento jurídico 8º-, como "habilitación" -STC 337/1994, fundamento jurídico 7º- e incluso como "competencia lingüística" -STC 74/1989, fundamento jurídico 2º y fallo), dirigido a la Generalidad de Cataluña para llevar a cabo no sólo actividades de fomento de las lenguas oficiales en la Comunidad, sino también para regular los aspectos esenciales de la cooficialidad de las mismas.</w:t>
      </w:r>
    </w:p>
    <w:p w:rsidR="008107C7" w:rsidRDefault="008107C7" w:rsidP="008107C7">
      <w:pPr>
        <w:pStyle w:val="TextoNormal"/>
      </w:pPr>
      <w:r>
        <w:lastRenderedPageBreak/>
        <w:t>En efecto, la Constitución en su art. 3.2 remite a los Estatutos de Autonomía de las Comunidades con lengua propia distinta del castellano la decisión sobre la declaración de la oficialidad de esa lengua y acerca de su régimen jurídico. A su vez los Estatutos concretan esta remisión constitucional mediante preceptos, situados en los Títulos preliminares respectivos, en los que, después de efectuar la declaración de la oficialidad de la lengua propia de la Comunidad y reiterar la del castellano, lengua oficial común, incluyen un mandato dirigido a las correspondientes instituciones autonómicas de gobierno para que adopten las medidas necesarias en orden a asegurar el conocimiento de ambos idiomas y a garantizar la plena igualdad en lo que se refiere a los derechos y deberes lingüísticos de los ciudadanos, así como el uso normal y oficial de las lenguas oficiales.</w:t>
      </w:r>
    </w:p>
    <w:p w:rsidR="008107C7" w:rsidRDefault="008107C7" w:rsidP="008107C7">
      <w:pPr>
        <w:pStyle w:val="TextoNormal"/>
      </w:pPr>
      <w:r>
        <w:t>Así, por ejemplo, en la STC 74/1989 se ha declarado que "del juego del art.  3.2 de la Constitución y del art. 3 del Estatuto de Autonomía de Cataluña -en el que han de verse contenidos «mandatos a las correspondientes instituciones autonómicas para regular la cooficialidad de la lengua propia»- deriva la competencia lingüística de la Generalidad, que resulta de esta forma habilitada para determinar el alcance de la cooficialidad, por lo que no cabe hablar de actuación fuera de la esfera competencial de la Comunidad Autónoma, cuando ésta prevé consecuencias lógicas que resultan de la declaración de cooficialidad" (fundamento jurídico 3º). La declaración de que del art. 3.2 C.E. y art. 3 E.A.C. -y homólogos de otros Estatutos como el 6 E.A.P.V. y 5 E.A.G.- deriva una habilitación para regular "el alcance y los efectos de la cooficialidad" se reitera en las SSTC 82/1986, fundamentos jurídicos 5º y 8º; 56/1990, fundamento jurídico 40; 123/1988, fundamento jurídico 5º; y, más recientemente, 337/1994, fundamento jurídico 7º. Este mandato ha sido actuado por las Comunidades Autónomas con lengua oficial propia a través fundamentalmente de las respectivas leyes de normalización lingüística.</w:t>
      </w:r>
    </w:p>
    <w:p w:rsidR="008107C7" w:rsidRDefault="008107C7" w:rsidP="008107C7">
      <w:pPr>
        <w:pStyle w:val="TextoNormal"/>
      </w:pPr>
      <w:r>
        <w:t>Pues bien, sin necesidad de entrar en mayores desarrollos teóricos sobre la naturaleza del mandato o habilitación competencial contenida en los referidos preceptos constitucionales y estatutarios y sin perjuicio de lo que luego se dirá acerca del alcance de las competencias estatales y autonómicas en la regulación del uso de las lenguas en los distintos ámbitos materiales, de lo dicho hasta ahora se desprende que el Estado, al establecer que el castellano sea la única lengua en la que deben redactarse los asientos en el Registro Mercantil, puede sin duda, en hipótesis, afectar a la habilitación competencial atribuida a la Generalidad para regular el régimen de la cooficialidad de las lenguas o, cuando menos, puede menoscabar el ejercicio de esa habilitación que la Comunidad recurrente ha llevado a cabo a través de la Ley de normalización lingüística. Por ello, nada se opone en principio a que dicha Comunidad utilice el cauce procesal del conflicto positivo de competencia para denunciar esta pretendida vulneración del orden constitucional.</w:t>
      </w:r>
    </w:p>
    <w:p w:rsidR="008107C7" w:rsidRDefault="008107C7" w:rsidP="008107C7">
      <w:pPr>
        <w:pStyle w:val="TextoNormal"/>
      </w:pPr>
    </w:p>
    <w:p w:rsidR="008107C7" w:rsidRDefault="008107C7" w:rsidP="008107C7">
      <w:pPr>
        <w:pStyle w:val="TextoNormal"/>
      </w:pPr>
      <w:r w:rsidRPr="008107C7">
        <w:rPr>
          <w:rStyle w:val="NumeroAFNegritaCaracter"/>
        </w:rPr>
        <w:t>4</w:t>
      </w:r>
      <w:r>
        <w:t>. Despejado el óbice de procedibilidad alegado, podemos entrar ya en el enjuiciamiento del fondo del conflicto planteado. Para ello, la primera cuestión a dilucidar consiste en determinar si el Estado es competente o no para determinar la lengua en la que deben redactarse los asientos del Registro Mercantil.</w:t>
      </w:r>
    </w:p>
    <w:p w:rsidR="008107C7" w:rsidRDefault="008107C7" w:rsidP="008107C7">
      <w:pPr>
        <w:pStyle w:val="TextoNormal"/>
      </w:pPr>
      <w:r>
        <w:t xml:space="preserve">La respuesta a este interrogante debe ser afirmativa. Es cierto que, como alega la representación de la Generalidad de Cataluña, en relación con una actividad que guarda evidente similitud con la presente (la determinación del texto que debe prevalecer en caso de duda sobre la interpretación de las escrituras públicas otorgadas en catalán y castellano) este Tribunal declaró la titularidad autonómica de la competencia ejercida con el argumento de que la determinación del valor de las lenguas en las que se redactan las escrituras públicas no equivale a "ordenar los instrumentos públicos" -competencia estatal ex art. 149.1.8-, ya que </w:t>
      </w:r>
      <w:r>
        <w:lastRenderedPageBreak/>
        <w:t>se trata de reglas "a cuya operatividad no se anuda consecuencia alguna relevante para el régimen de la naturaleza y contenido de las escrituras públicas, ni para la disciplina de los requisitos y condiciones de validez y eficacia de las mismas" (STC 74/1989, fundamento jurídico 5º).</w:t>
      </w:r>
    </w:p>
    <w:p w:rsidR="008107C7" w:rsidRDefault="008107C7" w:rsidP="008107C7">
      <w:pPr>
        <w:pStyle w:val="TextoNormal"/>
      </w:pPr>
      <w:r>
        <w:t>Con todo, no es menos cierto que en la referida Sentencia, con cita de varias resoluciones precedentes, se insiste en que este tipo de conflictos deben resolverse buscando un equilibrio entre lo que allí se denominó la "competencia autonómica de normalización lingüística" y las competencias sectoriales del Estado (fundamentos jurídicos 2º in fine y 5º). Equilibrio que ha quedado plasmado en una pluralidad de resoluciones de este Tribunal en las que se pretende conciliar dos premisas fundamentales: de un lado, la de que el ente titular de una competencia sustantiva posee también la titularidad para regular el uso de la lengua en este ámbito material, y ello no sólo en los aspectos organizativos y de funcionamiento interno, sino también en las relaciones de la Administración correspondiente con los ciudadanos. De ahí que en las materias reservadas a la competencia estatal, como sucede con la de los Registros públicos (art. 149.1.8 C.E.), sea el Estado el que debe llevar a cabo esta regulación. Sin embargo, como segunda premisa, en estos casos, las Comunidades Autónomas con lengua oficial propia distinta del castellano no quedan totalmente al margen de esta regulación puesto que el mandato constitucional y estatutario a ellas dirigido en orden a adoptar medidas normalizadoras y, sobre todo, a regular el régimen de cooficialidad de las lenguas les habilitan para establecer lo que en otras SSTC se ha denominado "contenido inherente al concepto de cooficialidad" o "alcance de la cooficialidad" (SSTC 82/1986, fundamentos jurídicos 5º y 6º; 123/1988, fundamento jurídico 5º; 56/1990, fundamento jurídico 40), es decir, las consecuencias genéricas que derivan del carácter oficial de una lengua que deben ser respetadas como un prius por los entes competentes al precisar en los ámbitos materiales cuya titularidad les corresponde el uso de las lenguas y al establecer los medios concretos para dar cumplimiento a las consecuencias derivadas de la oficialidad y a las exigencias de la normalización o, como dice la STC 82/1986, al establecer "la ordenación concreta de la puesta en práctica" de la regulación legal de la cooficialidad.</w:t>
      </w:r>
    </w:p>
    <w:p w:rsidR="008107C7" w:rsidRDefault="008107C7" w:rsidP="008107C7">
      <w:pPr>
        <w:pStyle w:val="TextoNormal"/>
      </w:pPr>
      <w:r>
        <w:t>Esta articulación equilibrada entre las actuaciones que en materia lingüística corresponden al Estado y a las Comunidades Autónomas la ha concretado este Tribunal en ámbitos tan diversos como la Administración de Justicia (SSTC 83/1986, fundamento jurídico 6º y 84/1986, fundamento jurídico 3º), la Defensa y Fuerzas Armadas (STC 123/1988, fundamento jurídico 5º) o las Administraciones Públicas en general (STC 82/1986, fundamento jurídico 5ª).</w:t>
      </w:r>
    </w:p>
    <w:p w:rsidR="008107C7" w:rsidRDefault="008107C7" w:rsidP="008107C7">
      <w:pPr>
        <w:pStyle w:val="TextoNormal"/>
      </w:pPr>
      <w:r>
        <w:t>En la propia STC 74/1989, reiteradamente citada por la recurrente, se afirma que "así planteado, el conflicto debe resolverse estableciendo hasta qué punto el ejercicio por parte de la Generalidad de competencias de normalización lingüística (...)  es compatible con las competencias sectoriales del Estado (...); tal compatibilidad ha de articularse de modo tal que ni la competencia autonómica (...)  pueda convertirse en un expediente que, enervando el orden constitucional de competencias, habilite a la Comunidad Autónoma para regular, so capa de actuaciones de política lingüística, materias reservadas al Estado ni, tampoco, como reverso de lo anterior, las competencias sectoriales del Estado pueden convertirse en un obstáculo que bloquee o vacíe la competencia que sobre normalización lingüística tiene la Comunidad Autónoma" (STC 74/1989, fundamento jurídico 2º).</w:t>
      </w:r>
    </w:p>
    <w:p w:rsidR="008107C7" w:rsidRDefault="008107C7" w:rsidP="008107C7">
      <w:pPr>
        <w:pStyle w:val="TextoNormal"/>
      </w:pPr>
      <w:r>
        <w:t xml:space="preserve">En el mismo sentido de afirmar que en los ámbitos de competencia estatal la competencia autonómica no puede imponer el uso de la lengua, sin que esto signifique que esta última competencia carezca ya de todo contenido, se pronuncian numerosas Sentencias como, por </w:t>
      </w:r>
      <w:r>
        <w:lastRenderedPageBreak/>
        <w:t>ejemplo, la STC 82/1986, fundamento jurídico 6, que, respecto a la regulación de la utilización de las lenguas oficiales en la Administración de Justicia, declara que en esta materia "los poderes públicos de las Comunidades Autónomas podrán regular el alcance inherente al concepto de cooficialidad, tal y como viene establecido por el art. 3.2. de la Constitución y en los artículos correspondientes de los Estatutos de Autonomía (...), sin que pueda en modo alguno extenderse a la ordenación concreta de su puesta en práctica por el Estado para sus Organismos propios en la Comunidad Autónoma". Más concretamente, en la STC 84/1986, fundamento jurídico 3º, se afirma que los incisos del art. 7 de la Ley del Parlamento de Galicia 3/1983 que reconocen el derecho de los ciudadanos a "utilizar cualquiera de las lenguas oficiales en las relaciones con la Administración de Justicia" y que "las actuaciones judiciales serán válidas y producirán efectos cualquiera que sea la lengua oficial empleada" no son inconstitucionales "en cuanto no imponen la obligación del uso del gallego a la Administración de Justicia y se limitan a declarar las consecuencias que inmediatamente se derivan del derecho al uso de dicha lengua establecido en el art. 5 del E.A.G."</w:t>
      </w:r>
    </w:p>
    <w:p w:rsidR="008107C7" w:rsidRDefault="008107C7" w:rsidP="008107C7">
      <w:pPr>
        <w:pStyle w:val="TextoNormal"/>
      </w:pPr>
      <w:r>
        <w:t>Este razonamiento se reitera en otras Sentencias tanto en el ámbito de la Administración de Justicia (STC 56/1990, fundamento jurídico 40), como en otros ámbitos, como el militar. Concretamente en la STC 123/1988, fundamento jurídico 5º, se dice, de un lado, que "nada impide, en principio, según la doctrina general sentada por anteriores decisiones sobre la cooficialidad, que se extraigan las consecuencias de dicho principio en relación con todas las Administraciones Públicas, sin que a ello sea una excepción las Fuerzas Armadas (...). En este sentido, nada se opone a que, para garantizar la efectiva cooficialidad, la Comunidad Autónoma especifique la validez de las actuaciones de los particulares ante los poderes públicos en una de las lenguas oficiales", "ahora bien, dicho esto, ha de tenerse en cuenta que la atribución de la regulación de la cooficialidad y sus efectos no puede suponer una atribución de competencias específicas más allá del marco establecido en el reparto que llevan a cabo la Constitución y los Estatutos de Autonomía. A este respecto ha de recordarse que el art. 149.1.4 C.E. dispone que el Estado tiene competencia exclusiva en lo que se refiere a las materias de Defensa y Fuerzas Armadas, lo que excluye cualquier intervención de los poderes de las Comunidades Autónomas en la regulación de la organización de las Fuerzas Armadas. Y, sin duda, el uso de la lengua en el seno de las Fuerzas Armadas para los fines de su servicio interno, y por los miembros de las mismas (integrados en una relación especial de sujeción), es algo que afecta a las mismas bases de su organización y funcionamiento, dadas sus características internas. En consecuencia, y en ejercicio de una atribución competencial expresa, corresponde en exclusiva al Estado la regulación material del uso de las lenguas oficiales en las Fuerzas Armadas, y le corresponde asimismo, en exclusiva, la fijación de las condiciones y requisitos para la determinación de la validez de los actos de la Administración militar".</w:t>
      </w:r>
    </w:p>
    <w:p w:rsidR="008107C7" w:rsidRDefault="008107C7" w:rsidP="008107C7">
      <w:pPr>
        <w:pStyle w:val="TextoNormal"/>
      </w:pPr>
      <w:r>
        <w:t xml:space="preserve">Ahora bien, determinar cuáles sean las consecuencias genéricas o el alcance del contenido inherente de la oficialidad es cosa que aquí no es necesario analizar con pretensiones de exhaustividad. A los efectos de este proceso constitucional basta señalar que el Tribunal siempre ha considerado como tales, entre otras, el establecimiento de los derechos y deberes lingüísticos de los ciudadanos frente a todas las Administraciones Públicas -por ejemplo, el derecho a poder dirigirse a ellas en cualquiera de las lenguas oficiales en la Comunidad- y la proclamación de la plenitud e igualdad de efectos jurídicos de los documentos redactados en cualquiera de esas lenguas (por todas, SSTC 123/1988, fundamento jurídico 5º y 56/1990, fundamento jurídico 40).  Más concretamente, el Tribunal Constitucional ha precisado que las denominadas leyes de normalización y en concreto los preceptos que proclaman los referidos derechos y la igualdad de efectos jurídicos son fruto del ejercicio de estas </w:t>
      </w:r>
      <w:r>
        <w:lastRenderedPageBreak/>
        <w:t>competencias o mandatos contenidos en los preceptos constitucionales y estatutarios que atribuyen a las respectivas Comunidades Autónomas la regulación del carácter oficial de las lenguas y el fomento de las mismas (SSTC 82/1986, fundamentos jurídicos 4º, 7º y 8º; 56/1990, fundamento jurídico 40; 74/1989, fundamento jurídico, 3º y 337/1994, fundamento jurídico 7º).</w:t>
      </w:r>
    </w:p>
    <w:p w:rsidR="008107C7" w:rsidRDefault="008107C7" w:rsidP="008107C7">
      <w:pPr>
        <w:pStyle w:val="TextoNormal"/>
      </w:pPr>
      <w:r>
        <w:t>De lo que antecede se desprenden, pues, dos conclusiones. En primer lugar, como ya hemos avanzado, la competencia del Estado para determinar la lengua en la que deben practicarse los asientos en el Registro Mercantil y, más concretamente, la competencia estatal para dictar el art. 36.1 R.R.M. objeto del presente conflicto. Así parece reconocerlo la propia Ley 7/1983, del Parlamento de Cataluña, de normalización lingüística, que, después de regular en el art. 11 la lengua oficial en la que deben redactarse los asientos en los registros públicos dependientes de la Generalidad, se limita a prever en su Disposición adicional, que la misma promoverá, de acuerdo con los órganos competentes, la normalización del catalán en los registros no dependientes de la misma.</w:t>
      </w:r>
    </w:p>
    <w:p w:rsidR="008107C7" w:rsidRDefault="008107C7" w:rsidP="008107C7">
      <w:pPr>
        <w:pStyle w:val="TextoNormal"/>
      </w:pPr>
      <w:r>
        <w:t>La segunda conclusión es la de que el Estado al regular el uso de la lengua en los Registros Mercantiles territoriales radicados en la Comunidad Autónoma debe respetar las cláusulas generales relativas a la oficialidad y normalización de las lenguas, que se concretan, en lo que aquí afecta y como ya hemos avanzado, en el art. 2.2 de la referida Ley 7/1983 que establece que "las manifestaciones de pensamiento o de voluntad y los actos orales o escritos, públicos o privados, no pueden dar lugar en Cataluña a ningún tipo de discriminación si se expresan total o parcialmente en lengua catalana y producen todos los efectos jurídicos igual que si se expresaran en lengua castellana, y, por consiguiente, en lo que respecta a su eficacia, no pueden ser objeto de ningún tipo de dificultad, retraso, requerimiento de traducción ni de ninguna otra exigencia" y en el art. 8.2 y 3, referido en general a la Administración civil del Estado, prevé que ésta debe expedir los documentos o testimonios contenidos en los expedientes por ella tramitados en el idioma oficial requerido por los ciudadanos que los soliciten.</w:t>
      </w:r>
    </w:p>
    <w:p w:rsidR="008107C7" w:rsidRDefault="008107C7" w:rsidP="008107C7">
      <w:pPr>
        <w:pStyle w:val="TextoNormal"/>
      </w:pPr>
      <w:r>
        <w:t>Estas previsiones legales, que hoy continúan vigentes, y no fueron impugnadas en el recurso que en su día promovió el Presidente del Gobierno contra la citada Disposición --y que este Tribunal resolvió en la STC 83/1986 sin ningún pronunciamiento en contra-, establecen, pues, tan sólo tres requisitos relacionados con un conjunto de derechos lingüísticos de los ciudadanos e, indirectamente, con la oficialidad y normalización del uso del catalán, a saber: a) que los documentos redactados en catalán deben tener, a efectos registrales mercantiles, la misma eficacia y validez que los redactados en castellano; b) que los documentos expresados en catalán no pueden verse sometidos a ningún tipo de "dificultad o retraso"; y c) que las certificaciones y demás comunicaciones relativas a los asientos deben expedirse en la lengua oficial de elección del solicitante.</w:t>
      </w:r>
    </w:p>
    <w:p w:rsidR="008107C7" w:rsidRDefault="008107C7" w:rsidP="008107C7">
      <w:pPr>
        <w:pStyle w:val="TextoNormal"/>
      </w:pPr>
      <w:r>
        <w:t>Debemos analizar, pues, si el art. 36.1 R.R.M.  respeta o, por el contrario, desconoce y menoscaba estas consecuencias y derechos derivados de la oficialidad del catalán.</w:t>
      </w:r>
    </w:p>
    <w:p w:rsidR="008107C7" w:rsidRDefault="008107C7" w:rsidP="008107C7">
      <w:pPr>
        <w:pStyle w:val="TextoNormal"/>
      </w:pPr>
    </w:p>
    <w:p w:rsidR="008107C7" w:rsidRDefault="008107C7" w:rsidP="008107C7">
      <w:pPr>
        <w:pStyle w:val="TextoNormal"/>
      </w:pPr>
      <w:r w:rsidRPr="008107C7">
        <w:rPr>
          <w:rStyle w:val="NumeroAFNegritaCaracter"/>
        </w:rPr>
        <w:t>5</w:t>
      </w:r>
      <w:r>
        <w:t>. Planteada la cuestión desde esta perspectiva cabe avanzar ya que la previsión de que los asientos deben practicarse en lengua castellana no impide que los documentos redactados en catalán tengan plenos efectos registrales, iguales en eficacia y validez que los redactados en castellano.</w:t>
      </w:r>
    </w:p>
    <w:p w:rsidR="008107C7" w:rsidRDefault="008107C7" w:rsidP="008107C7">
      <w:pPr>
        <w:pStyle w:val="TextoNormal"/>
      </w:pPr>
      <w:r>
        <w:t xml:space="preserve">En efecto, en un sistema de registro de inscripción y no de transcripción, como el que tradicionalmente ha imperado e impera en España, los documentos "en virtud de los que se practican los asientos", en expresión reiterada del R.R.M., agotan sus efectos ante el Registro al servir de base para la calificación e inscripción registral. A partir de este momento, al </w:t>
      </w:r>
      <w:r>
        <w:lastRenderedPageBreak/>
        <w:t>practicarse el asiento, es este acto el que produce los efectos propios del Registro Mercantil (constitutivos, de presunción de exactitud, de publicidad, de fe pública registral, de inoponibilidad, etc.). Es cierto que una parte de los asientos que se practican en el Registro son simple traslación, parcial e incluso integra, de los documentos presentados a registro; es más, en algunos relevantes casos - estatutos de sociedades, poderes, capitulaciones matrimoniales, etc.-, esos documentos en la actualidad se inscriben, si están redactados en castellano, mediante fotocopia o archivo informático por medio de lector óptico. Sin embargo, esta constatación no debe llevar a la conclusión de que lo que produce los efectos registrales son directamente los documentos presentados al Registro o que los asientos no constituyen ningún nuevo documento: en primer lugar debe advertirse que de las cinco clases de asientos previstas en el art. 33 del R.R.M.  los de presentación y las notas marginales son creación prácticamente ex novo del registrador; en segundo término debe tenerse presente respecto de las inscripciones, anotaciones preventivas y cancelaciones que una parte del asiento la constituyen lo que el art. 37 del R.R.M. denomina "circunstancias generales" que tampoco suponen transcripción alguna de los documentos presentados al Registro; por otra parte, como señala el preámbulo del R.R.M., en su articulado, a diferencia de lo que sucedía en el Reglamento de 1956, se contemplan separadamente las diversas circunstancias que deben figurar en los documentos y en los asientos, de modo que, en la práctica, ni todo lo que figura en los documentos suele ser objeto de asiento, ni el contenido de éstos se ciñe exclusivamente a lo establecido en aquéllos. Y, por fin, lo que es más relevante, aun en los casos en los que los documentos se incorporan íntegramente a los asientos, como queda dicho, los efectos registrales los producen estos últimos o su publicación (art. 9 R.R.M.), no los documentos de los que traen causa, como lo demuestra el reconocimiento de que estos efectos continúan produciéndose incluso en supuestos de inexactitud o nulidad del asiento por discrepancia entre éste y el documento (arts. 7 a 9 R.R.M.). En definitiva, aunque el contenido de determinados asientos sea simple reflejo del contenido de los documentos, la transcripción, incluso literal, de los mismos, tiene lugar mediante un acto que cobra vida jurídica propia y produce unos efectos relativamente autónomos.</w:t>
      </w:r>
    </w:p>
    <w:p w:rsidR="008107C7" w:rsidRDefault="008107C7" w:rsidP="008107C7">
      <w:pPr>
        <w:pStyle w:val="TextoNormal"/>
      </w:pPr>
      <w:r>
        <w:t>Así, pues, si los documentos en virtud de los que se practican los asientos agotan sus efectos en el momento en que se presentan ante el Registro y sirven de base para la calificación e inscripción, deberemos concluir que, si esos documentos pueden presentarse en catalán sin que se exija previa traducción, los documentos redactados en esta lengua tienen la misma eficacia y validez a efectos registrales que los redactados en castellano.</w:t>
      </w:r>
    </w:p>
    <w:p w:rsidR="008107C7" w:rsidRDefault="008107C7" w:rsidP="008107C7">
      <w:pPr>
        <w:pStyle w:val="TextoNormal"/>
      </w:pPr>
      <w:r>
        <w:t>Pues bien, ni el R.R.M. ni ninguna otra disposición normativa obligan a quien presenta en el Registro un documento en catalán a traducirlo previamente al castellano. Este silencio debe interpretarse en el sentido de que, efectivamente, los documentos redactados en la lengua oficial propia de la Comunidad pueden presentarse en el Registro y el registrador deberá tomarlos como base para realizar la calificación y el asiento. Ninguna otra interpretación del silencio del R.R.M sería acorde con las consecuencias que derivan de la cooficialidad de las lenguas en los territorios con lengua oficial propia distinta del castellano entre las que figura, como ha reiterado este Tribunal y se acaba de recordar en fundamentos precedentes, el derecho de los ciudadanos de dirigirse a cualquier Administración en la lengua oficial que estime oportuno. Es cierto que una vez presentado en lengua distinta del castellano, el asiento se llevará a cabo en esta lengua pero, como queda dicho, en el momento de practicarse este asiento, el documento en cuanto tal, cualquiera que sea su lengua, ya habrá producido todos sus efectos ante el Registro.</w:t>
      </w:r>
    </w:p>
    <w:p w:rsidR="008107C7" w:rsidRDefault="008107C7" w:rsidP="008107C7">
      <w:pPr>
        <w:pStyle w:val="TextoNormal"/>
      </w:pPr>
    </w:p>
    <w:p w:rsidR="008107C7" w:rsidRDefault="008107C7" w:rsidP="008107C7">
      <w:pPr>
        <w:pStyle w:val="TextoNormal"/>
      </w:pPr>
      <w:r w:rsidRPr="008107C7">
        <w:rPr>
          <w:rStyle w:val="NumeroAFNegritaCaracter"/>
        </w:rPr>
        <w:lastRenderedPageBreak/>
        <w:t>6</w:t>
      </w:r>
      <w:r>
        <w:t>. El precepto enjuiciado plantea mayores interrogantes al enjuiciarse desde la perspectiva de la exigencia, contenida en la Ley 7/1983 de normalización lingüística, de que los documentos redactados en catalán no sufran por este hecho "dificultades" o retrasos. Según el representante de la Generalidad, los principales problemas que pueden derivarse de la obligación de traducir al castellano todos los documentos redactados en otra lengua oficial son el retraso y, sobre todo, la inseguridad jurídica que todo proceso traductor suele conllevar. Inseguridad a la que, naturalmente, están menos expuestos los documentos redactados en castellano, sobre todo si su incorporación se produce reprográficamente o por lector óptico. A ello se añaden los problemas relacionados con la publicidad formal de los asientos puesto que su redacción en castellano puede discriminar la publicidad en otra lengua oficial.</w:t>
      </w:r>
    </w:p>
    <w:p w:rsidR="008107C7" w:rsidRDefault="008107C7" w:rsidP="008107C7">
      <w:pPr>
        <w:pStyle w:val="TextoNormal"/>
      </w:pPr>
      <w:r>
        <w:t>Ante esta alegación lo primero que debe dejarse sentado es que el Estado, en tanto que titular del Registro, al regular el uso de la lengua debe evitar que la traducción produzca inseguridad y retrasos indebidos, no sólo para no vulnerar derechos de los ciudadanos que han decidido libremente redactar o solicitar la redacción de sus documentos en una lengua oficial distinta del castellano, sino también para evitar posibles efectos disuasorios del uso de aquella lengua, en este caso del catalán, que sin duda pueden derivarse de una hipotética situación de inseguridad y que serían totalmente contrarios a la normalización de ese uso que el Estatuto de Autonomía de Cataluña encomienda a la Generalidad, pero que también vincula al Estado ex art. 3.3 C.E.  (STC 337/1994, fundamento jurídico 6º).</w:t>
      </w:r>
    </w:p>
    <w:p w:rsidR="008107C7" w:rsidRDefault="008107C7" w:rsidP="008107C7">
      <w:pPr>
        <w:pStyle w:val="TextoNormal"/>
      </w:pPr>
      <w:r>
        <w:t>Ciertamente, en el marco de la Constitución y el Estatuto caben opciones distintas de la establecida en el art.  36.1 R.R.M. puesto que, ni siquiera la necesidad de dar publicidad en toda España, lógicamente en castellano en tanto que lengua oficial común, a los datos de los asientos que el Estado estime relevantes -publicidad que se produce esencialmente a través del Registro Mercantil Central y de su Boletín Oficial del Registro Mercantil-, impide utilizar otras fórmulas como las ya empleadas en otros ámbitos; por ejemplo, respecto de la Administración del Estado en el art. 36.1 de la Ley 30/1992, de Régimen Jurídico de las Administraciones Públicas y del Procedimiento Administrativo Común o en relación con la Administración de Justicia en el art. 231.2 L.O.P.J.</w:t>
      </w:r>
    </w:p>
    <w:p w:rsidR="008107C7" w:rsidRDefault="008107C7" w:rsidP="008107C7">
      <w:pPr>
        <w:pStyle w:val="TextoNormal"/>
      </w:pPr>
      <w:r>
        <w:t>No obstante, debe reconocerse que el sistema previsto en el art. 36.1 del R.R.M. en sí mismo considerado no produce necesariamente inseguridad jurídica ni retrasos indebidos, ni por supuesto alteración del orden de acceso al registro respecto de los documentos escritos en catalán. Por ello, desde la perspectiva propia del presente proceso constitucional basta con advertir que si el Estado opta, como ha hecho a efectos de su inscripción, por la traducción de los documentos no redactados en castellano deberá establecer los medios, personales y materiales, necesarios para que no se produzcan ni inseguridad jurídica ni retrasos.</w:t>
      </w:r>
    </w:p>
    <w:p w:rsidR="008107C7" w:rsidRDefault="008107C7" w:rsidP="008107C7">
      <w:pPr>
        <w:pStyle w:val="TextoNormal"/>
      </w:pPr>
      <w:r>
        <w:t xml:space="preserve">Por último, en cuanto a los problemas relativos a la publicidad formal de los asientos debe notarse, en primer lugar, que respecto de la expedición de certificaciones de los mismos nada se opone ni en el precepto impugnado, ni en el resto del articulado del R.R.M., a que éstas se lleven a cabo en el idioma oficial escogido por el solicitante. El Abogado del Estado así lo reconoce y ésta es hoy la práctica habitual.  Más problemas plantean algunas de las otras tres formas de publicidad formal previstas en el Reglamento (arts. 77 a 80), pues, si bien las notas informativas también pueden emitirse en la lengua del solicitante, las copias -cuando se efectúan por medios reprográficos- y las consultas por ordenador en principio se harán teniendo como objeto el texto del asiento redactado en castellano. Ahora bien debe tenerse en cuenta que de los cuatro medios de publicidad formal previstos en el R.R.M., la certificación -que, como se ha dicho, puede obtenerse en cualquier lengua oficial- es la única que acredita fehacientemente el contenido de los asientos (art. 77.2 R.R.M.). Respecto de las demás formas de publicidad el titular del Registro deberá proveer los medios que </w:t>
      </w:r>
      <w:r>
        <w:lastRenderedPageBreak/>
        <w:t>faciliten la consulta de las mismas en la lengua oficial solicitada con plena garantía de seguridad y sin dilaciones.</w:t>
      </w:r>
    </w:p>
    <w:p w:rsidR="008107C7" w:rsidRDefault="008107C7" w:rsidP="008107C7">
      <w:pPr>
        <w:pStyle w:val="TextoNormal"/>
      </w:pPr>
      <w:r>
        <w:t>De cuanto se ha dicho cabe concluir que el Estado es competente para regular lo dispusto en el art. 36.1 del R.R.M.  y que al hacerlo en la forma en que lo ha hecho no ha menoscabado la habilitación que en materia lingüística posee la Generalidad de Cataluña.</w:t>
      </w:r>
    </w:p>
    <w:p w:rsidR="008107C7" w:rsidRDefault="008107C7" w:rsidP="008107C7">
      <w:pPr>
        <w:pStyle w:val="TextoNormal"/>
      </w:pPr>
    </w:p>
    <w:p w:rsidR="008107C7" w:rsidRDefault="008107C7" w:rsidP="008107C7">
      <w:pPr>
        <w:pStyle w:val="TextoNormalCentrado"/>
        <w:keepNext/>
      </w:pPr>
      <w:r>
        <w:t>FALLO</w:t>
      </w:r>
    </w:p>
    <w:p w:rsidR="008107C7" w:rsidRDefault="008107C7" w:rsidP="008107C7">
      <w:pPr>
        <w:pStyle w:val="TextoNormalCentrado"/>
        <w:keepNext/>
      </w:pPr>
    </w:p>
    <w:p w:rsidR="008107C7" w:rsidRDefault="008107C7" w:rsidP="008107C7">
      <w:pPr>
        <w:pStyle w:val="TextoNormal"/>
      </w:pPr>
      <w:r>
        <w:t>En atención a todo lo expuesto, el Tribunal Constitucional, POR LA AUTORIDAD QUE LE CONFIERE LA CONSTITUCION DE LA NACION ESPAÑOLA,</w:t>
      </w:r>
    </w:p>
    <w:p w:rsidR="008107C7" w:rsidRDefault="008107C7" w:rsidP="008107C7">
      <w:pPr>
        <w:pStyle w:val="TextoNormal"/>
      </w:pPr>
    </w:p>
    <w:p w:rsidR="008107C7" w:rsidRDefault="008107C7" w:rsidP="008107C7">
      <w:pPr>
        <w:pStyle w:val="TextoNormalCentrado"/>
        <w:keepNext/>
      </w:pPr>
      <w:r>
        <w:t>Ha decidido</w:t>
      </w:r>
    </w:p>
    <w:p w:rsidR="008107C7" w:rsidRDefault="008107C7" w:rsidP="008107C7">
      <w:pPr>
        <w:pStyle w:val="TextoNormalCentrado"/>
        <w:keepNext/>
      </w:pPr>
    </w:p>
    <w:p w:rsidR="008107C7" w:rsidRDefault="008107C7" w:rsidP="008107C7">
      <w:pPr>
        <w:pStyle w:val="TextoNormal"/>
      </w:pPr>
      <w:r>
        <w:t>Desestimar el conflicto positivo de competencia núm.  1.080/90 promovido por la Generalidad de Cataluña y, en su virtud, declarar que el inciso "en lengua castellana" contenido en el art. 36.1 del Reglamento del Registro Mercantil aprobado por el Real Decreto 1.597/1989, de 29 de diciembre, no es contrario al orden constitucional y estatutario de distribución de competencias.</w:t>
      </w:r>
    </w:p>
    <w:p w:rsidR="008107C7" w:rsidRDefault="008107C7" w:rsidP="008107C7">
      <w:pPr>
        <w:pStyle w:val="TextoNormal"/>
      </w:pPr>
    </w:p>
    <w:p w:rsidR="008107C7" w:rsidRDefault="008107C7" w:rsidP="008107C7">
      <w:pPr>
        <w:pStyle w:val="TextoNormal"/>
      </w:pPr>
      <w:r>
        <w:t>Publíquese esta Sentencia en el "Boletín Oficial del Estado".</w:t>
      </w:r>
    </w:p>
    <w:p w:rsidR="008107C7" w:rsidRDefault="008107C7" w:rsidP="00B01F4A">
      <w:pPr>
        <w:pStyle w:val="TextoNormal"/>
      </w:pPr>
      <w:r>
        <w:t>Dada en Madrid, a veinticuatro de abril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8107C7">
      <w:pPr>
        <w:pStyle w:val="ParrafoNormal"/>
      </w:pPr>
    </w:p>
    <w:p w:rsidR="00B01F4A" w:rsidRDefault="00B01F4A" w:rsidP="00B01F4A">
      <w:pPr>
        <w:pStyle w:val="ParrafoNormal"/>
      </w:pPr>
    </w:p>
    <w:p w:rsidR="00B01F4A" w:rsidRDefault="00B01F4A" w:rsidP="00B01F4A">
      <w:pPr>
        <w:pStyle w:val="ParrafoNormal"/>
      </w:pPr>
    </w:p>
    <w:p w:rsidR="00B01F4A" w:rsidRDefault="00B01F4A" w:rsidP="00B01F4A">
      <w:pPr>
        <w:pStyle w:val="ParrafoNormal"/>
      </w:pPr>
    </w:p>
    <w:p w:rsidR="00B01F4A" w:rsidRDefault="00B01F4A" w:rsidP="00B01F4A">
      <w:pPr>
        <w:pStyle w:val="ParrafoNormal"/>
      </w:pPr>
    </w:p>
    <w:p w:rsidR="00B01F4A" w:rsidRDefault="00B01F4A" w:rsidP="00B01F4A">
      <w:pPr>
        <w:pStyle w:val="ParrafoNormal"/>
      </w:pPr>
    </w:p>
    <w:p w:rsidR="00B01F4A" w:rsidRDefault="00B01F4A" w:rsidP="00B01F4A">
      <w:pPr>
        <w:pStyle w:val="ParrafoNormal"/>
      </w:pPr>
    </w:p>
    <w:p w:rsidR="00B01F4A" w:rsidRDefault="00B01F4A" w:rsidP="00B01F4A">
      <w:pPr>
        <w:pStyle w:val="ParrafoNormal"/>
      </w:pPr>
    </w:p>
    <w:p w:rsidR="00B01F4A" w:rsidRDefault="00B01F4A" w:rsidP="00B01F4A">
      <w:pPr>
        <w:pStyle w:val="ParrafoNormal"/>
      </w:pPr>
    </w:p>
    <w:p w:rsidR="00B01F4A" w:rsidRDefault="00B01F4A" w:rsidP="00B01F4A">
      <w:pPr>
        <w:pStyle w:val="ParrafoNormal"/>
      </w:pPr>
    </w:p>
    <w:p w:rsidR="00B01F4A" w:rsidRDefault="00B01F4A" w:rsidP="00B01F4A">
      <w:pPr>
        <w:pStyle w:val="ParrafoNormal"/>
      </w:pPr>
    </w:p>
    <w:p w:rsidR="00B01F4A" w:rsidRDefault="00B01F4A" w:rsidP="00B01F4A">
      <w:pPr>
        <w:pStyle w:val="ParrafoNormal"/>
      </w:pPr>
    </w:p>
    <w:p w:rsidR="00B01F4A" w:rsidRDefault="00B01F4A" w:rsidP="00B01F4A">
      <w:pPr>
        <w:pStyle w:val="ParrafoNormal"/>
      </w:pPr>
    </w:p>
    <w:p w:rsidR="00B01F4A" w:rsidRDefault="00B01F4A" w:rsidP="00B01F4A">
      <w:pPr>
        <w:pStyle w:val="CabeceraApartado"/>
      </w:pPr>
      <w:r>
        <w:t>AUTOS</w:t>
      </w:r>
    </w:p>
    <w:p w:rsidR="00B01F4A" w:rsidRDefault="00B01F4A">
      <w:pPr>
        <w:spacing w:after="160" w:line="259" w:lineRule="auto"/>
        <w:rPr>
          <w:rFonts w:ascii="Times New Roman" w:eastAsia="Times New Roman" w:hAnsi="Times New Roman" w:cs="Times New Roman"/>
          <w:sz w:val="48"/>
          <w:szCs w:val="24"/>
          <w:lang w:eastAsia="es-ES"/>
        </w:rPr>
      </w:pPr>
      <w:r>
        <w:br w:type="page"/>
      </w:r>
    </w:p>
    <w:p w:rsidR="00B01F4A" w:rsidRDefault="00B01F4A" w:rsidP="00B01F4A">
      <w:pPr>
        <w:pStyle w:val="TtuloResolucin"/>
      </w:pPr>
      <w:bookmarkStart w:id="91" w:name="AUTO_1997_1"/>
      <w:r>
        <w:lastRenderedPageBreak/>
        <w:t>AUTO 1/1997, de 13 de enero de 1997</w:t>
      </w:r>
    </w:p>
    <w:bookmarkEnd w:id="91"/>
    <w:p w:rsidR="00B01F4A" w:rsidRDefault="00B01F4A" w:rsidP="00B01F4A">
      <w:pPr>
        <w:pStyle w:val="TtuloResolucin"/>
      </w:pPr>
      <w:r>
        <w:t>Sala Segunda</w:t>
      </w:r>
    </w:p>
    <w:p w:rsidR="00B01F4A" w:rsidRDefault="00B01F4A" w:rsidP="00B01F4A">
      <w:pPr>
        <w:pStyle w:val="TtuloResolucin"/>
      </w:pPr>
    </w:p>
    <w:p w:rsidR="00B01F4A" w:rsidRDefault="00B01F4A" w:rsidP="00B01F4A">
      <w:pPr>
        <w:pStyle w:val="SntesisDescriptiva"/>
      </w:pPr>
      <w:r>
        <w:t>ECLI:ES:TC:1997:1A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don Rafael de Mendizábal Allende, don Julio D. González Campos, don Carles Viver Pi-Sunyer y don Tomás Salvador Vives Antón.</w:t>
      </w:r>
    </w:p>
    <w:p w:rsidR="00B01F4A" w:rsidRDefault="00B01F4A" w:rsidP="00B01F4A">
      <w:pPr>
        <w:pStyle w:val="SntesisDescriptiva"/>
      </w:pPr>
    </w:p>
    <w:p w:rsidR="00B01F4A" w:rsidRDefault="00B01F4A" w:rsidP="00B01F4A">
      <w:pPr>
        <w:pStyle w:val="SntesisDescriptiva"/>
      </w:pPr>
      <w:r>
        <w:t>Acordando la suspensión parcial de la ejecución del acto que origina el recurso de amparo 1.213/1996.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en el Juzgado de Guardia el día 22 de marzo y en este Tribunal el día 25 de marzo, doña Carmen Madrid Sanz, Procuradora de los Tribunales, interpone recurso de amparo en nombre de doña María Dolores Juncal Berroa Cerrajería contra la resolución de la que se hace mérito en el encabezamiento.</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La demanda se fundamenta, en síntesis, en los siguientes hechos: a) El Juzgado de lo Penal núm. 3 de San Sebastián dictó Sentencia, de 31 de mayo de 1995, por la que absolvía a la recurrente del delito de desobediencia a una resolución de un Juzgado de Familia del que era acusada, al entender que concurría en su conducta la eximente de estado de necesidad. </w:t>
      </w:r>
    </w:p>
    <w:p w:rsidR="00B01F4A" w:rsidRDefault="00B01F4A" w:rsidP="00B01F4A">
      <w:pPr>
        <w:pStyle w:val="TextoNormal"/>
      </w:pPr>
      <w:r>
        <w:t>b) Recurrida en apelación la Sentencia absolutoria por el ministerio Fiscal, la misma fue revocada por la Sección Segunda de la Audiencia Provincial de San Sebastián, en Sentencia de 16 de enero de 1996, que condenaba a la solicitante de amparo como autora responsable de un delito de desobediencia grave a la autoridad, a la pena de dos meses de arresto mayor, accesorias legales y multa de 200.000 pesetas (un día de arresto sustitutorio por cada 10.000 pesetas). La condena incluía el pago de las costas de la primera instancia.</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En la demanda se invoca como vulnerado, en primer lugar, el derecho a la presunción de inocencia (art. 24.2 C.E.). Se alega al respecto la inexistencia de prueba de cargo que permita afirmar la concurrencia del requisito del art. 237 C.P. consistente en la voluntad de incumplir la resolución judicial, sin que dicha voluntad pueda tampoco desprenderse de las circunstancias concurrentes ni de la actuación de la recurrente, y sin que la Sentencia condenatoria motive la mencionada concurrencia. Por otra parte, se argumenta que el Tribunal de apelación habría incurrido en arbitrariedad tanto al calificar de parciales los testimonios del padre y del hermano de la recurrente por el mero hecho de ser familiares, como por la negación de valor probatorio a la pericial practicada. </w:t>
      </w:r>
    </w:p>
    <w:p w:rsidR="00B01F4A" w:rsidRDefault="00B01F4A" w:rsidP="00B01F4A">
      <w:pPr>
        <w:pStyle w:val="TextoNormal"/>
      </w:pPr>
      <w:r>
        <w:t xml:space="preserve">En el segundo motivo de la demanda, con invocación del derecho al proceso debido (art. 24.2 C.E.) y a la tutela judicial (art. 24.1 C.E.), y con apoyo en el art. 14.5 del Pacto Internacional de Derechos Civiles y Políticos, la recurrente manifiesta su queja por haber sido </w:t>
      </w:r>
      <w:r>
        <w:lastRenderedPageBreak/>
        <w:t>privada de su derecho a una segunda instancia tras la condenatoria y por haber sido condenada por un Tribunal que revisa sin inmediación la valoración de la prueba practicada en primera instancia.</w:t>
      </w:r>
    </w:p>
    <w:p w:rsidR="00B01F4A" w:rsidRDefault="00B01F4A" w:rsidP="00B01F4A">
      <w:pPr>
        <w:pStyle w:val="TextoNormal"/>
      </w:pPr>
    </w:p>
    <w:p w:rsidR="00B01F4A" w:rsidRDefault="00B01F4A" w:rsidP="00B01F4A">
      <w:pPr>
        <w:pStyle w:val="TextoNormal"/>
      </w:pPr>
      <w:r w:rsidRPr="00B01F4A">
        <w:rPr>
          <w:rStyle w:val="NumeroAFNegritaCaracter"/>
        </w:rPr>
        <w:t>4</w:t>
      </w:r>
      <w:r>
        <w:t>. Mediante providencia de 17 de julio de 1996, la Sección Tercera de este Tribunal acuerda recabar de los órganos judiciales correspondientes las actuaciones del procedimiento que origina el presente recurso.</w:t>
      </w:r>
    </w:p>
    <w:p w:rsidR="00B01F4A" w:rsidRDefault="00B01F4A" w:rsidP="00B01F4A">
      <w:pPr>
        <w:pStyle w:val="TextoNormal"/>
      </w:pPr>
    </w:p>
    <w:p w:rsidR="00B01F4A" w:rsidRDefault="00B01F4A" w:rsidP="00B01F4A">
      <w:pPr>
        <w:pStyle w:val="TextoNormal"/>
      </w:pPr>
      <w:r w:rsidRPr="00B01F4A">
        <w:rPr>
          <w:rStyle w:val="NumeroAFNegritaCaracter"/>
        </w:rPr>
        <w:t>5</w:t>
      </w:r>
      <w:r>
        <w:t>. Recibidas las actuaciones solicitadas, la Sección Tercera acuerda mediante providencia de 30 de septiembre de 1996 dar vista de las mismas a la demandante de amparo y al Ministerio Fiscal a fin de que en el plazo común de diez días aleguen lo que estimen conveniente en relación con la posible concurrencia del motivo de inadmisión previsto en el art. 50.1 c) LOTC (carencia manifiesta de contenido constitucional de la demanda).</w:t>
      </w:r>
    </w:p>
    <w:p w:rsidR="00B01F4A" w:rsidRDefault="00B01F4A" w:rsidP="00B01F4A">
      <w:pPr>
        <w:pStyle w:val="TextoNormal"/>
      </w:pPr>
    </w:p>
    <w:p w:rsidR="00B01F4A" w:rsidRDefault="00B01F4A" w:rsidP="00B01F4A">
      <w:pPr>
        <w:pStyle w:val="TextoNormal"/>
      </w:pPr>
      <w:r w:rsidRPr="00B01F4A">
        <w:rPr>
          <w:rStyle w:val="NumeroAFNegritaCaracter"/>
        </w:rPr>
        <w:t>6</w:t>
      </w:r>
      <w:r>
        <w:t>. Recibidos los escritos de la recurrente y del Ministerio Fiscal, en postulación de la admisión, la Sección acuerda la admisión a trámite de la demanda y dirigir comunicación al Juzgado de lo Penal núm. 3 de San Sebastián a fin de que emplace a quienes hubieran sido parte en el procedimiento del que trae causa el presente recurso para su posible comparecencia en este proceso de amparo (providencia de 21 de noviembre de 1996).</w:t>
      </w:r>
    </w:p>
    <w:p w:rsidR="00B01F4A" w:rsidRDefault="00B01F4A" w:rsidP="00B01F4A">
      <w:pPr>
        <w:pStyle w:val="TextoNormal"/>
      </w:pPr>
    </w:p>
    <w:p w:rsidR="00B01F4A" w:rsidRDefault="00B01F4A" w:rsidP="00B01F4A">
      <w:pPr>
        <w:pStyle w:val="TextoNormal"/>
      </w:pPr>
      <w:r w:rsidRPr="00B01F4A">
        <w:rPr>
          <w:rStyle w:val="NumeroAFNegritaCaracter"/>
        </w:rPr>
        <w:t>7</w:t>
      </w:r>
      <w:r>
        <w:t>. Mediante nueva providencia de 21 de noviembre de 1996, la Sección acuerda la apertura de pieza separada de suspensión y, conforme determina el art. 56 LOTC, concede un plazo común de tres días a la parte demandante y al Ministerio Fiscal para que aleguen lo que estimen pertinente sobre la misma.</w:t>
      </w:r>
    </w:p>
    <w:p w:rsidR="00B01F4A" w:rsidRDefault="00B01F4A" w:rsidP="00B01F4A">
      <w:pPr>
        <w:pStyle w:val="TextoNormal"/>
      </w:pPr>
    </w:p>
    <w:p w:rsidR="00B01F4A" w:rsidRDefault="00B01F4A" w:rsidP="00B01F4A">
      <w:pPr>
        <w:pStyle w:val="TextoNormal"/>
      </w:pPr>
      <w:r w:rsidRPr="00B01F4A">
        <w:rPr>
          <w:rStyle w:val="NumeroAFNegritaCaracter"/>
        </w:rPr>
        <w:t>8</w:t>
      </w:r>
      <w:r>
        <w:t>. Sólo se recibe escrito del Ministerio Fiscal (3 de diciembre de 1996), quien, en aplicación de la doctrina establecida al respecto por este Tribunal, estima procedente la suspensión del arresto mayor, de las penas a él accesorias y del arresto sustitutorio si el impago de la multa abriera tal vía.</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art. 56 LOTC establece, en su primer inciso, que la ejecución del acto de los poderes públicos por razón del cual se reclama el amparo constitucional sólo se suspenderá cuando el mismo hubiere de ocasionar un perjuicio que haría perder al amparo su finalidad. En su segundo inciso consagra una excepción a esta posibilidad de suspensión, al prever que la misma puede denegarse cuando de ella pueda seguirse perturbación grave de los intereses generales, o de los derechos fundamentales o de las libertades públicas de un tercero.</w:t>
      </w:r>
    </w:p>
    <w:p w:rsidR="00B01F4A" w:rsidRDefault="00B01F4A" w:rsidP="00B01F4A">
      <w:pPr>
        <w:pStyle w:val="TextoNormal"/>
      </w:pPr>
      <w:r>
        <w:t>Del referido precepto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El fallo de la Sentencia impugnada contiene cuatro pronunciamientos condenatorios contra la hoy recurrente: pena privativa de libertad de dos meses, penas legales accesorias </w:t>
      </w:r>
      <w:r>
        <w:lastRenderedPageBreak/>
        <w:t>a la misma (suspensión de cargo público, profesión, oficio y derecho de sufragio durante el período mencionado), arresto sustitutorio de un día por cada 10.000 pesetas, y pago de las costas de la primera instancia.</w:t>
      </w:r>
    </w:p>
    <w:p w:rsidR="00B01F4A" w:rsidRDefault="00B01F4A" w:rsidP="00B01F4A">
      <w:pPr>
        <w:pStyle w:val="TextoNormal"/>
      </w:pPr>
      <w:r>
        <w:t>a) Procede la suspensión de la ejecución de las penas privativas de libertad (del arresto mayor y del arresto sustitutorio, caso de cumplirse la condición de la que pende), pues, como con reiteración ha indicado este Tribunal, la misma limitaría total o parcialmente la finalidad del amparo: en el momento de la hipotética estimación de éste sería ya irreversible la situación de pérdida de libertad sufrida como consecuencia de la vulneración del derecho fundamental. Concurre, por lo demás, el segundo de los requisitos enunciados para la suspensión, pues, dada la levedad de la condena, es patente que su paralización no afecta de modo relevante en este caso a los intereses generales o a derechos o libertades de terceros.</w:t>
      </w:r>
    </w:p>
    <w:p w:rsidR="00B01F4A" w:rsidRDefault="00B01F4A" w:rsidP="00B01F4A">
      <w:pPr>
        <w:pStyle w:val="TextoNormal"/>
      </w:pPr>
      <w:r>
        <w:t>b) Procede asimismo la suspensión de las penas accesorias en virtud de su propia accesoriedad.</w:t>
      </w:r>
    </w:p>
    <w:p w:rsidR="00B01F4A" w:rsidRDefault="00B01F4A" w:rsidP="00B01F4A">
      <w:pPr>
        <w:pStyle w:val="TextoNormal"/>
      </w:pPr>
      <w:r>
        <w:t>c) Diferente ha de ser la solución respecto a la condena al pago de costas. En relación con ella y, en general, con las consecuencias económicas que integran la condena, la doctrina de este Tribunal es, en efecto, como observa el Ministerio Fiscal, que la ejecución de las mismas no causa, en principio, un perjuicio irreparable que haga perder al amparo su finalidad, dado su natural carácter reintegrable.</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atención a todo lo expuesto, la Sala acuerda la suspensión de la ejecución de la Sentencia de la Sección Segunda de la Audiencia Provincial de San Sebastián, de 16 de enero de 1996 (rollo de apelación núm. 2.152/95), en lo que se refiere a las penas</w:t>
      </w:r>
    </w:p>
    <w:p w:rsidR="00B01F4A" w:rsidRDefault="00B01F4A" w:rsidP="00B01F4A">
      <w:pPr>
        <w:pStyle w:val="TextoNormal"/>
      </w:pPr>
      <w:r>
        <w:t>de arresto mayor, a las accesorias legales, y, en su caso, al arresto sustitutorio, y denegar la suspensión solicitada en cuanto al pago de las costas.</w:t>
      </w:r>
    </w:p>
    <w:p w:rsidR="00B01F4A" w:rsidRDefault="00B01F4A" w:rsidP="00B01F4A">
      <w:pPr>
        <w:pStyle w:val="TextoNormal"/>
      </w:pPr>
    </w:p>
    <w:p w:rsidR="00B01F4A" w:rsidRDefault="00B01F4A" w:rsidP="00B01F4A">
      <w:pPr>
        <w:pStyle w:val="TextoNormal"/>
      </w:pPr>
      <w:r>
        <w:t>Madrid, a trece de enero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92" w:name="AUTO_1997_2"/>
      <w:r>
        <w:lastRenderedPageBreak/>
        <w:t>AUTO 2/1997, de 13 de enero de 1997</w:t>
      </w:r>
    </w:p>
    <w:bookmarkEnd w:id="92"/>
    <w:p w:rsidR="00B01F4A" w:rsidRDefault="00B01F4A" w:rsidP="00B01F4A">
      <w:pPr>
        <w:pStyle w:val="TtuloResolucin"/>
      </w:pPr>
      <w:r>
        <w:t>Sala Primera</w:t>
      </w:r>
    </w:p>
    <w:p w:rsidR="00B01F4A" w:rsidRDefault="00B01F4A" w:rsidP="00B01F4A">
      <w:pPr>
        <w:pStyle w:val="TtuloResolucin"/>
      </w:pPr>
    </w:p>
    <w:p w:rsidR="00B01F4A" w:rsidRDefault="00B01F4A" w:rsidP="00B01F4A">
      <w:pPr>
        <w:pStyle w:val="SntesisDescriptiva"/>
      </w:pPr>
      <w:r>
        <w:t>ECLI:ES:TC:1997:2A</w:t>
      </w:r>
    </w:p>
    <w:p w:rsidR="00B01F4A" w:rsidRDefault="00B01F4A" w:rsidP="00B01F4A">
      <w:pPr>
        <w:pStyle w:val="SntesisDescriptiva"/>
      </w:pPr>
    </w:p>
    <w:p w:rsidR="00B01F4A" w:rsidRDefault="00B01F4A" w:rsidP="00B01F4A">
      <w:pPr>
        <w:pStyle w:val="SntesisDescriptiva"/>
      </w:pPr>
      <w:r>
        <w:t>Excms. Srs. don Álvaro Rodríguez Bereijo, don José Vicente Gimeno Sendra, don Pedro Cruz Villalón, don Enrique Ruiz Vadillo, don Manuel Jiménez de Parga y Cabrera y don Pablo García Manzano.</w:t>
      </w:r>
    </w:p>
    <w:p w:rsidR="00B01F4A" w:rsidRDefault="00B01F4A" w:rsidP="00B01F4A">
      <w:pPr>
        <w:pStyle w:val="SntesisDescriptiva"/>
      </w:pPr>
    </w:p>
    <w:p w:rsidR="00B01F4A" w:rsidRDefault="00B01F4A" w:rsidP="00B01F4A">
      <w:pPr>
        <w:pStyle w:val="SntesisDescriptiva"/>
      </w:pPr>
      <w:r>
        <w:t>Denegando la suspensión de la ejecución del acto que origina el recurso de amparo 1.615/1996.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Por escrito registrado en este Tribunal el 17 de abril de 1996, don Santos de Gandarillas, Carmona, Procurador de los Tribunales y de la mercantil «Centro del Rótulo, S. A.», interpone recurso de amparo contra Sentencia de la Sección Primera de la Audiencia Provincial de Barcelona, de fecha 22 de febrero de 1996, estimatoria de recurso de apelación (rollo núm. 988/95), promovido contra la dictada por el Juzgado de Primera Instancia núm. 27 de esa Capital, el 9 de mayo de 1995, en autos de juicio de cognición núm. 1.024/94, sobre reclamación de cuotas camerales.</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Los hechos en los que se fundamenta la demanda son, sucintamente expuestos, los que siguen: </w:t>
      </w:r>
    </w:p>
    <w:p w:rsidR="00B01F4A" w:rsidRDefault="00B01F4A" w:rsidP="00B01F4A">
      <w:pPr>
        <w:pStyle w:val="TextoNormal"/>
      </w:pPr>
      <w:r>
        <w:t xml:space="preserve">a) La Cámara de Comercio, Industria y Navegación de Barcelona presentó en su día demanda de juicio de cognición contra la ahora recurrente en reclamación del pago de cuotas camerales. La demanda, que dio lugar a los autos núm. 1024/94, fue desestimada por Sentencia del Juzgado de Primera Instancia núm. 27 de Barcelona, de fecha 9 de mayo de 1995. En opinión del Juzgado, las cuotas impagadas debían estimarse impugnadas por la mercantil en la vía judicial y, por tanto, en aplicación de lo dispuesto en la STC 179/1994 (fundamento jurídico 12), procedía concluir que las cuotas reclamadas traían causa de una afiliación que debía ser tenida por inconstitucional. </w:t>
      </w:r>
    </w:p>
    <w:p w:rsidR="00B01F4A" w:rsidRDefault="00B01F4A" w:rsidP="00B01F4A">
      <w:pPr>
        <w:pStyle w:val="TextoNormal"/>
      </w:pPr>
      <w:r>
        <w:t xml:space="preserve">b) La Cámara de Comercio interpuso recurso de apelación (rollo núm. 988/95) ante la Audiencia Provincial de Barcelona. En el suplico del recurso interesaba que se dictase «nueva Sentencia por la que, revocando parcialmente la recurrida, se confirme la desestimación de la demanda en su día interpuesta por esta parte, pero se declare que no procede la [imposición] a esta parte de las costas causadas en la primera instancia». </w:t>
      </w:r>
    </w:p>
    <w:p w:rsidR="00B01F4A" w:rsidRDefault="00B01F4A" w:rsidP="00B01F4A">
      <w:pPr>
        <w:pStyle w:val="TextoNormal"/>
      </w:pPr>
      <w:r>
        <w:t>c) El recurso de apelación fue resuelto por Sentencia de la Sección Primera de 22 de febrero de 1996. En ella se revoca íntegramente la Sentencia de instancia y, estimándose parcialmente la demanda inicial, se condena a la demandante de amparo a abonar una parte de las cuotas reclamadas.</w:t>
      </w:r>
    </w:p>
    <w:p w:rsidR="00B01F4A" w:rsidRDefault="00B01F4A" w:rsidP="00B01F4A">
      <w:pPr>
        <w:pStyle w:val="TextoNormal"/>
      </w:pPr>
    </w:p>
    <w:p w:rsidR="00B01F4A" w:rsidRDefault="00B01F4A" w:rsidP="00B01F4A">
      <w:pPr>
        <w:pStyle w:val="TextoNormal"/>
      </w:pPr>
      <w:r w:rsidRPr="00B01F4A">
        <w:rPr>
          <w:rStyle w:val="NumeroAFNegritaCaracter"/>
        </w:rPr>
        <w:lastRenderedPageBreak/>
        <w:t>3</w:t>
      </w:r>
      <w:r>
        <w:t xml:space="preserve">. Se interpone recurso de amparo contra la Sentencia de la Sección Primera de la Audiencia Provincial de Barcelona, de fecha 22 de febrero de 1996, interesando su nulidad. Se solicita la suspensión de la ejecución de la resolución judicial impugnada. </w:t>
      </w:r>
    </w:p>
    <w:p w:rsidR="00B01F4A" w:rsidRDefault="00B01F4A" w:rsidP="00B01F4A">
      <w:pPr>
        <w:pStyle w:val="TextoNormal"/>
      </w:pPr>
      <w:r>
        <w:t>Entiende la demandante de amparo que la Sentencia impugnada ha incurrido en infracción de los arts. 22.1 y 24.1 de la Constitución. La infracción del art. 22.1 C.E. resultaría del hecho de que las cuotas a cuyo pago ha venido obligada traen causa de una afiliación que la STC 179/1994 ha declarado inconstitucional. El art. 24.1 C.E. se habría conculcado en la medida en que la Audiencia ha concedido a la contraparte más de lo por ésta pretendido en su recurso de apelación.</w:t>
      </w:r>
    </w:p>
    <w:p w:rsidR="00B01F4A" w:rsidRDefault="00B01F4A" w:rsidP="00B01F4A">
      <w:pPr>
        <w:pStyle w:val="TextoNormal"/>
      </w:pPr>
    </w:p>
    <w:p w:rsidR="00B01F4A" w:rsidRDefault="00B01F4A" w:rsidP="00B01F4A">
      <w:pPr>
        <w:pStyle w:val="TextoNormal"/>
      </w:pPr>
      <w:r w:rsidRPr="00B01F4A">
        <w:rPr>
          <w:rStyle w:val="NumeroAFNegritaCaracter"/>
        </w:rPr>
        <w:t>4</w:t>
      </w:r>
      <w:r>
        <w:t>. Por providencia de 29 de abril de 1996, la Sección Primera de este Tribunal acordó, de conformidad con lo dispuesto en el art. 88 LOTC, requerir a la Audiencia Provincial de Barcelona para que remitiera, en el plazo de diez días, testimonio en castellano de la Sentencia dictada en el rollo de apelación núm. 988/95 y certificación acreditativa de la fecha de notificación de la misma al representante procesal de la demandante de amparo.</w:t>
      </w:r>
    </w:p>
    <w:p w:rsidR="00B01F4A" w:rsidRDefault="00B01F4A" w:rsidP="00B01F4A">
      <w:pPr>
        <w:pStyle w:val="TextoNormal"/>
      </w:pPr>
    </w:p>
    <w:p w:rsidR="00B01F4A" w:rsidRDefault="00B01F4A" w:rsidP="00B01F4A">
      <w:pPr>
        <w:pStyle w:val="TextoNormal"/>
      </w:pPr>
      <w:r w:rsidRPr="00B01F4A">
        <w:rPr>
          <w:rStyle w:val="NumeroAFNegritaCaracter"/>
        </w:rPr>
        <w:t>5</w:t>
      </w:r>
      <w:r>
        <w:t>. Mediante providencia de 24 de septiembre de 1996, la Sección acordó tener por recibidos los testimonios interesados en el anterior proveído y requerir a la Audiencia Provincial de Barcelona para que, en el plazo de diez días, remitiera testimonio del rollo de apelación núm. 988/95. Por nueva providencia de 28 de octubre de 1996 se tuvo por recibido el testimonio interesado y se acordó requerir al representante procesal de la actora para que, en el plazo de diez días, aportara copia del escrito de apelación, lo que verificó el 2 de noviembre de 1996.</w:t>
      </w:r>
    </w:p>
    <w:p w:rsidR="00B01F4A" w:rsidRDefault="00B01F4A" w:rsidP="00B01F4A">
      <w:pPr>
        <w:pStyle w:val="TextoNormal"/>
      </w:pPr>
    </w:p>
    <w:p w:rsidR="00B01F4A" w:rsidRDefault="00B01F4A" w:rsidP="00B01F4A">
      <w:pPr>
        <w:pStyle w:val="TextoNormal"/>
      </w:pPr>
      <w:r w:rsidRPr="00B01F4A">
        <w:rPr>
          <w:rStyle w:val="NumeroAFNegritaCaracter"/>
        </w:rPr>
        <w:t>6</w:t>
      </w:r>
      <w:r>
        <w:t>. El escrito de alegaciones de la representación procesal de la recurrente se registró en este Tribunal el 21 de noviembre de 1996. En él se sostiene que procede acceder a la suspensión interesada por cuanto la Sentencia recurrida ha vulnerado claramente los derechos fundamentales invocados en la demanda, siendo presumible que este Tribunal dicte en su día Sentencia estimatoria.</w:t>
      </w:r>
    </w:p>
    <w:p w:rsidR="00B01F4A" w:rsidRDefault="00B01F4A" w:rsidP="00B01F4A">
      <w:pPr>
        <w:pStyle w:val="TextoNormal"/>
      </w:pPr>
    </w:p>
    <w:p w:rsidR="00B01F4A" w:rsidRDefault="00B01F4A" w:rsidP="00B01F4A">
      <w:pPr>
        <w:pStyle w:val="TextoNormal"/>
      </w:pPr>
      <w:r w:rsidRPr="00B01F4A">
        <w:rPr>
          <w:rStyle w:val="NumeroAFNegritaCaracter"/>
        </w:rPr>
        <w:t>7</w:t>
      </w:r>
      <w:r>
        <w:t>. El Ministerio Fiscal registró su escrito de alegaciones el 28 de noviembre de 1996. Entiende el Ministerio Público que, atendida la reiterada doctrina de este Tribunal en materia de suspensión, no procede suspender la ejecución de la Sentencia impugnada, toda vez que el carácter puramente económico y fácilmente resarcible del perjuicio invocado por la actora no puede sobreponerse al interés general en la ejecución de las resoluciones judiciales firmes.</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art. 56 LOTC permite al Tribunal Constitucional suspender la ejecución del acto o resolución por razón del cual se reclame el amparo cuando la ejecución hubiera de ocasionar un perjuicio que haría perder al amparo su finalidad, a menos que de la suspensión se siga perturbación grave de los intereses generales o de los derechos fundamentales o libertades públicas de un tercero.</w:t>
      </w:r>
    </w:p>
    <w:p w:rsidR="00B01F4A" w:rsidRDefault="00B01F4A" w:rsidP="00B01F4A">
      <w:pPr>
        <w:pStyle w:val="TextoNormal"/>
      </w:pPr>
      <w:r>
        <w:t xml:space="preserve">Tratándose de resoluciones judiciales, el criterio general es el de la no suspensión, habida cuenta del interés general que se desprende de su ejecución (AATC 125/1989, 306/1991, </w:t>
      </w:r>
      <w:r>
        <w:lastRenderedPageBreak/>
        <w:t>143/1992 y 35/1996, entre otros muchos). Criterio general que, por lo demás, y según se ha dicho, ofrece como excepción el supuesto de que la ejecución de la resolución impugnada haga perder al amparo su finalidad o cause daños o perjuicios de imposible o difícil reparación.</w:t>
      </w:r>
    </w:p>
    <w:p w:rsidR="00B01F4A" w:rsidRDefault="00B01F4A" w:rsidP="00B01F4A">
      <w:pPr>
        <w:pStyle w:val="TextoNormal"/>
      </w:pPr>
    </w:p>
    <w:p w:rsidR="00B01F4A" w:rsidRDefault="00B01F4A" w:rsidP="00B01F4A">
      <w:pPr>
        <w:pStyle w:val="TextoNormal"/>
      </w:pPr>
      <w:r w:rsidRPr="00B01F4A">
        <w:rPr>
          <w:rStyle w:val="NumeroAFNegritaCaracter"/>
        </w:rPr>
        <w:t>2</w:t>
      </w:r>
      <w:r>
        <w:t>. En el presente caso, y como señala el Ministerio Público, la ejecución de la Sentencia impugnada no depararía para la recurrente otro perjuicio que el derivado del abono de una cantidad pecuniaria, sin que se haya acreditado que su montante pueda producir trastornos irreparables o de muy difícil reparación en su economía. Por tanto, y en aplicación de la reiterada doctrina de este Tribunal antes señalada, procede denegar la suspensión que se interesa.</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lo expuesto, la Sala acuerda denegar la suspensión de la ejecución de la Sentencia impugnada en el recurso de amparo 1.615/96.</w:t>
      </w:r>
    </w:p>
    <w:p w:rsidR="00B01F4A" w:rsidRDefault="00B01F4A" w:rsidP="00B01F4A">
      <w:pPr>
        <w:pStyle w:val="TextoNormal"/>
      </w:pPr>
    </w:p>
    <w:p w:rsidR="00B01F4A" w:rsidRDefault="00B01F4A" w:rsidP="00B01F4A">
      <w:pPr>
        <w:pStyle w:val="TextoNormal"/>
      </w:pPr>
      <w:r>
        <w:t>Madrid, a trece de enero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93" w:name="AUTO_1997_3"/>
      <w:r>
        <w:lastRenderedPageBreak/>
        <w:t>AUTO 3/1997, de 13 de enero de 1997</w:t>
      </w:r>
    </w:p>
    <w:bookmarkEnd w:id="93"/>
    <w:p w:rsidR="00B01F4A" w:rsidRDefault="00B01F4A" w:rsidP="00B01F4A">
      <w:pPr>
        <w:pStyle w:val="TtuloResolucin"/>
      </w:pPr>
      <w:r>
        <w:t>Sala Segunda</w:t>
      </w:r>
    </w:p>
    <w:p w:rsidR="00B01F4A" w:rsidRDefault="00B01F4A" w:rsidP="00B01F4A">
      <w:pPr>
        <w:pStyle w:val="TtuloResolucin"/>
      </w:pPr>
    </w:p>
    <w:p w:rsidR="00B01F4A" w:rsidRDefault="00B01F4A" w:rsidP="00B01F4A">
      <w:pPr>
        <w:pStyle w:val="SntesisDescriptiva"/>
      </w:pPr>
      <w:r>
        <w:t>ECLI:ES:TC:1997:3A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don Rafael de Mendizábal Allende, don Julio D. González Campos, don Carles Viver Pi-Sunyer y don Tomás Salvador Vives Antón.</w:t>
      </w:r>
    </w:p>
    <w:p w:rsidR="00B01F4A" w:rsidRDefault="00B01F4A" w:rsidP="00B01F4A">
      <w:pPr>
        <w:pStyle w:val="SntesisDescriptiva"/>
      </w:pPr>
    </w:p>
    <w:p w:rsidR="00B01F4A" w:rsidRDefault="00B01F4A" w:rsidP="00B01F4A">
      <w:pPr>
        <w:pStyle w:val="SntesisDescriptiva"/>
      </w:pPr>
      <w:r>
        <w:t>Denegando la suspensión de la ejecución del acto que origina el recurso de amparo 2.212/1996.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demandante de amparo, junto con otras trece personas y no sin cierta violencia previa, fue detenido el 23 de enero de 1995 cuando se encontraba en el buque de bandera panameña «Archangelos», que navegaba en la alta mar, al ser abordado por la dotación del buque español del Servicio de Vigilancia Aduanera «Petrel I», tras haber sido autorizado por el Estado del pabellón, por existir indicios de que transportaba un gran cargamento de sustancias estupefacientes, verificándose la aprehensión de setenta fardos conteniendo más de 2.000 kilogramos de cocaína.</w:t>
      </w:r>
    </w:p>
    <w:p w:rsidR="00B01F4A" w:rsidRDefault="00B01F4A" w:rsidP="00B01F4A">
      <w:pPr>
        <w:pStyle w:val="TextoNormal"/>
      </w:pPr>
    </w:p>
    <w:p w:rsidR="00B01F4A" w:rsidRDefault="00B01F4A" w:rsidP="00B01F4A">
      <w:pPr>
        <w:pStyle w:val="TextoNormal"/>
      </w:pPr>
      <w:r w:rsidRPr="00B01F4A">
        <w:rPr>
          <w:rStyle w:val="NumeroAFNegritaCaracter"/>
        </w:rPr>
        <w:t>2</w:t>
      </w:r>
      <w:r>
        <w:t>. Desde esa fecha y hasta su desembarco, dieciséis días más tarde, en Las Palmas de Gran Canaria, el hoy demandante de amparo alega que permaneció incomunicado en el buque captor, sin que fuera informado de las razones de su detención, se le designara un intérprete y un Letrado y pudiera ponerse en contacto con sus familiares o la Embajada de Grecia, de cuyo Estado es nacional. No obstante, el Juzgado Central de Instrucción núm. 1 dictó Auto de prisión sin fianza el 26 de enero de 1995, que le fue notificado, con asistencia de un intérprete, el 7 de febrero de 1996, tras desembarcar en dicha ciudad, habiéndose declarado secretas las diligencias previas incoadas por tiempo no superior a un mes.</w:t>
      </w:r>
    </w:p>
    <w:p w:rsidR="00B01F4A" w:rsidRDefault="00B01F4A" w:rsidP="00B01F4A">
      <w:pPr>
        <w:pStyle w:val="TextoNormal"/>
      </w:pPr>
    </w:p>
    <w:p w:rsidR="00B01F4A" w:rsidRDefault="00B01F4A" w:rsidP="00B01F4A">
      <w:pPr>
        <w:pStyle w:val="TextoNormal"/>
      </w:pPr>
      <w:r w:rsidRPr="00B01F4A">
        <w:rPr>
          <w:rStyle w:val="NumeroAFNegritaCaracter"/>
        </w:rPr>
        <w:t>3</w:t>
      </w:r>
      <w:r>
        <w:t>. El demandante de amparo denuncia, en esencia, que los hechos anteriores han entrañado la vulneración de los apartados 1, 2 y 3 del art. 17 C.E. En primer lugar, porque no fue puesto a disposición judicial o en libertad en el plazo máximo de setenta y dos horas posterior a su detención; en segundo término, por no haber sido informado de forma inmediata y comprensible, mediante un intérprete, de las razones de su detención y de los derechos que le correspondían; y por no haber estado asistido de Letrado en las diligencias policiales. Solicitando el amparo de este Tribunal, con la suspensión de los efectos de las resoluciones impugnadas.</w:t>
      </w:r>
    </w:p>
    <w:p w:rsidR="00B01F4A" w:rsidRDefault="00B01F4A" w:rsidP="00B01F4A">
      <w:pPr>
        <w:pStyle w:val="TextoNormal"/>
      </w:pPr>
    </w:p>
    <w:p w:rsidR="00B01F4A" w:rsidRDefault="00B01F4A" w:rsidP="00B01F4A">
      <w:pPr>
        <w:pStyle w:val="TextoNormal"/>
      </w:pPr>
      <w:r w:rsidRPr="00B01F4A">
        <w:rPr>
          <w:rStyle w:val="NumeroAFNegritaCaracter"/>
        </w:rPr>
        <w:t>4</w:t>
      </w:r>
      <w:r>
        <w:t xml:space="preserve">. Tras haber recabado de la Sala y el Juzgado de la Audiencia Nacional la remisión de certificación o fotocopia adverada de las actuaciones por providencia de 16 de septiembre de 1996, la Sección Tercera, mediante la de 17 de octubre de 1996 acordó, según lo previsto </w:t>
      </w:r>
      <w:r>
        <w:lastRenderedPageBreak/>
        <w:t xml:space="preserve">en el art. 50.3 en relación con el art. 50.1 c) de la LOTC, conceder al demandante de amparo y al Ministerio Fiscal un plazo común de diez días para que formularan con las aportaciones documentales que procedan, las alegaciones que estimen pertinentes en relación con la carencia manifiesta de contenido constitucional de la demanda, dándoles vista al efecto de las actuaciones recibidas. </w:t>
      </w:r>
    </w:p>
    <w:p w:rsidR="00B01F4A" w:rsidRDefault="00B01F4A" w:rsidP="00B01F4A">
      <w:pPr>
        <w:pStyle w:val="TextoNormal"/>
      </w:pPr>
      <w:r>
        <w:t>El Ministerio Fiscal evacuó el trámite mediante escrito registrado el 5 de noviembre de 1996, solicitando la inadmisión del recurso. Tras haberse concedido nuevo plazo a la representación del recurrente, por providencia de 7 de noviembre de 1996, ésta lo hizo mediante escrito presentado en este Tribunal el día 14 del mismo mes y año, reiterando en sus alegaciones la concesión del amparo.</w:t>
      </w:r>
    </w:p>
    <w:p w:rsidR="00B01F4A" w:rsidRDefault="00B01F4A" w:rsidP="00B01F4A">
      <w:pPr>
        <w:pStyle w:val="TextoNormal"/>
      </w:pPr>
    </w:p>
    <w:p w:rsidR="00B01F4A" w:rsidRDefault="00B01F4A" w:rsidP="00B01F4A">
      <w:pPr>
        <w:pStyle w:val="TextoNormal"/>
      </w:pPr>
      <w:r w:rsidRPr="00B01F4A">
        <w:rPr>
          <w:rStyle w:val="NumeroAFNegritaCaracter"/>
        </w:rPr>
        <w:t>5</w:t>
      </w:r>
      <w:r>
        <w:t xml:space="preserve">. La Sección Tercera, por providencia de 13 de octubre de 1996, acordó admitir la demanda de amparo, con los emplazamientos procedentes, y por otra de igual fecha formar la pieza separada para la tramitación del incidentes sobre suspensión, otorgando un plazo común de tres días a la parte recurrente y al Ministerio Fiscal para alegaciones sobre dicha suspensión. </w:t>
      </w:r>
    </w:p>
    <w:p w:rsidR="00B01F4A" w:rsidRDefault="00B01F4A" w:rsidP="00B01F4A">
      <w:pPr>
        <w:pStyle w:val="TextoNormal"/>
      </w:pPr>
      <w:r>
        <w:t xml:space="preserve">a) Mediante escrito presentado el 20 de diciembre de 1996 la representación procesal del recurrente, tras citar diversas resoluciones de este Tribunal, ha solicitado que se acuerde la suspensión, alegando que en el presente caso no queda gravemente afectado el interés general con la suspensión, ni los derechos o libertades fundamentales de terceros, lo que se evidencia dado que el Juez Instructor ha acordado la puesta en libertad de otras personas procesadas en el mismo sumario y que también se hallaban a bordo del buque «Archangelos» al procederse a su captura en alta mar. </w:t>
      </w:r>
    </w:p>
    <w:p w:rsidR="00B01F4A" w:rsidRDefault="00B01F4A" w:rsidP="00B01F4A">
      <w:pPr>
        <w:pStyle w:val="TextoNormal"/>
      </w:pPr>
      <w:r>
        <w:t>b) El Ministerio Fiscal, mediante escrito registrado en este Tribunal el 19 de diciembre de 1996, ha alegado por el contrario que, aun considerando que de mantenerse la medida de prisión el amparo pudiera perder su finalidad, existen otros condicionantes que motivaron la medida, basada en la gravedad de los hechos y la naturaleza de los mismos. Y esa gravedad, junto a las circunstancias personales y objetivas que concurren en el caso, pueden producir una grave perturbación al interés general, por lo que solicita que no se proceda a la suspensión solicitada.</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Si bien el art. 56 LOTC faculta a este Tribunal para suspender la ejecución de una Sentencia penal que ha impuesto una pena privativa de libertad o de la resolución que acuerda la prisión provisional, sin embargo no es suficiente que el recurso de amparo impugne estas resoluciones privativas de la libertad personal para que, de forma automática, haya de acordarse la suspensión de la ejecución de dicho pronunciamiento. Ha de tenerse presente, en efecto, que sólo cabe acceder a la suspensión si ésta resulta «de todo punto indispensable» o «imprescindible» para que el amparo no pierda su finalidad (AATC 281/1983 y 282/1983). Lo que exige, claro está, una valoración de la duración de las penas impuestas por la Sentencia en relación con el tiempo que normalmente se requiere para que este Tribunal resuelva el amparo, como reiteradamente hemos declarado (AATC 438/1983, 486/1983, 468/1986, 427/1987 y 698/1988, entre otros). Y en atención al mismo dato, la naturaleza y gravedad del delito y otras circunstancias del caso en los supuestos de prisión provisional.</w:t>
      </w:r>
    </w:p>
    <w:p w:rsidR="00B01F4A" w:rsidRDefault="00B01F4A" w:rsidP="00B01F4A">
      <w:pPr>
        <w:pStyle w:val="TextoNormal"/>
      </w:pPr>
      <w:r>
        <w:lastRenderedPageBreak/>
        <w:t>De otra parte, aun cuando lo anterior pudiera llevar a una conclusión positiva, el segundo inciso del art. 56.1 permite denegar la suspensión tras ponderar el posible conflicto entre el perjuicio para el interés particular que protege la regla permisiva de la suspensión y la perturbación grave de los intereses generales que ocasionaría la no ejecución de las resoluciones judiciales. Y ello ha llevado a este Tribunal a estimar que «el exacto cumplimiento de estas Sentencias, dictadas en un proceso en el que se sancionable un hecho de extrema gravedad es así, como tantas veces hemos declarado, esencial para la preservación del interés público» (AATC 522/1985 y 523/1985).</w:t>
      </w:r>
    </w:p>
    <w:p w:rsidR="00B01F4A" w:rsidRDefault="00B01F4A" w:rsidP="00B01F4A">
      <w:pPr>
        <w:pStyle w:val="TextoNormal"/>
      </w:pPr>
    </w:p>
    <w:p w:rsidR="00B01F4A" w:rsidRDefault="00B01F4A" w:rsidP="00B01F4A">
      <w:pPr>
        <w:pStyle w:val="TextoNormal"/>
      </w:pPr>
      <w:r w:rsidRPr="00B01F4A">
        <w:rPr>
          <w:rStyle w:val="NumeroAFNegritaCaracter"/>
        </w:rPr>
        <w:t>2</w:t>
      </w:r>
      <w:r>
        <w:t>. En el presente caso ha de tenerse presente que el recurrente se halla en prisión provisional por hechos relativos a un delito contra la salud pública, tras la aprehensión en el buque «Archangelos», no sin resistencia de sus tripulantes, de un importante cargamento de cocaína. De un lado, pues, los hechos delictivos que se imputan al recurrente poseen indudable gravedad y la pena de privación de libertad que puede ser impuesta en Sentencia por tales hechos excede, en principio, la previsible duración de este proceso constitucional. Por lo que no cabe estimar que el amparo, en este caso, perdería su finalidad.</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lo expuesto, la Sala, acuerda denegar la suspensión de la ejecución del Auto de la Sección Segunda de la Audiencia Nacional, de fecha 23 de abril de 1996, recaído en el rollo de apelación 61/96 y de los Autos del Juzgado Central de Instrucción</w:t>
      </w:r>
    </w:p>
    <w:p w:rsidR="00B01F4A" w:rsidRDefault="00B01F4A" w:rsidP="00B01F4A">
      <w:pPr>
        <w:pStyle w:val="TextoNormal"/>
      </w:pPr>
      <w:r>
        <w:t>núm. 1 de 25 de octubre de 1996 y 22 de marzo de 1995.</w:t>
      </w:r>
    </w:p>
    <w:p w:rsidR="00B01F4A" w:rsidRDefault="00B01F4A" w:rsidP="00B01F4A">
      <w:pPr>
        <w:pStyle w:val="TextoNormal"/>
      </w:pPr>
    </w:p>
    <w:p w:rsidR="00B01F4A" w:rsidRDefault="00B01F4A" w:rsidP="00B01F4A">
      <w:pPr>
        <w:pStyle w:val="TextoNormal"/>
      </w:pPr>
      <w:r>
        <w:t>Madrid, a trece de enero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94" w:name="AUTO_1997_4"/>
      <w:r>
        <w:lastRenderedPageBreak/>
        <w:t>AUTO 4/1997, de 13 de enero de 1997</w:t>
      </w:r>
    </w:p>
    <w:bookmarkEnd w:id="94"/>
    <w:p w:rsidR="00B01F4A" w:rsidRDefault="00B01F4A" w:rsidP="00B01F4A">
      <w:pPr>
        <w:pStyle w:val="TtuloResolucin"/>
      </w:pPr>
      <w:r>
        <w:t>Sección Primera</w:t>
      </w:r>
    </w:p>
    <w:p w:rsidR="00B01F4A" w:rsidRDefault="00B01F4A" w:rsidP="00B01F4A">
      <w:pPr>
        <w:pStyle w:val="TtuloResolucin"/>
      </w:pPr>
    </w:p>
    <w:p w:rsidR="00B01F4A" w:rsidRDefault="00B01F4A" w:rsidP="00B01F4A">
      <w:pPr>
        <w:pStyle w:val="SntesisDescriptiva"/>
      </w:pPr>
      <w:r>
        <w:t>ECLI:ES:TC:1997:4A</w:t>
      </w:r>
    </w:p>
    <w:p w:rsidR="00B01F4A" w:rsidRDefault="00B01F4A" w:rsidP="00B01F4A">
      <w:pPr>
        <w:pStyle w:val="SntesisDescriptiva"/>
      </w:pPr>
    </w:p>
    <w:p w:rsidR="00B01F4A" w:rsidRDefault="00B01F4A" w:rsidP="00B01F4A">
      <w:pPr>
        <w:pStyle w:val="SntesisDescriptiva"/>
      </w:pPr>
      <w:r>
        <w:t>Excms. Srs. don Álvaro Rodríguez Bereijo, don Pedro Cruz Villalón y don Enrique Ruiz Vadillo.</w:t>
      </w:r>
    </w:p>
    <w:p w:rsidR="00B01F4A" w:rsidRDefault="00B01F4A" w:rsidP="00B01F4A">
      <w:pPr>
        <w:pStyle w:val="SntesisDescriptiva"/>
      </w:pPr>
    </w:p>
    <w:p w:rsidR="00B01F4A" w:rsidRDefault="00B01F4A" w:rsidP="00B01F4A">
      <w:pPr>
        <w:pStyle w:val="SntesisDescriptiva"/>
      </w:pPr>
      <w:r>
        <w:t>Acordando la inadmisión a trámite del recurso de amparo 2.539/1996.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Por medio de escrito registrado en fecha 21 de junio de 1996, don Argimiro Vázquez Guillén, Procurador de los Tribunales, en nombre y representación de don Manuel Charlín Gama, interpone recurso de amparo contra el Auto de la Sección Primera de la Sala de lo Penal de la Audiencia Nacional, de 16 de mayo de 1996, que confirma en apelación los anteriores Autos del Juzgado Central de Instrucción núm. 5 que acordaron la prisión provisional del recurrente. La demanda invoca la vulneración de los derechos fundamentales a la tutela judicial efectiva sin indefensión (art. 24 C.E.) y a la libertad (art. 17 C.E.).</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Los hechos en que se sustenta la demanda de amparo son, en síntesis, los siguientes: </w:t>
      </w:r>
    </w:p>
    <w:p w:rsidR="00B01F4A" w:rsidRDefault="00B01F4A" w:rsidP="00B01F4A">
      <w:pPr>
        <w:pStyle w:val="TextoNormal"/>
      </w:pPr>
      <w:r>
        <w:t xml:space="preserve">a) El Juzgado Central de Instrucción núm. 5 acordó, por Auto de fecha 12 de junio de 1995, desglosar del sumario núm. 10. 194 -que se seguía en dicho órgano judicial contra el actual recurrente en amparo y otras personas, por un delito contra la salud pública y otros- las diligencias previas núm. 207/95 por delito de receptación y otros. Dicha resolución fue recurrida en apelación para ante la Sala de lo Penal de la Audiencia Nacional. </w:t>
      </w:r>
    </w:p>
    <w:p w:rsidR="00B01F4A" w:rsidRDefault="00B01F4A" w:rsidP="00B01F4A">
      <w:pPr>
        <w:pStyle w:val="TextoNormal"/>
      </w:pPr>
      <w:r>
        <w:t xml:space="preserve">Desglosadas las dos causas, se tramitó, por un lado, el sumario núm. 10/94 sobre delito contra la salud pública (tráfico de sustancias tóxicas de notoria importancia), y, por otro, las diligencias previas núm. 207/95 sobre delito de receptación y otros conexos. </w:t>
      </w:r>
    </w:p>
    <w:p w:rsidR="00B01F4A" w:rsidRDefault="00B01F4A" w:rsidP="00B01F4A">
      <w:pPr>
        <w:pStyle w:val="TextoNormal"/>
      </w:pPr>
      <w:r>
        <w:t xml:space="preserve">En el sumario núm. 10/94, el Juzgado de Instrucción Central núm. 5 había dictado Auto, de fecha 6 de junio de 1994, por el que decretaba la prisión provisional sin fianza del actual demandante de amparo, confirmada en reforma por Auto de 18 de julio de 1994, y tras ser recurridas dichas resoluciones en apelación, la Sección Primera de la Sala de lo Penal de la Audiencia Nacional, por Auto de 10 de marzo de 1995, revocó las mismas y acordó sustituir dicha prisión provisional, eludible mediante fianza de cinco millones de pesetas, prestadas en metálico o aval bancario, así como la obligación de comparecer ante la Comisaría de la localidad de Villanueva de Arosa todos los lunes. </w:t>
      </w:r>
    </w:p>
    <w:p w:rsidR="00B01F4A" w:rsidRDefault="00B01F4A" w:rsidP="00B01F4A">
      <w:pPr>
        <w:pStyle w:val="TextoNormal"/>
      </w:pPr>
      <w:r>
        <w:t xml:space="preserve">El mencionado Auto de la Audiencia acordaba, pues, la libertad provisional con fianza del recurrente en el sumario por delito contra la salud pública, fundamentando dicha medida en «.... el criterio restrictivo de la privación provisional de libertad, que late tanto en el art. 17 de nuestra Constitución como en los Tratados Internacionales protectores de los derechos individuales, como en la jurisprudencia de nuestro Tribunal Constitucional y del Tribunal Europeo de Derechos Humanos; habiendo ponderado la Sala para la modificación de la </w:t>
      </w:r>
      <w:r>
        <w:lastRenderedPageBreak/>
        <w:t xml:space="preserve">situación de don Manuel Charlín Gama: a) el tiempo transcurrido desde que ocurrieron los hechos que influyen en la disminución de la alarma social; b) los contraindicios favorables a Manuel Charlín Gama; y c) las circunstancias de edad y salud del encausado y el hecho de que no haya eludido comparecer a llamamientos judiciales anteriores cuando estaba en libertad». </w:t>
      </w:r>
    </w:p>
    <w:p w:rsidR="00B01F4A" w:rsidRDefault="00B01F4A" w:rsidP="00B01F4A">
      <w:pPr>
        <w:pStyle w:val="TextoNormal"/>
      </w:pPr>
      <w:r>
        <w:t xml:space="preserve">b) En las diligencias previas núm. 207/95, que conforme se ha señalado anteriormente, se seguían también (tras el desglose inicial del sumario) en el Juzgado Central de Instrucción núm. 5, por delito de receptación y otros, se dictó Auto en fecha 20 de noviembre de 1995, por el que se acordaba la prisión provisional del recurrente en amparo sin posibilidad de prestar fianza alguna para eludir la misma. Dicho Auto fue recurrido primero en reforma -desestimada por Auto del Juzgado de 14 de diciembre de 1995- y luego en apelación para ante la Sala de lo Penal de la Audiencia Nacional, y es la misma Sección Primera de dicha Sala la que, en resolución de dicha apelación, por Auto de 16 de mayo (notificado el siguiente día 28) confirma la prisión preventiva del recurrente. Contra estas tres últimas resoluciones se dirige el recurso de amparo. </w:t>
      </w:r>
    </w:p>
    <w:p w:rsidR="00B01F4A" w:rsidRDefault="00B01F4A" w:rsidP="00B01F4A">
      <w:pPr>
        <w:pStyle w:val="TextoNormal"/>
      </w:pPr>
      <w:r>
        <w:t>c) Finalmente, el recurso de apelación que se encontraba pendiente, y al que se aludió inicialmente, contra el Auto del Juzgado que había acordado la división de la causa (desglosando del sumario inicial las diligencias previas), fue resuelto por la Sección Tercera de la Sala de lo Penal de la Audiencia Nacional mediante Auto, de fecha 29 de marzo de 1996, en el que literalmente se acordaba, previa estimación de dicho recurso: «.... dejar sin efecto el desglose de las actuaciones acordado, reponiéndose las actuaciones al estado en que se encontraban con anterioridad a dictarse la referida resolución».</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Con base en los anteriores hechos, el demandante de amparo suplica de este Tribunal se dicte Sentencia por la que, otorgando el amparo pedido, se declare la nulidad del Auto dictado por la Sección Primera de la Sala de lo Penal de la Audiencia Nacional (de 16 de mayo de 1996) en el rollo de apelación 29/96, se reconozca la vulneración por el mismo de los derechos fundamentales a la libertad y a la tutela judicial efectiva, y se le restablezca en los mismos, declarando que debe gozar de la situación de libertad provisional, con adopción por parte del Juzgado Central de Instrucción núm. 5 de las medidas de aseguramiento que estime pertinentes. </w:t>
      </w:r>
    </w:p>
    <w:p w:rsidR="00B01F4A" w:rsidRDefault="00B01F4A" w:rsidP="00B01F4A">
      <w:pPr>
        <w:pStyle w:val="TextoNormal"/>
      </w:pPr>
      <w:r>
        <w:t xml:space="preserve">Entiende el actor que la resolución judicial impugnada -Auto de 16 de mayo de 1996-, dictado por la Sección Primera de lo Penal de la Audiencia Nacional en las diligencias previas núm. 207/95 (causa desglosada del sumario 10/94), vulnera los derechos fundamentales a la libertad y a obtener tutela judicial efectiva, ambos en relación entre sí; lesión en la que también incurren los anteriores de fechas 20 de noviembre y 14 de diciembre de 1995, dictados por el Juzgado Central de Instrucción núm. 5 que aquél confirma. Y ello, por cuanto en las referidas resoluciones judiciales se acuerda la medida de prisión preventiva del recurrente, con carácter incondicional, fundamentada en dos factores: por un lado, el riesgo de que el encausado no comparezca en el procedimiento: y, por otro, la gravedad de la pena que pudiera recaer en relación con el delito por el que se le acusa y la importancia objetiva de tal infracción delictiva. </w:t>
      </w:r>
    </w:p>
    <w:p w:rsidR="00B01F4A" w:rsidRDefault="00B01F4A" w:rsidP="00B01F4A">
      <w:pPr>
        <w:pStyle w:val="TextoNormal"/>
      </w:pPr>
      <w:r>
        <w:t xml:space="preserve">Ahora bien, alega el demandante de amparo que, respecto de los dos criterios que sustentan el Acuerdo impugnado, primero, la gravedad de la pena no es tal, pues no ha de olvidarse que, escindida la causa penal inicial, en las diligencias previas núm. 207/95 en las que se dictan los Autos impugnados el delito perseguido es el de receptación, que se encuentra castigado con la pena de prisión menor; tratándose, por tanto, de delito que no es ni </w:t>
      </w:r>
      <w:r>
        <w:lastRenderedPageBreak/>
        <w:t xml:space="preserve">mucho menos de los más gravemente penados en el ordenamiento penal y que es de naturaleza esencialmente económica. En conclusión, no resulta tal motivación, la anterior, suficiente a efectos de acordar la prisión preventiva, pues ni se trata de un delito especialmente grave, ni la pena a imponer por el mismo reviste tampoco especial gravedad. </w:t>
      </w:r>
    </w:p>
    <w:p w:rsidR="00B01F4A" w:rsidRDefault="00B01F4A" w:rsidP="00B01F4A">
      <w:pPr>
        <w:pStyle w:val="TextoNormal"/>
      </w:pPr>
      <w:r>
        <w:t xml:space="preserve">Por otro lado, respecto del riesgo de fuga del encausado, que también fundamenta la resolución, no se entiende tampoco tal motivación cuando la misma Sección Primera de la Audiencia Nacional, al dictar el Auto de 10 de marzo de 1995, que resolvió el recurso de apelación contra el de prisión preventiva del Juzgado en el sumario 10/94 del que dimana la presente causa, fundamentó precisamente la revocación del Auto y el Acuerdo de libertad provisional con fianza, entre otros extremos, en que dicho encausado «... no ha eludido comparecer a los llamamientos judiciales anteriores cuando estaba en libertad». </w:t>
      </w:r>
    </w:p>
    <w:p w:rsidR="00B01F4A" w:rsidRDefault="00B01F4A" w:rsidP="00B01F4A">
      <w:pPr>
        <w:pStyle w:val="TextoNormal"/>
      </w:pPr>
      <w:r>
        <w:t>Todo ello, unido a que la alarma social ha disminuido debido al tiempo transcurrido, conlleva a que no deba mantenerse una medida tan gravosa como es la de prisión para el encausado, cuando, en la misma causa penal y por el delito más grave que no es de naturaleza económica (contra la salud pública), se ha acordado su libertad provisional con fianza precisamente por la misma Sección de la Audiencia Nacional. Cita a continuación el recurrente la doctrina sentada por este Tribunal en la STC 128/1995 (caso «Carlos Sotos»), de conformidad con la cual estima que el mantenimiento de la medida de prisión de libertad resulta en este supuesto contrario a los dos derechos fundamentales invocados. Y, en virtud de todo ello, entiende que debe ser sustituida por la libertad provisional con fianza, máxime teniendo en cuenta que en el sumario tramitado paralelamente así se encuentra acordado y que, en fin, la propia Audiencia Nacional ha acordado la nueva unión de las dos causas.</w:t>
      </w:r>
    </w:p>
    <w:p w:rsidR="00B01F4A" w:rsidRDefault="00B01F4A" w:rsidP="00B01F4A">
      <w:pPr>
        <w:pStyle w:val="TextoNormal"/>
      </w:pPr>
    </w:p>
    <w:p w:rsidR="00B01F4A" w:rsidRDefault="00B01F4A" w:rsidP="00B01F4A">
      <w:pPr>
        <w:pStyle w:val="TextoNormal"/>
      </w:pPr>
      <w:r w:rsidRPr="00B01F4A">
        <w:rPr>
          <w:rStyle w:val="NumeroAFNegritaCaracter"/>
        </w:rPr>
        <w:t>4</w:t>
      </w:r>
      <w:r>
        <w:t>. Por providencia de 18 de julio de 1996 la Sección Primera (Sala Primera) de este Tribunal acordó tener por recibido el escrito de demanda y, a tenor de lo dispuesto en el art. 50.3 LOTC, conceder un plazo común de diez días al Ministerio Fiscal y al solicitante de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00B01F4A" w:rsidRDefault="00B01F4A" w:rsidP="00B01F4A">
      <w:pPr>
        <w:pStyle w:val="TextoNormal"/>
      </w:pPr>
    </w:p>
    <w:p w:rsidR="00B01F4A" w:rsidRDefault="00B01F4A" w:rsidP="00B01F4A">
      <w:pPr>
        <w:pStyle w:val="TextoNormal"/>
      </w:pPr>
      <w:r w:rsidRPr="00B01F4A">
        <w:rPr>
          <w:rStyle w:val="NumeroAFNegritaCaracter"/>
        </w:rPr>
        <w:t>5</w:t>
      </w:r>
      <w:r>
        <w:t xml:space="preserve">. En fecha 29 de agosto de 1996 se registró el escrito de alegaciones del Ministerio Fiscal. En él interesa el Ministerio Público la inadmisión del recurso de amparo por entender que, recurrido en amparo el Auto de la Sección Primera de la Audiencia Nacional de 16 de mayo de 1996, que confirma los Autos de prisión que dictó en su día el Juzgado Central núm. 5 por la vulneración de los derechos fundamentales de los arts. 17 y 24 C.E., en argumentación combinada, el juicio ha de polarizarse, a efectos de la admisión de la demanda de amparo, en tomo a la resolución recurrida para medir su grado de razonabilidad, su motivación y su proporcionalidad con el hecho y las circunstancias que rodean la acción delictiva indiciariamente imputada. Y a este respecto, continúa el Ministerio Fiscal, la resolución recurrida, a diferencia de la que se utiliza como comparación (STC 128/1995, caso Sotos), no fundamenta la prisión provisional únicamente en la gravedad del delito imputado, sino a la dirección por el imputado de una organización dedicada al blanqueo de dinero procedente del tráfico de drogas, el aseguramiento de la presencia de aquél en el juicio, el riesgo de manipulación de pruebas, la evitación de la continuidad delictiva y la importancia objetiva del delito y existencia de indicios de su comisión por el preso. Todas esas circunstancias son, pues, consideradas para fundamentar en el Auto impugnado la privación de libertad, por lo que no se vulnera en el mismo ni el art. 24.1 C.E. ni tampoco el art. 17 C.E. Por otro </w:t>
      </w:r>
      <w:r>
        <w:lastRenderedPageBreak/>
        <w:t>lado, añade el Ministerio Fiscal, la anterior resolución de privación de libertad no resulta incoherente con la imposición de una fianza para eludirla en el sumario 10/94, de que dimanan estas diligencias, ni por la revocación del desglose inicialmente acordado. Así, cuando el recurrente pone de manifiesto las circunstancias concomitantes en uno y otro sumario (edad del recurrente, acudida a llamamientos judiciales), no tiene en cuenta otros elementos diferenciales concurrentes, cuales son los distintos indicios o pruebas que puedan existir en uno u otro supuesto, la posible manipulación de pruebas o el riesgo añadido de evasión, circunstancias todas que pudieran aconsejar una medida cautelar distinta en uno u otro procedimiento. Asimismo, la revocación del desglose y consiguiente revisión de ambas diligencias no puede llevar en modo automático, como pretende el recurrente, a su libertad, ya que cuando aquélla se acordó el procedimiento pudiera hallarse en un estadio procedimental en el que no confluían las variables que se dan en el año 1996. En tal sentido, el Tribunal Constitucional no puede sustituir como tercera instancia el juicio explicado y externamente ponderado que llevaron al Juez y luego al Tribunal a decretar y mantener, respectivamente, la situación de prisión. Por todo ello, el Ministerio Fiscal interesa se acuerde la inadmisión de la demanda de amparo por carencia de contenido que justifique una decisión en forma de Sentencia por parte del Tribunal Constitucional.</w:t>
      </w:r>
    </w:p>
    <w:p w:rsidR="00B01F4A" w:rsidRDefault="00B01F4A" w:rsidP="00B01F4A">
      <w:pPr>
        <w:pStyle w:val="TextoNormal"/>
      </w:pPr>
    </w:p>
    <w:p w:rsidR="00B01F4A" w:rsidRDefault="00B01F4A" w:rsidP="00B01F4A">
      <w:pPr>
        <w:pStyle w:val="TextoNormal"/>
      </w:pPr>
      <w:r w:rsidRPr="00B01F4A">
        <w:rPr>
          <w:rStyle w:val="NumeroAFNegritaCaracter"/>
        </w:rPr>
        <w:t>6</w:t>
      </w:r>
      <w:r>
        <w:t>. En fecha 7 de septiembre de 1996 se registran las alegaciones de la representación del demandante de amparo. En ellas reitera el actor la lesión por la resolución judicial -Auto de 16 de mayo de 1996- de los derechos reconocidos en los arts. 17 y 24 C.E. Y ello, por cuanto las razones que se exponen en dicho Auto no son suficientes para decretar la prisión preventiva del demandante, pues dado el tiempo transcurrido desde el acaecimiento de los hechos enjuiciados ha desaparecido la alarma social, el delito concreto por el que se investiga es de los castigados con penas graves (pues se trata de un delito de receptación y conexos), el hecho de que recientemente se haya acordado la revocación del desglose inicial de las actuaciones de que deriva el amparo y el sumario 10/94 que se sigue por delito contra la salud pública contra el mismo encausado, y, finalmente, el hecho de que el recurrente no eludirá la acción de la justicia como lo prueba el haber comparecido en otras ocasiones, y así se expresa en el Auto de 10 de marzo de 1995, dictado en el citado sumario 10/94 decretando su libertad bajo fianza. Por todo ello, el Auto impugnado vulnera los derechos fundamentales que se invocan, pues Emita un derecho, como el de libertad, sin motivación y causa suficiente, cuando se debía sustituir tal medida por otras medidas cautelares no restrictivas de la libertad. En virtud de todo ello, interesa la admisión a trámite de la demanda de amparo.</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Concurre en este supuesto la causa de inadmisión puesta de manifiesto al recurrente y al Ministerio Fiscal a través del trámite previsto en el art.  50.3 de la LOTC, cuya inicial apreciación ha de confirmarse ahora mediante la presente resolución; esto es, la carencia manifiesta de contenido constitucional que justifique una decisión sobre su fondo por parte de este Tribunal Constitucional [art. 50.1 c) de la citada Ley Orgánica].</w:t>
      </w:r>
    </w:p>
    <w:p w:rsidR="00B01F4A" w:rsidRDefault="00B01F4A" w:rsidP="00B01F4A">
      <w:pPr>
        <w:pStyle w:val="TextoNormal"/>
      </w:pPr>
      <w:r>
        <w:t>Del examen de la concreta resolución judicial que se impugna -Auto de la Sección Primera de la Sala de la Audiencia Nacional, de 16 de mayo de 1996- no se desprende la lesión de los derechos fundamentales que el demandante de amparo reprocha a tal pronuncia</w:t>
      </w:r>
      <w:r>
        <w:lastRenderedPageBreak/>
        <w:t>miento judicial: esto es, de los derechos a la libertad y a la tutela judicial efectiva consagrados en los arts. 17 y 24 C.E., en relación con la doctrina sentada por este Tribunal en su STC 128/1995, que se cita expresamente como fundamento de la petición de amparo.</w:t>
      </w:r>
    </w:p>
    <w:p w:rsidR="00B01F4A" w:rsidRDefault="00B01F4A" w:rsidP="00B01F4A">
      <w:pPr>
        <w:pStyle w:val="TextoNormal"/>
      </w:pPr>
    </w:p>
    <w:p w:rsidR="00B01F4A" w:rsidRDefault="00B01F4A" w:rsidP="00B01F4A">
      <w:pPr>
        <w:pStyle w:val="TextoNormal"/>
      </w:pPr>
      <w:r w:rsidRPr="00B01F4A">
        <w:rPr>
          <w:rStyle w:val="NumeroAFNegritaCaracter"/>
        </w:rPr>
        <w:t>2</w:t>
      </w:r>
      <w:r>
        <w:t>. El Auto que se impugna contiene motivación suficiente a los efectos de la medida cautelar restrictiva de la libertad personal del encausado que en él se acuerda, de conformidad con las exigencias expresadas por este Tribunal en la citada STC 128/1995; pues, lejos de tratarse de una resolución judicial estereotipada o carente de fundamentación específica, hace expresa referencia a los dos elementos esenciales, de índole subjetiva y objetiva, a que se alude en dicha doctrina constitucional: esto es, a la existencia en la causa de indicios racionales de responsabilidad criminal como presupuesto de la medida cautelar adoptada; y a la finalidad a que responde dicha medida: evitar el riesgo de continuidad delictiva, junto con el eventual entorpecimiento de la investigación judicial en curso, relacionando, finalmente ambos elementos con las circunstancias concretas del supuesto enjuiciado.</w:t>
      </w:r>
    </w:p>
    <w:p w:rsidR="00B01F4A" w:rsidRDefault="00B01F4A" w:rsidP="00B01F4A">
      <w:pPr>
        <w:pStyle w:val="TextoNormal"/>
      </w:pPr>
      <w:r>
        <w:t>Así, en los fundamentos jurídicos 3.º y 4.º del Auto de la Audiencia Nacional, la Sala razona textualmente acerca de los indicios racionales de responsabilidad del encartado en la infracción delictiva (... «blanqueo de dinero procedente del tráfico de drogas realizado por una organización que, al parecer, dirigía el encausado ... »), así como sobre la «... ponderación de las circunstancias concurrentes en el caso ... », tras la cual «... considera adecuada la adopción de la medida cautelar recurrida, estimando que, por el momento, no existen alternativas menos gravosas que garanticen, con un mínimo de eficacia, en relación con este encausado, su presencia en el procedimiento la no destrucción o manipulación de elementos probatorios y la evitación de la continuidad de la actividad investigada ... ».</w:t>
      </w:r>
    </w:p>
    <w:p w:rsidR="00B01F4A" w:rsidRDefault="00B01F4A" w:rsidP="00B01F4A">
      <w:pPr>
        <w:pStyle w:val="TextoNormal"/>
      </w:pPr>
    </w:p>
    <w:p w:rsidR="00B01F4A" w:rsidRDefault="00B01F4A" w:rsidP="00B01F4A">
      <w:pPr>
        <w:pStyle w:val="TextoNormal"/>
      </w:pPr>
      <w:r w:rsidRPr="00B01F4A">
        <w:rPr>
          <w:rStyle w:val="NumeroAFNegritaCaracter"/>
        </w:rPr>
        <w:t>3</w:t>
      </w:r>
      <w:r>
        <w:t>. La anterior motivación es suficiente a los efectos de las exigencias derivadas del derecho que consagra el art. 24 C.E. y también del derecho a la libertad ex art. 17 C.E., por cuanto exterioriza pormenorizadamente las circunstancias y causas concretas que han llevado en este supuesto a la necesaria adopción de la medida restrictiva de la libertad del encausado, sin que, por lo demás, corresponda a este Tribunal, que no es una nueva instancia judicial, revisar la apreciación que, de cada uno de esos motivos, ha efectuado el órgano judicial en el ejercicio razonado de una función que constitucionalmente le es propia.</w:t>
      </w:r>
    </w:p>
    <w:p w:rsidR="00B01F4A" w:rsidRDefault="00B01F4A" w:rsidP="00B01F4A">
      <w:pPr>
        <w:pStyle w:val="TextoNormal"/>
      </w:pPr>
      <w:r>
        <w:t xml:space="preserve">Finalmente, el hecho de que en otro sumario distinto (escindido de las presentes actuaciones) se acordara en momento procesal diferente (con más de un año de antelación) la libertad provisional bajo fianza del encausado, no disminuye la advertida motivación y fundamentación de la resolución objeto de la presente petición de amparo; y ello, no sólo por la diferencia de circunstancias que, como indica el Ministerio Fiscal, pudieran concurrir en ambas causas habida cuenta de su distinta tramitación, fechas en que se adoptaron ambas medidas cautelares o elementos concurrentes en una y otra; sino también porque, conforme se ha señalado anteriormente, no es el riesgo de fuga el único elemento considerado como fundamento de la medida cautelar en el Auto que se impugna, sino también otros motivos como la continuidad delictiva o el riesgo de manipulación o destrucción de pruebas, a los que no se alude, sin embargo, en la resolución anterior con la que se pretende comparar, y cuya razonada apreciación en este supuesto no aparece desvirtuada por el hecho de su no consideración en proceso distinto y en diferente fecha. Tampoco, en fin, la reciente revocación de la división de la causa y su futura tramitación conjunta constituye per se, y conforme pretende el recurrente, causa que excluya la existencia de motivación suficiente en la medida </w:t>
      </w:r>
      <w:r>
        <w:lastRenderedPageBreak/>
        <w:t>acordada, pues la evidente naturaleza procesal de dicha decisión priva a la misma de incidencia sustancial sobre la justificación de la medida cautelar que, conforme se indicó, se adoptó respetando las exigencias derivadas del art. 24.1 C.E.</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virtud de lo expuesto, la Sección acuerda inadmitir el recurso de amparo interpuesto por don Manuel Charlín Gama contra el Auto, de 16 de mayo de 1996, dictado por la Sección Primera de la Sala de lo Penal de la Audiencia Nacional.</w:t>
      </w:r>
    </w:p>
    <w:p w:rsidR="00B01F4A" w:rsidRDefault="00B01F4A" w:rsidP="00B01F4A">
      <w:pPr>
        <w:pStyle w:val="TextoNormal"/>
      </w:pPr>
    </w:p>
    <w:p w:rsidR="00B01F4A" w:rsidRDefault="00B01F4A" w:rsidP="00B01F4A">
      <w:pPr>
        <w:pStyle w:val="TextoNormal"/>
      </w:pPr>
      <w:r>
        <w:t>Madrid, a trece de enero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95" w:name="AUTO_1997_5"/>
      <w:r>
        <w:lastRenderedPageBreak/>
        <w:t>AUTO 5/1997, de 13 de enero de 1997</w:t>
      </w:r>
    </w:p>
    <w:bookmarkEnd w:id="95"/>
    <w:p w:rsidR="00B01F4A" w:rsidRDefault="00B01F4A" w:rsidP="00B01F4A">
      <w:pPr>
        <w:pStyle w:val="TtuloResolucin"/>
      </w:pPr>
      <w:r>
        <w:t>Sala Segunda</w:t>
      </w:r>
    </w:p>
    <w:p w:rsidR="00B01F4A" w:rsidRDefault="00B01F4A" w:rsidP="00B01F4A">
      <w:pPr>
        <w:pStyle w:val="TtuloResolucin"/>
      </w:pPr>
    </w:p>
    <w:p w:rsidR="00B01F4A" w:rsidRDefault="00B01F4A" w:rsidP="00B01F4A">
      <w:pPr>
        <w:pStyle w:val="SntesisDescriptiva"/>
      </w:pPr>
      <w:r>
        <w:t>ECLI:ES:TC:1997:5A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don Rafael de Mendizábal Allende, don Julio D. González Campos, don Carles Viver Pi-Sunyer y don Tomás Salvador Vives Antón.</w:t>
      </w:r>
    </w:p>
    <w:p w:rsidR="00B01F4A" w:rsidRDefault="00B01F4A" w:rsidP="00B01F4A">
      <w:pPr>
        <w:pStyle w:val="SntesisDescriptiva"/>
      </w:pPr>
    </w:p>
    <w:p w:rsidR="00B01F4A" w:rsidRDefault="00B01F4A" w:rsidP="00B01F4A">
      <w:pPr>
        <w:pStyle w:val="SntesisDescriptiva"/>
      </w:pPr>
      <w:r>
        <w:t>Acordando la suspensión de la ejecución del acto que origina el recurso de amparo 2.885/1996.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en este Tribunal el día 17 de julio de 1996, el Procurador de los Tribunales don Saturnino Esteve Rodríguez, en nombre y representación de don Rafael Peñarroya de las Heras, interpone recurso de amparo contra el Auto, de 24 de junio de 1996, de la Sala de lo Civil y Penal del Tribunal Superior de Justicia de Aragón, por el que se inadmite el recurso de casación, rollo núm. 9/95, contra la Sentencia dictada en apelación núm. 11/93 por la Audiencia Provincial de Huesca, enjuicio declarativo ordinario de menor cuantía núm. 13/90.</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El recurso se fundamenta, en síntesis, en los siguientes hechos: </w:t>
      </w:r>
    </w:p>
    <w:p w:rsidR="00B01F4A" w:rsidRDefault="00B01F4A" w:rsidP="00B01F4A">
      <w:pPr>
        <w:pStyle w:val="TextoNormal"/>
      </w:pPr>
      <w:r>
        <w:t xml:space="preserve">a) Promovida la acción de liquidación de la sociedad consorcial aragonesa por la entonces esposa del hoy recurrente de amparo, éste presentó reconvención a la demanda, solicitando una partición distinta de los bienes por entender que algunos tenían el carácter de privativos. El Juzgado de Instancia núm. 1 de Jaca dictó Sentencia, que fue recurrida por ambas partes en apelación ante la Audiencia Provincial de Huesca. </w:t>
      </w:r>
    </w:p>
    <w:p w:rsidR="00B01F4A" w:rsidRDefault="00B01F4A" w:rsidP="00B01F4A">
      <w:pPr>
        <w:pStyle w:val="TextoNormal"/>
      </w:pPr>
      <w:r>
        <w:t xml:space="preserve">b) Contra la Sentencia de la mencionada Audiencia Provincial, de fecha 15 de diciembre de 1994, ambas partes prepararon recurso de casación. El Tribunal Supremo, por Auto de 20 de septiembre de 1995, acordó declarar competente para el conocimiento del recurso al Tribunal Superior de Justicia de Aragón, en cuyo favor se inhibió. </w:t>
      </w:r>
    </w:p>
    <w:p w:rsidR="00B01F4A" w:rsidRDefault="00B01F4A" w:rsidP="00B01F4A">
      <w:pPr>
        <w:pStyle w:val="TextoNormal"/>
      </w:pPr>
      <w:r>
        <w:t xml:space="preserve">e) Una vez subsanado el defecto de no haber sido determinada la cuantía del procedimiento, la Sala de lo Civil y Penal del Tribunal Superior de Justicia de Aragón dictó el Auto de 24 de junio de 1996, por el que acordó declarar la inadmisión del recurso del Sr. Peñarroya. Tal decisión se fundamentó en el siguiente razonamiento: </w:t>
      </w:r>
    </w:p>
    <w:p w:rsidR="00B01F4A" w:rsidRDefault="00B01F4A" w:rsidP="00B01F4A">
      <w:pPr>
        <w:pStyle w:val="TextoNormal"/>
      </w:pPr>
      <w:r>
        <w:t xml:space="preserve">«Se observa la defectuosa formulación del suplico en el que se solicita se dicte Sentencia "casando y anulando la recurrida y pronuncie otra más ajustada a Derecho en los términos que esta parte tiene interesados". Como se comprueba, el petitum se encuentra falto de rigor y la coherencia exigibles, puesto que no cabe dejar al arbitrio del Tribunal el pronunciamiento de una Sentencia "más ajustada a Derecho" con arreglo a "los términos que esta parte tiene interesados". Ignora el recurrente principios tan esenciales del proceso civil como son el de rogación y el dispositivo, definidores del principio de la congruencia [ ...] . Si las </w:t>
      </w:r>
      <w:r>
        <w:lastRenderedPageBreak/>
        <w:t>Sentencias [ ... ] han de ser claras, precisas y congruentes con la demanda y demás pretensiones deducidas oportunamente en el pleito [ ... ], este mandato resulta de imposible cumplimiento por la Sala desde el momento en que se ignora, por falta de expresión en el lugar adecuado, lo que la parte recurrente pretende en su escrito de interposición del recurso de casación.»</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La demanda de amparo alega que el Auto impugnado vulnera el derecho a la tutela judicial efectiva, en su vertiente del derecho a recurrir, garantizado en el art. 24.1 de la C.E., por cuanto la L.E.C. no prevé como causa legal de inadmisión del recurso de casación la inconcreción del suplico. Por otro lado, el petitum viene determinado en la súplica de la demanda y de la reconvención, sin que pueda ser alterado hasta la finalización del proceso. De modo que en el recurso de casación, tal y como entiende la doctrina científica y la jurisprudencia del Tribunal Supremo, lo que procede es analizar única y exclusivamente si la Sentencia dictada en apelación está ajustada o no a Derecho, de conformidad con los motivos aducidos en el escrito de interposición, cuya concreción sí que resulta inexcusable. </w:t>
      </w:r>
    </w:p>
    <w:p w:rsidR="00B01F4A" w:rsidRDefault="00B01F4A" w:rsidP="00B01F4A">
      <w:pPr>
        <w:pStyle w:val="TextoNormal"/>
      </w:pPr>
      <w:r>
        <w:t>Mediante otrosí solicita la suspensión de la Sentencia de la Audiencia Provincial de Huesca por haber devenido firme y definitiva en virtud del Auto de inadmisión del recurso de casación.</w:t>
      </w:r>
    </w:p>
    <w:p w:rsidR="00B01F4A" w:rsidRDefault="00B01F4A" w:rsidP="00B01F4A">
      <w:pPr>
        <w:pStyle w:val="TextoNormal"/>
      </w:pPr>
    </w:p>
    <w:p w:rsidR="00B01F4A" w:rsidRDefault="00B01F4A" w:rsidP="00B01F4A">
      <w:pPr>
        <w:pStyle w:val="TextoNormal"/>
      </w:pPr>
      <w:r w:rsidRPr="00B01F4A">
        <w:rPr>
          <w:rStyle w:val="NumeroAFNegritaCaracter"/>
        </w:rPr>
        <w:t>4</w:t>
      </w:r>
      <w:r>
        <w:t>. Por providencia de 7 de noviembre de 1996 la Sección Tercera de este Tribunal acordó admitir a trámite la demanda de amparo. Por otra providencia de la misma fecha acordó formar la oportuna pieza separada de suspensión, concediendo, en virtud de lo dispuesto en el art. 56 de la LOTC, un plazo común de tres días a la parte recurrente y al Ministerio Fiscal para que alegaran lo que estimasen pertinente sobre la suspensión.</w:t>
      </w:r>
    </w:p>
    <w:p w:rsidR="00B01F4A" w:rsidRDefault="00B01F4A" w:rsidP="00B01F4A">
      <w:pPr>
        <w:pStyle w:val="TextoNormal"/>
      </w:pPr>
    </w:p>
    <w:p w:rsidR="00B01F4A" w:rsidRDefault="00B01F4A" w:rsidP="00B01F4A">
      <w:pPr>
        <w:pStyle w:val="TextoNormal"/>
      </w:pPr>
      <w:r w:rsidRPr="00B01F4A">
        <w:rPr>
          <w:rStyle w:val="NumeroAFNegritaCaracter"/>
        </w:rPr>
        <w:t>5</w:t>
      </w:r>
      <w:r>
        <w:t>. Mediante escrito registrado en este Tribunal el 14 de noviembre de 1996, el recurrente de amparo presentó sus alegaciones, argumentando que en el momento en que se resolviera el amparo podría haberse ejecutado la Sentencia de la Audiencia Provincial de Huesca, con la consiguiente subasta del piso cuya titularidad se discute, y siendo imposible su recuperación si en la casación se diera la razón al recurrente. Añade que la suspensión no causa perjuicio a ninguna de las partes, puesto que tal inmueble está siendo ocupado pacíficamente por la que fue esposa del demandante de amparo y que las partes tampoco tienen prisa en que se proceda a la partición, como lo prueba el hecho de que ninguna de las dos haya solicitado la ejecución de la mencionada Sentencia.</w:t>
      </w:r>
    </w:p>
    <w:p w:rsidR="00B01F4A" w:rsidRDefault="00B01F4A" w:rsidP="00B01F4A">
      <w:pPr>
        <w:pStyle w:val="TextoNormal"/>
      </w:pPr>
    </w:p>
    <w:p w:rsidR="00B01F4A" w:rsidRDefault="00B01F4A" w:rsidP="00B01F4A">
      <w:pPr>
        <w:pStyle w:val="TextoNormal"/>
      </w:pPr>
      <w:r w:rsidRPr="00B01F4A">
        <w:rPr>
          <w:rStyle w:val="NumeroAFNegritaCaracter"/>
        </w:rPr>
        <w:t>6</w:t>
      </w:r>
      <w:r>
        <w:t>. El Ministerio Fiscal presentó sus alegaciones en escrito registrado en este Tribunal el día 18 de noviembre de 1996, manifestándose favorable a la suspensión por entender que si se realizara la venta a terceros de bienes cuya naturaleza y titularidad es objeto de litigio, sería difícil o incluso imposible su recuperación.</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EB5FD0">
        <w:rPr>
          <w:rStyle w:val="NumeroAFNegritaCaracter"/>
        </w:rPr>
        <w:t>Único.</w:t>
      </w:r>
      <w:r>
        <w:t xml:space="preserve"> Según la doctrina de este Tribunal acerca del art. 56.1 de la LOTC, la regla general en materia de resoluciones judiciales es la no suspensión, habida cuenta del interés general que se deriva de su ejecución y como consecuencia de la presunción de</w:t>
      </w:r>
    </w:p>
    <w:p w:rsidR="00B01F4A" w:rsidRDefault="00B01F4A" w:rsidP="00B01F4A">
      <w:pPr>
        <w:pStyle w:val="TextoNormal"/>
      </w:pPr>
      <w:r>
        <w:lastRenderedPageBreak/>
        <w:t>legitimidad de las actuaciones de los poderes públicos (AATC 269/1995, 288/1995, 302/1995 y 344/1995, entre los más recientes). El mismo precepto prevé como excepción el acuerdo de la suspensión «cuando la ejecución hubiere de ocasionar un perjuicio que</w:t>
      </w:r>
    </w:p>
    <w:p w:rsidR="00B01F4A" w:rsidRDefault="00B01F4A" w:rsidP="00B01F4A">
      <w:pPr>
        <w:pStyle w:val="TextoNormal"/>
      </w:pPr>
      <w:r>
        <w:t>haría perder al amparo su finalidad».</w:t>
      </w:r>
    </w:p>
    <w:p w:rsidR="00B01F4A" w:rsidRDefault="00B01F4A" w:rsidP="00B01F4A">
      <w:pPr>
        <w:pStyle w:val="TextoNormal"/>
      </w:pPr>
      <w:r>
        <w:t>En el presente caso se da precisamente esta circunstancia, toda vez que el objeto del litigio son bienes cuyo carácter ganancial o privativo del recurrente se discute, por lo que su posible enajenación a terceros dificultaría en muy considerable medida su recuperación, ocasionándose así un perjuicio que haría perder al amparo su finalidad. De otro lado, la suspensión no origina una perturbación grave de los intereses generales ni de los derechos de un tercero, dado que la otra parte está habitando el piso cuya titularidad discute el recurrente. Por todo ello, y de conformidad con las alegaciones formuladas por el Ministerio Fiscal, resulta procedente acceder a la suspensión.</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virtud de lo anteriormente expuesto, la Sala acuerda suspender la ejecución de la Sentencia de la Audiencia Provincial de Huesca de 15 de diciembre de 1994, recaída en el rollo de apelación núm. 11/93.</w:t>
      </w:r>
    </w:p>
    <w:p w:rsidR="00B01F4A" w:rsidRDefault="00B01F4A" w:rsidP="00B01F4A">
      <w:pPr>
        <w:pStyle w:val="TextoNormal"/>
      </w:pPr>
    </w:p>
    <w:p w:rsidR="00B01F4A" w:rsidRDefault="00B01F4A" w:rsidP="00B01F4A">
      <w:pPr>
        <w:pStyle w:val="TextoNormal"/>
      </w:pPr>
      <w:r>
        <w:t>Madrid, a trece de enero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96" w:name="AUTO_1997_6"/>
      <w:r>
        <w:lastRenderedPageBreak/>
        <w:t>AUTO 6/1997, de 13 de enero de 1997</w:t>
      </w:r>
    </w:p>
    <w:bookmarkEnd w:id="96"/>
    <w:p w:rsidR="00B01F4A" w:rsidRDefault="00B01F4A" w:rsidP="00B01F4A">
      <w:pPr>
        <w:pStyle w:val="TtuloResolucin"/>
      </w:pPr>
      <w:r>
        <w:t>Sala Primera</w:t>
      </w:r>
    </w:p>
    <w:p w:rsidR="00B01F4A" w:rsidRDefault="00B01F4A" w:rsidP="00B01F4A">
      <w:pPr>
        <w:pStyle w:val="TtuloResolucin"/>
      </w:pPr>
    </w:p>
    <w:p w:rsidR="00B01F4A" w:rsidRDefault="00B01F4A" w:rsidP="00B01F4A">
      <w:pPr>
        <w:pStyle w:val="SntesisDescriptiva"/>
      </w:pPr>
      <w:r>
        <w:t>ECLI:ES:TC:1997:6A</w:t>
      </w:r>
    </w:p>
    <w:p w:rsidR="00B01F4A" w:rsidRDefault="00B01F4A" w:rsidP="00B01F4A">
      <w:pPr>
        <w:pStyle w:val="SntesisDescriptiva"/>
      </w:pPr>
    </w:p>
    <w:p w:rsidR="00B01F4A" w:rsidRDefault="00B01F4A" w:rsidP="00B01F4A">
      <w:pPr>
        <w:pStyle w:val="SntesisDescriptiva"/>
      </w:pPr>
      <w:r>
        <w:t>Excms. Srs. don Álvaro Rodríguez Bereijo, don José Vicente Gimeno Sendra, don Pedro Cruz Villalón, don Enrique Ruiz Vadillo, don Manuel Jiménez de Parga y Cabrera y don Pablo García Manzano.</w:t>
      </w:r>
    </w:p>
    <w:p w:rsidR="00B01F4A" w:rsidRDefault="00B01F4A" w:rsidP="00B01F4A">
      <w:pPr>
        <w:pStyle w:val="SntesisDescriptiva"/>
      </w:pPr>
    </w:p>
    <w:p w:rsidR="00B01F4A" w:rsidRDefault="00B01F4A" w:rsidP="00B01F4A">
      <w:pPr>
        <w:pStyle w:val="SntesisDescriptiva"/>
      </w:pPr>
      <w:r>
        <w:t>Denegando la suspensión de la ejecución del acto que origina el recurso de amparo 3.070/1996.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xml:space="preserve">. Por el solicitante de amparo se interpuso la correspondiente demanda, la cual tenía como Antecedentes, los hechos que a continuación se describen: </w:t>
      </w:r>
    </w:p>
    <w:p w:rsidR="00B01F4A" w:rsidRDefault="00B01F4A" w:rsidP="00B01F4A">
      <w:pPr>
        <w:pStyle w:val="TextoNormal"/>
      </w:pPr>
      <w:r>
        <w:t xml:space="preserve">a) Don Mario López de la Flor, demandante en el presente recurso de amparo, tuvo conocimiento de la existencia del procedimiento judicial de juicio de menor cuantía núm. 41/91, tramitado ante el Juzgado de Primera Instancia núm. 3 de Segovia, y seguido contra él, en su cualidad de demandado, el día 12 de febrero de 1996, cuando se practica con él la diligencia de embargo de sus bienes a través del Juzgado de Primera Instancia núm. 2 de Coslada (Madrid), mediante exhorto núm. 31/96, requiriéndosele para que designara bienes de su propiedad sobre los que trabar embargo, en cuantía suficiente para cubrir la suma de 41.000.000 de pesetas, dándosele además traslado en dicho momento de la cédula de notificación y escrito a la misma adjuntado, de fecha 18 de diciembre de 1995, con una relación de los supuestos daños y perjuicios ocasionados, acordándose dicho traslado mediante providencia del Juzgado mencionado núm. 3 de Segovia, de fecha 4 de enero de 1996, a los efectos de que manifestara lo que a su derecho conviniera. </w:t>
      </w:r>
    </w:p>
    <w:p w:rsidR="00B01F4A" w:rsidRDefault="00B01F4A" w:rsidP="00B01F4A">
      <w:pPr>
        <w:pStyle w:val="TextoNormal"/>
      </w:pPr>
      <w:r>
        <w:t xml:space="preserve">b) Por el recurrente se formuló el correspondiente recurso de reposición, que fue finalmente desestimado. </w:t>
      </w:r>
    </w:p>
    <w:p w:rsidR="00B01F4A" w:rsidRDefault="00B01F4A" w:rsidP="00B01F4A">
      <w:pPr>
        <w:pStyle w:val="TextoNormal"/>
      </w:pPr>
      <w:r>
        <w:t xml:space="preserve">c) La demanda iniciadora de los autos de juicio de menor cuantía se presentó a reparto ante el Juzgado Decano de los de Segovia el día 12 de febrero de 1991, y en la que la parte actora formula demanda de juicio declarativo de menor cuantía contra el ahora solicitante, don Mario López de la Flor, señalando como domicilio de éste el sito en la ciudad de Segovia, avenida Juan Carlos 1, núm. 14, tal y como queda reflejado en el párrafo correspondiente de la referida demanda. </w:t>
      </w:r>
    </w:p>
    <w:p w:rsidR="00B01F4A" w:rsidRDefault="00B01F4A" w:rsidP="00B01F4A">
      <w:pPr>
        <w:pStyle w:val="TextoNormal"/>
      </w:pPr>
      <w:r>
        <w:t xml:space="preserve">d) Admitida a trámite dicha demanda y practicado con resultado negativo la diligencia de emplazamiento, la parte actora solicitó el emplazamiento del ahora recurrente mediante la publicación de edictos. Por providencia de 22 de mayo de 1991, así lo acordó el órgano judicial en la forma prevenida en el art. 269 de la L.E.C., llevándose a efecto mediante su inserción en el «Boletín Oficial de la Provincia de Segovia», de fecha 5 de junio de 1991. </w:t>
      </w:r>
    </w:p>
    <w:p w:rsidR="00B01F4A" w:rsidRDefault="00B01F4A" w:rsidP="00B01F4A">
      <w:pPr>
        <w:pStyle w:val="TextoNormal"/>
      </w:pPr>
      <w:r>
        <w:t xml:space="preserve">e) Por providencia de fecha 19 de junio de 1991 se declaró en rebeldía al solicitante, dictándose Sentencia condenatoria contra el mismo el día 18 de noviembre de 1991, que se publicó, igualmente, en el «Boletín Oficial de la Provincia de Segovia». </w:t>
      </w:r>
    </w:p>
    <w:p w:rsidR="00B01F4A" w:rsidRDefault="00B01F4A" w:rsidP="00B01F4A">
      <w:pPr>
        <w:pStyle w:val="TextoNormal"/>
      </w:pPr>
      <w:r>
        <w:lastRenderedPageBreak/>
        <w:t xml:space="preserve">f) El día 19 de diciembre de 1995 se presentó escrito por la parte actora en el que se solicita la ejecución de la meritada Sentencia en el domicilio del solicitante, sito en Coslada (Madrid), calle Argentina, núm. 18, planta 4.ª, letra B. </w:t>
      </w:r>
    </w:p>
    <w:p w:rsidR="00B01F4A" w:rsidRDefault="00B01F4A" w:rsidP="00B01F4A">
      <w:pPr>
        <w:pStyle w:val="TextoNormal"/>
      </w:pPr>
      <w:r>
        <w:t>g) Por el recurrente se interpuso recurso de revisión ante la Sala de lo Civil del Tribunal Supremo, tramitándose bajo el núm. 851/96, y en el que se dictó Auto de fecha 5 de julio de 1996, por el que se acuerda inadmitir la demanda de revisión planteada, frente a la cual se formula el presente recurso de amparo constitucional.</w:t>
      </w:r>
    </w:p>
    <w:p w:rsidR="00B01F4A" w:rsidRDefault="00B01F4A" w:rsidP="00B01F4A">
      <w:pPr>
        <w:pStyle w:val="TextoNormal"/>
      </w:pPr>
    </w:p>
    <w:p w:rsidR="00B01F4A" w:rsidRDefault="00B01F4A" w:rsidP="00B01F4A">
      <w:pPr>
        <w:pStyle w:val="TextoNormal"/>
      </w:pPr>
      <w:r w:rsidRPr="00B01F4A">
        <w:rPr>
          <w:rStyle w:val="NumeroAFNegritaCaracter"/>
        </w:rPr>
        <w:t>2</w:t>
      </w:r>
      <w:r>
        <w:t>. Por el recurrente en amparo se alega la vulneración en el procedimiento judicial del derecho a la tutela judicial efectiva (art. 24. 1 C. E.), como consecuencia de la indefensión producida, en el que el hecho de no citarse en el domicilio correspondiente al solicitante le origina una clara indefensión, al no poder defenderse de unos hechos de la demanda inicial, a los que no se contesta como consecuencia de ello, y que transcurridos más de cuatro años desde que se dicta la Sentencia en rebeldía del solicitante, al mismo se le efectúa ya en su domicilio el embargo de sus bienes, sin posibilidad ninguna más que la de personarse en el trámite incidental de los daños y perjuicios de la ejecución. Por ello solicita de este Tribunal Constitucional que se anule la Sentencia del Juzgado de Primera Instancia núm. 3 de Segovia y retrotraiga las actuaciones al momento del emplazamiento, de manera tal que el ahora recurrente pueda personarse en las actuaciones y contestar a la demanda inicial de dicho procedimiento, así como proponer la prueba que le interese y tratar de que con ello se dicte una resolución ajustada a Derecho.</w:t>
      </w:r>
    </w:p>
    <w:p w:rsidR="00B01F4A" w:rsidRDefault="00B01F4A" w:rsidP="00B01F4A">
      <w:pPr>
        <w:pStyle w:val="TextoNormal"/>
      </w:pPr>
    </w:p>
    <w:p w:rsidR="00B01F4A" w:rsidRDefault="00B01F4A" w:rsidP="00B01F4A">
      <w:pPr>
        <w:pStyle w:val="TextoNormal"/>
      </w:pPr>
      <w:r w:rsidRPr="00B01F4A">
        <w:rPr>
          <w:rStyle w:val="NumeroAFNegritaCaracter"/>
        </w:rPr>
        <w:t>3</w:t>
      </w:r>
      <w:r>
        <w:t>. Por sendas providencias de 4 de noviembre de 1996 se acordó formar pieza separada de suspensión con el precedente testimonio, así como, y a tenor lo dispuesto en el art. 56 de la LOTC, se acordó conceder un plazo de tres días al Ministerio Fiscal, y al solicitante de amparo, para que formularan las alegaciones que estimaran pertinentes sobre la suspensión solicitada.</w:t>
      </w:r>
    </w:p>
    <w:p w:rsidR="00B01F4A" w:rsidRDefault="00B01F4A" w:rsidP="00B01F4A">
      <w:pPr>
        <w:pStyle w:val="TextoNormal"/>
      </w:pPr>
    </w:p>
    <w:p w:rsidR="00B01F4A" w:rsidRDefault="00B01F4A" w:rsidP="00B01F4A">
      <w:pPr>
        <w:pStyle w:val="TextoNormal"/>
      </w:pPr>
      <w:r w:rsidRPr="00B01F4A">
        <w:rPr>
          <w:rStyle w:val="NumeroAFNegritaCaracter"/>
        </w:rPr>
        <w:t>4</w:t>
      </w:r>
      <w:r>
        <w:t>. Por la parte recurrente en amparo se presentó escrito ante el Registro de este Tribunal el día 12 de noviembre de 1996, conteniéndose, en síntesis, las mismas alegaciones efectuadas en la demanda iniciadora de las presentes actuaciones.</w:t>
      </w:r>
    </w:p>
    <w:p w:rsidR="00B01F4A" w:rsidRDefault="00B01F4A" w:rsidP="00B01F4A">
      <w:pPr>
        <w:pStyle w:val="TextoNormal"/>
      </w:pPr>
    </w:p>
    <w:p w:rsidR="00B01F4A" w:rsidRDefault="00B01F4A" w:rsidP="00B01F4A">
      <w:pPr>
        <w:pStyle w:val="TextoNormal"/>
      </w:pPr>
      <w:r w:rsidRPr="00B01F4A">
        <w:rPr>
          <w:rStyle w:val="NumeroAFNegritaCaracter"/>
        </w:rPr>
        <w:t>5</w:t>
      </w:r>
      <w:r>
        <w:t>. El Ministerio Fiscal, por escrito registrado el día 13 de noviembre de 1996, manifestó la necesidad de requerir al solicitante, para que indicara la resolución judicial sobre la cual solicita la suspensión y procediera a acreditar documentalmente su contenido.</w:t>
      </w:r>
    </w:p>
    <w:p w:rsidR="00B01F4A" w:rsidRDefault="00B01F4A" w:rsidP="00B01F4A">
      <w:pPr>
        <w:pStyle w:val="TextoNormal"/>
      </w:pPr>
    </w:p>
    <w:p w:rsidR="00B01F4A" w:rsidRDefault="00B01F4A" w:rsidP="00B01F4A">
      <w:pPr>
        <w:pStyle w:val="TextoNormal"/>
      </w:pPr>
      <w:r w:rsidRPr="00B01F4A">
        <w:rPr>
          <w:rStyle w:val="NumeroAFNegritaCaracter"/>
        </w:rPr>
        <w:t>6</w:t>
      </w:r>
      <w:r>
        <w:t>. Por providencia de 25 de noviembre de 1996 se acordó requerir al recurrente por un plazo de diez días, en los términos interesados por el Ministerio Fiscal.</w:t>
      </w:r>
    </w:p>
    <w:p w:rsidR="00B01F4A" w:rsidRDefault="00B01F4A" w:rsidP="00B01F4A">
      <w:pPr>
        <w:pStyle w:val="TextoNormal"/>
      </w:pPr>
    </w:p>
    <w:p w:rsidR="00B01F4A" w:rsidRDefault="00B01F4A" w:rsidP="00B01F4A">
      <w:pPr>
        <w:pStyle w:val="TextoNormal"/>
      </w:pPr>
      <w:r w:rsidRPr="00B01F4A">
        <w:rPr>
          <w:rStyle w:val="NumeroAFNegritaCaracter"/>
        </w:rPr>
        <w:t>7</w:t>
      </w:r>
      <w:r>
        <w:t>. Por escrito presentado el día 4 de diciembre de 1996, el solicitante dio cumplimiento al requerimiento llevado a cabo a tal efecto, en tiempo y forma legal.</w:t>
      </w:r>
    </w:p>
    <w:p w:rsidR="00B01F4A" w:rsidRDefault="00B01F4A" w:rsidP="00B01F4A">
      <w:pPr>
        <w:pStyle w:val="TextoNormal"/>
      </w:pPr>
    </w:p>
    <w:p w:rsidR="00B01F4A" w:rsidRDefault="00B01F4A" w:rsidP="00B01F4A">
      <w:pPr>
        <w:pStyle w:val="TextoNormal"/>
      </w:pPr>
      <w:r w:rsidRPr="00B01F4A">
        <w:rPr>
          <w:rStyle w:val="NumeroAFNegritaCaracter"/>
        </w:rPr>
        <w:t>8</w:t>
      </w:r>
      <w:r>
        <w:t>. Por providencia de 9 de diciembre de 1996, a tenor de lo dispuesto en el artículo 56 de la LOTC, se acordó conceder un plazo de tres días al Ministerio Fiscal para que formulara las alegaciones que estimara pertinentes sobre la suspensión solicitada.</w:t>
      </w:r>
    </w:p>
    <w:p w:rsidR="00B01F4A" w:rsidRDefault="00B01F4A" w:rsidP="00B01F4A">
      <w:pPr>
        <w:pStyle w:val="TextoNormal"/>
      </w:pPr>
    </w:p>
    <w:p w:rsidR="00B01F4A" w:rsidRDefault="00B01F4A" w:rsidP="00B01F4A">
      <w:pPr>
        <w:pStyle w:val="TextoNormal"/>
      </w:pPr>
      <w:r w:rsidRPr="00B01F4A">
        <w:rPr>
          <w:rStyle w:val="NumeroAFNegritaCaracter"/>
        </w:rPr>
        <w:lastRenderedPageBreak/>
        <w:t>9</w:t>
      </w:r>
      <w:r>
        <w:t>. Por providencia de 19 de diciembre de 1996 se tuvo por personado a don Victor E. Mardomingo Herrero, Procurador de los Tribunales, en nombre y representación de don Alberto Esteban de Andrés y don Juan Francisco Lucas Yagüe, concediéndosele a dicha representación procesal un plazo de tres días, de acuerdo con el art. 56 LOTC, para que formulara las alegaciones que estimare pertinentes.</w:t>
      </w:r>
    </w:p>
    <w:p w:rsidR="00B01F4A" w:rsidRDefault="00B01F4A" w:rsidP="00B01F4A">
      <w:pPr>
        <w:pStyle w:val="TextoNormal"/>
      </w:pPr>
    </w:p>
    <w:p w:rsidR="00B01F4A" w:rsidRDefault="00B01F4A" w:rsidP="00B01F4A">
      <w:pPr>
        <w:pStyle w:val="TextoNormal"/>
      </w:pPr>
      <w:r w:rsidRPr="00B01F4A">
        <w:rPr>
          <w:rStyle w:val="NumeroAFNegritaCaracter"/>
        </w:rPr>
        <w:t>10</w:t>
      </w:r>
      <w:r>
        <w:t>. Por escrito de 24 de diciembre de 1996, don Victor E. Mardomingo Herrero, Procurador de los Tribunales, en nombre y representación de don Alberto Esteban de Andrés y don Juan Francisco Lucas Yagüe, manifestó la improcedencia de la suspensión solicitada por el recurrente en amparo.</w:t>
      </w:r>
    </w:p>
    <w:p w:rsidR="00B01F4A" w:rsidRDefault="00B01F4A" w:rsidP="00B01F4A">
      <w:pPr>
        <w:pStyle w:val="TextoNormal"/>
      </w:pPr>
    </w:p>
    <w:p w:rsidR="00B01F4A" w:rsidRDefault="00B01F4A" w:rsidP="00B01F4A">
      <w:pPr>
        <w:pStyle w:val="TextoNormal"/>
      </w:pPr>
      <w:r w:rsidRPr="00B01F4A">
        <w:rPr>
          <w:rStyle w:val="NumeroAFNegritaCaracter"/>
        </w:rPr>
        <w:t>11</w:t>
      </w:r>
      <w:r>
        <w:t>. Por escrito registrado en este Tribunal el día 7 de enero de 1996, por el Ministerio Fiscal se indicó igualmente la improcedencia de la suspensión solicitada.</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B01F4A" w:rsidRDefault="00B01F4A" w:rsidP="00B01F4A">
      <w:pPr>
        <w:pStyle w:val="TextoNormal"/>
      </w:pPr>
      <w:r>
        <w:t>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00B01F4A" w:rsidRDefault="00B01F4A" w:rsidP="00B01F4A">
      <w:pPr>
        <w:pStyle w:val="TextoNormal"/>
      </w:pPr>
      <w:r>
        <w:t>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en los que no procede acordar la suspensión, y aquellos otros fallos judiciales cuya ejecución, por afectar a bienes o derechos del recurrente de imposible restitución a su estado anterior (tales como las condenas penales privativas de libertad, o de privación o limitación de ciertos derechos), en los que es procedente la suspensión de la ejecución de la resolución judicial (vid. AATC 573/1985, 574/1985 y 275/1990, entre otros muchos).</w:t>
      </w:r>
    </w:p>
    <w:p w:rsidR="00B01F4A" w:rsidRDefault="00B01F4A" w:rsidP="00B01F4A">
      <w:pPr>
        <w:pStyle w:val="TextoNormal"/>
      </w:pPr>
    </w:p>
    <w:p w:rsidR="00B01F4A" w:rsidRDefault="00B01F4A" w:rsidP="00B01F4A">
      <w:pPr>
        <w:pStyle w:val="TextoNormal"/>
      </w:pPr>
      <w:r w:rsidRPr="00B01F4A">
        <w:rPr>
          <w:rStyle w:val="NumeroAFNegritaCaracter"/>
        </w:rPr>
        <w:t>2</w:t>
      </w:r>
      <w:r>
        <w:t>. En el presente caso, tal como señala el Ministerio Fiscal en su escrito de alegaciones, deben tenerse en cuenta las siguientes consideraciones:</w:t>
      </w:r>
    </w:p>
    <w:p w:rsidR="00B01F4A" w:rsidRDefault="00B01F4A" w:rsidP="00B01F4A">
      <w:pPr>
        <w:pStyle w:val="TextoNormal"/>
      </w:pPr>
      <w:r>
        <w:lastRenderedPageBreak/>
        <w:t>a) La utilización genérica de los términos empleados por el art. 56 LOTC no puede motivar, sin más, la suspensión de una resolución judicial si no va acompañada de razonamientos aplicables al caso concreto, toda vez que no existe un derecho a la suspensión automática, aun cuando después de la petición se haya admitido a trámite la demanda de amparo. En este sentido no puede equipararse perjuicio irreparable con pérdida del pleito.</w:t>
      </w:r>
    </w:p>
    <w:p w:rsidR="00B01F4A" w:rsidRDefault="00B01F4A" w:rsidP="00B01F4A">
      <w:pPr>
        <w:pStyle w:val="TextoNormal"/>
      </w:pPr>
      <w:r>
        <w:t>b) La no suspensión de las resoluciones recurridas supone la tramitación de la ejecución y la realización del embargo. No obstante, como pone de manifiesto el Auto que resuelve la reposición, es posible el afianzamiento para eludir el embargo. Ello quiere decir que la ejecución trae consigo únicamente un detrimento económico para el declarado deudor en la Sentencia. Al ser eventualmente resarcible el daño patrimonial, no perjudica en absoluto la Sentencia que pudiera dictarse en un futuro, en el que la fianza, ahora exigida por el Juzgado, se cancelaría.</w:t>
      </w:r>
    </w:p>
    <w:p w:rsidR="00B01F4A" w:rsidRDefault="00B01F4A" w:rsidP="00B01F4A">
      <w:pPr>
        <w:pStyle w:val="TextoNormal"/>
      </w:pPr>
      <w:r>
        <w:t>c) Debe primar el interés general en el cumplimiento de la resolución judicial sobre el particular del recurrente.</w:t>
      </w:r>
    </w:p>
    <w:p w:rsidR="00B01F4A" w:rsidRDefault="00B01F4A" w:rsidP="00B01F4A">
      <w:pPr>
        <w:pStyle w:val="TextoNormal"/>
      </w:pPr>
      <w:r>
        <w:t>De conformidad con la doctrina antes expuesta, ha de entenderse que su restitución, en el caso de la eventual estimación del recurso de amparo formulado, no resulta imposible; y ello determina la procedencia de denegar la suspensión solicitada, conforme interesa el Ministerio Fiscal, con independencia de cuál sea el resultado de la demanda de amparo.</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ello, la Sala acuerda denegar la suspensión solicitada.</w:t>
      </w:r>
    </w:p>
    <w:p w:rsidR="00B01F4A" w:rsidRDefault="00B01F4A" w:rsidP="00B01F4A">
      <w:pPr>
        <w:pStyle w:val="TextoNormal"/>
      </w:pPr>
    </w:p>
    <w:p w:rsidR="00B01F4A" w:rsidRDefault="00B01F4A" w:rsidP="00B01F4A">
      <w:pPr>
        <w:pStyle w:val="TextoNormal"/>
      </w:pPr>
      <w:r>
        <w:t>Madrid, a trece de enero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97" w:name="AUTO_1997_7"/>
      <w:r>
        <w:lastRenderedPageBreak/>
        <w:t>AUTO 7/1997, de 13 de enero de 1997</w:t>
      </w:r>
    </w:p>
    <w:bookmarkEnd w:id="97"/>
    <w:p w:rsidR="00B01F4A" w:rsidRDefault="00B01F4A" w:rsidP="00B01F4A">
      <w:pPr>
        <w:pStyle w:val="TtuloResolucin"/>
      </w:pPr>
      <w:r>
        <w:t>Sección Primera</w:t>
      </w:r>
    </w:p>
    <w:p w:rsidR="00B01F4A" w:rsidRDefault="00B01F4A" w:rsidP="00B01F4A">
      <w:pPr>
        <w:pStyle w:val="TtuloResolucin"/>
      </w:pPr>
    </w:p>
    <w:p w:rsidR="00B01F4A" w:rsidRDefault="00B01F4A" w:rsidP="00B01F4A">
      <w:pPr>
        <w:pStyle w:val="SntesisDescriptiva"/>
      </w:pPr>
      <w:r>
        <w:t>ECLI:ES:TC:1997:7A</w:t>
      </w:r>
    </w:p>
    <w:p w:rsidR="00B01F4A" w:rsidRDefault="00B01F4A" w:rsidP="00B01F4A">
      <w:pPr>
        <w:pStyle w:val="SntesisDescriptiva"/>
      </w:pPr>
    </w:p>
    <w:p w:rsidR="00B01F4A" w:rsidRDefault="00B01F4A" w:rsidP="00B01F4A">
      <w:pPr>
        <w:pStyle w:val="SntesisDescriptiva"/>
      </w:pPr>
      <w:r>
        <w:t>Excms. Srs. don Álvaro Rodríguez Bereijo, don Pedro Cruz Villalón y don Enrique Ruiz Vadillo.</w:t>
      </w:r>
    </w:p>
    <w:p w:rsidR="00B01F4A" w:rsidRDefault="00B01F4A" w:rsidP="00B01F4A">
      <w:pPr>
        <w:pStyle w:val="SntesisDescriptiva"/>
      </w:pPr>
    </w:p>
    <w:p w:rsidR="00B01F4A" w:rsidRDefault="00B01F4A" w:rsidP="00B01F4A">
      <w:pPr>
        <w:pStyle w:val="SntesisDescriptiva"/>
      </w:pPr>
      <w:r>
        <w:t>Desestimando recurso de súplica contra providencia de 25 de noviembre de 1996 dictada en el recurso de amparo 3.380/1996.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98" w:name="AUTO_1997_8"/>
      <w:r>
        <w:lastRenderedPageBreak/>
        <w:t>AUTO 8/1997, de 13 de enero de 1997</w:t>
      </w:r>
    </w:p>
    <w:bookmarkEnd w:id="98"/>
    <w:p w:rsidR="00B01F4A" w:rsidRDefault="00B01F4A" w:rsidP="00B01F4A">
      <w:pPr>
        <w:pStyle w:val="TtuloResolucin"/>
      </w:pPr>
      <w:r>
        <w:t>Sala Primera</w:t>
      </w:r>
    </w:p>
    <w:p w:rsidR="00B01F4A" w:rsidRDefault="00B01F4A" w:rsidP="00B01F4A">
      <w:pPr>
        <w:pStyle w:val="TtuloResolucin"/>
      </w:pPr>
    </w:p>
    <w:p w:rsidR="00B01F4A" w:rsidRDefault="00B01F4A" w:rsidP="00B01F4A">
      <w:pPr>
        <w:pStyle w:val="SntesisDescriptiva"/>
      </w:pPr>
      <w:r>
        <w:t>ECLI:ES:TC:1997:8A</w:t>
      </w:r>
    </w:p>
    <w:p w:rsidR="00B01F4A" w:rsidRDefault="00B01F4A" w:rsidP="00B01F4A">
      <w:pPr>
        <w:pStyle w:val="SntesisDescriptiva"/>
      </w:pPr>
    </w:p>
    <w:p w:rsidR="00B01F4A" w:rsidRDefault="00B01F4A" w:rsidP="00B01F4A">
      <w:pPr>
        <w:pStyle w:val="SntesisDescriptiva"/>
      </w:pPr>
      <w:r>
        <w:t>Excms. Srs. don Álvaro Rodríguez Bereijo, don José Vicente Gimeno Sendra, don Pedro Cruz Villalón, don Enrique Ruiz Vadillo, don Manuel Jiménez de Parga y Cabrera y don Pablo García Manzano.</w:t>
      </w:r>
    </w:p>
    <w:p w:rsidR="00B01F4A" w:rsidRDefault="00B01F4A" w:rsidP="00B01F4A">
      <w:pPr>
        <w:pStyle w:val="SntesisDescriptiva"/>
      </w:pPr>
    </w:p>
    <w:p w:rsidR="00B01F4A" w:rsidRDefault="00B01F4A" w:rsidP="00B01F4A">
      <w:pPr>
        <w:pStyle w:val="SntesisDescriptiva"/>
      </w:pPr>
      <w:r>
        <w:t>Denegando la suspensión de la ejecución del acto que origina el recurso de amparo 3.951/1996.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en este Tribunal el 5 de noviembre de 1996, el Procurador de los Tribunales don Pedro Antonio Pardillo Larena, en nombre y representación de don Marcos Espigares Frías, interpuso recurso de amparo contra los Autos de la Sección Segunda de la Audiencia Provincial de Girona, de 12 de, agosto y 9 de octubre de 1996, confirmatorio el segundo en súplica del primero, sobre liquidación de condena privativa de libertad.</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De la demanda y documentos aportados con ella resultan, en esencia, los siguientes hechos relevantes: </w:t>
      </w:r>
    </w:p>
    <w:p w:rsidR="00B01F4A" w:rsidRDefault="00B01F4A" w:rsidP="00B01F4A">
      <w:pPr>
        <w:pStyle w:val="TextoNormal"/>
      </w:pPr>
      <w:r>
        <w:t xml:space="preserve">a) Por Auto de 25 de mayo de 1996, la Sección Segunda de la Audiencia Provincial de Girona procedió, en aplicación de las Disposiciones transitorias primera y segunda del nuevo Código Penal de 23 de noviembre de 1995, a la revisión de la pena impuesta al aquí recurrente por Sentencia firme de 17 de enero de 1996. Dicha revisión no fue recurrida. </w:t>
      </w:r>
    </w:p>
    <w:p w:rsidR="00B01F4A" w:rsidRDefault="00B01F4A" w:rsidP="00B01F4A">
      <w:pPr>
        <w:pStyle w:val="TextoNormal"/>
      </w:pPr>
      <w:r>
        <w:t xml:space="preserve">b) De conformidad con la revisión efectuada, la misma Sección Segunda de la Audiencia Provincial de Girona, por Auto de 12 de agosto de 1996, aprobó la liquidación de la condena de privación de libertad del recurrente. Concretado el tiempo de duración total de la condena en dos mil quince días de prisión y, teniendo en cuenta el tiempo ya cumplido en prisión preventiva, se declararon pendientes de cumplimiento (a fecha de 17 de enero de 1996) mil seiscientos noventa y seis días. </w:t>
      </w:r>
    </w:p>
    <w:p w:rsidR="00B01F4A" w:rsidRDefault="00B01F4A" w:rsidP="00B01F4A">
      <w:pPr>
        <w:pStyle w:val="TextoNormal"/>
      </w:pPr>
      <w:r>
        <w:t xml:space="preserve">c) Contra dicha resolución, el hoy demandante de amparo interpuso recurso de súplica, alegando que no se habían tenido en cuenta en la liquidación los beneficios penitenciarios (redenciones ordinarias y extraordinarias) que, aprobados por el Juzgado de Vigilancia Penitenciaria de Barcelona, había obtenido hasta la fecha de revisión de la condena, y que ascendían a un total de trescientos treinta y un días. </w:t>
      </w:r>
    </w:p>
    <w:p w:rsidR="00B01F4A" w:rsidRDefault="00B01F4A" w:rsidP="00B01F4A">
      <w:pPr>
        <w:pStyle w:val="TextoNormal"/>
      </w:pPr>
      <w:r>
        <w:t>d) Dicho recurso fue desestimado por Auto de la misma Sección de la Audiencia Provincial de Girona de 9 de octubre 1996, que confirmó la liquidación practicada por el anterior.</w:t>
      </w:r>
    </w:p>
    <w:p w:rsidR="00B01F4A" w:rsidRDefault="00B01F4A" w:rsidP="00B01F4A">
      <w:pPr>
        <w:pStyle w:val="TextoNormal"/>
      </w:pPr>
    </w:p>
    <w:p w:rsidR="00B01F4A" w:rsidRDefault="00B01F4A" w:rsidP="00B01F4A">
      <w:pPr>
        <w:pStyle w:val="TextoNormal"/>
      </w:pPr>
      <w:r w:rsidRPr="00B01F4A">
        <w:rPr>
          <w:rStyle w:val="NumeroAFNegritaCaracter"/>
        </w:rPr>
        <w:lastRenderedPageBreak/>
        <w:t>3</w:t>
      </w:r>
      <w:r>
        <w:t xml:space="preserve">. El recurrente entiende que los Autos impugnados han vulnerado su derecho a la tutela judicial efectiva (art. 24.1 C.E.), como derecho a la intangibilidad de las resoluciones judiciales firmes, por cuanto no se han tenido en cuenta, a la hora de practicar la liquidación de la condena, los Autos firmes del Juzgado de Vigilancia Penitenciaria de Barcelona que habían aprobado sus redenciones ordinarias y extraordinarias de pena, en contra de la doctrina establecida en la STC 174/1989 sobre la intangibilidad de las resoluciones judiciales firmes de los Jueces de Vigilancia Penitenciaria, y en virtud de una interpretación de lo dispuesto en la Disposición transitoria segunda del nuevo Código Penal que no se compadece con lo declarado por la Sentencia del Tribunal Supremo de 18 de julio de 1996. </w:t>
      </w:r>
    </w:p>
    <w:p w:rsidR="00B01F4A" w:rsidRDefault="00B01F4A" w:rsidP="00B01F4A">
      <w:pPr>
        <w:pStyle w:val="TextoNormal"/>
      </w:pPr>
      <w:r>
        <w:t xml:space="preserve">Por esta razón, el recurrente solicita el otorgamiento del amparo y la anulación de los Autos impugnados. </w:t>
      </w:r>
    </w:p>
    <w:p w:rsidR="00B01F4A" w:rsidRDefault="00B01F4A" w:rsidP="00B01F4A">
      <w:pPr>
        <w:pStyle w:val="TextoNormal"/>
      </w:pPr>
      <w:r>
        <w:t>También se solicita en la demanda la suspensión de la ejecución de dichos Autos, ya que de lo contrario se le podría causar un perjuicio, consistente en cumplir trescientos treinta y un días más de condena, que haría perder al amparo su finalidad, sin que la suspensión produzca perturbación alguna de los intereses generales o de los derechos fundamentales o libertades públicas de un tercero.</w:t>
      </w:r>
    </w:p>
    <w:p w:rsidR="00B01F4A" w:rsidRDefault="00B01F4A" w:rsidP="00B01F4A">
      <w:pPr>
        <w:pStyle w:val="TextoNormal"/>
      </w:pPr>
    </w:p>
    <w:p w:rsidR="00B01F4A" w:rsidRDefault="00B01F4A" w:rsidP="00B01F4A">
      <w:pPr>
        <w:pStyle w:val="TextoNormal"/>
      </w:pPr>
      <w:r w:rsidRPr="00B01F4A">
        <w:rPr>
          <w:rStyle w:val="NumeroAFNegritaCaracter"/>
        </w:rPr>
        <w:t>4</w:t>
      </w:r>
      <w:r>
        <w:t>. Por providencia de 2 de diciembre de 1996, la Sección Primera de este Tribunal acordó admitir a trámite la demanda de amparo, sin perjuicio de lo que resulte de los antecedentes, y, a tenor de lo dispuesto en el art. 51 LOTC, requerir atentamente a la Sección Segunda de la Audiencia Provincial de Girona para que remitiera testimonio de las actuaciones relativas a la ejecutoria 9/96, interesando al propio tiempo el emplazamiento de quienes fueron parte en el procedimiento, con excepción del solicitante de amparo, para su posible comparecencia en el presente proceso constitucional; acordó asimismo formar la oportuna pieza separada de suspensión.</w:t>
      </w:r>
    </w:p>
    <w:p w:rsidR="00B01F4A" w:rsidRDefault="00B01F4A" w:rsidP="00B01F4A">
      <w:pPr>
        <w:pStyle w:val="TextoNormal"/>
      </w:pPr>
    </w:p>
    <w:p w:rsidR="00B01F4A" w:rsidRDefault="00B01F4A" w:rsidP="00B01F4A">
      <w:pPr>
        <w:pStyle w:val="TextoNormal"/>
      </w:pPr>
      <w:r w:rsidRPr="00B01F4A">
        <w:rPr>
          <w:rStyle w:val="NumeroAFNegritaCaracter"/>
        </w:rPr>
        <w:t>5</w:t>
      </w:r>
      <w:r>
        <w:t>. Por providencia de la misma fecha, la Sección Primera acordó tener por formada la presente pieza separada de suspensión y, de conformidad con lo previsto en el art. 56 LOTC, conceder al Ministerio Fiscal y al solicitante del amparo un plazo común de tres días para alegaciones sobre dicha suspensión.</w:t>
      </w:r>
    </w:p>
    <w:p w:rsidR="00B01F4A" w:rsidRDefault="00B01F4A" w:rsidP="00B01F4A">
      <w:pPr>
        <w:pStyle w:val="TextoNormal"/>
      </w:pPr>
    </w:p>
    <w:p w:rsidR="00B01F4A" w:rsidRDefault="00B01F4A" w:rsidP="00B01F4A">
      <w:pPr>
        <w:pStyle w:val="TextoNormal"/>
      </w:pPr>
      <w:r w:rsidRPr="00B01F4A">
        <w:rPr>
          <w:rStyle w:val="NumeroAFNegritaCaracter"/>
        </w:rPr>
        <w:t>6</w:t>
      </w:r>
      <w:r>
        <w:t>. Mediante escrito registrado en este Tribunal el 11 de diciembre de 1996, la representación procesal del recurrente se limitó a suplicar que se tuviera por reproducido el texto de la demanda de amparo.</w:t>
      </w:r>
    </w:p>
    <w:p w:rsidR="00B01F4A" w:rsidRDefault="00B01F4A" w:rsidP="00B01F4A">
      <w:pPr>
        <w:pStyle w:val="TextoNormal"/>
      </w:pPr>
    </w:p>
    <w:p w:rsidR="00B01F4A" w:rsidRDefault="00B01F4A" w:rsidP="00B01F4A">
      <w:pPr>
        <w:pStyle w:val="TextoNormal"/>
      </w:pPr>
      <w:r w:rsidRPr="00B01F4A">
        <w:rPr>
          <w:rStyle w:val="NumeroAFNegritaCaracter"/>
        </w:rPr>
        <w:t>7</w:t>
      </w:r>
      <w:r>
        <w:t xml:space="preserve">. Por su parte, el Ministerio Fiscal registró su escrito de alegaciones el 16 de diciembre de 1996, mostrándose a favor de la suspensión en los siguientes términos: </w:t>
      </w:r>
    </w:p>
    <w:p w:rsidR="00B01F4A" w:rsidRDefault="00B01F4A" w:rsidP="00B01F4A">
      <w:pPr>
        <w:pStyle w:val="TextoNormal"/>
      </w:pPr>
      <w:r>
        <w:t xml:space="preserve">Comienza advirtiendo que en el presente recurso de amparo se impugna (por vulneración del derecho a la tutela judicial efectiva) no la condena impuesta que el demandante se halla cumpliendo, sino la liquidación que de ella se ha hecho por el Tribunal, y exclusivamente en lo que se refiere a no haberse computado el tiempo de redención por el trabajo, tanto ordinaria como extraordinaria. </w:t>
      </w:r>
    </w:p>
    <w:p w:rsidR="00B01F4A" w:rsidRDefault="00B01F4A" w:rsidP="00B01F4A">
      <w:pPr>
        <w:pStyle w:val="TextoNormal"/>
      </w:pPr>
      <w:r>
        <w:t xml:space="preserve">Desde este planteamiento, el Ministerio Fiscal no ve inconveniente en la suspensión de la ejecución de las resoluciones impugnadas por razones de interés general y derechos fundamentales de un tercero, si bien tal suspensión debe entenderse referida de modo exclusivo al extremo concreto de la no inclusión en la liquidación del tiempo redimido por el trabajo, y, en consecuencia, no debe implicar la interrupción del cumplimiento de la condena hasta </w:t>
      </w:r>
      <w:r>
        <w:lastRenderedPageBreak/>
        <w:t xml:space="preserve">el límite procedente para el caso de que el amparo fuera estimado y debiera adelantarse, si procediera, la aplicación del art. 90 y concordantes del Código Penal (libertad condicional). </w:t>
      </w:r>
    </w:p>
    <w:p w:rsidR="00B01F4A" w:rsidRDefault="00B01F4A" w:rsidP="00B01F4A">
      <w:pPr>
        <w:pStyle w:val="TextoNormal"/>
      </w:pPr>
      <w:r>
        <w:t>Mediante otrosí, el Ministerio Fiscal somete también a la consideración de la Sala la conveniencia de acelerar en la medida de lo posible la resolución por Sentencia del presente recurso, habida cuenta de su objeto y trascendencia en orden a la determinación de la pena que efectivamente debe cumplir el recurrente, y por analogía a lo acordado, entre otros, en el ATC 169/1995.</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B01F4A" w:rsidRDefault="00B01F4A" w:rsidP="00B01F4A">
      <w:pPr>
        <w:pStyle w:val="TextoNormal"/>
      </w:pPr>
      <w:r>
        <w:t>En la interpretación de la referida disposición, este Tribunal mantiene que, cuando el recurso se dirige contra resoluciones judiciales, lo más acorde con el interés general es su cumplimiento, que dota de efectividad a la tutela judicial consagrada por el art. 24.1 C.E., por lo que, en tales casos, será necesario que se acredite suficientemente la irreparabilidad del perjuicio que pudiera traer consigo la ejecución de la resolución impugnada, privando al amparo de su finalidad, para que la medida consolar que se interesa pueda prosperar.</w:t>
      </w:r>
    </w:p>
    <w:p w:rsidR="00B01F4A" w:rsidRDefault="00B01F4A" w:rsidP="00B01F4A">
      <w:pPr>
        <w:pStyle w:val="TextoNormal"/>
      </w:pPr>
      <w:r>
        <w:t>Conforme a tal criterio interpretativo, este Tribunal viene distinguiendo entre las resoluciones judiciales cuya efectividad no impediría que, caso de prosperar el amparo, las cosas pudieran ser devueltas al estado en que se hallaban antes de la ejecución (lo que sucede, en principio, con las resoluciones con efectos meramente económicos), y aquellas otras que afectan a bienes o derechos de difícil o imposible reparación a su estado anterior (como el derecho a la libertad personal), caso este último en el cual la regla general que se sigue es la suspensión de la ejecución de las resoluciones durante la tramitación del recurso de amparo (ATC 76/1996). No obstante, dicha regla presenta también excepciones en atención a las circunstancias concurrentes en el caso, como pueden ser la duración de la pena impuesta y el tiempo que puede tardar la resolución del recurso de amparo (AATC 101/1996 y 226/1996), pues, en definitiva, el criterio que ha de observarse en materia de suspensión es el de la preservación de la eficacia de un posible pronunciamiento estimatorio (ATC 258/1996)</w:t>
      </w:r>
    </w:p>
    <w:p w:rsidR="00B01F4A" w:rsidRDefault="00B01F4A" w:rsidP="00B01F4A">
      <w:pPr>
        <w:pStyle w:val="TextoNormal"/>
      </w:pPr>
    </w:p>
    <w:p w:rsidR="00B01F4A" w:rsidRDefault="00B01F4A" w:rsidP="00B01F4A">
      <w:pPr>
        <w:pStyle w:val="TextoNormal"/>
      </w:pPr>
      <w:r w:rsidRPr="00B01F4A">
        <w:rPr>
          <w:rStyle w:val="NumeroAFNegritaCaracter"/>
        </w:rPr>
        <w:t>2</w:t>
      </w:r>
      <w:r>
        <w:t>. En el presente recurso se impugna el Auto de la Sección Segunda de la Audiencia Provincial de Girona (confirmado en súplica por otro de la misma Sección) en virtud del cual se practicó la liquidación de la condena privativa de libertad del hoy demandante de amparo (tras la revisión de la misma efectuada en aplicación de las Disposiciones transitorias del nuevo Código Penal), por no haber sido descontadas en dicha liquidación las redenciones ordinarias y extraordinarias aprobadas por resoluciones judiciales firmes del Juzgado de Vigilancia de Barcelona hasta la fecha de la revisión; y se solicita la suspensión de dichos Autos alegando que su ejecución podría causar al recurrente un perjuicio que haría perder al amparo su finalidad, a saber: el cumplimiento de los días de condena no descontados.</w:t>
      </w:r>
    </w:p>
    <w:p w:rsidR="00B01F4A" w:rsidRDefault="00B01F4A" w:rsidP="00B01F4A">
      <w:pPr>
        <w:pStyle w:val="TextoNormal"/>
      </w:pPr>
      <w:r>
        <w:t xml:space="preserve">Pues bien, a la vista de la doctrina anteriormente expuesta y de las circunstancias del caso reflejadas en los antecedentes, esta Sala entiende que en el momento presente no concurren </w:t>
      </w:r>
      <w:r>
        <w:lastRenderedPageBreak/>
        <w:t>los requisitos precisos para acceder a la suspensión solicitada, ni siquiera en los términos matizados que propone el Ministerio Fiscal, que vendrían a equivaler a la sustitución consolar de la liquidación practicada por otra conforme con las pretensiones del recurrente.</w:t>
      </w:r>
    </w:p>
    <w:p w:rsidR="00B01F4A" w:rsidRDefault="00B01F4A" w:rsidP="00B01F4A">
      <w:pPr>
        <w:pStyle w:val="TextoNormal"/>
      </w:pPr>
      <w:r>
        <w:t>En efecto, en primer lugar hay que tener presente que el mantenimiento consolar de la liquidación en la duración acordada por la Audiencia Provincial no es susceptible de producir al recurrente perjuicio alguno con carácter inmediato, puesto que lo que se cuestiona no es el término inicial, sino únicamente el término final del cumplimiento de una condena que ya se viene cumpliendo. Sentada esta premisa, la suspensión sólo procedería eventualmente en el caso de que existiera la probabilidad de que tales perjuicios se concretaran antes de que el presente recurso quedara resuelto, cosa que no cabe entender suceda en el caso presente si se tiene en cuenta el tiempo de condena que, al día de hoy, aún resta por cumplir antes de que pudieran desplegar algún efecto las reducciones interesadas (más de un año en cualquier caso), y contando con un plazo razonable para la resolución del presente recurso.</w:t>
      </w:r>
    </w:p>
    <w:p w:rsidR="00B01F4A" w:rsidRDefault="00B01F4A" w:rsidP="00B01F4A">
      <w:pPr>
        <w:pStyle w:val="TextoNormal"/>
      </w:pPr>
      <w:r>
        <w:t>Sin perjuicio de lo anterior, y precisamente para evitar el eventual acaecimiento de cualquier clase de perjuicios, esta Sala acuerda (conforme a la sugerencia también expresada por el Ministerio Fiscal) acelerar la resolución del presente recurso, otorgando a su tramitación carácter preferente (como se ha hecho en otros casos, por todos, AATC 169/1995 y 249/1996)</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lo expuesto, la Sala acuerda denegar la suspensión solicitada.</w:t>
      </w:r>
    </w:p>
    <w:p w:rsidR="00B01F4A" w:rsidRDefault="00B01F4A" w:rsidP="00B01F4A">
      <w:pPr>
        <w:pStyle w:val="TextoNormal"/>
      </w:pPr>
    </w:p>
    <w:p w:rsidR="00B01F4A" w:rsidRDefault="00B01F4A" w:rsidP="00B01F4A">
      <w:pPr>
        <w:pStyle w:val="TextoNormal"/>
      </w:pPr>
      <w:r>
        <w:t>Madrid, a trece de enero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99" w:name="AUTO_1997_9"/>
      <w:r>
        <w:lastRenderedPageBreak/>
        <w:t>AUTO 9/1997, de 14 de enero de 1997</w:t>
      </w:r>
    </w:p>
    <w:bookmarkEnd w:id="99"/>
    <w:p w:rsidR="00B01F4A" w:rsidRDefault="00B01F4A" w:rsidP="00B01F4A">
      <w:pPr>
        <w:pStyle w:val="TtuloResolucin"/>
      </w:pPr>
      <w:r>
        <w:t>Sala Primera</w:t>
      </w:r>
    </w:p>
    <w:p w:rsidR="00B01F4A" w:rsidRDefault="00B01F4A" w:rsidP="00B01F4A">
      <w:pPr>
        <w:pStyle w:val="TtuloResolucin"/>
      </w:pPr>
    </w:p>
    <w:p w:rsidR="00B01F4A" w:rsidRDefault="00B01F4A" w:rsidP="00B01F4A">
      <w:pPr>
        <w:pStyle w:val="SntesisDescriptiva"/>
      </w:pPr>
      <w:r>
        <w:t>ECLI:ES:TC:1997:9A</w:t>
      </w:r>
    </w:p>
    <w:p w:rsidR="00B01F4A" w:rsidRDefault="00B01F4A" w:rsidP="00B01F4A">
      <w:pPr>
        <w:pStyle w:val="SntesisDescriptiva"/>
      </w:pPr>
    </w:p>
    <w:p w:rsidR="00B01F4A" w:rsidRDefault="00B01F4A" w:rsidP="00B01F4A">
      <w:pPr>
        <w:pStyle w:val="SntesisDescriptiva"/>
      </w:pPr>
      <w:r>
        <w:t>Excms. Srs. don Álvaro Rodríguez Bereijo, don José Vicente Gimeno Sendra, don Pedro Cruz Villalón, don Enrique Ruiz Vadillo, don Manuel Jiménez de Parga y Cabrera y don Pablo García Manzano.</w:t>
      </w:r>
    </w:p>
    <w:p w:rsidR="00B01F4A" w:rsidRDefault="00B01F4A" w:rsidP="00B01F4A">
      <w:pPr>
        <w:pStyle w:val="SntesisDescriptiva"/>
      </w:pPr>
    </w:p>
    <w:p w:rsidR="00B01F4A" w:rsidRDefault="00B01F4A" w:rsidP="00B01F4A">
      <w:pPr>
        <w:pStyle w:val="SntesisDescriptiva"/>
      </w:pPr>
      <w:r>
        <w:t>Acordando la suspensión parcial de la ejecución del acto que origina el recurso de amparo 3.548/1996.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Por escrito registrado en este Tribunal el 2 de octubre de 1996, el Procurador de los Tribunales don Isacio Calleja García, en nombre y representación de don Francisco Javier Rodríguez Rufino y don Miguel Sabio Estévez, interpuso recurso de amparo contra la Sentencia dictada por la Audiencia Provincial de Vizcaya de 6 de junio de 1996, en recurso de apelación contra la Sentencia del Juzgado de lo Penal núm. 1 de Bilbao.</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Los hechos que se deducen de la demanda, sucintamente expuestos, son los siguientes: </w:t>
      </w:r>
    </w:p>
    <w:p w:rsidR="00B01F4A" w:rsidRDefault="00B01F4A" w:rsidP="00B01F4A">
      <w:pPr>
        <w:pStyle w:val="TextoNormal"/>
      </w:pPr>
      <w:r>
        <w:t xml:space="preserve">a) El Juzgado de lo Penal núm. 1 de Bilbao dictó Sentencia, de fecha 5 de octubre de 1995, absolviendo a los hoy recurrentes de sendos delitos contra la salud pública, en su modalidad de tráfico de drogas que no causan grave daño a la salud, de los que habían sido acusados por el Ministerio Fiscal, solicitando la imposición, a cada uno de ellos, de las penas de un año de prisión menor, de accesorias legales y multa de 500.000 pesetas, con sesenta días de arresto sustitutorio en caso de impago. </w:t>
      </w:r>
    </w:p>
    <w:p w:rsidR="00B01F4A" w:rsidRDefault="00B01F4A" w:rsidP="00B01F4A">
      <w:pPr>
        <w:pStyle w:val="TextoNormal"/>
      </w:pPr>
      <w:r>
        <w:t xml:space="preserve">b) Contra la Sentencia absolutoria interpuso el Ministerio Fiscal recurso de apelación interesando la revocación de la Sentencia con la condena de ambos imputados a las penas solicitadas en su escrito de acusación. </w:t>
      </w:r>
    </w:p>
    <w:p w:rsidR="00B01F4A" w:rsidRDefault="00B01F4A" w:rsidP="00B01F4A">
      <w:pPr>
        <w:pStyle w:val="TextoNormal"/>
      </w:pPr>
      <w:r>
        <w:t xml:space="preserve">La Sala, estimando necesaria la celebración de vista, señaló como fecha para la misma el día 5 de junio de 1996. El recurso de apelación fue impugnado por los hoy recurrentes. </w:t>
      </w:r>
    </w:p>
    <w:p w:rsidR="00B01F4A" w:rsidRDefault="00B01F4A" w:rsidP="00B01F4A">
      <w:pPr>
        <w:pStyle w:val="TextoNormal"/>
      </w:pPr>
      <w:r>
        <w:t xml:space="preserve">c) La vista del recurso de apelación se celebró sin la asistencia del Letrado designado para la defensa de los apelados que, si bien comunicó a la Sala que tenía señalada ese mismo día otra vista ante la Audiencia Provincial de San Sebastián, no interesó su suspensión. </w:t>
      </w:r>
    </w:p>
    <w:p w:rsidR="00B01F4A" w:rsidRDefault="00B01F4A" w:rsidP="00B01F4A">
      <w:pPr>
        <w:pStyle w:val="TextoNormal"/>
      </w:pPr>
      <w:r>
        <w:t>d) La Audiencia Provincial de Vizcaya dictó Sentencia el 6 de junio, estimando el recurso de apelación interpuesto por el Ministerio Fiscal y revocando la Sentencia apelada, condenó a los acusados a «la pena de un año seis meses de arresto mayor (sic) y multa de 500.000 pesetas, con sesenta días de arresto sustitutorio en caso de impago.</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En la demanda de amparo se alega, en primer término, vulneración del derecho de defensa, y, como motivo subsidiario de amparo, vulneración del derecho a ser informados de la acusación (art. 24.2 C.E.). </w:t>
      </w:r>
    </w:p>
    <w:p w:rsidR="00B01F4A" w:rsidRDefault="00B01F4A" w:rsidP="00B01F4A">
      <w:pPr>
        <w:pStyle w:val="TextoNormal"/>
      </w:pPr>
      <w:r>
        <w:lastRenderedPageBreak/>
        <w:t>Se solicita que, con reconocimiento del primero de los citados derechos fundamentales, se declare la nulidad de la Sentencia de la Audiencia Provincial de Vizcaya y del acto de la vista, ordenando retrotraer las actuaciones al momento anterior al señalamiento de la vista. Subsidiariamente, se solicita la anulación del fallo de la Sentencia mencionada, ordenando dictar otra que se ajuste al contenido del derecho fundamental vulnerado, así como la suspensión de la ejecución de la Sentencia recurrida.</w:t>
      </w:r>
    </w:p>
    <w:p w:rsidR="00B01F4A" w:rsidRDefault="00B01F4A" w:rsidP="00B01F4A">
      <w:pPr>
        <w:pStyle w:val="TextoNormal"/>
      </w:pPr>
    </w:p>
    <w:p w:rsidR="00B01F4A" w:rsidRDefault="00B01F4A" w:rsidP="00B01F4A">
      <w:pPr>
        <w:pStyle w:val="TextoNormal"/>
      </w:pPr>
      <w:r w:rsidRPr="00B01F4A">
        <w:rPr>
          <w:rStyle w:val="NumeroAFNegritaCaracter"/>
        </w:rPr>
        <w:t>4</w:t>
      </w:r>
      <w:r>
        <w:t>. La Sección Segunda de este Tribunal admitió el recurso a trámite por providencia de 27 de noviembre de 1996 y, por otra providencia de la misma fecha acordó formar la correspondiente pieza separada de suspensión. De conformidad con lo prevenido en el art. 56 de la Ley Orgánica del Tribunal Constitucional, concedió un plazo común de tres días al Ministerio Fiscal y al solicitante de amparo, para que dentro de dicho término alegaren lo que estimaren oportuno en relación con la petición de suspensión interesada.</w:t>
      </w:r>
    </w:p>
    <w:p w:rsidR="00B01F4A" w:rsidRDefault="00B01F4A" w:rsidP="00B01F4A">
      <w:pPr>
        <w:pStyle w:val="TextoNormal"/>
      </w:pPr>
    </w:p>
    <w:p w:rsidR="00B01F4A" w:rsidRDefault="00B01F4A" w:rsidP="00B01F4A">
      <w:pPr>
        <w:pStyle w:val="TextoNormal"/>
      </w:pPr>
      <w:r w:rsidRPr="00B01F4A">
        <w:rPr>
          <w:rStyle w:val="NumeroAFNegritaCaracter"/>
        </w:rPr>
        <w:t>5</w:t>
      </w:r>
      <w:r>
        <w:t>. Mediante escrito que tuvo entrada en este Tribunal el 10 de diciembre de 1996, el Fiscal, con fundamento en las resoluciones de este Tribunal que cita, estima procedente la suspensión de las penas privativas de libertad.</w:t>
      </w:r>
    </w:p>
    <w:p w:rsidR="00B01F4A" w:rsidRDefault="00B01F4A" w:rsidP="00B01F4A">
      <w:pPr>
        <w:pStyle w:val="TextoNormal"/>
      </w:pPr>
    </w:p>
    <w:p w:rsidR="00B01F4A" w:rsidRDefault="00B01F4A" w:rsidP="00B01F4A">
      <w:pPr>
        <w:pStyle w:val="TextoNormal"/>
      </w:pPr>
      <w:r w:rsidRPr="00B01F4A">
        <w:rPr>
          <w:rStyle w:val="NumeroAFNegritaCaracter"/>
        </w:rPr>
        <w:t>6</w:t>
      </w:r>
      <w:r>
        <w:t xml:space="preserve">. El demandante de amparo, evacuando el anterior traslado en escrito presentado en el Juzgado de Guardia el 2 de diciembre de 1996, reitera su petición de suspensión. </w:t>
      </w:r>
    </w:p>
    <w:p w:rsidR="00B01F4A" w:rsidRDefault="00B01F4A" w:rsidP="00B01F4A">
      <w:pPr>
        <w:pStyle w:val="TextoNormal"/>
      </w:pPr>
      <w:r>
        <w:t>Alega que, aún en el supuesto de que este Tribunal sólo otorgare el amparo por el motivo subsidiariamente alegado, el fallo condenatorio podría quedar reducido a un año de prisión menor, por lo cual, a tenor de lo establecido en el Código Penal vigente en el momento de comisión de los hechos, tendrían derecho a obtener la condena condicional.</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art. 56.1 LOTC dispone que sólo procede la suspensión de los actos de los poderes públicos a los que se impute una vulneración de derechos fundamentales cuando la ejecución hubiere de ocasionar un perjuicio que hiciere perder al amparo su finalidad.</w:t>
      </w:r>
    </w:p>
    <w:p w:rsidR="00B01F4A" w:rsidRDefault="00B01F4A" w:rsidP="00B01F4A">
      <w:pPr>
        <w:pStyle w:val="TextoNormal"/>
      </w:pPr>
      <w:r>
        <w:t>No obstante, permite denegar la suspensión cuando de ésta pueda seguirse perturbación grave de los intereses generales o de los derechos fundamentales de un tercero.</w:t>
      </w:r>
    </w:p>
    <w:p w:rsidR="00B01F4A" w:rsidRDefault="00B01F4A" w:rsidP="00B01F4A">
      <w:pPr>
        <w:pStyle w:val="TextoNormal"/>
      </w:pPr>
    </w:p>
    <w:p w:rsidR="00B01F4A" w:rsidRDefault="00B01F4A" w:rsidP="00B01F4A">
      <w:pPr>
        <w:pStyle w:val="TextoNormal"/>
      </w:pPr>
      <w:r w:rsidRPr="00B01F4A">
        <w:rPr>
          <w:rStyle w:val="NumeroAFNegritaCaracter"/>
        </w:rPr>
        <w:t>2</w:t>
      </w:r>
      <w:r>
        <w:t>. Ante supuestos de penas privativas de libertad o de derechos, el Tribunal ha entendido que la ejecución de la sentencia condenatoria podría hacer perder, total o parcialmente, su finalidad al amparo, por lo que la regla general ha sido conceder la suspensión, una vez admitido éste, aunque eso significase paralizar la ejecución de una Sentencia firme (AATC 98/1983, 144/1984, 179/1984, 174/1985, 116/1990 y 120/1993, entre otros).</w:t>
      </w:r>
    </w:p>
    <w:p w:rsidR="00B01F4A" w:rsidRDefault="00B01F4A" w:rsidP="00B01F4A">
      <w:pPr>
        <w:pStyle w:val="TextoNormal"/>
      </w:pPr>
      <w:r>
        <w:t>Sin embargo, ha denegado la suspensión, atendiendo a los intereses públicos inherentes a la idea de que ciertas condenas, dada su trascendencia, han de cumplirse de inmediato sin perjuicio del posterior otorgamiento del amparo si resulta procedente.</w:t>
      </w:r>
    </w:p>
    <w:p w:rsidR="00B01F4A" w:rsidRDefault="00B01F4A" w:rsidP="00B01F4A">
      <w:pPr>
        <w:pStyle w:val="TextoNormal"/>
      </w:pPr>
      <w:r>
        <w:t>Esa denegación se ha efectuado, pues, sobre la base de ponderar los derechos constitucionales en juego con los intereses generales que, en concreto, operan en el cumplimiento de la Sentencia, determinados por la naturaleza y circunstancias del delito, gravedad de la pena impuesta y estado de su cumplimiento.</w:t>
      </w:r>
    </w:p>
    <w:p w:rsidR="00B01F4A" w:rsidRDefault="00B01F4A" w:rsidP="00B01F4A">
      <w:pPr>
        <w:pStyle w:val="TextoNormal"/>
      </w:pPr>
    </w:p>
    <w:p w:rsidR="00B01F4A" w:rsidRDefault="00B01F4A" w:rsidP="00B01F4A">
      <w:pPr>
        <w:pStyle w:val="TextoNormal"/>
      </w:pPr>
      <w:r w:rsidRPr="00B01F4A">
        <w:rPr>
          <w:rStyle w:val="NumeroAFNegritaCaracter"/>
        </w:rPr>
        <w:lastRenderedPageBreak/>
        <w:t>3</w:t>
      </w:r>
      <w:r>
        <w:t>. En el presente caso, atendiendo no sólo a la naturaleza del delito sino a la indefinición de la duración de la pena privativa de libertad impuesta en la Sentencia impugnada, el resultado de la ponderación no puede ser sino el otorgamiento de la suspensión solicitada de esa pena, pues, de no accederse a dicha suspensión, supondría un perjuicio irreparable para el recurrente si en su día se otorgare el amparo. Criterio que en este caso es igualmente aplicable al arresto sustitutorio de sesenta días impuesto en caso de impago de la multa.</w:t>
      </w:r>
    </w:p>
    <w:p w:rsidR="00B01F4A" w:rsidRDefault="00B01F4A" w:rsidP="00B01F4A">
      <w:pPr>
        <w:pStyle w:val="TextoNormal"/>
      </w:pPr>
    </w:p>
    <w:p w:rsidR="00B01F4A" w:rsidRDefault="00B01F4A" w:rsidP="00B01F4A">
      <w:pPr>
        <w:pStyle w:val="TextoNormal"/>
      </w:pPr>
      <w:r w:rsidRPr="00B01F4A">
        <w:rPr>
          <w:rStyle w:val="NumeroAFNegritaCaracter"/>
        </w:rPr>
        <w:t>4</w:t>
      </w:r>
      <w:r>
        <w:t>. Con respecto a la pena de multa de 500.000 pesetas y a las costas procesales, en cuanto que suponen el abono de una cantidad pecuniaria, su ejecución, en principio, no provoca ningún perjuicio que pueda hacer inútil el presente recurso, pues su restitución en el caso de la eventual estimación del recurso de amparo no resulta imposible, lo que determina la procedencia de denegar la suspensión solicitada con relación tanto a la pena de multa como a las costas procesales.</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lo expuesto, la Sala acuerda suspender la ejecución de la Sentencia de la Audiencia Provincial de Vizcaya de 6 de junio de 1996, en lo que se refiere a las penas privativas de libertad y al arresto sustitutorio, y no haber lugar a la suspensión del</w:t>
      </w:r>
    </w:p>
    <w:p w:rsidR="00B01F4A" w:rsidRDefault="00B01F4A" w:rsidP="00B01F4A">
      <w:pPr>
        <w:pStyle w:val="TextoNormal"/>
      </w:pPr>
      <w:r>
        <w:t>pronunciamiento relativo al pago de la multa y costas procesales.</w:t>
      </w:r>
    </w:p>
    <w:p w:rsidR="00B01F4A" w:rsidRDefault="00B01F4A" w:rsidP="00B01F4A">
      <w:pPr>
        <w:pStyle w:val="TextoNormal"/>
      </w:pPr>
    </w:p>
    <w:p w:rsidR="00B01F4A" w:rsidRDefault="00B01F4A" w:rsidP="00B01F4A">
      <w:pPr>
        <w:pStyle w:val="TextoNormal"/>
      </w:pPr>
      <w:r>
        <w:t>Madrid, a catorce de enero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00" w:name="AUTO_1997_10"/>
      <w:r>
        <w:lastRenderedPageBreak/>
        <w:t>AUTO 10/1997, de 14 de enero de 1997</w:t>
      </w:r>
    </w:p>
    <w:bookmarkEnd w:id="100"/>
    <w:p w:rsidR="00B01F4A" w:rsidRDefault="00B01F4A" w:rsidP="00B01F4A">
      <w:pPr>
        <w:pStyle w:val="TtuloResolucin"/>
      </w:pPr>
      <w:r>
        <w:t>Pleno</w:t>
      </w:r>
    </w:p>
    <w:p w:rsidR="00B01F4A" w:rsidRDefault="00B01F4A" w:rsidP="00B01F4A">
      <w:pPr>
        <w:pStyle w:val="TtuloResolucin"/>
      </w:pPr>
    </w:p>
    <w:p w:rsidR="00B01F4A" w:rsidRDefault="00B01F4A" w:rsidP="00B01F4A">
      <w:pPr>
        <w:pStyle w:val="SntesisDescriptiva"/>
      </w:pPr>
      <w:r>
        <w:t>ECLI:ES:TC:1997:10A</w:t>
      </w:r>
    </w:p>
    <w:p w:rsidR="00B01F4A" w:rsidRDefault="00B01F4A" w:rsidP="00B01F4A">
      <w:pPr>
        <w:pStyle w:val="SntesisDescriptiva"/>
      </w:pPr>
    </w:p>
    <w:p w:rsidR="00B01F4A" w:rsidRDefault="00B01F4A" w:rsidP="00B01F4A">
      <w:pPr>
        <w:pStyle w:val="SntesisDescriptiva"/>
      </w:pPr>
      <w:r>
        <w:t>Excms. Srs. don Álvaro Rodríguez Bereijo, don José Gabaldón López, don Fernando García-Mon y González-Regueral, don José Vicente Gimeno Sendra, don Julio D. González Campos, don Pedro Cruz Villalón, don Carles Viver Pi-Sunyer, don Enrique Ruiz Vadillo, don Manuel Jiménez de Parga y Cabrera, don Tomás Salvador Vives Antón y don Pablo García Manzano.</w:t>
      </w:r>
    </w:p>
    <w:p w:rsidR="00B01F4A" w:rsidRDefault="00B01F4A" w:rsidP="00B01F4A">
      <w:pPr>
        <w:pStyle w:val="SntesisDescriptiva"/>
      </w:pPr>
    </w:p>
    <w:p w:rsidR="00B01F4A" w:rsidRDefault="00B01F4A" w:rsidP="00B01F4A">
      <w:pPr>
        <w:pStyle w:val="SntesisDescriptiva"/>
      </w:pPr>
      <w:r>
        <w:t>Acordando la inadmisión a trámite de la cuestión de inconstitucionalidad 3.557/1996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01" w:name="AUTO_1997_11"/>
      <w:r>
        <w:lastRenderedPageBreak/>
        <w:t>AUTO 11/1997, de 14 de enero de 1997</w:t>
      </w:r>
    </w:p>
    <w:bookmarkEnd w:id="101"/>
    <w:p w:rsidR="00B01F4A" w:rsidRDefault="00B01F4A" w:rsidP="00B01F4A">
      <w:pPr>
        <w:pStyle w:val="TtuloResolucin"/>
      </w:pPr>
      <w:r>
        <w:t>Pleno</w:t>
      </w:r>
    </w:p>
    <w:p w:rsidR="00B01F4A" w:rsidRDefault="00B01F4A" w:rsidP="00B01F4A">
      <w:pPr>
        <w:pStyle w:val="TtuloResolucin"/>
      </w:pPr>
    </w:p>
    <w:p w:rsidR="00B01F4A" w:rsidRDefault="00B01F4A" w:rsidP="00B01F4A">
      <w:pPr>
        <w:pStyle w:val="SntesisDescriptiva"/>
      </w:pPr>
      <w:r>
        <w:t>ECLI:ES:TC:1997:11A</w:t>
      </w:r>
    </w:p>
    <w:p w:rsidR="00B01F4A" w:rsidRDefault="00B01F4A" w:rsidP="00B01F4A">
      <w:pPr>
        <w:pStyle w:val="SntesisDescriptiva"/>
      </w:pPr>
    </w:p>
    <w:p w:rsidR="00B01F4A" w:rsidRDefault="00B01F4A" w:rsidP="00B01F4A">
      <w:pPr>
        <w:pStyle w:val="SntesisDescriptiva"/>
      </w:pPr>
      <w:r>
        <w:t>Excms. Srs. don Álvaro Rodríguez Bereijo, don José Gabaldón López, don Fernando García-Mon y González-Regueral, don José Vicente Gimeno Sendra, don Julio D. González Campos, don Pedro Cruz Villalón, don Carles Viver Pi-Sunyer, don Enrique Ruiz Vadillo, don Manuel Jiménez de Parga y Cabrera, don Tomás Salvador Vives Antón y don Pablo García Manzano.</w:t>
      </w:r>
    </w:p>
    <w:p w:rsidR="00B01F4A" w:rsidRDefault="00B01F4A" w:rsidP="00B01F4A">
      <w:pPr>
        <w:pStyle w:val="SntesisDescriptiva"/>
      </w:pPr>
    </w:p>
    <w:p w:rsidR="00B01F4A" w:rsidRDefault="00B01F4A" w:rsidP="00B01F4A">
      <w:pPr>
        <w:pStyle w:val="SntesisDescriptiva"/>
      </w:pPr>
      <w:r>
        <w:t>Acordando la inadmisión a trámite de la cuestión de inconstitucionalidad 3.558/1996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02" w:name="AUTO_1997_12"/>
      <w:r>
        <w:lastRenderedPageBreak/>
        <w:t>AUTO 12/1997, de 14 de enero de 1997</w:t>
      </w:r>
    </w:p>
    <w:bookmarkEnd w:id="102"/>
    <w:p w:rsidR="00B01F4A" w:rsidRDefault="00B01F4A" w:rsidP="00B01F4A">
      <w:pPr>
        <w:pStyle w:val="TtuloResolucin"/>
      </w:pPr>
      <w:r>
        <w:t>Pleno</w:t>
      </w:r>
    </w:p>
    <w:p w:rsidR="00B01F4A" w:rsidRDefault="00B01F4A" w:rsidP="00B01F4A">
      <w:pPr>
        <w:pStyle w:val="TtuloResolucin"/>
      </w:pPr>
    </w:p>
    <w:p w:rsidR="00B01F4A" w:rsidRDefault="00B01F4A" w:rsidP="00B01F4A">
      <w:pPr>
        <w:pStyle w:val="SntesisDescriptiva"/>
      </w:pPr>
      <w:r>
        <w:t>ECLI:ES:TC:1997:12A</w:t>
      </w:r>
    </w:p>
    <w:p w:rsidR="00B01F4A" w:rsidRDefault="00B01F4A" w:rsidP="00B01F4A">
      <w:pPr>
        <w:pStyle w:val="SntesisDescriptiva"/>
      </w:pPr>
    </w:p>
    <w:p w:rsidR="00B01F4A" w:rsidRDefault="00B01F4A" w:rsidP="00B01F4A">
      <w:pPr>
        <w:pStyle w:val="SntesisDescriptiva"/>
      </w:pPr>
      <w:r>
        <w:t>Excms. Srs. don Álvaro Rodríguez Bereijo, don José Gabaldón López, don Fernando García-Mon y González-Regueral, don José Vicente Gimeno Sendra, don Julio D. González Campos, don Pedro Cruz Villalón, don Carles Viver Pi-Sunyer, don Enrique Ruiz Vadillo, don Manuel Jiménez de Parga y Cabrera, don Tomás Salvador Vives Antón y don Pablo García Manzano.</w:t>
      </w:r>
    </w:p>
    <w:p w:rsidR="00B01F4A" w:rsidRDefault="00B01F4A" w:rsidP="00B01F4A">
      <w:pPr>
        <w:pStyle w:val="SntesisDescriptiva"/>
      </w:pPr>
    </w:p>
    <w:p w:rsidR="00B01F4A" w:rsidRDefault="00B01F4A" w:rsidP="00B01F4A">
      <w:pPr>
        <w:pStyle w:val="SntesisDescriptiva"/>
      </w:pPr>
      <w:r>
        <w:t>Acordando la inadmisión a trámite de la cuestión de inconstitucionalidad 3.559/1996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03" w:name="AUTO_1997_13"/>
      <w:r>
        <w:lastRenderedPageBreak/>
        <w:t>AUTO 13/1997, de 15 de enero de 1997</w:t>
      </w:r>
    </w:p>
    <w:bookmarkEnd w:id="103"/>
    <w:p w:rsidR="00B01F4A" w:rsidRDefault="00B01F4A" w:rsidP="00B01F4A">
      <w:pPr>
        <w:pStyle w:val="TtuloResolucin"/>
      </w:pPr>
      <w:r>
        <w:t>Sección Cuarta</w:t>
      </w:r>
    </w:p>
    <w:p w:rsidR="00B01F4A" w:rsidRDefault="00B01F4A" w:rsidP="00B01F4A">
      <w:pPr>
        <w:pStyle w:val="TtuloResolucin"/>
      </w:pPr>
    </w:p>
    <w:p w:rsidR="00B01F4A" w:rsidRDefault="00B01F4A" w:rsidP="00B01F4A">
      <w:pPr>
        <w:pStyle w:val="SntesisDescriptiva"/>
      </w:pPr>
      <w:r>
        <w:t>ECLI:ES:TC:1997:13A</w:t>
      </w:r>
    </w:p>
    <w:p w:rsidR="00B01F4A" w:rsidRDefault="00B01F4A" w:rsidP="00B01F4A">
      <w:pPr>
        <w:pStyle w:val="SntesisDescriptiva"/>
      </w:pPr>
    </w:p>
    <w:p w:rsidR="00B01F4A" w:rsidRDefault="00B01F4A" w:rsidP="00B01F4A">
      <w:pPr>
        <w:pStyle w:val="SntesisDescriptiva"/>
      </w:pPr>
      <w:r>
        <w:t>Excms. Srs. don Rafael de Mendizábal Allende, don Carles Viver Pi-Sunyer y don Tomás Salvador Vives Antón.</w:t>
      </w:r>
    </w:p>
    <w:p w:rsidR="00B01F4A" w:rsidRDefault="00B01F4A" w:rsidP="00B01F4A">
      <w:pPr>
        <w:pStyle w:val="SntesisDescriptiva"/>
      </w:pPr>
    </w:p>
    <w:p w:rsidR="00B01F4A" w:rsidRDefault="00B01F4A" w:rsidP="00B01F4A">
      <w:pPr>
        <w:pStyle w:val="SntesisDescriptiva"/>
      </w:pPr>
      <w:r>
        <w:t>Acordando la inadmisión a trámite del recurso de amparo 3.502/1996.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Por escrito registrado en este Tribunal el 27 de septiembre de 1996, don Jorge Deleito García, Procurador de los Tribunales y de la Cámara Oficial de Comercio, Industria y Navegación de Alicante, interpone recurso de amparo contra Auto de la Sección Séptima de la Sala Tercera del Tribunal Supremo de 19 de mayo de 1996, desestimatorio de recurso de queja núm. 4.260/96, promovido contra Auto de la Sección Primera de la Sala de lo Contencioso-Administrativo del Tribunal Superior de Justicia de la Comunidad Valenciana, de fecha 30 de abril de 1996, por el que se acordaba no haber lugar a tener por interpuesto recurso de casación contra Sentencia dictada en recurso de la Ley 62/1978, núm. 2.726/95, sobre libertad de asociación.</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Los hechos en los que se fundamenta la demanda son, sucintamente expuestos, los que siguen: </w:t>
      </w:r>
    </w:p>
    <w:p w:rsidR="00B01F4A" w:rsidRDefault="00B01F4A" w:rsidP="00B01F4A">
      <w:pPr>
        <w:pStyle w:val="TextoNormal"/>
      </w:pPr>
      <w:r>
        <w:t xml:space="preserve">a) Dos entidades mercantiles promovieron recurso de la Ley 62/1978 contra sendas liquidaciones giradas por la Cámara Oficial de Comercio, Industria y Navegación de Alicante por un importe total de 142.737 pesetas (ciento cuarenta y dos mil setecientas treinta y siete pesetas). </w:t>
      </w:r>
    </w:p>
    <w:p w:rsidR="00B01F4A" w:rsidRDefault="00B01F4A" w:rsidP="00B01F4A">
      <w:pPr>
        <w:pStyle w:val="TextoNormal"/>
      </w:pPr>
      <w:r>
        <w:t xml:space="preserve">b) El recurso fue estimado por Sentencia de la Sección Primera de la Sala de lo Contencioso-Administrativo del Tribunal Superior de Justicia de la Comunidad </w:t>
      </w:r>
    </w:p>
    <w:p w:rsidR="00B01F4A" w:rsidRDefault="00B01F4A" w:rsidP="00B01F4A">
      <w:pPr>
        <w:pStyle w:val="TextoNormal"/>
      </w:pPr>
      <w:r>
        <w:t xml:space="preserve">Valenciana de 5 de febrero de 1996. </w:t>
      </w:r>
    </w:p>
    <w:p w:rsidR="00B01F4A" w:rsidRDefault="00B01F4A" w:rsidP="00B01F4A">
      <w:pPr>
        <w:pStyle w:val="TextoNormal"/>
      </w:pPr>
      <w:r>
        <w:t xml:space="preserve">c) Pese a que nada se dice sobre el particular en la demanda de amparo, la actora interpuso contra la antedicha Sentencia el recurso de amparo núm. 964/96, que fue inadmitido por providencia de la Sección Primera de 29 de abril de 1996. La inadmisión se basó en la circunstancia de que la actora había recurrido en amparo sin intentar siquiera el recurso de casación que, a su juicio, cabía interponer contra aquella Sentencia, siendo así que su queja se cifraba, precisamente, en la supuesta lesión de su derecho a la doble instancia, pretendidamente conculcado con la sola indicación de que contra la Sentencia en cuestión no cabía recurso alguno. Esto es, la recurrente acudió ante este Tribunal contra una «instrucción de recursos» contenida en la notificación de la Sentencia sin haber intentado interponer el recurso que, a su juicio, procedía en Derecho. </w:t>
      </w:r>
    </w:p>
    <w:p w:rsidR="00B01F4A" w:rsidRDefault="00B01F4A" w:rsidP="00B01F4A">
      <w:pPr>
        <w:pStyle w:val="TextoNormal"/>
      </w:pPr>
      <w:r>
        <w:t xml:space="preserve">d) Según puede ahora concluirse, parece que la propia recurrente, simultáneamente a la interposición de aquel recurso de amparo, intentó recurrir en casación contra la Sentencia </w:t>
      </w:r>
      <w:r>
        <w:lastRenderedPageBreak/>
        <w:t xml:space="preserve">del Tribunal Superior de Justicia. En efecto, por Auto de 30 de abril de 1996 (esto es, dictado un día después de la fecha de adopción de la providencia que inadmitió el R.A. núm. 964/96), la Sala de lo Contencioso-Administrativo del Tribunal Superior de Justicia acordó no haber lugar a tener por preparado recurso de casación con la Sentencia de 5 de febrero de 1996. La causa de la denegación era la insuficiencia de cuantía [art. 93.2 b) L.J.C.A.]. </w:t>
      </w:r>
    </w:p>
    <w:p w:rsidR="00B01F4A" w:rsidRDefault="00B01F4A" w:rsidP="00B01F4A">
      <w:pPr>
        <w:pStyle w:val="TextoNormal"/>
      </w:pPr>
      <w:r>
        <w:t>e) Interpuesto recurso de queja contra el meritado Auto, la Sección Séptima de la Sala Tercera del Tribunal Supremo dictó Auto desestimatorio de 19 de mayo de 1996 (recurso núm. 4.260/96).</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Se interpone recurso de amparo contra el Auto de la Sección Séptima de la Sala Tercera del Tribunal Supremo de 19 de mayo de 1996 (recurso núm. 4.260/96), interesando su nulidad. </w:t>
      </w:r>
    </w:p>
    <w:p w:rsidR="00B01F4A" w:rsidRDefault="00B01F4A" w:rsidP="00B01F4A">
      <w:pPr>
        <w:pStyle w:val="TextoNormal"/>
      </w:pPr>
      <w:r>
        <w:t xml:space="preserve">Se alega infracción del art. 24.1 C.E. Resultaría del hecho de que, en opinión de la actora, y de conformidad con la doctrina sentada en la STC 188/1994, contra la Sentencia dictada en el proceso a quo debería ser posible la interposición de un recurso de casación. Discutiéndose en aquel proceso una cuestión relativa a los derechos fundamentales (pues la contraparte basaba la impugnación de las liquidaciones giradas por la Cámara en la supuesta infracción del derecho de asociación en su vertiente negativa -infracción que el T.S.J. tuvo por cierta-, no era posible, según se desprende de la STC 188/1994, aplicar sin más y de manera automática, las previsiones establecidas por el legislador en materia de recursos para el procedimiento contencioso-administrativo ordinario. </w:t>
      </w:r>
    </w:p>
    <w:p w:rsidR="00B01F4A" w:rsidRDefault="00B01F4A" w:rsidP="00B01F4A">
      <w:pPr>
        <w:pStyle w:val="TextoNormal"/>
      </w:pPr>
      <w:r>
        <w:t>En opinión de la Cámara, para que en la definición judicial del contenido y alcance de los derechos fundamentales no se incurra en desigualdades contrarias al art. 14 C.E. es necesario, cuando menos, que la pluralidad de interpretaciones judiciales pueda reducirse a unidad mediante la definición última del Tribunal Supremo por vía de recurso de casación.</w:t>
      </w:r>
    </w:p>
    <w:p w:rsidR="00B01F4A" w:rsidRDefault="00B01F4A" w:rsidP="00B01F4A">
      <w:pPr>
        <w:pStyle w:val="TextoNormal"/>
      </w:pPr>
    </w:p>
    <w:p w:rsidR="00B01F4A" w:rsidRDefault="00B01F4A" w:rsidP="00B01F4A">
      <w:pPr>
        <w:pStyle w:val="TextoNormal"/>
      </w:pPr>
      <w:r w:rsidRPr="00B01F4A">
        <w:rPr>
          <w:rStyle w:val="NumeroAFNegritaCaracter"/>
        </w:rPr>
        <w:t>4</w:t>
      </w:r>
      <w:r>
        <w:t>. Por providencia de 13 de noviembre de 1996, la Sección Cuarta de este Tribunal acordó, de conformidad con lo dispuesto en el art. 50.3 LOTC, conceder a la demandante de amparo y al Ministerio Fiscal un plazo común de diez días para que alegaran lo que estimasen pertinente sobre la posible concurrencia de la causa de inadmisión tipificada en el art. 50.1 c) LOTC, por carecer la demanda manifiestamente de contenido que justifique una resolución sobre el fondo.</w:t>
      </w:r>
    </w:p>
    <w:p w:rsidR="00B01F4A" w:rsidRDefault="00B01F4A" w:rsidP="00B01F4A">
      <w:pPr>
        <w:pStyle w:val="TextoNormal"/>
      </w:pPr>
    </w:p>
    <w:p w:rsidR="00B01F4A" w:rsidRDefault="00B01F4A" w:rsidP="00B01F4A">
      <w:pPr>
        <w:pStyle w:val="TextoNormal"/>
      </w:pPr>
      <w:r w:rsidRPr="00B01F4A">
        <w:rPr>
          <w:rStyle w:val="NumeroAFNegritaCaracter"/>
        </w:rPr>
        <w:t>5</w:t>
      </w:r>
      <w:r>
        <w:t>. La representación procesal de la demandante de amparo presentó su escrito de alegaciones el 30 de noviembre de 1996. En él vienen a reproducirse los argumentos esgrimidos en la demanda.</w:t>
      </w:r>
    </w:p>
    <w:p w:rsidR="00B01F4A" w:rsidRDefault="00B01F4A" w:rsidP="00B01F4A">
      <w:pPr>
        <w:pStyle w:val="TextoNormal"/>
      </w:pPr>
    </w:p>
    <w:p w:rsidR="00B01F4A" w:rsidRDefault="00B01F4A" w:rsidP="00B01F4A">
      <w:pPr>
        <w:pStyle w:val="TextoNormal"/>
      </w:pPr>
      <w:r w:rsidRPr="00B01F4A">
        <w:rPr>
          <w:rStyle w:val="NumeroAFNegritaCaracter"/>
        </w:rPr>
        <w:t>6</w:t>
      </w:r>
      <w:r>
        <w:t>. El escrito de alegaciones del Ministerio Fiscal se registró en este Tribunal el 10 de diciembre de 1996. A su juicio hay que recordar que este Tribunal viene sosteniendo de forma reiterada desde la STC 37/1995 que la tutela judicial efectiva no juega con la misma intensidad en el acceso a la jurisdicción que en el acceso a los recursos, donde ha de estarse a la resolución judicial que los admite o no a trámite, siempre que se encuentre debidamente motivada. En el presente caso existe una fundamentación que no puede reputarse irrazonable ni arbitraria. En consecuencia, se interesa la inadmisión del recurso por carencia manifiesta de contenido constitucional.</w:t>
      </w:r>
    </w:p>
    <w:p w:rsidR="00B01F4A" w:rsidRDefault="00B01F4A" w:rsidP="00B01F4A">
      <w:pPr>
        <w:pStyle w:val="TextoNormal"/>
      </w:pPr>
    </w:p>
    <w:p w:rsidR="00B01F4A" w:rsidRDefault="00B01F4A" w:rsidP="00B01F4A">
      <w:pPr>
        <w:pStyle w:val="TextoNormalNegritaCentrado"/>
        <w:keepNext/>
      </w:pPr>
      <w:r>
        <w:lastRenderedPageBreak/>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Procede confirmar la concurrencia de la causa de inadmisibilidad señalada en nuestra providencia de 13 de noviembre pasado, pues, en efecto, la demanda carece manifiestamente de contenido que justifique una resolución sobre el fondo en forma de Sentencia.</w:t>
      </w:r>
    </w:p>
    <w:p w:rsidR="00B01F4A" w:rsidRDefault="00B01F4A" w:rsidP="00B01F4A">
      <w:pPr>
        <w:pStyle w:val="TextoNormal"/>
      </w:pPr>
      <w:r>
        <w:t>Según se ha dejado apuntado en los antecedentes, se plantea ahora cuestión idéntica a la suscitada en el recurso de amparo núm. 964/96. La diferencia estriba en que aquel recurso fue inadmitido por haberse imputado entonces la pretendida lesión del art. 24.1 C.E. a la instrucción de recursos contenida en la notificación de la Sentencia de instancia. Ahora, sin embargo, aquella queja se imputa ya directamente a una resolución judicial firme que hace imposible el acceso a la segunda instancia pretendido por la recurrente. El hecho de que, según se comprueba ahora, la demandante hubiera simultaneado en su día un recurso de amparo (el 964/96) y un recurso de casación viene a demostrar que la inadmisión de aquel primer recurso fue plenamente acertada.  Ahora se promueve un nuevo recurso de amparo contra la resolución que ha puesto fin a la vía ordinaria seguida paralelamente a la de aquel primer amparo, de manera que, siendo éste prematuro, nada se opone al examen del ahora interpuesto.</w:t>
      </w:r>
    </w:p>
    <w:p w:rsidR="00B01F4A" w:rsidRDefault="00B01F4A" w:rsidP="00B01F4A">
      <w:pPr>
        <w:pStyle w:val="TextoNormal"/>
      </w:pPr>
    </w:p>
    <w:p w:rsidR="00B01F4A" w:rsidRDefault="00B01F4A" w:rsidP="00B01F4A">
      <w:pPr>
        <w:pStyle w:val="TextoNormal"/>
      </w:pPr>
      <w:r w:rsidRPr="00B01F4A">
        <w:rPr>
          <w:rStyle w:val="NumeroAFNegritaCaracter"/>
        </w:rPr>
        <w:t>2</w:t>
      </w:r>
      <w:r>
        <w:t>. La demanda de amparo encuentra su fundamento último en la doctrina sentada en la STC 188/1994 de la que, en opinión de la Cámara recurrente, se deriva la posibilidad de la segunda instancia en todos los procedimientos contencioso-administrativos de la Ley 62/1978, en los que, efectivamente, se haya planteado una cuestión relativa a los derechos fundamentales. Sin embargo, el supuesto que ahora se plantea ofrece una singularidad que abona la idea de que la presente demanda resulta inadmisible.</w:t>
      </w:r>
    </w:p>
    <w:p w:rsidR="00B01F4A" w:rsidRDefault="00B01F4A" w:rsidP="00B01F4A">
      <w:pPr>
        <w:pStyle w:val="TextoNormal"/>
      </w:pPr>
      <w:r>
        <w:t>Así, ha de destacarse que la doctrina sentada en la STC 188/1994 excluye, expresamente, aquellos supuestos en los que la reparación del derecho fundamental infringido se haya verificado ya en la primera instancia judicial.  Esto es, la interpretación de la legalidad procesal favorable a la posibilidad, con carácter general, de la apelación en los procedimientos contencioso-administrativos sustanciados a través de la Ley 62/1978 está pensada para los supuestos en que, denunciada en sede judicial una infracción de derechos, no se procede a su oportuna reparación. En el presente caso, sin embargo, la lesión de derechos fundamentales denunciada en el proceso a quo (infracción del art. 22 C.E.)  fue oportunamente reparada por el Tribunal Superior de Justicia. En estas circunstancias, el único derecho que le cabe invocar a la recurrente es el de la tutela judicial efectiva: el órgano judicial habría resuelto el supuesto de autos de manera irrazonable o manifiestamente infundada. En ningún caso podría invocar como infringido su inexistente derecho a que la contraparte no vea reconocido en exceso su derecho ex art. 22 C.E. En otras palabras, no puede invocar una lesión de derecho fundamental consistente en la indebida ampliación del contenido del derecho fundamental de la contraparte (STC 114/1995). El único derecho fundamental de la demandante que se encuentra en juego es, por tanto, el reconocido en el art. 24.1 C.E. Y tal derecho no ha constituido, evidentemente, el objeto del proceso a quo, sino que su infracción sería sólo el resultado de la, en su caso, incorrecta (constitucionalmente incorrecta) solución dada al litigio por el órgano judicial ordinario.  En definitiva, la doctrina de la STC 188/1994 no es de aplicación al supuesto de autos, toda vez que está pensada para supuestos de infracción de derechos fundamentales no reparadas por los órganos judiciales, en ningún modo para hipótesis de lesiones de tales derechos derivadas de la actuación misma del Poder Judicial.</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lo expuesto, la Sección acuerda la inadmisión del presente recurso de amparo y el archivo de las actuaciones.</w:t>
      </w:r>
    </w:p>
    <w:p w:rsidR="00B01F4A" w:rsidRDefault="00B01F4A" w:rsidP="00B01F4A">
      <w:pPr>
        <w:pStyle w:val="TextoNormal"/>
      </w:pPr>
    </w:p>
    <w:p w:rsidR="00B01F4A" w:rsidRDefault="00B01F4A" w:rsidP="00B01F4A">
      <w:pPr>
        <w:pStyle w:val="TextoNormal"/>
      </w:pPr>
      <w:r>
        <w:t>Madrid, a quince de enero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04" w:name="AUTO_1997_14"/>
      <w:r>
        <w:lastRenderedPageBreak/>
        <w:t>AUTO 14/1997, de 20 de enero de 1997</w:t>
      </w:r>
    </w:p>
    <w:bookmarkEnd w:id="104"/>
    <w:p w:rsidR="00B01F4A" w:rsidRDefault="00B01F4A" w:rsidP="00B01F4A">
      <w:pPr>
        <w:pStyle w:val="TtuloResolucin"/>
      </w:pPr>
      <w:r>
        <w:t>Sección Segunda</w:t>
      </w:r>
    </w:p>
    <w:p w:rsidR="00B01F4A" w:rsidRDefault="00B01F4A" w:rsidP="00B01F4A">
      <w:pPr>
        <w:pStyle w:val="TtuloResolucin"/>
      </w:pPr>
    </w:p>
    <w:p w:rsidR="00B01F4A" w:rsidRDefault="00B01F4A" w:rsidP="00B01F4A">
      <w:pPr>
        <w:pStyle w:val="SntesisDescriptiva"/>
      </w:pPr>
      <w:r>
        <w:t>ECLI:ES:TC:1997:14A</w:t>
      </w:r>
    </w:p>
    <w:p w:rsidR="00B01F4A" w:rsidRDefault="00B01F4A" w:rsidP="00B01F4A">
      <w:pPr>
        <w:pStyle w:val="SntesisDescriptiva"/>
      </w:pPr>
    </w:p>
    <w:p w:rsidR="00B01F4A" w:rsidRDefault="00B01F4A" w:rsidP="00B01F4A">
      <w:pPr>
        <w:pStyle w:val="SntesisDescriptiva"/>
      </w:pPr>
      <w:r>
        <w:t>Excms. Srs. don José Vicente Gimeno Sendra, don Manuel Jiménez de Parga y Cabrera y don Pablo García Manzano.</w:t>
      </w:r>
    </w:p>
    <w:p w:rsidR="00B01F4A" w:rsidRDefault="00B01F4A" w:rsidP="00B01F4A">
      <w:pPr>
        <w:pStyle w:val="SntesisDescriptiva"/>
      </w:pPr>
    </w:p>
    <w:p w:rsidR="00B01F4A" w:rsidRDefault="00B01F4A" w:rsidP="00B01F4A">
      <w:pPr>
        <w:pStyle w:val="SntesisDescriptiva"/>
      </w:pPr>
      <w:r>
        <w:t>Acuerda el desistimiento en el recurso de amparo 4.232/1996, promovido en proceso contencioso-administrativo.</w:t>
      </w:r>
    </w:p>
    <w:p w:rsidR="00B01F4A" w:rsidRDefault="00B01F4A" w:rsidP="00B01F4A">
      <w:pPr>
        <w:pStyle w:val="SntesisDescriptiva"/>
      </w:pPr>
    </w:p>
    <w:p w:rsidR="00B01F4A" w:rsidRDefault="00B01F4A" w:rsidP="00B01F4A">
      <w:pPr>
        <w:pStyle w:val="SntesisAnaltica"/>
      </w:pPr>
      <w:r>
        <w:t>Desistimiento de recurso de amparo: procede.</w:t>
      </w:r>
    </w:p>
    <w:p w:rsidR="00B01F4A" w:rsidRDefault="00B01F4A" w:rsidP="00B01F4A">
      <w:pPr>
        <w:pStyle w:val="SntesisAnaltica"/>
      </w:pPr>
    </w:p>
    <w:p w:rsidR="00B01F4A" w:rsidRDefault="00B01F4A" w:rsidP="00B01F4A">
      <w:pPr>
        <w:pStyle w:val="SntesisAnaltica"/>
      </w:pPr>
    </w:p>
    <w:p w:rsidR="00B01F4A" w:rsidRDefault="00B01F4A" w:rsidP="00B01F4A">
      <w:pPr>
        <w:pStyle w:val="SntesisAnaltic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05" w:name="AUTO_1997_15"/>
      <w:r>
        <w:lastRenderedPageBreak/>
        <w:t>AUTO 15/1997, de 22 de enero de 1997</w:t>
      </w:r>
    </w:p>
    <w:bookmarkEnd w:id="105"/>
    <w:p w:rsidR="00B01F4A" w:rsidRDefault="00B01F4A" w:rsidP="00B01F4A">
      <w:pPr>
        <w:pStyle w:val="TtuloResolucin"/>
      </w:pPr>
      <w:r>
        <w:t>Sección Segunda</w:t>
      </w:r>
    </w:p>
    <w:p w:rsidR="00B01F4A" w:rsidRDefault="00B01F4A" w:rsidP="00B01F4A">
      <w:pPr>
        <w:pStyle w:val="TtuloResolucin"/>
      </w:pPr>
    </w:p>
    <w:p w:rsidR="00B01F4A" w:rsidRDefault="00B01F4A" w:rsidP="00B01F4A">
      <w:pPr>
        <w:pStyle w:val="SntesisDescriptiva"/>
      </w:pPr>
      <w:r>
        <w:t>ECLI:ES:TC:1997:15A</w:t>
      </w:r>
    </w:p>
    <w:p w:rsidR="00B01F4A" w:rsidRDefault="00B01F4A" w:rsidP="00B01F4A">
      <w:pPr>
        <w:pStyle w:val="SntesisDescriptiva"/>
      </w:pPr>
    </w:p>
    <w:p w:rsidR="00B01F4A" w:rsidRDefault="00B01F4A" w:rsidP="00B01F4A">
      <w:pPr>
        <w:pStyle w:val="SntesisDescriptiva"/>
      </w:pPr>
      <w:r>
        <w:t>Excms. Srs. don José Vicente Gimeno Sendra, don Manuel Jiménez de Parga y Cabrera y don Pablo García Manzano.</w:t>
      </w:r>
    </w:p>
    <w:p w:rsidR="00B01F4A" w:rsidRDefault="00B01F4A" w:rsidP="00B01F4A">
      <w:pPr>
        <w:pStyle w:val="SntesisDescriptiva"/>
      </w:pPr>
    </w:p>
    <w:p w:rsidR="00B01F4A" w:rsidRDefault="00B01F4A" w:rsidP="00B01F4A">
      <w:pPr>
        <w:pStyle w:val="SntesisDescriptiva"/>
      </w:pPr>
      <w:r>
        <w:t>Acordando la inadmisión a trámite del recurso de amparo 504/1996.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xml:space="preserve">. Mediante escrito presentado en el Registro General de este Tribunal, don Pablo Muñoz Gallego, representado por el Procurador don Rafael Rodríguez Montaut y asistido por el Abogado don Jaime Sáenz de Miera Ramos, interpuso recurso de amparo contra las Sentencias que desestimaron la demanda civil formulada por el actor contra tres personas, reclamando una indemnización de cincuenta millones de pesetas en protección a su honor, y le condenaron al abono de las costas. Los fallos fueron pronunciados por el Juzgado de Primera Instancia núm. 2 de León, el 23 septiembre 1991 (autos núm. 242-91), por la Audiencia Provincial (Sección Primera), el 11 abril 1992 (rollo núm. 716-91), y por el Tribunal Supremo (Sala de lo civil), el 29 diciembre 1995 (rollo núm. 1.969-92). </w:t>
      </w:r>
    </w:p>
    <w:p w:rsidR="00B01F4A" w:rsidRDefault="00B01F4A" w:rsidP="00B01F4A">
      <w:pPr>
        <w:pStyle w:val="TextoNormal"/>
      </w:pPr>
      <w:r>
        <w:t>Se pide la anulación de las Sentencias y que se acojan todos los pedimentos contenidos en el suplico de la demanda civil: a) reconocer al actor el derecho a replicar al artículo publicado en el «Diario de León» el 12 marzo 1991, bajo el título «Los vetos de Pérez»; b) el derecho a publicar la Sentencia que se dicte; y c) que se condene a los tres demandados a que paguen una indemnización por los daños morales y perjuicios económicos sufridos, limitando la indemnización a la cantidad que la Sala considere oportuno fijar. Asimismo solicita declaración expresa de no hacer imposición de costas a parte alguna en ninguna de las instancias, incluido el recurso de amparo.</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La pretensión de amparo nace de los siguientes hechos: </w:t>
      </w:r>
    </w:p>
    <w:p w:rsidR="00B01F4A" w:rsidRDefault="00B01F4A" w:rsidP="00B01F4A">
      <w:pPr>
        <w:pStyle w:val="TextoNormal"/>
      </w:pPr>
      <w:r>
        <w:t xml:space="preserve">a) El día 12 marzo 1991 se publicó en el «Diario de León» un artículo, suscrito por don José Luis Fernández Martínez, don José García Fernández y doña María Dolores Cabo Casado, bajo el título «Los vetos de Pérez». En él se vertían las siguientes frases, referidas al actor: </w:t>
      </w:r>
    </w:p>
    <w:p w:rsidR="00B01F4A" w:rsidRDefault="00B01F4A" w:rsidP="00B01F4A">
      <w:pPr>
        <w:pStyle w:val="TextoNormal"/>
      </w:pPr>
      <w:r>
        <w:t xml:space="preserve">«El mal crónico del que sufre Valencia tiene nombre y apellidos: Pablo Muñoz Gallego. El cacique residual de siempre, la mano obediente de quien mande, sea quien sea y mande lo que mande. Experto en cacicadas de sacristía y persona muy poco apreciada por el vecindario coyantino.» </w:t>
      </w:r>
    </w:p>
    <w:p w:rsidR="00B01F4A" w:rsidRDefault="00B01F4A" w:rsidP="00B01F4A">
      <w:pPr>
        <w:pStyle w:val="TextoNormal"/>
      </w:pPr>
      <w:r>
        <w:t xml:space="preserve">El artículo también se publicó en el otro periódico de León, «La Crónica 16». Los dos diarios tienen unas tiradas de 15.000 y de 5.000 ejemplares. </w:t>
      </w:r>
    </w:p>
    <w:p w:rsidR="00B01F4A" w:rsidRDefault="00B01F4A" w:rsidP="00B01F4A">
      <w:pPr>
        <w:pStyle w:val="TextoNormal"/>
      </w:pPr>
      <w:r>
        <w:t xml:space="preserve">b) El actor, que es propietario de la empresa «Muebles y Establecimientos Muñoz, S. L.», con locales abiertos en la ciudad de Valencia de Don Juan, y pensando en los perjuicios </w:t>
      </w:r>
      <w:r>
        <w:lastRenderedPageBreak/>
        <w:t xml:space="preserve">de todo tipo que dichos artículos desprestigiosos le podían ocasionar, dirigió carta certificada a uno de los autores para que rectificase. Transcurrido el plazo otorgado para hacerlo, presentó demanda civil de protección al honor. </w:t>
      </w:r>
    </w:p>
    <w:p w:rsidR="00B01F4A" w:rsidRDefault="00B01F4A" w:rsidP="00B01F4A">
      <w:pPr>
        <w:pStyle w:val="TextoNormal"/>
      </w:pPr>
      <w:r>
        <w:t xml:space="preserve">c) El Juzgado desestimó la demanda íntegramente, imponiendo las costas por imperativo legal, mediante Sentencia de 23 septiembre 1991. La Audiencia Provincial de León (Sección Primera) desestimó el recurso de apelación el 11 abril 1992, confirmando íntegramente la Sentencia apelada con costas. </w:t>
      </w:r>
    </w:p>
    <w:p w:rsidR="00B01F4A" w:rsidRDefault="00B01F4A" w:rsidP="00B01F4A">
      <w:pPr>
        <w:pStyle w:val="TextoNormal"/>
      </w:pPr>
      <w:r>
        <w:t xml:space="preserve">La desestimación de la demanda se fundó en la relevancia pública y política de ambas partes contendientes en Valencia de Don Juan y su zona de influencia; la pertenencia de todos al Partido Popular, la tensión política que por entonces reinaba en él, y que el demandante pertenecía a la comisión de dicho partido encargada de confeccionar las candidaturas para las elecciones municipales de mayo de 1991; que los demandados eran, respectivamente, presidente comarcal, coordinador y concejala del tal reiterado partido; que algunos cargos directivos en la comarca presentaron su dimisión, como era el caso del primer demandado; que el contenido de la publicación se puso en conocimiento de los directivos del partido; que la expresión «caciquear» se puede entender como mangonear, entrometerse en cosas que no incumben y ejercer influencia en ambientes políticos y administrativos, siendo de uso común entre políticos; que las comisiones, en unos y otros partidos, no son ajenas a las influencias y operaciones tendentes a que se designen unas u otras personas por su cercanía, fidelidad o afinidad política; y, finalmente, que lo publicado no guarda conexión alguna con la actividad empresarial del demandante ni puede derivar hacia él perjuicios económicos tangibles. </w:t>
      </w:r>
    </w:p>
    <w:p w:rsidR="00B01F4A" w:rsidRDefault="00B01F4A" w:rsidP="00B01F4A">
      <w:pPr>
        <w:pStyle w:val="TextoNormal"/>
      </w:pPr>
      <w:r>
        <w:t xml:space="preserve">d) Finalmente, el Tribunal Supremo desestimó el recurso de casación, de nuevo con imposición de costas por imperativo legal, mediante Sentencia de 29 diciembre 1995. </w:t>
      </w:r>
    </w:p>
    <w:p w:rsidR="00B01F4A" w:rsidRDefault="00B01F4A" w:rsidP="00B01F4A">
      <w:pPr>
        <w:pStyle w:val="TextoNormal"/>
      </w:pPr>
      <w:r>
        <w:t>La Sentencia, tras recordar los datos tenidos en cuenta por los Tribunales inferiores, añade que el artículo «Los vetos de Pérez» fue publicado en la Sección «Tribuna» del Diario de León y comprende la opinión de los autores respecto a lo ocurrido en la confección de la lista de candidatos y criticando la postura del Sr. Pérez y los que le siguen, entre ellos el Sr. Muñoz Gallego, al que realmente se le dedica un mínimo espacio dentro del total del texto publicado. Seguidamente razona la desestimación del recurso, porque la soberanía del pueblo, del que emanan los poderes del Estado, el pluralismo político y la trascendencia de unas elecciones para determinar quién ha de ostentar el poder, así como la importancia de la Comisión que ha de formar las candidaturas, y la autonomía de los municipios, sumado a la legitimidad de las discrepancias, que además surgen entre miembros de un partido, son circunstancias para mantener que en tal situación de trascendencia pública como son unas elecciones, la personalidad del recurrente trasciende de lo privado y entra en el campo de lo público. Además no es exigible un relato puro, objetivo y aséptico, que sería incompatible con el pluralismo y la tolerancia respecto a la libre manifestación de opiniones y críticas de la actividad de quien va a contribuir de modo esencial a designar a quienes pueden acceder a desempeñar una función pública (Sentencias del T.S. 26 febrero 1992, 20 febrero 1993 y 26 abril 1994, y STC 172/1990). Por otro lado, la expresión «cacique», aunque peyorativa, no puede considerarse infamante, degradante, o con entidad suficiente para hacer desmerecer al actor en la consideración ajena.</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La demanda de amparo alega vulneración del derecho al honor del actor (art. 18.1 C.E.), así como de su derecho a la igualdad (art. 14 C.E.). Igualmente desliza una invocación al art. 24. 1. </w:t>
      </w:r>
    </w:p>
    <w:p w:rsidR="00B01F4A" w:rsidRDefault="00B01F4A" w:rsidP="00B01F4A">
      <w:pPr>
        <w:pStyle w:val="TextoNormal"/>
      </w:pPr>
      <w:r>
        <w:lastRenderedPageBreak/>
        <w:t xml:space="preserve">La alegación del derecho a la igualdad se debe a que los políticos no pueden ser discriminados en la protección al honor, siendo éste igual al de cualquier ciudadano. Además, el Sr. Muñoz es, políticamente hablando, un cero a la izquierda. No es un político porque no trataba de alcanzar ningún puesto de ese carácter; no necesitaba los votos del electorado para nada y, por tanto, no había por qué ofenderle públicamente. Lo único que tenía de político es que formaba parte de una comisión encargada de confeccionar candidaturas para las próximas elecciones municipales; comisión en la que, además, iba en último lugar. </w:t>
      </w:r>
    </w:p>
    <w:p w:rsidR="00B01F4A" w:rsidRDefault="00B01F4A" w:rsidP="00B01F4A">
      <w:pPr>
        <w:pStyle w:val="TextoNormal"/>
      </w:pPr>
      <w:r>
        <w:t xml:space="preserve">En lo restante, la demanda recuerda que en el proceso civil acreditó que tiene una conducta ejemplar en todos los órdenes, según informa el alcalde del Ayuntamiento de Valencia de Don Juan, así como el Sr. cura párroco, el comandante de puesto de la Guardia civil, y el presidente de la Federación Leonesa de Empresarios, que era entonces concejal del Ayuntamiento y presidente de la Diputación Provincial de León, así como diversos testigos. Por lo que la frase vertida por los demandados es totalmente incierta e injuriosa, y ofende gravemente a su honor y también a la familia de don Pablo y a sus amigos, que se han sentido perjudicados y ofendidos con el suelto de los periódicos, que ha motivado su acomplejamiento social. </w:t>
      </w:r>
    </w:p>
    <w:p w:rsidR="00B01F4A" w:rsidRDefault="00B01F4A" w:rsidP="00B01F4A">
      <w:pPr>
        <w:pStyle w:val="TextoNormal"/>
      </w:pPr>
      <w:r>
        <w:t xml:space="preserve">En la demanda se pedía una indemnización por los daños morales y perjuicios patrimoniales sufridos de 50.000.000 de pesetas. Esta cifra, que ha causado sorpresa, obedece a que los perjuicios sufridos por el actor, dueño de un establecimiento de muebles, son elevados (como se acreditó en el proceso civil, pues los beneficios del ejercicio de 1990 fueron de 13,4 millones de pesetas, y en el del año siguiente, en cambio, fue sólo de 12 millones). No obstante, el quejoso no ha perseguido nunca un beneficio económico, habiendo manifestado que el dinero que se pudiera obtener lo destinaría íntegramente a una residencia de ancianos. En este contexto invoca el art. 24.1 C.E. </w:t>
      </w:r>
    </w:p>
    <w:p w:rsidR="00B01F4A" w:rsidRDefault="00B01F4A" w:rsidP="00B01F4A">
      <w:pPr>
        <w:pStyle w:val="TextoNormal"/>
      </w:pPr>
      <w:r>
        <w:t>La demanda alega también errónea apreciación de la prueba, basada en documento que obra en autos, que demuestra la equivocación del Juzgador, pues en la prueba de confesión judicial, el Sr. Muñoz manifestó «que la expresión cacique es de uso común entre políticos aplicándose de forma amistosa o cordial», pero terminado el acto aclaró que ello era sin perjuicio de entender que dicha palabra, en el caso concreto, era muy perjudicial para él.</w:t>
      </w:r>
    </w:p>
    <w:p w:rsidR="00B01F4A" w:rsidRDefault="00B01F4A" w:rsidP="00B01F4A">
      <w:pPr>
        <w:pStyle w:val="TextoNormal"/>
      </w:pPr>
    </w:p>
    <w:p w:rsidR="00B01F4A" w:rsidRDefault="00B01F4A" w:rsidP="00B01F4A">
      <w:pPr>
        <w:pStyle w:val="TextoNormal"/>
      </w:pPr>
      <w:r w:rsidRPr="00B01F4A">
        <w:rPr>
          <w:rStyle w:val="NumeroAFNegritaCaracter"/>
        </w:rPr>
        <w:t>4</w:t>
      </w:r>
      <w:r>
        <w:t>. La Sección, por providencia de 8 noviembre 1996, abrió trámite de alegaciones acerca del contenido de la demanda de amparo.</w:t>
      </w:r>
    </w:p>
    <w:p w:rsidR="00B01F4A" w:rsidRDefault="00B01F4A" w:rsidP="00B01F4A">
      <w:pPr>
        <w:pStyle w:val="TextoNormal"/>
      </w:pPr>
    </w:p>
    <w:p w:rsidR="00B01F4A" w:rsidRDefault="00B01F4A" w:rsidP="00B01F4A">
      <w:pPr>
        <w:pStyle w:val="TextoNormal"/>
      </w:pPr>
      <w:r w:rsidRPr="00B01F4A">
        <w:rPr>
          <w:rStyle w:val="NumeroAFNegritaCaracter"/>
        </w:rPr>
        <w:t>5</w:t>
      </w:r>
      <w:r>
        <w:t xml:space="preserve">. La parte recurrente presentó alegaciones el día 20 ante el Juzgado de guardia de Madrid, registradas el 22, reiterando las razones alegadas para pedir la admisión y la estimación del recurso. </w:t>
      </w:r>
    </w:p>
    <w:p w:rsidR="00B01F4A" w:rsidRDefault="00B01F4A" w:rsidP="00B01F4A">
      <w:pPr>
        <w:pStyle w:val="TextoNormal"/>
      </w:pPr>
      <w:r>
        <w:t>Además, la vulneración al derecho a su honor, que no ha sido reparado, lleva al actor a la ruina. Las costas a que ha sido condenado por el Tribunal Supremo, ya firmes, ascienden a 455.546 pesetas; las incurridas ante la Audiencia Provincial y ante el Juzgado ascienden a las sumas de 2.684.456 pesetas y más de 5.000.000 de pesetas, respectivamente, ambas pendientes de la impugnación presentada. Si no son reducidas, resultarán con una cantidad a pagar de más de 8.000.000 de pesetas para un demandado y otros tantos para el otro.</w:t>
      </w:r>
    </w:p>
    <w:p w:rsidR="00B01F4A" w:rsidRDefault="00B01F4A" w:rsidP="00B01F4A">
      <w:pPr>
        <w:pStyle w:val="TextoNormal"/>
      </w:pPr>
    </w:p>
    <w:p w:rsidR="00B01F4A" w:rsidRDefault="00B01F4A" w:rsidP="00B01F4A">
      <w:pPr>
        <w:pStyle w:val="TextoNormal"/>
      </w:pPr>
      <w:r w:rsidRPr="00B01F4A">
        <w:rPr>
          <w:rStyle w:val="NumeroAFNegritaCaracter"/>
        </w:rPr>
        <w:t>6</w:t>
      </w:r>
      <w:r>
        <w:t xml:space="preserve">. El Fiscal informó el día 29 de noviembre en favor de la inadmisión del recurso. </w:t>
      </w:r>
    </w:p>
    <w:p w:rsidR="00B01F4A" w:rsidRDefault="00B01F4A" w:rsidP="00B01F4A">
      <w:pPr>
        <w:pStyle w:val="TextoNormal"/>
      </w:pPr>
      <w:r>
        <w:t xml:space="preserve">Tras sintetizar la doctrina jurisprudencial sobre la ponderación judicial entre los derechos fundamentales a la libertad de expresión y al honor, concluye que la llevada a cabo por las tres Sentencias impugnadas es correcta y respetuosa con el derecho al honor. El contenido </w:t>
      </w:r>
      <w:r>
        <w:lastRenderedPageBreak/>
        <w:t xml:space="preserve">de la opinión que expresan los autores del artículo periodístico respecto de la actividad del actor, atendido el ambiente y espacio político, el momento electoral en que escriben, las circunstancias y vicisitudes del partido al que pertenecen, su longitud y el sentido propio de las palabras constituyen una manifestación de la libertad de expresión, sin ninguna intromisión ilegítima en el honor del aludido. </w:t>
      </w:r>
    </w:p>
    <w:p w:rsidR="00B01F4A" w:rsidRDefault="00B01F4A" w:rsidP="00B01F4A">
      <w:pPr>
        <w:pStyle w:val="TextoNormal"/>
      </w:pPr>
      <w:r>
        <w:t>La alegación del art. 14 C.E. carece de entidad, porque la diferencia de trato nace de las diferencias entre la actividad política respecto de otras en una sociedad democrática.</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actor alega que las tres Sentencias civiles impugnadas no solamente no repararon la vulneración de su derecho al honor, causado por un artículo de opinión que le había criticado tildándole de «cacique residual», sino que además le han condenado a abonar las costas procesales.</w:t>
      </w:r>
    </w:p>
    <w:p w:rsidR="00B01F4A" w:rsidRDefault="00B01F4A" w:rsidP="00B01F4A">
      <w:pPr>
        <w:pStyle w:val="TextoNormal"/>
      </w:pPr>
      <w:r>
        <w:t>Ahora bien, es manifiesto que las Sentencias recurridas han ponderado correctamente los derechos al honor y a la libertad de expresión enfrentados en el litigio previo a este proceso constitucional de amparo, de acuerdo con los parámetros desarrollados por la jurisprudencia constitucional (SSTC 104/1986, 85/1992, y 19/1996, por lo que la demanda carece manifiestamente de contenido que justifique su admisión [art. 50.1 c) LOTC].</w:t>
      </w:r>
    </w:p>
    <w:p w:rsidR="00B01F4A" w:rsidRDefault="00B01F4A" w:rsidP="00B01F4A">
      <w:pPr>
        <w:pStyle w:val="TextoNormal"/>
      </w:pPr>
    </w:p>
    <w:p w:rsidR="00B01F4A" w:rsidRDefault="00B01F4A" w:rsidP="00B01F4A">
      <w:pPr>
        <w:pStyle w:val="TextoNormal"/>
      </w:pPr>
      <w:r w:rsidRPr="00B01F4A">
        <w:rPr>
          <w:rStyle w:val="NumeroAFNegritaCaracter"/>
        </w:rPr>
        <w:t>2</w:t>
      </w:r>
      <w:r>
        <w:t>. Los hechos del proceso se sitúan en el ámbito del debate político, que forma parte del núcleo más protegido del derecho a la libre expresión de ideas y opiniones, como hemos sostenido desde la STC 6/1981, pues el art. 20 C.E.  asegura la «preservación de [una] comunicación pública libre sin la cual no hay sociedad libre ni, por tanto, soberanía popular» (fundamento jurídico 3.º). Las críticas constituyen una servidumbre de la actividad pública o política (SSTC 104/1986, fundamento jurídico 7.º, y 19/1996, fundamento jurídico 3.º). Y la libertad de expresión «no sólo ampara críticas más o menos inofensivas e indiferentes, sino también aquellas otras que puedan molestar, inquietar, disgustar o desabrir el ánimo de la persona a la que se dirigen, siendo más amplios los límites permisibles de la crítica, cuando ésta se refiere a las personas que, por dedicarse a actividades políticas, están expuestas a un más riguroso control de sus actitudes y manifestaciones que si se tratase de particulares sin proyección pública» (STC 85/1992, fundamento jurídico 4.º).</w:t>
      </w:r>
    </w:p>
    <w:p w:rsidR="00B01F4A" w:rsidRDefault="00B01F4A" w:rsidP="00B01F4A">
      <w:pPr>
        <w:pStyle w:val="TextoNormal"/>
      </w:pPr>
      <w:r>
        <w:t>Esta diferencia de trato es objetiva y razonable, por lo que tampoco hay vulneración del art. 14 C.E.</w:t>
      </w:r>
    </w:p>
    <w:p w:rsidR="00B01F4A" w:rsidRDefault="00B01F4A" w:rsidP="00B01F4A">
      <w:pPr>
        <w:pStyle w:val="TextoNormal"/>
      </w:pPr>
    </w:p>
    <w:p w:rsidR="00B01F4A" w:rsidRDefault="00B01F4A" w:rsidP="00B01F4A">
      <w:pPr>
        <w:pStyle w:val="TextoNormal"/>
      </w:pPr>
      <w:r w:rsidRPr="00B01F4A">
        <w:rPr>
          <w:rStyle w:val="NumeroAFNegritaCaracter"/>
        </w:rPr>
        <w:t>3</w:t>
      </w:r>
      <w:r>
        <w:t>. La alegación de que el actor no se presentaba como candidato a las elecciones carece de toda relevancia. El se encontraba implicado en la contienda electoral, pues formaba parte de la comisión de su partido político para la formación de las listas electorales. Este dato, por sí solo, es determinante, resultando de todo punto indiferente el lugar que ocupara en la lista de miembros de la comisión, pues no guarda ninguna relación con su derecho a voz y voto en la formación de la voluntad de su partido respecto a las elecciones.</w:t>
      </w:r>
    </w:p>
    <w:p w:rsidR="00B01F4A" w:rsidRDefault="00B01F4A" w:rsidP="00B01F4A">
      <w:pPr>
        <w:pStyle w:val="TextoNormal"/>
      </w:pPr>
      <w:r>
        <w:t>También son irrelevantes los avatares comerciales del establecimiento de su propiedad. El actor no ha probado en el proceso civil que exista la menor relación entre sus actividades privadas y las críticas recibidas por su implicación en la vida pública. Las críticas dirigidas contra él no rozaron siquiera el ámbito de sus actividades como ciudadano particular. Y es, por lo demás, evidente que quien interviene en el ágora de su ciudad no puede disociar enteramente su persona de sus actividades públicas, tanto para lo bueno como para lo malo.</w:t>
      </w:r>
    </w:p>
    <w:p w:rsidR="00B01F4A" w:rsidRDefault="00B01F4A" w:rsidP="00B01F4A">
      <w:pPr>
        <w:pStyle w:val="TextoNormal"/>
      </w:pPr>
    </w:p>
    <w:p w:rsidR="00B01F4A" w:rsidRDefault="00B01F4A" w:rsidP="00B01F4A">
      <w:pPr>
        <w:pStyle w:val="TextoNormal"/>
      </w:pPr>
      <w:r w:rsidRPr="00B01F4A">
        <w:rPr>
          <w:rStyle w:val="NumeroAFNegritaCaracter"/>
        </w:rPr>
        <w:t>4</w:t>
      </w:r>
      <w:r>
        <w:t>. En cuanto a las condenas en costas que han sido impuestas al demandante de amparo por las Sentencias de los Tribunales civiles, al desestimar sus pretensiones contra los autores del artículo periodístico, es claro que no han vulnerado su derecho a una tutela judicial sin indefensión (art. 24.1 C.E.).  Los pronunciamientos judiciales que le impusieron el abono de las costas procesales aparecen fundados en un precepto legal, se encuentran motivados y no son arbitrarios.</w:t>
      </w:r>
    </w:p>
    <w:p w:rsidR="00B01F4A" w:rsidRDefault="00B01F4A" w:rsidP="00B01F4A">
      <w:pPr>
        <w:pStyle w:val="TextoNormal"/>
      </w:pPr>
      <w:r>
        <w:t>Es cierto que, en algún supuesto extremo, la imposición de costas procesales a alguna de las partes de un proceso puede afectar al derecho de éstas a acceder a la jurisdicción, en la medida en que la condenada a satisfacerlas pueda resultar arbitrariamente disuadida o limitada en el ejercicio de su derecho fundamental (STC 206/1987, fundamento jurídico 5.º, y ATC 171/1986, fundamento jurídico 3.º), o bien en la medida en que la contraparte pueda resultar arbitrariamente beneficiada al no tener que abonar los honorarios y derechos devengados al defender ante los Tribunales sus derechos e intereses legítimos, (SSTC 131/1986, fundamento jurídico 3.º), y 147/1989, fundamento jurídico 5.9). Pero lo cierto es que los problemas que suscita la aplicación del sistema de costas son normalmente ajenos a la intervención de este Tribunal, como ocurre en el caso presente.</w:t>
      </w:r>
    </w:p>
    <w:p w:rsidR="00B01F4A" w:rsidRDefault="00B01F4A" w:rsidP="00B01F4A">
      <w:pPr>
        <w:pStyle w:val="TextoNormal"/>
      </w:pPr>
      <w:r>
        <w:t>Por lo demás, el abono de las costas sufridas por las partes que se han visto obligadas a defenderse de la demanda presentada por el actor, y desestimada íntegramente por los Tribunales, no sólo no es arbitrario, sino que, además, resulta adecuado para garantizar el acceso de aquellos ciudadanos a la tutela judicial efectiva y sin indefensión, que tutela el art. 24.1 C.E. (STC 47/1987 y el ATC 24/1993).</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lo expuesto, la Sección acuerda la inadmisión de la demanda de amparo y el archivo de las actuaciones.</w:t>
      </w:r>
    </w:p>
    <w:p w:rsidR="00B01F4A" w:rsidRDefault="00B01F4A" w:rsidP="00B01F4A">
      <w:pPr>
        <w:pStyle w:val="TextoNormal"/>
      </w:pPr>
    </w:p>
    <w:p w:rsidR="00B01F4A" w:rsidRDefault="00B01F4A" w:rsidP="00B01F4A">
      <w:pPr>
        <w:pStyle w:val="TextoNormal"/>
      </w:pPr>
      <w:r>
        <w:t>Madrid, a veintidós de enero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06" w:name="AUTO_1997_16"/>
      <w:r>
        <w:lastRenderedPageBreak/>
        <w:t>AUTO 16/1997, de 27 de enero de 1997</w:t>
      </w:r>
    </w:p>
    <w:bookmarkEnd w:id="106"/>
    <w:p w:rsidR="00B01F4A" w:rsidRDefault="00B01F4A" w:rsidP="00B01F4A">
      <w:pPr>
        <w:pStyle w:val="TtuloResolucin"/>
      </w:pPr>
      <w:r>
        <w:t>Sala Primera</w:t>
      </w:r>
    </w:p>
    <w:p w:rsidR="00B01F4A" w:rsidRDefault="00B01F4A" w:rsidP="00B01F4A">
      <w:pPr>
        <w:pStyle w:val="TtuloResolucin"/>
      </w:pPr>
    </w:p>
    <w:p w:rsidR="00B01F4A" w:rsidRDefault="00B01F4A" w:rsidP="00B01F4A">
      <w:pPr>
        <w:pStyle w:val="SntesisDescriptiva"/>
      </w:pPr>
      <w:r>
        <w:t>ECLI:ES:TC:1997:16A</w:t>
      </w:r>
    </w:p>
    <w:p w:rsidR="00B01F4A" w:rsidRDefault="00B01F4A" w:rsidP="00B01F4A">
      <w:pPr>
        <w:pStyle w:val="SntesisDescriptiva"/>
      </w:pPr>
    </w:p>
    <w:p w:rsidR="00B01F4A" w:rsidRDefault="00B01F4A" w:rsidP="00B01F4A">
      <w:pPr>
        <w:pStyle w:val="SntesisDescriptiva"/>
      </w:pPr>
      <w:r>
        <w:t>Excms. Srs. don Álvaro Rodríguez Bereijo, don José Vicente Gimeno Sendra, don Pedro Cruz Villalón, don Enrique Ruiz Vadillo, don Manuel Jiménez de Parga y Cabrera y don Pablo García Manzano.</w:t>
      </w:r>
    </w:p>
    <w:p w:rsidR="00B01F4A" w:rsidRDefault="00B01F4A" w:rsidP="00B01F4A">
      <w:pPr>
        <w:pStyle w:val="SntesisDescriptiva"/>
      </w:pPr>
    </w:p>
    <w:p w:rsidR="00B01F4A" w:rsidRDefault="00B01F4A" w:rsidP="00B01F4A">
      <w:pPr>
        <w:pStyle w:val="SntesisDescriptiva"/>
      </w:pPr>
      <w:r>
        <w:t>Acordando la suspensión parcial de la ejecución del acto que origina el recurso de amparo 2.412/1995.</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en este Tribunal el 28 de junio de 1995, la Procuradora de los Tribunales doña Paloma de la Torre Cilleros, en nombre y representación de don Carlos Ferrez Molina, interpuso recurso de amparo contra la Sentencia de la Sección Primera de la Audiencia Provincial de Madrid, de 3 de junio de 1995, por la que se confirmaba en apelación la Sentencia del Juzgado de Instrucción núm. 1 de esa misma ciudad, de 5 de abril de 1995, dictada en procedimiento por falta de lesiones.</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La demanda de amparo se basaba, en síntesis, en los siguientes hechos: </w:t>
      </w:r>
    </w:p>
    <w:p w:rsidR="00B01F4A" w:rsidRDefault="00B01F4A" w:rsidP="00B01F4A">
      <w:pPr>
        <w:pStyle w:val="TextoNormal"/>
      </w:pPr>
      <w:r>
        <w:t xml:space="preserve">a) El demandante de amparo fue condenado en instancia, junto con su padre, como autor responsable de una falta de lesiones, a la pena de quince días de arresto menor y a satisfacer al lesionado la cantidad de 200.000 pesetas en concepto de indemnización. </w:t>
      </w:r>
    </w:p>
    <w:p w:rsidR="00B01F4A" w:rsidRDefault="00B01F4A" w:rsidP="00B01F4A">
      <w:pPr>
        <w:pStyle w:val="TextoNormal"/>
      </w:pPr>
      <w:r>
        <w:t>b) Interpuesto contra la Sentencia del Juzgado de Instrucción recurso de apelación por padre e hijo, en la Sentencia confirmatoria dictada en segunda instancia se ignoró el recurso interpuesto por el Sr. Ferrez Molina, no siendo, por consiguiente, tenidas en cuenta las alegaciones que en el mismo se contenían.</w:t>
      </w:r>
    </w:p>
    <w:p w:rsidR="00B01F4A" w:rsidRDefault="00B01F4A" w:rsidP="00B01F4A">
      <w:pPr>
        <w:pStyle w:val="TextoNormal"/>
      </w:pPr>
    </w:p>
    <w:p w:rsidR="00B01F4A" w:rsidRDefault="00B01F4A" w:rsidP="00B01F4A">
      <w:pPr>
        <w:pStyle w:val="TextoNormal"/>
      </w:pPr>
      <w:r w:rsidRPr="00B01F4A">
        <w:rPr>
          <w:rStyle w:val="NumeroAFNegritaCaracter"/>
        </w:rPr>
        <w:t>3</w:t>
      </w:r>
      <w:r>
        <w:t>. Invoca el recurrente, como fundamento de su queja de amparo, la vulneración de su derecho a la tutela judicial efectiva sin indefensión (art. 24.1 C.E.) que habría cometido la Audiencia Provincial al dictar Sentencia sin tener en cuenta las alegaciones contenidas en el escrito de formalización de su recurso de apelación, interpuesto en tiempo y forma debidos, en el que impugnaba la resolución judicial pronunciada en instancia. En consecuencia, pide a este Tribunal que anule la Sentencia dictada en grado de apelación y que, entretanto, acuerde suspender su ejecución.</w:t>
      </w:r>
    </w:p>
    <w:p w:rsidR="00B01F4A" w:rsidRDefault="00B01F4A" w:rsidP="00B01F4A">
      <w:pPr>
        <w:pStyle w:val="TextoNormal"/>
      </w:pPr>
    </w:p>
    <w:p w:rsidR="00B01F4A" w:rsidRDefault="00B01F4A" w:rsidP="00B01F4A">
      <w:pPr>
        <w:pStyle w:val="TextoNormal"/>
      </w:pPr>
      <w:r w:rsidRPr="00B01F4A">
        <w:rPr>
          <w:rStyle w:val="NumeroAFNegritaCaracter"/>
        </w:rPr>
        <w:t>4</w:t>
      </w:r>
      <w:r>
        <w:t>. Por providencia de 9 de octubre de 1995, la Sección Primera acordó, previamente a decidir sobre el fondo del asunto, requerir a la Sección Primera de la Audiencia Provincial de Madrid para que le enviara testimonio del rollo de apelación en cuestión. Habiéndose recibido en respuesta a dicha solicitud tan sólo las actuaciones relativas al padre del recu</w:t>
      </w:r>
      <w:r>
        <w:lastRenderedPageBreak/>
        <w:t>rrente, por providencia de 29 de enero de 1996 se instó de nuevo al órgano judicial de apelación para que remitiera testimonio del recurso de apelación interpuesto por el Sr. Ferrez Molina. Por providencia de 16 de septiembre de 1996, la Sección, tras haber procedido al examen del nuevo envío y comprobado que en el mencionado rollo únicamente constaba como apelante el padre del demandante de amparo, acordó la inadmisión del presente recurso de amparo por falta de agotamiento de los recursos utilizables dentro de la vía judicial ordinaria [art. 50.1 a) en relación con art. 44.1 a), ambos de la LOTC].</w:t>
      </w:r>
    </w:p>
    <w:p w:rsidR="00B01F4A" w:rsidRDefault="00B01F4A" w:rsidP="00B01F4A">
      <w:pPr>
        <w:pStyle w:val="TextoNormal"/>
      </w:pPr>
    </w:p>
    <w:p w:rsidR="00B01F4A" w:rsidRDefault="00B01F4A" w:rsidP="00B01F4A">
      <w:pPr>
        <w:pStyle w:val="TextoNormal"/>
      </w:pPr>
      <w:r w:rsidRPr="00B01F4A">
        <w:rPr>
          <w:rStyle w:val="NumeroAFNegritaCaracter"/>
        </w:rPr>
        <w:t>5</w:t>
      </w:r>
      <w:r>
        <w:t>. Mediante escrito registrado en este Tribunal el 27 de septiembre de 1996, el Ministerio Fiscal interpuso recurso de súplica contra la mencionada providencia de inadmisión, en el que solicitaba que se dejara sin efecto y que, en su lugar, se dictase otra admitiendo a trámite la demanda de amparo presentada por don Carlos Ferrez Molina, toda vez que no podía estimarse concurrente el motivo de inadmisión que en aquélla se esgrimía ya que, por comparecencia de la representación del solicitante de amparo ante la Fiscalía del Tribunal Constitucional con fecha de 25 de septiembre de 1996, quedo acreditado que efectivamente había presentado recurso de apelación contra la Sentencia de instancia en tiempo y forma legales, teniendo por consiguiente entrada dicho escrito en el órgano judicial de referencia sin que, ello no obstante, éste procediera a unirlo a los autos del juicio de falta objeto de las presentes actuaciones, todo lo cual se hace constar por certificación expedida por el Secretario del Juzgado de Instrucción núm. 1 de Madrid.</w:t>
      </w:r>
    </w:p>
    <w:p w:rsidR="00B01F4A" w:rsidRDefault="00B01F4A" w:rsidP="00B01F4A">
      <w:pPr>
        <w:pStyle w:val="TextoNormal"/>
      </w:pPr>
    </w:p>
    <w:p w:rsidR="00B01F4A" w:rsidRDefault="00B01F4A" w:rsidP="00B01F4A">
      <w:pPr>
        <w:pStyle w:val="TextoNormal"/>
      </w:pPr>
      <w:r w:rsidRPr="00B01F4A">
        <w:rPr>
          <w:rStyle w:val="NumeroAFNegritaCaracter"/>
        </w:rPr>
        <w:t>6</w:t>
      </w:r>
      <w:r>
        <w:t>. Por Auto de 11 de noviembre de 1996, la Sección Primera acordó estimar el recurso de súplica interpuesto por el Ministerio Fiscal y, en consecuencia, revocó su providencia de 16 de septiembre de 1996 y admitió a trámite el presente recurso de amparo. Por providencia de esa misma fecha, la Sección acordó formar la correspondiente pieza separada de suspensión y, de conformidad con lo prevenido en el art. 56 de la LOTC, conceder al Ministerio Fiscal y al demandante de amparo un plazo de tres días para que formularan a ese respecto cuantas alegaciones estimasen convenientes.</w:t>
      </w:r>
    </w:p>
    <w:p w:rsidR="00B01F4A" w:rsidRDefault="00B01F4A" w:rsidP="00B01F4A">
      <w:pPr>
        <w:pStyle w:val="TextoNormal"/>
      </w:pPr>
    </w:p>
    <w:p w:rsidR="00B01F4A" w:rsidRDefault="00B01F4A" w:rsidP="00B01F4A">
      <w:pPr>
        <w:pStyle w:val="TextoNormal"/>
      </w:pPr>
      <w:r w:rsidRPr="00B01F4A">
        <w:rPr>
          <w:rStyle w:val="NumeroAFNegritaCaracter"/>
        </w:rPr>
        <w:t>7</w:t>
      </w:r>
      <w:r>
        <w:t>. El Fiscal ante el Tribunal Constitucional evacuó el referido trámite de alegaciones por escrito de fecha 25 de noviembre de 1996, en el que manifestaba su no oposición a la suspensión de la condena impuesta al recurrente a una pena de quince días de arresto menor, oponiéndose, en cambio, a la suspensión del pago de la indemnización establecida en la Sentencia de instancia y al de las costas procesales por entender que, dado su carácter pecuniario y consiguiente posibilidad de recuperación, la ejecución de tales obligaciones no haría perder al amparo su finalidad, en caso de que fuera concedido. El demandante de amparo no formuló alegaciones.</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art. 56 de la LOTC dispone, en su primer apartado, que sólo procede la suspensión de los actos de los poderes públicos a los que se impute la vulneración de derechos fundamentales cuando la ejecución hubiere de ocasionar un perjuicio que hiciere perder al amparo su finalidad. No obstante, el citado precepto permite, en su segundo apartado, denegar la suspensión cuando de ésta pueda seguirse perturbación grave de los intereses generales o de los derechos fundamentales de un tercero.</w:t>
      </w:r>
    </w:p>
    <w:p w:rsidR="00B01F4A" w:rsidRDefault="00B01F4A" w:rsidP="00B01F4A">
      <w:pPr>
        <w:pStyle w:val="TextoNormal"/>
      </w:pPr>
    </w:p>
    <w:p w:rsidR="00B01F4A" w:rsidRDefault="00B01F4A" w:rsidP="00B01F4A">
      <w:pPr>
        <w:pStyle w:val="TextoNormal"/>
      </w:pPr>
      <w:r w:rsidRPr="00B01F4A">
        <w:rPr>
          <w:rStyle w:val="NumeroAFNegritaCaracter"/>
        </w:rPr>
        <w:t>2</w:t>
      </w:r>
      <w:r>
        <w:t>. En materia de condena a penas privativas de libertad o de derechos, este Tribunal ha venido entendiendo que la ejecución de la Sentencia condenatoria podría hacer perder, total o parcialmente, su finalidad al amparo, por lo que la regla general ha sido conceder la suspensión una vez admitido el correspondiente recurso a trámite, aunque ello significase paralizar la ejecución de una Sentencia firme (AATC 98/1993, 144/1984, 179/1984, 174/1985, 116/1990 y 120/1993, entre otros).</w:t>
      </w:r>
    </w:p>
    <w:p w:rsidR="00B01F4A" w:rsidRDefault="00B01F4A" w:rsidP="00B01F4A">
      <w:pPr>
        <w:pStyle w:val="TextoNormal"/>
      </w:pPr>
      <w:r>
        <w:t>Sin embargo, ha denegado la suspensión, atendiendo a los intereses públicos inherentes a la idea de que ciertas condenas a penas privativas de libertad, dada su trascendencia, han de cumplirse de inmediato sin perjuicio del posterior otorgamiento del amparo si resulta procedente. Esa denegación se ha efectuado, pues, sobre la base de ponderar los derechos constitucionales en juego con los intereses generales que, en concreto, operan en el cumplimiento de la Sentencia, determinados por la naturaleza y circunstancias de la infracción penal, gravedad de la pena impuesta y estado de su cumplimiento.</w:t>
      </w:r>
    </w:p>
    <w:p w:rsidR="00B01F4A" w:rsidRDefault="00B01F4A" w:rsidP="00B01F4A">
      <w:pPr>
        <w:pStyle w:val="TextoNormal"/>
      </w:pPr>
    </w:p>
    <w:p w:rsidR="00B01F4A" w:rsidRDefault="00B01F4A" w:rsidP="00B01F4A">
      <w:pPr>
        <w:pStyle w:val="TextoNormal"/>
      </w:pPr>
      <w:r w:rsidRPr="00B01F4A">
        <w:rPr>
          <w:rStyle w:val="NumeroAFNegritaCaracter"/>
        </w:rPr>
        <w:t>3</w:t>
      </w:r>
      <w:r>
        <w:t>. En el presente caso, la privación de libertad impuesta al recurrente, consistente en un arresto menor por tiempo de quince días, hace que el resultado de la indicada ponderación no pueda ser otro que el otorgamiento de la suspensión de la ejecución de dicha condena, pues, de no accederse a ello, se causaría un perjuicio irreparable al recurrente si en su día se le concediera el amparo.</w:t>
      </w:r>
    </w:p>
    <w:p w:rsidR="00B01F4A" w:rsidRDefault="00B01F4A" w:rsidP="00B01F4A">
      <w:pPr>
        <w:pStyle w:val="TextoNormal"/>
      </w:pPr>
      <w:r>
        <w:t>Distinta ha de ser la conclusión en lo relativo a la indemnización a la que fue condenado en concepto de responsable civil y al pago de las costas procesales, ya que, tratándose en ambos casos de obligaciones de naturaleza pecuniaria, su ejecución no provoca, en principio, ningún perjuicio irreparable que pudiera hacer inútil la concesión del amparo, dado que, en tal supuesto, siempre sería posible la recuperación por el recurrente de las cantidades satisfechas.</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lo expuesto, la Sala acuerda suspender la ejecución de la Sentencia dictada por la Sección Primera de la Audiencia Provincial de Madrid, con fecha de 3 de junio de 1995, exclusivamente en lo relativo a la pena de quince días de arresto menor</w:t>
      </w:r>
    </w:p>
    <w:p w:rsidR="00B01F4A" w:rsidRDefault="00B01F4A" w:rsidP="00B01F4A">
      <w:pPr>
        <w:pStyle w:val="TextoNormal"/>
      </w:pPr>
      <w:r>
        <w:t>impuesta a don Carlos Ferrez Molina, y no haber lugar a la suspensión del pronunciamiento relativo a la indemnización establecida en materia de responsabilidad civil y al pago de las costas procesales.</w:t>
      </w:r>
    </w:p>
    <w:p w:rsidR="00B01F4A" w:rsidRDefault="00B01F4A" w:rsidP="00B01F4A">
      <w:pPr>
        <w:pStyle w:val="TextoNormal"/>
      </w:pPr>
    </w:p>
    <w:p w:rsidR="00B01F4A" w:rsidRDefault="00B01F4A" w:rsidP="00B01F4A">
      <w:pPr>
        <w:pStyle w:val="TextoNormal"/>
      </w:pPr>
      <w:r>
        <w:t>Madrid, a veintisiete de enero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07" w:name="AUTO_1997_17"/>
      <w:r>
        <w:lastRenderedPageBreak/>
        <w:t>AUTO 17/1997, de 27 de enero de 1997</w:t>
      </w:r>
    </w:p>
    <w:bookmarkEnd w:id="107"/>
    <w:p w:rsidR="00B01F4A" w:rsidRDefault="00B01F4A" w:rsidP="00B01F4A">
      <w:pPr>
        <w:pStyle w:val="TtuloResolucin"/>
      </w:pPr>
      <w:r>
        <w:t>Sala Segunda</w:t>
      </w:r>
    </w:p>
    <w:p w:rsidR="00B01F4A" w:rsidRDefault="00B01F4A" w:rsidP="00B01F4A">
      <w:pPr>
        <w:pStyle w:val="TtuloResolucin"/>
      </w:pPr>
    </w:p>
    <w:p w:rsidR="00B01F4A" w:rsidRDefault="00B01F4A" w:rsidP="00B01F4A">
      <w:pPr>
        <w:pStyle w:val="SntesisDescriptiva"/>
      </w:pPr>
      <w:r>
        <w:t>ECLI:ES:TC:1997:17A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don Rafael de Mendizábal Allende, don Julio D. González Campos, don Carles Viver Pi-Sunyer y don Tomás Salvador Vives Antón.</w:t>
      </w:r>
    </w:p>
    <w:p w:rsidR="00B01F4A" w:rsidRDefault="00B01F4A" w:rsidP="00B01F4A">
      <w:pPr>
        <w:pStyle w:val="SntesisDescriptiva"/>
      </w:pPr>
    </w:p>
    <w:p w:rsidR="00B01F4A" w:rsidRDefault="00B01F4A" w:rsidP="00B01F4A">
      <w:pPr>
        <w:pStyle w:val="SntesisDescriptiva"/>
      </w:pPr>
      <w:r>
        <w:t>Declarando la falta de jurisdicción del Tribunal Constitucional en el procedimiento de jura de cuentas relativa al recurso de amparo 2.702/1995.</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Por escrito presentado en este Tribunal el 15 de octubre de 1996, el Procurador don Isacio Calleja García, que lo fue del recurrente en este proceso de amparo, formula incidente de jura de cuentas contra su representado, para que le abone la cuenta de suplidos y derechos cuyo importe asciende a 53.354 pesetas.</w:t>
      </w:r>
    </w:p>
    <w:p w:rsidR="00B01F4A" w:rsidRDefault="00B01F4A" w:rsidP="00B01F4A">
      <w:pPr>
        <w:pStyle w:val="TextoNormal"/>
      </w:pPr>
    </w:p>
    <w:p w:rsidR="00B01F4A" w:rsidRDefault="00B01F4A" w:rsidP="00B01F4A">
      <w:pPr>
        <w:pStyle w:val="TextoNormal"/>
      </w:pPr>
      <w:r w:rsidRPr="00B01F4A">
        <w:rPr>
          <w:rStyle w:val="NumeroAFNegritaCaracter"/>
        </w:rPr>
        <w:t>2</w:t>
      </w:r>
      <w:r>
        <w:t>. La Sección Tercera, por providencia de 19 de diciembre de 1996, acordó tener presentado dicho escrito formulando incidente de jura de cuentas y oír al Ministerio Fiscal para que, en el plazo de diez días, alegase lo que estimara conveniente respecto a la posible falta de jurisdicción de este Tribunal para conocer de los procedimientos de jura de cuentas regulados en los arts. 8 y 12 de la Ley de Enjuiciamiento civil.</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El Ministerio Fiscal, por escrito presentado el 13 de enero de 1997, interesa que se declare la falta de jurisdicción del Tribunal Constitucional para conocer del procedimiento de jura de cuentas. </w:t>
      </w:r>
    </w:p>
    <w:p w:rsidR="00B01F4A" w:rsidRDefault="00B01F4A" w:rsidP="00B01F4A">
      <w:pPr>
        <w:pStyle w:val="TextoNormal"/>
      </w:pPr>
      <w:r>
        <w:t xml:space="preserve">Alega que el procedimiento de jura de cuentas establecido en los arts. 8 y 12 de la L.E.C. no puede ser objeto de conocimiento jurisdiccional por el Tribunal Constitucional porque su contenido no está directamente relacionado con la materia propia del mismo. </w:t>
      </w:r>
    </w:p>
    <w:p w:rsidR="00B01F4A" w:rsidRDefault="00B01F4A" w:rsidP="00B01F4A">
      <w:pPr>
        <w:pStyle w:val="TextoNormal"/>
      </w:pPr>
      <w:r>
        <w:t xml:space="preserve">Para el Ministerio Fiscal la jura de cuentas tiene por objeto únicamente la satisfacción de la relación obligacional económica existente entre el Procurador y el cliente a quien ha representado, y esta satisfacción constituye una pretensión que puede hacerse efectiva en un procedimiento declarativo ordinario o mediante la constitución por el órgano judicial, mediante el cumplimiento de los requisitos establecidos en la Ley, de un título ejecutivo que es el regulado en el art. 8 de la L.E.C., y en ninguno de estos dos procedimientos puede intervenir el Tribunal Constitucional porque su materia -efectividad de un crédito- es ajena a la materia constitucional de la que conoce. </w:t>
      </w:r>
    </w:p>
    <w:p w:rsidR="00B01F4A" w:rsidRDefault="00B01F4A" w:rsidP="00B01F4A">
      <w:pPr>
        <w:pStyle w:val="TextoNormal"/>
      </w:pPr>
      <w:r>
        <w:t xml:space="preserve">En este sentido también manifiesta que el procedimiento establecido en el art. 8 de la L.E.C. es únicamente un procedimiento para hacer efectiva una obligación de contenido económico cuyo origen es un contrato de arrendamiento de servicios sin relación alguna con la pretensión deducida en el proceso constitucional al tratarse únicamente de una obligación </w:t>
      </w:r>
      <w:r>
        <w:lastRenderedPageBreak/>
        <w:t>profesional que se hace efectiva en el recurso de amparo pero sin relación directa con la materia de éste. La interpretación del art. 3 de la LOTC conduce, según el Fiscal, directa y necesariamente a esta conclusión.</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La cuestión aquí planteada es idéntica en su fundamentación a la que decidió esta Sala por ATC 218/1996, por tanto puede reproducirse ésta porque ninguna singularidad en este caso aconseja otra cosa.</w:t>
      </w:r>
    </w:p>
    <w:p w:rsidR="00B01F4A" w:rsidRDefault="00B01F4A" w:rsidP="00B01F4A">
      <w:pPr>
        <w:pStyle w:val="TextoNormal"/>
      </w:pPr>
    </w:p>
    <w:p w:rsidR="00B01F4A" w:rsidRDefault="00B01F4A" w:rsidP="00B01F4A">
      <w:pPr>
        <w:pStyle w:val="TextoNormal"/>
      </w:pPr>
      <w:r w:rsidRPr="00B01F4A">
        <w:rPr>
          <w:rStyle w:val="NumeroAFNegritaCaracter"/>
        </w:rPr>
        <w:t>2</w:t>
      </w:r>
      <w:r>
        <w:t>. Manifestábamos en ese Auto que el procedimiento de jura de cuentas se regula en el art. 8 de la Ley de Enjuiciamiento Civil, cuyo párrafo primero establece: «Cuando un Procurador tenga que exigir de su poderdante moroso las cantidades que éste le adeude por sus derechos y por los gastos que le hubiere suplido para el pleito, presentará ante el Juzgado o Tribunal en que radicare el negocio cuenta detallada y justificada; y jurando que le son debidas y no satisfechas las cantidades que de ella resulten y reclame, mandará la Sala o el Juez que se requiera al poderdante para que las pague con las costas dentro de un plazo que no excederá de diez días, bajo apercibimiento de apremio.»</w:t>
      </w:r>
    </w:p>
    <w:p w:rsidR="00B01F4A" w:rsidRDefault="00B01F4A" w:rsidP="00B01F4A">
      <w:pPr>
        <w:pStyle w:val="TextoNormal"/>
      </w:pPr>
      <w:r>
        <w:t>Respecto a él, este Tribunal tiene declarado lo siguiente: «El art. 8 de la Ley de Enjuiciamiento Civil, al que se remite el art. 12, contiene un procedimiento, ciertamente no desarrollado, de naturaleza ejecutiva para hacer efectivos de forma sumaria y expeditiva los créditos derivados de la actuación profesional en un determinado proceso y dentro del mismo de Procuradores y Abogados que, como necesarios cooperadores de la Administración de Justicia (así se califican expresamente en el libro V de la Ley Orgánica del Poder Judicial), están sometidos por dicha Ley, por la L.E.C. y por sus respectivos Estatutos, a una serie de deberes, obligaciones y responsabilidades tendentes al correcto desarrollo del proceso y sin cuya colaboración no sólo se resentiría gravemente el normal funcionamiento del mismo, sino que resultarían de imposible cumplimiento las garantías de efectividad y defensa que impone la Constitución a la tutela judicial. Esta peculiaridad en sus funciones de cooperación con la Administración de Justicia, cuando se concretan en un procedimiento determinado en actuaciones necesarias para su desarrollo, son las que merecen como contrapartida por parte del legislador el establecimiento de un procedimiento especial en virtud del cual y de forma rápida y sencilla puedan resarcirse de los gastos anticipados y de los trabajos realizados dentro del proceso. No se trata, por tanto, según ya hemos dicho, de un privilegio otorgado con carácter general a Procuradores y Abogados en atención a estas profesiones, sino en atención a su intervención en un pleito concreto en el que han actuado y para obtener la debida satisfacción, dentro de ese mismo pleito, a la actividad en él desarrollada» (STC 110/1993, fundamento jurídico 4.º).</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En todo caso, procede agregar a lo ya dicho que con arreglo a lo dispuesto en el art. 3 de la Ley Orgánica del Tribunal Constitucional, la competencia de este Tribunal se extiende «al conocimiento y decisión de las cuestiones prejudiciales e incidentales no pertenecientes al orden constitucional, directamente relacionadas con la materia de que conoce, a los solos efectos del enjuiciamiento constitucional de ésta», por lo que ha de llegarse a la conclusión de que no comprende la jura de cuentas, pues este procedimiento se dirige a resolver determinadas cuestiones económicas entre el Procurador y su cliente, derivadas de prestaciones </w:t>
      </w:r>
      <w:r>
        <w:lastRenderedPageBreak/>
        <w:t>profesionales, que no son incidentales de las materias de que conoce este Tribunal ni guardan conexión alguna con el enjuiciamiento constitucional de las mismas.</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consecuencia, este Tribunal carece de jurisdicción para resolver incidentes de jura de cuentas. En virtud de lo expuesto, la Sala acuerda declarar la falta de jurisdicción de este Tribunal para conocer del procedimiento planteado y el archivo de las</w:t>
      </w:r>
    </w:p>
    <w:p w:rsidR="00B01F4A" w:rsidRDefault="00B01F4A" w:rsidP="00B01F4A">
      <w:pPr>
        <w:pStyle w:val="TextoNormal"/>
      </w:pPr>
      <w:r>
        <w:t>presentes actuaciones.</w:t>
      </w:r>
    </w:p>
    <w:p w:rsidR="00B01F4A" w:rsidRDefault="00B01F4A" w:rsidP="00B01F4A">
      <w:pPr>
        <w:pStyle w:val="TextoNormal"/>
      </w:pPr>
    </w:p>
    <w:p w:rsidR="00B01F4A" w:rsidRDefault="00B01F4A" w:rsidP="00B01F4A">
      <w:pPr>
        <w:pStyle w:val="TextoNormal"/>
      </w:pPr>
      <w:r>
        <w:t>Madrid, a veintisiete de enero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08" w:name="AUTO_1997_18"/>
      <w:r>
        <w:lastRenderedPageBreak/>
        <w:t>AUTO 18/1997, de 27 de enero de 1997</w:t>
      </w:r>
    </w:p>
    <w:bookmarkEnd w:id="108"/>
    <w:p w:rsidR="00B01F4A" w:rsidRDefault="00B01F4A" w:rsidP="00B01F4A">
      <w:pPr>
        <w:pStyle w:val="TtuloResolucin"/>
      </w:pPr>
      <w:r>
        <w:t>Sala Segunda</w:t>
      </w:r>
    </w:p>
    <w:p w:rsidR="00B01F4A" w:rsidRDefault="00B01F4A" w:rsidP="00B01F4A">
      <w:pPr>
        <w:pStyle w:val="TtuloResolucin"/>
      </w:pPr>
    </w:p>
    <w:p w:rsidR="00B01F4A" w:rsidRDefault="00B01F4A" w:rsidP="00B01F4A">
      <w:pPr>
        <w:pStyle w:val="SntesisDescriptiva"/>
      </w:pPr>
      <w:r>
        <w:t>ECLI:ES:TC:1997:18A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don Rafael de Mendizábal Allende, don Julio D. González Campos, don Carles Viver Pi-Sunyer y don Tomás Salvador Vives Antón.</w:t>
      </w:r>
    </w:p>
    <w:p w:rsidR="00B01F4A" w:rsidRDefault="00B01F4A" w:rsidP="00B01F4A">
      <w:pPr>
        <w:pStyle w:val="SntesisDescriptiva"/>
      </w:pPr>
    </w:p>
    <w:p w:rsidR="00B01F4A" w:rsidRDefault="00B01F4A" w:rsidP="00B01F4A">
      <w:pPr>
        <w:pStyle w:val="SntesisDescriptiva"/>
      </w:pPr>
      <w:r>
        <w:t>Denegando la suspensión de la ejecución del acto que origina el recurso de amparo 27/1996.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Por medio de escrito registrado en este Tribunal el 4 de enero de 1996, doña Carmen Hijosa Martínez, Procuradora de los Tribunales, y de don Miguel Bare Veracruz, interpone recurso de amparo contra providencia del Juzgado de lo Social no 26 de Barcelona, que determina no haber lugar a recurso de reposición contra Sentencia sobre despido.</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La demanda se fundamenta, en síntesis, en los siguientes hechos: </w:t>
      </w:r>
    </w:p>
    <w:p w:rsidR="00B01F4A" w:rsidRDefault="00B01F4A" w:rsidP="00B01F4A">
      <w:pPr>
        <w:pStyle w:val="TextoNormal"/>
      </w:pPr>
      <w:r>
        <w:t xml:space="preserve">a) En fecha 7 de junio de 1995 se presentó en el Juzgado de lo Social núm. 26 demanda por despido contra don Miguel Bare Veracruz. Admitida la demanda se celebró juicio el día señalado, dictándose la Sentencia núm. 676/95. </w:t>
      </w:r>
    </w:p>
    <w:p w:rsidR="00B01F4A" w:rsidRDefault="00B01F4A" w:rsidP="00B01F4A">
      <w:pPr>
        <w:pStyle w:val="TextoNormal"/>
      </w:pPr>
      <w:r>
        <w:t xml:space="preserve">b) En fecha 6 de noviembre de 1995, en comparecencia efectuada ante el Juzgado de lo Social por parte del recurrente, se señaló la imposibilidad de readmitir al trabajador, declarándose extinguida la relación laboral, solicitando la actora se dictara auto fijándose la máxima indemnización establecida por la Ley. </w:t>
      </w:r>
    </w:p>
    <w:p w:rsidR="00B01F4A" w:rsidRDefault="00B01F4A" w:rsidP="00B01F4A">
      <w:pPr>
        <w:pStyle w:val="TextoNormal"/>
      </w:pPr>
      <w:r>
        <w:t xml:space="preserve">c) En esa misma fecha, 6 de noviembre de 1995, se dictó Auto por el Juzgado de lo Social núm. 26, en el que declarando resuelta la relación laboral que unía a las partes, fijaba la indemnización así como los salarios de trámite que el demandante debe abonar al actor. </w:t>
      </w:r>
    </w:p>
    <w:p w:rsidR="00B01F4A" w:rsidRDefault="00B01F4A" w:rsidP="00B01F4A">
      <w:pPr>
        <w:pStyle w:val="TextoNormal"/>
      </w:pPr>
      <w:r>
        <w:t xml:space="preserve">d) Contra dicho Auto se presentó por don Miguel Bare Veracruz recurso de reposición al haber tenido conocimiento de que el actor venía prestando sus servicios por cuenta de otra empresa desde el 13 de septiembre de 1995, con lo que las cantidades determinadas en dicho Auto debían ser modificadas. </w:t>
      </w:r>
    </w:p>
    <w:p w:rsidR="00B01F4A" w:rsidRDefault="00B01F4A" w:rsidP="00B01F4A">
      <w:pPr>
        <w:pStyle w:val="TextoNormal"/>
      </w:pPr>
      <w:r>
        <w:t>e) Por providencia de fecha 24 de noviembre de 1995 comunicada al recurrente el 5 de diciembre de 1995, se inadmite el citado recurso de reposición por falta de cita del precepto infringido.</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Cuanto antecede acredita, a juicio del recurrente, la violación por la Sala del art. 24 de la Constitución Española, de acuerdo con reiterada jurisprudencia del Tribunal Constitucional (STC de fecha 21 de noviembre de 1995, entre otras). </w:t>
      </w:r>
    </w:p>
    <w:p w:rsidR="00B01F4A" w:rsidRDefault="00B01F4A" w:rsidP="00B01F4A">
      <w:pPr>
        <w:pStyle w:val="TextoNormal"/>
      </w:pPr>
      <w:r>
        <w:t xml:space="preserve">El recurrente solicita que, con estimación del presente recurso de amparo, se reponga la providencia de fecha 24 de noviembre de 1995, dictándose otra por la que se admita a trámite el expresado recurso de reposición. </w:t>
      </w:r>
    </w:p>
    <w:p w:rsidR="00B01F4A" w:rsidRDefault="00B01F4A" w:rsidP="00B01F4A">
      <w:pPr>
        <w:pStyle w:val="TextoNormal"/>
      </w:pPr>
      <w:r>
        <w:lastRenderedPageBreak/>
        <w:t xml:space="preserve">La presunción de su indefensión radica en que el Tribunal de lo Social ha realizado una aplicación rigurosa y excesiva de lo establecido en el art. 377 de la L.E.C., produciendo una clara indefensión ante hechos de los cuales no tuvo conocimiento sino en fecha posterior al Auto que se recurría. </w:t>
      </w:r>
    </w:p>
    <w:p w:rsidR="00B01F4A" w:rsidRDefault="00B01F4A" w:rsidP="00B01F4A">
      <w:pPr>
        <w:pStyle w:val="TextoNormal"/>
      </w:pPr>
      <w:r>
        <w:t>El derecho que se entiende violado es de los protegidos por este recurso de amparo constitucional, según lo dispuesto en el art. 53.2 de la Constitución y en el 41.1 de la LOTC, pues está recogido en el art. 24, párrafo segundo, de la Constitución.</w:t>
      </w:r>
    </w:p>
    <w:p w:rsidR="00B01F4A" w:rsidRDefault="00B01F4A" w:rsidP="00B01F4A">
      <w:pPr>
        <w:pStyle w:val="TextoNormal"/>
      </w:pPr>
    </w:p>
    <w:p w:rsidR="00B01F4A" w:rsidRDefault="00B01F4A" w:rsidP="00B01F4A">
      <w:pPr>
        <w:pStyle w:val="TextoNormal"/>
      </w:pPr>
      <w:r w:rsidRPr="00B01F4A">
        <w:rPr>
          <w:rStyle w:val="NumeroAFNegritaCaracter"/>
        </w:rPr>
        <w:t>4</w:t>
      </w:r>
      <w:r>
        <w:t>. La Sección Tercera, por providencia de 23 de septiembre de 1996, acordó admitir a trámite la demanda de amparo.</w:t>
      </w:r>
    </w:p>
    <w:p w:rsidR="00B01F4A" w:rsidRDefault="00B01F4A" w:rsidP="00B01F4A">
      <w:pPr>
        <w:pStyle w:val="TextoNormal"/>
      </w:pPr>
    </w:p>
    <w:p w:rsidR="00B01F4A" w:rsidRDefault="00B01F4A" w:rsidP="00B01F4A">
      <w:pPr>
        <w:pStyle w:val="TextoNormal"/>
      </w:pPr>
      <w:r w:rsidRPr="00B01F4A">
        <w:rPr>
          <w:rStyle w:val="NumeroAFNegritaCaracter"/>
        </w:rPr>
        <w:t>5</w:t>
      </w:r>
      <w:r>
        <w:t>. Por providencia de 28 de noviembre de 1996, la Sección acordó formar pieza para la tramitación del incidente sobre suspensión y conforme determina el art. 56 de la Ley Orgánica de este Tribunal, conceder un plazo común de tres días a la parte recurrente y al Ministerio Fiscal para que alegasen lo que estimaran pertinente sobre dicha suspensión.</w:t>
      </w:r>
    </w:p>
    <w:p w:rsidR="00B01F4A" w:rsidRDefault="00B01F4A" w:rsidP="00B01F4A">
      <w:pPr>
        <w:pStyle w:val="TextoNormal"/>
      </w:pPr>
    </w:p>
    <w:p w:rsidR="00B01F4A" w:rsidRDefault="00B01F4A" w:rsidP="00B01F4A">
      <w:pPr>
        <w:pStyle w:val="TextoNormal"/>
      </w:pPr>
      <w:r w:rsidRPr="00B01F4A">
        <w:rPr>
          <w:rStyle w:val="NumeroAFNegritaCaracter"/>
        </w:rPr>
        <w:t>6</w:t>
      </w:r>
      <w:r>
        <w:t>. Por escrito registrado en los Juzgados de Guardia de Madrid el 9 de diciembre de 1996, y el 11 de diciembre siguiente en este Tribunal, la parte recurrente en amparo alega que la suspensión que se solícita viene motivada por el hecho de que, tratándose de la ejecución de un Auto de fecha 6 de noviembre de 1995 por el que se declaraba extinguida la relación laboral que regía entre él, como empresario, y la parte actora de aquel procedimiento, y habiéndose determinado en ese Auto la cantidad de indemnización y salarios de trámite que debía abonar al no poder readmitir al trabajador por no existir ya el puesto de trabajo, teniendo conocimiento con posterioridad a dicha comparecencia que el trabajador prestaba sus servicios en otra empresa al menos desde el 13 de septiembre de 1995, y ponderando que el salario diario determinado por la Sentencia asciende a 5.740 pesetas día, la cantidad a deducir de la indemnización establecida de 918.400 pesetas asciende a 315.300 pesetas, que supone un 30 por 100 de la citada indemnización, cantidad que, de continuarse adelante con la ejecución instada por el allí actor, supondría un grave perjuicio económico, que haría perder al amparo su finalidad.</w:t>
      </w:r>
    </w:p>
    <w:p w:rsidR="00B01F4A" w:rsidRDefault="00B01F4A" w:rsidP="00B01F4A">
      <w:pPr>
        <w:pStyle w:val="TextoNormal"/>
      </w:pPr>
    </w:p>
    <w:p w:rsidR="00B01F4A" w:rsidRDefault="00B01F4A" w:rsidP="00B01F4A">
      <w:pPr>
        <w:pStyle w:val="TextoNormal"/>
      </w:pPr>
      <w:r w:rsidRPr="00B01F4A">
        <w:rPr>
          <w:rStyle w:val="NumeroAFNegritaCaracter"/>
        </w:rPr>
        <w:t>7</w:t>
      </w:r>
      <w:r>
        <w:t xml:space="preserve">. El Ministerio Fiscal, por escrito que tuvo entrada en este Tribunal el 10 de diciembre de 1996 interesa que se deniegue la suspensión. </w:t>
      </w:r>
    </w:p>
    <w:p w:rsidR="00B01F4A" w:rsidRDefault="00B01F4A" w:rsidP="00B01F4A">
      <w:pPr>
        <w:pStyle w:val="TextoNormal"/>
      </w:pPr>
      <w:r>
        <w:t xml:space="preserve">El perjuicio económico que supone el pago de una cantidad no implica con carácter general, según reiterada jurisprudencia del Tribunal Constitucional, la pérdida de la finalidad del amparo, toda vez que su recuperación sería factible en su caso. </w:t>
      </w:r>
    </w:p>
    <w:p w:rsidR="00B01F4A" w:rsidRDefault="00B01F4A" w:rsidP="00B01F4A">
      <w:pPr>
        <w:pStyle w:val="TextoNormal"/>
      </w:pPr>
      <w:r>
        <w:t>De otro lado, continúa el Ministerio Fiscal, el éxito de la acción de amparo no tiene que desembocar, en su día, en el impago de la suma reclamada, ni siquiera en su reducción, lo que el Tribunal Constitucional no podría acordar en su Sentencia, sino en la admisión a trámite y sustanciación del recurso de reposición. Será, a la postre, el Juzgado, cuya resolución se recurre, el que fije la cantidad que deberá ser satisfecha por el que ahora solicita la suspensión.</w:t>
      </w:r>
    </w:p>
    <w:p w:rsidR="00B01F4A" w:rsidRDefault="00B01F4A" w:rsidP="00B01F4A">
      <w:pPr>
        <w:pStyle w:val="TextoNormal"/>
      </w:pPr>
    </w:p>
    <w:p w:rsidR="00B01F4A" w:rsidRDefault="00B01F4A" w:rsidP="00B01F4A">
      <w:pPr>
        <w:pStyle w:val="TextoNormalNegritaCentrado"/>
        <w:keepNext/>
      </w:pPr>
      <w:r>
        <w:lastRenderedPageBreak/>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Establece el art. 56.1 LOTC que la Sala que conozca de un recurso de amparo suspenderá, de oficio o a instancia de parte, la ejecución del acto de los poderes públicos por razón del cual se reclame el amparo constitucional, cuando la ejecución del mismo hiciera perder al amparo su finalidad, no obstante lo cual, podrá denegarse la suspensión cuando de ésta pudiera seguirse perturbación grave de los intereses generales o de los derechos fundamentales o libertades públicas de un tercero.</w:t>
      </w:r>
    </w:p>
    <w:p w:rsidR="00B01F4A" w:rsidRDefault="00B01F4A" w:rsidP="00B01F4A">
      <w:pPr>
        <w:pStyle w:val="TextoNormal"/>
      </w:pPr>
    </w:p>
    <w:p w:rsidR="00B01F4A" w:rsidRDefault="00B01F4A" w:rsidP="00B01F4A">
      <w:pPr>
        <w:pStyle w:val="TextoNormal"/>
      </w:pPr>
      <w:r w:rsidRPr="00B01F4A">
        <w:rPr>
          <w:rStyle w:val="NumeroAFNegritaCaracter"/>
        </w:rPr>
        <w:t>2</w:t>
      </w:r>
      <w:r>
        <w:t>. En aplicación de dicho precepto, es doctrina constante de este Tribunal que no procede la suspensión de las resoluciones judiciales consistentes en la condena al abono de determinada cantidad, en cuanto su ejecución normalmente no determina la pérdida de la finalidad del amparo. Pero en este caso ni siquiera esa es la consideración fundamental, puesto que este recurso se dirige frente a la providencia que inadmitió a trámite un recurso de reposición contra el Auto que determinaba la. cuantía de la indemnización y, en consecuencia, su éxito eventual produciría la admisión, sustanciación y resolución de dicho recurso en relación con el Auto que el mismo impugnaba.</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lo expuesto, la Sala acuerda denegar la suspensión solicitada.</w:t>
      </w:r>
    </w:p>
    <w:p w:rsidR="00B01F4A" w:rsidRDefault="00B01F4A" w:rsidP="00B01F4A">
      <w:pPr>
        <w:pStyle w:val="TextoNormal"/>
      </w:pPr>
    </w:p>
    <w:p w:rsidR="00B01F4A" w:rsidRDefault="00B01F4A" w:rsidP="00B01F4A">
      <w:pPr>
        <w:pStyle w:val="TextoNormal"/>
      </w:pPr>
      <w:r>
        <w:t>Madrid, a veintisiete de enero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09" w:name="AUTO_1997_19"/>
      <w:r>
        <w:lastRenderedPageBreak/>
        <w:t>AUTO 19/1997, de 27 de enero de 1997</w:t>
      </w:r>
    </w:p>
    <w:bookmarkEnd w:id="109"/>
    <w:p w:rsidR="00B01F4A" w:rsidRDefault="00B01F4A" w:rsidP="00B01F4A">
      <w:pPr>
        <w:pStyle w:val="TtuloResolucin"/>
      </w:pPr>
      <w:r>
        <w:t>Sección Tercera</w:t>
      </w:r>
    </w:p>
    <w:p w:rsidR="00B01F4A" w:rsidRDefault="00B01F4A" w:rsidP="00B01F4A">
      <w:pPr>
        <w:pStyle w:val="TtuloResolucin"/>
      </w:pPr>
    </w:p>
    <w:p w:rsidR="00B01F4A" w:rsidRDefault="00B01F4A" w:rsidP="00B01F4A">
      <w:pPr>
        <w:pStyle w:val="SntesisDescriptiva"/>
      </w:pPr>
      <w:r>
        <w:t>ECLI:ES:TC:1997:19A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y don Julio D. González Campos.</w:t>
      </w:r>
    </w:p>
    <w:p w:rsidR="00B01F4A" w:rsidRDefault="00B01F4A" w:rsidP="00B01F4A">
      <w:pPr>
        <w:pStyle w:val="SntesisDescriptiva"/>
      </w:pPr>
    </w:p>
    <w:p w:rsidR="00B01F4A" w:rsidRDefault="00B01F4A" w:rsidP="00B01F4A">
      <w:pPr>
        <w:pStyle w:val="SntesisDescriptiva"/>
      </w:pPr>
      <w:r>
        <w:t>Acordando la inadmisión a trámite del recurso de amparo 921/1996.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Por escrito registrado en este Tribunal Constitucional el día 6 de marzo de 1996, don Fernando Díaz-Zorita Canto, Procurador de los Tribunales y de don Francisco Javier Murugarren González, interpuso recurso de amparo contra Sentencia de la Audiencia Provincial de Navarra, en apelación contra Auto dictado por el Juzgado de lo Penal de Pamplona, sobre delito de acusación y denuncia falsa.</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La demanda se fundamenta, en síntesis, en los siguientes hechos: </w:t>
      </w:r>
    </w:p>
    <w:p w:rsidR="00B01F4A" w:rsidRDefault="00B01F4A" w:rsidP="00B01F4A">
      <w:pPr>
        <w:pStyle w:val="TextoNormal"/>
      </w:pPr>
      <w:r>
        <w:t xml:space="preserve">a) Con fecha 22 de junio de 1991, don Francisco Javier Murugarren González interpuso querella por delito de falsedad en documento por entender que su firma como Secretario de la entidad mercantil «Pronavasa, S. A.», había sido fingida o falsificada en una certificación de Acta de Consejo y Junta General de dicha Sociedad de fecha 12 de junio de 1989. </w:t>
      </w:r>
    </w:p>
    <w:p w:rsidR="00B01F4A" w:rsidRDefault="00B01F4A" w:rsidP="00B01F4A">
      <w:pPr>
        <w:pStyle w:val="TextoNormal"/>
      </w:pPr>
      <w:r>
        <w:t xml:space="preserve">b) Dicha querella fue admitida a trámite por el Juzgado de Instrucción núm. 3 de Pamplona, incoándose diligencias previas núm. 2.071/91 dictándose Auto de archivo con fecha 14 de mayo de 1994 del siguiente tenor literal: </w:t>
      </w:r>
    </w:p>
    <w:p w:rsidR="00B01F4A" w:rsidRDefault="00B01F4A" w:rsidP="00B01F4A">
      <w:pPr>
        <w:pStyle w:val="TextoNormal"/>
      </w:pPr>
      <w:r>
        <w:t xml:space="preserve">«Dispongo: Se acuerda el archivo de las presentes actuaciones por no ser los hechos denunciados constitutivos de infracción penal. </w:t>
      </w:r>
    </w:p>
    <w:p w:rsidR="00B01F4A" w:rsidRDefault="00B01F4A" w:rsidP="00B01F4A">
      <w:pPr>
        <w:pStyle w:val="TextoNormal"/>
      </w:pPr>
      <w:r>
        <w:t xml:space="preserve">Firme esta resolución, dedúzcase testimonio de las presentes actuaciones e incóese diligencias previas contra el Sr. Murugarren por un presunto delito de acusación y denuncia falsa.» </w:t>
      </w:r>
    </w:p>
    <w:p w:rsidR="00B01F4A" w:rsidRDefault="00B01F4A" w:rsidP="00B01F4A">
      <w:pPr>
        <w:pStyle w:val="TextoNormal"/>
      </w:pPr>
      <w:r>
        <w:t xml:space="preserve">c) Dicho Auto fue recurrido en reforma y posteriormente en apelación, tramitada ante la Sección Segunda de la Audiencia Provincial de Pamplona bajo núm. 61/94, que mediante Auto de 8 de octubre de 1994 confirmó íntegramente el dictado por el Juzgado de Instrucción. </w:t>
      </w:r>
    </w:p>
    <w:p w:rsidR="00B01F4A" w:rsidRDefault="00B01F4A" w:rsidP="00B01F4A">
      <w:pPr>
        <w:pStyle w:val="TextoNormal"/>
      </w:pPr>
      <w:r>
        <w:t xml:space="preserve">d) Como consecuencia de la decisión del Juzgado se dedujo testimonio de las actuaciones, tramitándose diligencias previas núm. 4.493/94 ante el Juzgado de Instrucción núm. 2 de Pamplona, que dio lugar a causa 28/95 del Juzgado de lo Penal núm. 2 de Pamplona, que, por Sentencia 261/95, de 22 de mayo de 1995, absolvió a don Francisco Javier Murugarren González del delito por el que se le había acusado. </w:t>
      </w:r>
    </w:p>
    <w:p w:rsidR="00B01F4A" w:rsidRDefault="00B01F4A" w:rsidP="00B01F4A">
      <w:pPr>
        <w:pStyle w:val="TextoNormal"/>
      </w:pPr>
      <w:r>
        <w:t>e) Dicha Sentencia fue recurrida en apelación por el Ministerio Fiscal, tramitándose el recurso ante la Sección Tercera de la Audiencia Provincial de Navarra bajo núm. 83/95, dictándose Sentencia núm. 6/96 el 24 de enero de 1996 estimando el recurso de apelación.</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La parte recurrente en amparo considera que han sido violados los siguientes derechos: </w:t>
      </w:r>
    </w:p>
    <w:p w:rsidR="00B01F4A" w:rsidRDefault="00B01F4A" w:rsidP="00B01F4A">
      <w:pPr>
        <w:pStyle w:val="TextoNormal"/>
      </w:pPr>
      <w:r>
        <w:t xml:space="preserve">a) Vulneración del derecho de defensa (art. 24.2 de la Constitución): </w:t>
      </w:r>
    </w:p>
    <w:p w:rsidR="00B01F4A" w:rsidRDefault="00B01F4A" w:rsidP="00B01F4A">
      <w:pPr>
        <w:pStyle w:val="TextoNormal"/>
      </w:pPr>
      <w:r>
        <w:t xml:space="preserve">En el fundamento de Derecho primero de la Sentencia objeto del presente recurso, concretamente en sus párrafos cuarto y quinto, se dice: </w:t>
      </w:r>
    </w:p>
    <w:p w:rsidR="00B01F4A" w:rsidRDefault="00B01F4A" w:rsidP="00B01F4A">
      <w:pPr>
        <w:pStyle w:val="TextoNormal"/>
      </w:pPr>
      <w:r>
        <w:t xml:space="preserve">«La Sala no puede compartir el razonamiento que conduce al pronunciamiento absolutorio. En efecto, la autoría de la firma como atribuible al querellante en el precedente procedimiento y acusado en el presente no puede ser objeto de discusión ...». </w:t>
      </w:r>
    </w:p>
    <w:p w:rsidR="00B01F4A" w:rsidRDefault="00B01F4A" w:rsidP="00B01F4A">
      <w:pPr>
        <w:pStyle w:val="TextoNormal"/>
      </w:pPr>
      <w:r>
        <w:t xml:space="preserve">Posteriormente y en el mismo párrafo la Sentencia vuelve a incidir en este punto: </w:t>
      </w:r>
    </w:p>
    <w:p w:rsidR="00B01F4A" w:rsidRDefault="00B01F4A" w:rsidP="00B01F4A">
      <w:pPr>
        <w:pStyle w:val="TextoNormal"/>
      </w:pPr>
      <w:r>
        <w:t xml:space="preserve">«Como decimos, puede entenderse acreditado que las firmas cuestionadas son auténticas, es decir, fueron realizadas de su puño y letra por Francisco Javier Murugarren.» </w:t>
      </w:r>
    </w:p>
    <w:p w:rsidR="00B01F4A" w:rsidRDefault="00B01F4A" w:rsidP="00B01F4A">
      <w:pPr>
        <w:pStyle w:val="TextoNormal"/>
      </w:pPr>
      <w:r>
        <w:t xml:space="preserve">En definitiva, la Sala sentenciadora entiende que no puede discutirse el hecho de que fue el autor de las firmas controvertidas y que lo único discutible es si existió o no el elemento subjetivo de la actuación que nos ocupa, es decir la conciencia de la falsedad de la imputación. Su autoría viene determinada por un informe pericial realizado en un procedimiento en el cual no era imputado y respecto del cual no ha podido en ese otro procedimiento proponer ninguna prueba de descargo de ello. </w:t>
      </w:r>
    </w:p>
    <w:p w:rsidR="00B01F4A" w:rsidRDefault="00B01F4A" w:rsidP="00B01F4A">
      <w:pPr>
        <w:pStyle w:val="TextoNormal"/>
      </w:pPr>
      <w:r>
        <w:t xml:space="preserve">Se le encausa por delito de acusación y denuncia falsa, cuando puede presentar informes periciales que contradigan con más y mejores fundamentos a aquel otro. </w:t>
      </w:r>
    </w:p>
    <w:p w:rsidR="00B01F4A" w:rsidRDefault="00B01F4A" w:rsidP="00B01F4A">
      <w:pPr>
        <w:pStyle w:val="TextoNormal"/>
      </w:pPr>
      <w:r>
        <w:t xml:space="preserve">En el curso de la instrucción del procedimiento que se incoó a iniciativas del acusado se practicó un informe por parte del Laboratorio de Investigación Criminalística de la Guardia Civil que concluía con la aseveración de que realmente la firma obrantes en el repetido documento certificación había sido confeccionado por el acusado. Lógicamente ello motivó el correspondiente Auto del Juez Instructor resolviendo el sobreseimiento libre de la causa confirmado además por la Audiencia Provincial ante el recurso interpuesto, acordando asimismo la deducción de testimonio por si los hechos pudieran constituir delito de acusación falsa. Seguidamente debe indicarse que ello no hace sino motivar la formación e instrucción de esta segunda causa, pero que lógicamente dentro de su ámbito deben seguir aplicándose los criterios y exigencias legales sobre la necesidad de acreditación de todas aquellas circunstancias del tipo penal incriminado, y ello a través de los ordinarios y legales medios probatorios como en todo procedimiento penal; dicho de otro modo, no porque se haya producido un sobreseimiento anterior y deducción de correspondiente testimonio, lógicos en su momento y en el ámbito de su propio procedimiento, ello se erige de por sí en una prueba evidente per se de lo que constituye la acusación en el presente. </w:t>
      </w:r>
    </w:p>
    <w:p w:rsidR="00B01F4A" w:rsidRDefault="00B01F4A" w:rsidP="00B01F4A">
      <w:pPr>
        <w:pStyle w:val="TextoNormal"/>
      </w:pPr>
      <w:r>
        <w:t xml:space="preserve">El derecho a la presunción de inocencia significa como es sabido que toda condena debe ir precedida siempre de una actividad probatoria; significa además que las pruebas tenidas en cuenta han de merecer tal concepto jurídico, debiendo entenderse como tales las practicadas en el acto del juicio oral bajo la vigencia de los principios de contradicción. </w:t>
      </w:r>
    </w:p>
    <w:p w:rsidR="00B01F4A" w:rsidRDefault="00B01F4A" w:rsidP="00B01F4A">
      <w:pPr>
        <w:pStyle w:val="TextoNormal"/>
      </w:pPr>
      <w:r>
        <w:t xml:space="preserve">b) Vulneración del derecho a un proceso público con todas las garantías (art. 24.2 C.E.): </w:t>
      </w:r>
    </w:p>
    <w:p w:rsidR="00B01F4A" w:rsidRDefault="00B01F4A" w:rsidP="00B01F4A">
      <w:pPr>
        <w:pStyle w:val="TextoNormal"/>
      </w:pPr>
      <w:r>
        <w:t xml:space="preserve">La Sala entiende o parece entender que el sobreseimiento libre de la querella formulada en el ámbito de la cual se practicó una pericia que señaló que las firmas habían sido estampadas por él, vincula a otros procedimientos de tal forma que es inútil e inadecuado discutir dicha autoría. </w:t>
      </w:r>
    </w:p>
    <w:p w:rsidR="00B01F4A" w:rsidRDefault="00B01F4A" w:rsidP="00B01F4A">
      <w:pPr>
        <w:pStyle w:val="TextoNormal"/>
      </w:pPr>
      <w:r>
        <w:t>Aunque resulte obvio hay que señalar que en el momento en que se produjo el sobreseimiento no era imputado sino querellante y que no pudo ni discutir dicha pericia ni presentar otras pruebas que la contradijeran. En definitiva, se produjo el sobreseimiento sin que pu</w:t>
      </w:r>
      <w:r>
        <w:lastRenderedPageBreak/>
        <w:t xml:space="preserve">diera hacer nada, salvo recurrirlo en apelación. Si ese sobreseimiento implica que ha realizado las firmas y ello se toma en dogma indiscutible, se ha vulnerado el derecho a un proceso público con todas las garantías. </w:t>
      </w:r>
    </w:p>
    <w:p w:rsidR="00B01F4A" w:rsidRDefault="00B01F4A" w:rsidP="00B01F4A">
      <w:pPr>
        <w:pStyle w:val="TextoNormal"/>
      </w:pPr>
      <w:r>
        <w:t xml:space="preserve">En el presente supuesto la única prueba pericial practicada en el acto del juicio oral, con todas las garantías constitucionales ha determinado, sin lugar a dudas, que las firmas obrantes en los documentos controvertidos no fueron estampadas por el recurrente, con lo cual la acusación formulada contra quien utilizó dichos documentos, lejos de ser falsa puede tomarse veraz, con lo que no existe delito de acusación ni denuncia falsa. </w:t>
      </w:r>
    </w:p>
    <w:p w:rsidR="00B01F4A" w:rsidRDefault="00B01F4A" w:rsidP="00B01F4A">
      <w:pPr>
        <w:pStyle w:val="TextoNormal"/>
      </w:pPr>
      <w:r>
        <w:t xml:space="preserve">El instituto de la cosa juzgada, desde el punto de vista penal según reiterada jurisprudencia del Tribunal Supremo, precisa por su aplicación que entre el antiguo proceso terminado por Sentencia firme y el nuevo proceso exista la triple identidad de personas, cosas y acciones que se refiere el art. 1.252 del Código Civil o la identidad de límites subjetivos y objetivos a que alude la doctrina, a saber: a) identidad de personas -eadem personas- en las partes en los dos procesos, es decir de sujetos imputados y perjudicados u ofendidos; b) identidad del objeto -eadem res- por ser los mismos hechos ya juzgados lo que pretenden de nuevo enjuiciar, y c) identidad de acción -eadem causa petendi- entendida no en abstracto como ius persequendi, sino, en concreto, por ser idéntica la razón de pedir entre la resolución ya firme y la que se pretende conseguir, en orden al hecho enjuiciado de nuevo (Sentencia del T.S. 2.ª 4/10/79-RJ 1979,336). </w:t>
      </w:r>
    </w:p>
    <w:p w:rsidR="00B01F4A" w:rsidRDefault="00B01F4A" w:rsidP="00B01F4A">
      <w:pPr>
        <w:pStyle w:val="TextoNormal"/>
      </w:pPr>
      <w:r>
        <w:t xml:space="preserve">En definitiva, no hay «cosa juzgada» y además la propia naturaleza de las diligencias previas impide atribuir al Acuerdo de archivo de las mismas la posibilidad de generar la existencia de cosa juzgada; al tratarse de una resolución asimilable al sobreseimiento provisional del art. 641-1.º de la indicada Ley procesal y en manera alguna reconducible a la figura del sobreseimiento libre del art. 637 de la misma: supuesto único, fuera del de la Sentencia que resuelve tras el juicio acerca de la pretensión punitiva, que contiene un pronunciamiento de fondo o definitivo y que establece el efecto propio de la cosa juzgada. </w:t>
      </w:r>
    </w:p>
    <w:p w:rsidR="00B01F4A" w:rsidRDefault="00B01F4A" w:rsidP="00B01F4A">
      <w:pPr>
        <w:pStyle w:val="TextoNormal"/>
      </w:pPr>
      <w:r>
        <w:t xml:space="preserve">En este caso se produce un archivo en unas diligencias previas, decisión que no tiene el valor de una cosa juzgada. </w:t>
      </w:r>
    </w:p>
    <w:p w:rsidR="00B01F4A" w:rsidRDefault="00B01F4A" w:rsidP="00B01F4A">
      <w:pPr>
        <w:pStyle w:val="TextoNormal"/>
      </w:pPr>
      <w:r>
        <w:t xml:space="preserve">Cada causa criminal tiene su propio objeto y su propia prueba, y conforme a su propio contenido ha de resolverse, sin ninguna posible vinculación perjudicial procedente de otro proceso distinto (otra cosa son las cuestiones prejudiciales de los arts. 3 y siguientes de la Ley de Enjuiciamiento Criminal, todo ello sin perjuicio de que la prueba practicada en el primero pueda ser traída al segundo proceso para ser valorada en unión de las demás existentes). </w:t>
      </w:r>
    </w:p>
    <w:p w:rsidR="00B01F4A" w:rsidRDefault="00B01F4A" w:rsidP="00B01F4A">
      <w:pPr>
        <w:pStyle w:val="TextoNormal"/>
      </w:pPr>
      <w:r>
        <w:t xml:space="preserve">La única eficacia que la cosa juzgada material produce en el proceso penal es la preclusiva o negativa, consistente simplemente en que, una vez resuelta por sentencia firme o resolución asimilada una causa criminal no cabe seguir después otro procedimiento sobre el mismo hecho contra la misma persona, pues aparece reconocido como una de garantías del acusado el derecho a no ser enjuiciado más de una vez por unos mismos hechos. </w:t>
      </w:r>
    </w:p>
    <w:p w:rsidR="00B01F4A" w:rsidRDefault="00B01F4A" w:rsidP="00B01F4A">
      <w:pPr>
        <w:pStyle w:val="TextoNormal"/>
      </w:pPr>
      <w:r>
        <w:t xml:space="preserve">Esta y no otra es la argumentación mantenida por el Juzgado de lo Penal en su Sentencia absolutoria, estimando además que dado que la única prueba pericial practicada con las garantías de inmediación, contradicción, oralidad y publicidad concluyó, sin lugar a dudas, que las firmas controvertidas no habían sido estampadas por el Sr. Murrugarren González, no puede concluirse la inveracidad de su denuncia, dicha apreciación se ve confirmada por entre otras, Sentencia del T.S. 2.ª de 23/12/92 (RJ 1992, 10327). </w:t>
      </w:r>
    </w:p>
    <w:p w:rsidR="00B01F4A" w:rsidRDefault="00B01F4A" w:rsidP="00B01F4A">
      <w:pPr>
        <w:pStyle w:val="TextoNormal"/>
      </w:pPr>
      <w:r>
        <w:t xml:space="preserve">c) Vulneración del principio de presunción de inocencia (art. 24.2 Constitución): «Asimismo todos tienen derecho... y a la presunción de inocencia.» Las únicas pruebas practicadas en el juicio oral, lejos de destruir la presunción de inocencia ratifican que las firmas </w:t>
      </w:r>
      <w:r>
        <w:lastRenderedPageBreak/>
        <w:t xml:space="preserve">obrantes en los documentos controvertidos no fueron estampadas por el mismo y que, por lo tanto, no acusó o denunció falsamente. </w:t>
      </w:r>
    </w:p>
    <w:p w:rsidR="00B01F4A" w:rsidRDefault="00B01F4A" w:rsidP="00B01F4A">
      <w:pPr>
        <w:pStyle w:val="TextoNormal"/>
      </w:pPr>
      <w:r>
        <w:t xml:space="preserve">En el presente caso los informes periciales que determinan la realización de las firmas obrantes en los documentos controvertidos fueron expresamente impugnados, con lo que no adquirieron el carácter de prueba preconstituida ni tampoco el de prueba ya que no fueron reproducidos en el acto del juicio oral. </w:t>
      </w:r>
    </w:p>
    <w:p w:rsidR="00B01F4A" w:rsidRDefault="00B01F4A" w:rsidP="00B01F4A">
      <w:pPr>
        <w:pStyle w:val="TextoNormal"/>
      </w:pPr>
      <w:r>
        <w:t xml:space="preserve">La Sentencia de la Audiencia da gran valor a los informes periciales impugnados, ya que considera como verdad indiscutible y vinculante la decisión judicial nacida de los mismos. No los considera como prueba preconstituida que debe ser valorada sino como «la verdad». </w:t>
      </w:r>
    </w:p>
    <w:p w:rsidR="00B01F4A" w:rsidRDefault="00B01F4A" w:rsidP="00B01F4A">
      <w:pPr>
        <w:pStyle w:val="TextoNormal"/>
      </w:pPr>
      <w:r>
        <w:t xml:space="preserve">Esta apreciación vulnera claramente el derecho a la presunción de inocencia, ya que sienta, sin posibilidad de discursión y sin prueba realizada con las garantías constitucionales que se ha realizado un hecho delictivo, sometiéndose tan sólo a discusión la existencia o no de dolo. </w:t>
      </w:r>
    </w:p>
    <w:p w:rsidR="00B01F4A" w:rsidRDefault="00B01F4A" w:rsidP="00B01F4A">
      <w:pPr>
        <w:pStyle w:val="TextoNormal"/>
      </w:pPr>
      <w:r>
        <w:t xml:space="preserve">Además de no existir prueba de cargo que desvirtúa la presunción de inocencia, la practicada en el acto del juicio oral, tanto pericial como testifical, demostró sin lugar a dudas que no estampó firmas controvertidas. </w:t>
      </w:r>
    </w:p>
    <w:p w:rsidR="00B01F4A" w:rsidRDefault="00B01F4A" w:rsidP="00B01F4A">
      <w:pPr>
        <w:pStyle w:val="TextoNormal"/>
      </w:pPr>
      <w:r>
        <w:t>A mayor abundamiento y sin que ello implique ningún tipo de reconocimiento respecto a la comisión de los hechos, tampoco se ha practicado prueba alguna que acredite la existencia de dolo. Es más, la prueba testifical practicada en el acto del juicio oral acredita que los asistentes a la reunión en la que, presuntamente, se firmaron los documentos controvertidos, recuerdan que no se procedió a dicha firma con lo que cuando menos se crea una duda al Sr. Murugarren que impide la concurrencia del ánimo delictivo.</w:t>
      </w:r>
    </w:p>
    <w:p w:rsidR="00B01F4A" w:rsidRDefault="00B01F4A" w:rsidP="00B01F4A">
      <w:pPr>
        <w:pStyle w:val="TextoNormal"/>
      </w:pPr>
    </w:p>
    <w:p w:rsidR="00B01F4A" w:rsidRDefault="00B01F4A" w:rsidP="00B01F4A">
      <w:pPr>
        <w:pStyle w:val="TextoNormal"/>
      </w:pPr>
      <w:r w:rsidRPr="00B01F4A">
        <w:rPr>
          <w:rStyle w:val="NumeroAFNegritaCaracter"/>
        </w:rPr>
        <w:t>4</w:t>
      </w:r>
      <w:r>
        <w:t>. Por providencia de 17 de julio de 1996, la Sección Tercera acordó dirigir comunicación a la Sección Tercera de la Audiencia Provincial de Navarra y al Juzgado de lo Penal núm. 2 de Pamplona a fin de que se remitiera certificación o fotocopia adverada de las actuaciones correspondientes al rollo penal de Sala núm. 83/95 y a la causa núm. 28/95, respectivamente.</w:t>
      </w:r>
    </w:p>
    <w:p w:rsidR="00B01F4A" w:rsidRDefault="00B01F4A" w:rsidP="00B01F4A">
      <w:pPr>
        <w:pStyle w:val="TextoNormal"/>
      </w:pPr>
    </w:p>
    <w:p w:rsidR="00B01F4A" w:rsidRDefault="00B01F4A" w:rsidP="00B01F4A">
      <w:pPr>
        <w:pStyle w:val="TextoNormal"/>
      </w:pPr>
      <w:r w:rsidRPr="00B01F4A">
        <w:rPr>
          <w:rStyle w:val="NumeroAFNegritaCaracter"/>
        </w:rPr>
        <w:t>5</w:t>
      </w:r>
      <w:r>
        <w:t>. Por providencia de 16 de septiembre de 1996 la Sección acordó, de conformidad con lo dispuesto en el núm. 3 del art. 50 de la LOTC,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 c)-, dándoles vista el efecto de las actuaciones recibidas.</w:t>
      </w:r>
    </w:p>
    <w:p w:rsidR="00B01F4A" w:rsidRDefault="00B01F4A" w:rsidP="00B01F4A">
      <w:pPr>
        <w:pStyle w:val="TextoNormal"/>
      </w:pPr>
    </w:p>
    <w:p w:rsidR="00B01F4A" w:rsidRDefault="00B01F4A" w:rsidP="00B01F4A">
      <w:pPr>
        <w:pStyle w:val="TextoNormal"/>
      </w:pPr>
      <w:r w:rsidRPr="00B01F4A">
        <w:rPr>
          <w:rStyle w:val="NumeroAFNegritaCaracter"/>
        </w:rPr>
        <w:t>6</w:t>
      </w:r>
      <w:r>
        <w:t xml:space="preserve">. Por escrito registrado en este Tribunal el 30 de septiembre de 1996 manifiesta la parte recurrente en amparo que el Auto de archivo dictado por el Juzgado en el procedimiento en el que era querellante puede ser acertado en sede de dicho procedimiento pero en el procedimiento abierto por acusación falsa contra el mismo, se le deben respetar y otorgar todos los medios de defensa y, por supuesto, demás derechos constitucionales y así acertadamente lo entiende el Juez de lo Penal que en absoluto debe estar vinculado por lo acordado por el Juez de Instrucción en los términos mantenidos por el Fiscal y por la Sentencia de la Audiencia. </w:t>
      </w:r>
    </w:p>
    <w:p w:rsidR="00B01F4A" w:rsidRDefault="00B01F4A" w:rsidP="00B01F4A">
      <w:pPr>
        <w:pStyle w:val="TextoNormal"/>
      </w:pPr>
      <w:r>
        <w:t>¿El Juez de lo Penal sólo puede entrar a juzgar sobre el elemento subjetivo? Si es así no tiene contenido constitucional la demanda, pero, caso contrario, se han vulnerado numero</w:t>
      </w:r>
      <w:r>
        <w:lastRenderedPageBreak/>
        <w:t>sos principios constitucionales, todos aquellos que sustentan el derecho de defensa y la presunción de inocencia, ya que nada más y nada menos se establece una presunción iuris et de iure de autoría tan inatacable e incontestable como, en opinión de esta parte, inconstitucional.</w:t>
      </w:r>
    </w:p>
    <w:p w:rsidR="00B01F4A" w:rsidRDefault="00B01F4A" w:rsidP="00B01F4A">
      <w:pPr>
        <w:pStyle w:val="TextoNormal"/>
      </w:pPr>
    </w:p>
    <w:p w:rsidR="00B01F4A" w:rsidRDefault="00B01F4A" w:rsidP="00B01F4A">
      <w:pPr>
        <w:pStyle w:val="TextoNormal"/>
      </w:pPr>
      <w:r w:rsidRPr="00B01F4A">
        <w:rPr>
          <w:rStyle w:val="NumeroAFNegritaCaracter"/>
        </w:rPr>
        <w:t>7</w:t>
      </w:r>
      <w:r>
        <w:t xml:space="preserve">. El Ministerio Fiscal, por escrito presentado el 2 de octubre de 1996, solicitó la suspensión del trámite concedido para que se reclamaran los antecedentes relativos a las diligencias previas núm. 2.071/91, del Juzgado de Instrucción núm. 3 de Pamplona, que entendía indispensable para dictaminar con el debido fundamento. </w:t>
      </w:r>
    </w:p>
    <w:p w:rsidR="00B01F4A" w:rsidRDefault="00B01F4A" w:rsidP="00B01F4A">
      <w:pPr>
        <w:pStyle w:val="TextoNormal"/>
      </w:pPr>
      <w:r>
        <w:t xml:space="preserve">La Sección, por providencia de 7 de octubre de 1996, acordó atender a la suspensión solicitada y solicitar dichas actuaciones. Por providencia de 21 de noviembre de 1996 acordó dar vista al Ministerio Fiscal de todas las actuaciones recibidas concediéndole un plazo de diez días, para que evacuara el traslado concedido en la providencia de 16 de septiembre de 1996. </w:t>
      </w:r>
    </w:p>
    <w:p w:rsidR="00B01F4A" w:rsidRDefault="00B01F4A" w:rsidP="00B01F4A">
      <w:pPr>
        <w:pStyle w:val="TextoNormal"/>
      </w:pPr>
      <w:r>
        <w:t xml:space="preserve">El Ministerio Fiscal, por escrito que tuvo entrada en este Tribunal el 9 de diciembre de 1996, solicitó la inadmisión a trámite del recurso según lo establecido en el art. 50.3 de la LOTC. </w:t>
      </w:r>
    </w:p>
    <w:p w:rsidR="00B01F4A" w:rsidRDefault="00B01F4A" w:rsidP="00B01F4A">
      <w:pPr>
        <w:pStyle w:val="TextoNormal"/>
      </w:pPr>
      <w:r>
        <w:t xml:space="preserve">Entiende que deberá tenerse en cuenta, ante todo, que las diligencias previas instruidas en averiguación de los hechos objeto de la querella inicial por falsedad fueron unidas a la causa por acusación falsa en cumplimiento de lo acordado por el Instructor en el Auto de sobreseimiento, luego confirmado en apelación, de lo que resulta que tales actuaciones, desde el principio, formaron parte del proceso a efectos del ejercicio del derecho de defensa. </w:t>
      </w:r>
    </w:p>
    <w:p w:rsidR="00B01F4A" w:rsidRDefault="00B01F4A" w:rsidP="00B01F4A">
      <w:pPr>
        <w:pStyle w:val="TextoNormal"/>
      </w:pPr>
      <w:r>
        <w:t xml:space="preserve">Debe subrayarse también que tales diligencias previas se incoaron, como se ha dicho, en virtud de querella deducida por el hoy demandante en amparo que fue admitida a trámite por Auto de 24 de junio de 1991, en el que, junto a tal pronunciamiento, se declara por el Instructor tener por parte al querellante con orden de que sean entendidos con él las sucesivas diligencias. Así, pues, no puede argüirse con fundamento que fuera ajeno el recurrente a la pericia a que se refiere porque tal diligencia, como todas las practicadas en el proceso por falsedad documental, lo fueron con su intervención o, al menos, con posibilidad de que tuviera lugar, sin limitación alguna del derecho de defensa. La pericia, en suma, pudo ser objetada en su momento y pudo el querellante, en su condición de parte en el proceso, proponer otra por los cauces legales, como luego hiciera en la causa por denuncia falsa. </w:t>
      </w:r>
    </w:p>
    <w:p w:rsidR="00B01F4A" w:rsidRDefault="00B01F4A" w:rsidP="00B01F4A">
      <w:pPr>
        <w:pStyle w:val="TextoNormal"/>
      </w:pPr>
      <w:r>
        <w:t xml:space="preserve">Por último, la inclusión del dictamen pericial en cuestión en el acervo probatorio que el Tribunal de apelación valoró para condenar no entraña, a nuestro juicio, irregularidad alguna. Basta la lectura del acta de la vista oral para comprobar que el dictamen del Laboratorio de Investigación Criminalística de la Guardia Civil, en unión y por contraste con el emitido por el Perito calígrafo Sr. Bermejo Urbano, fue sometido a contradicción en el plenario. Las respuestas del Perito calígrafo contienen un juicio crítico claro del dictamen de la Guardia Civil. No sería exacto afirmar que la prueba fue tomada en consideración por el Tribunal tomándola del proceso antecedente en cuanto que, incluida en la documental, fue sometida a contradicción en el plenario. </w:t>
      </w:r>
    </w:p>
    <w:p w:rsidR="00B01F4A" w:rsidRDefault="00B01F4A" w:rsidP="00B01F4A">
      <w:pPr>
        <w:pStyle w:val="TextoNormal"/>
      </w:pPr>
      <w:r>
        <w:t>Tal proceder no constituye, en sí mismo, irregularidad procesal alguna y está tanto más justificado si se tiene en cuenta el engarce que entre los dos procesos impone el art. 325 del C.P. al configurar una condición de procedibilidad.</w:t>
      </w:r>
    </w:p>
    <w:p w:rsidR="00B01F4A" w:rsidRDefault="00B01F4A" w:rsidP="00B01F4A">
      <w:pPr>
        <w:pStyle w:val="TextoNormal"/>
      </w:pPr>
    </w:p>
    <w:p w:rsidR="00B01F4A" w:rsidRDefault="00B01F4A" w:rsidP="00B01F4A">
      <w:pPr>
        <w:pStyle w:val="TextoNormalNegritaCentrado"/>
        <w:keepNext/>
      </w:pPr>
      <w:r>
        <w:lastRenderedPageBreak/>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La garantía constitucional que el derecho a la presunción de inocencia comporta extiende la necesidad de prueba de cargo válida en Derecho a todos los elementos objetivos del delito y a los elementos subjetivos del tipo en cuanto sean determinantes de la culpabilidad. También es cierto que, conforme a reiterada doctrina de este Tribunal elaborada a partir de su STC 31/1981, la prueba de cargo susceptible de desvirtuar la presunción de inocencia ha de desarrollarse normalmente en el juicio oral (art. 741 L.E.Crim.), como premisa básica para la legitimidad del proceso con las garantías debidas, en el sentido del art. 24.2 de la Constitución, que comporta los principios de publicidad, oralidad, inmediación y contradicción. Sin embargo, no puede olvidarse tampoco que, de acuerdo con la misma doctrina (SSTC 80/1966, 150/1987, 22/1988, 25/1988 y 137/1988, entre otras), además de los supuestos propiamente dichos de prueba preconstituida en los casos en que se de el requisito objetivo de su muy difícil o imposible reproducción, de conformidad con los arts. 726 y 730 de la L.E.Crim., pueden ser tomados en consideración informes practicados en la fase previa al juicio que se basen en conocimientos técnicos especializados, con constancia documental en autos que permita su valoración y contradicción en juicio, sin que en tal supuesto sea absolutamente imprescindible la presencia en dicho acto de quienes lo emitieron para su interrogatorio personal.</w:t>
      </w:r>
    </w:p>
    <w:p w:rsidR="00B01F4A" w:rsidRDefault="00B01F4A" w:rsidP="00B01F4A">
      <w:pPr>
        <w:pStyle w:val="TextoNormal"/>
      </w:pPr>
    </w:p>
    <w:p w:rsidR="00B01F4A" w:rsidRDefault="00B01F4A" w:rsidP="00B01F4A">
      <w:pPr>
        <w:pStyle w:val="TextoNormal"/>
      </w:pPr>
      <w:r w:rsidRPr="00B01F4A">
        <w:rPr>
          <w:rStyle w:val="NumeroAFNegritaCaracter"/>
        </w:rPr>
        <w:t>2</w:t>
      </w:r>
      <w:r>
        <w:t>. En el presente caso resulta clarificador que las diligencias previas de la querella por falsedad fueron unidas a la causa por acusación falsa en cumplimiento de lo acordado por el Instructor en el Auto de sobreseimiento, que fue objeto de apelación y confirmado. A lo que hay que agregar que en dichas diligencias previas fue desde el primer momento parte, en cuanto querellante, el que hoy recurre en amparo, por lo que pudo tener acceso a la diligencia pericial e incluso proponer otra. Y por otra parte, que aquella pericia y las después practicadas fueron sometidas a contradicción en el juicio oral. En ningún momento, pues, ha sido el ahora recurrente en amparo desconocido como parte ni en uno ni en otro proceso sino que, por el contrario, ha tenido una activa intervención en ambos y, especialmente, en lo que se refiere a la prueba. Deben ser rechazadas, en definitiva, todas las vulneraciones de derechos fundamentales invocadas en la demanda de amparo.</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lo expuesto, la Sala acuerda la inadmisión del presente recurso de amparo y el archivo de las actuaciones.</w:t>
      </w:r>
    </w:p>
    <w:p w:rsidR="00B01F4A" w:rsidRDefault="00B01F4A" w:rsidP="00B01F4A">
      <w:pPr>
        <w:pStyle w:val="TextoNormal"/>
      </w:pPr>
    </w:p>
    <w:p w:rsidR="00B01F4A" w:rsidRDefault="00B01F4A" w:rsidP="00B01F4A">
      <w:pPr>
        <w:pStyle w:val="TextoNormal"/>
      </w:pPr>
      <w:r>
        <w:t>Madrid, a veintisiete de enero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10" w:name="AUTO_1997_20"/>
      <w:r>
        <w:lastRenderedPageBreak/>
        <w:t>AUTO 20/1997, de 27 de enero de 1997</w:t>
      </w:r>
    </w:p>
    <w:bookmarkEnd w:id="110"/>
    <w:p w:rsidR="00B01F4A" w:rsidRDefault="00B01F4A" w:rsidP="00B01F4A">
      <w:pPr>
        <w:pStyle w:val="TtuloResolucin"/>
      </w:pPr>
      <w:r>
        <w:t>Sala Primera</w:t>
      </w:r>
    </w:p>
    <w:p w:rsidR="00B01F4A" w:rsidRDefault="00B01F4A" w:rsidP="00B01F4A">
      <w:pPr>
        <w:pStyle w:val="TtuloResolucin"/>
      </w:pPr>
    </w:p>
    <w:p w:rsidR="00B01F4A" w:rsidRDefault="00B01F4A" w:rsidP="00B01F4A">
      <w:pPr>
        <w:pStyle w:val="SntesisDescriptiva"/>
      </w:pPr>
      <w:r>
        <w:t>ECLI:ES:TC:1997:20A</w:t>
      </w:r>
    </w:p>
    <w:p w:rsidR="00B01F4A" w:rsidRDefault="00B01F4A" w:rsidP="00B01F4A">
      <w:pPr>
        <w:pStyle w:val="SntesisDescriptiva"/>
      </w:pPr>
    </w:p>
    <w:p w:rsidR="00B01F4A" w:rsidRDefault="00B01F4A" w:rsidP="00B01F4A">
      <w:pPr>
        <w:pStyle w:val="SntesisDescriptiva"/>
      </w:pPr>
      <w:r>
        <w:t>Excms. Srs. don Álvaro Rodríguez Bereijo, don José Vicente Gimeno Sendra, don Pedro Cruz Villalón, don Enrique Ruiz Vadillo, don Manuel Jiménez de Parga y Cabrera y don Pablo García Manzano.</w:t>
      </w:r>
    </w:p>
    <w:p w:rsidR="00B01F4A" w:rsidRDefault="00B01F4A" w:rsidP="00B01F4A">
      <w:pPr>
        <w:pStyle w:val="SntesisDescriptiva"/>
      </w:pPr>
    </w:p>
    <w:p w:rsidR="00B01F4A" w:rsidRDefault="00B01F4A" w:rsidP="00B01F4A">
      <w:pPr>
        <w:pStyle w:val="SntesisDescriptiva"/>
      </w:pPr>
      <w:r>
        <w:t>Denegando la suspensión de la ejecución del acto que origina el recurso de amparo 2.459/1996.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en este Tribunal el 15 de junio de 1996, el Procurador de los Tribunales don José Manuel Dorremochea Aramburu, en nombre y representación de la entidad mercantil «Consulting de Dirección e Inversión, S. L.» (C. D. l.), interpuso recurso de amparo contra el Auto de la Sección Segunda de la Audiencia Provincial de Navarra de 22 de mayo de 1996, de modificación de ejecución provisional de Sentencia.</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De la demanda y documentos aportados con ella resultan los siguientes hechos relevantes: </w:t>
      </w:r>
    </w:p>
    <w:p w:rsidR="00B01F4A" w:rsidRDefault="00B01F4A" w:rsidP="00B01F4A">
      <w:pPr>
        <w:pStyle w:val="TextoNormal"/>
      </w:pPr>
      <w:r>
        <w:t xml:space="preserve">a) El 3 de junio de 1994, el Juzgado de Primera Instancia núm. 5 de Pamplona dictó Sentencia por la que, estimando parcialmente la demanda (en juicio de menor cuantía núm. 774/93) presentada por la entidad mercantil hoy recurrente en amparo contra otra entidad mercantil y sus accionistas, declaraba la existencia y validez de un contrato de corretaje entre las partes, el cumplimiento de dicho contrato y el derecho de la demandante a percibir una comisión del 6 por 100 del precio de la operación, y condenaba, en consecuencia, a los demandados al pago de la cantidad de 11.702.298 pesetas, más IVA e intereses legales, desde la interposición de la demanda. </w:t>
      </w:r>
    </w:p>
    <w:p w:rsidR="00B01F4A" w:rsidRDefault="00B01F4A" w:rsidP="00B01F4A">
      <w:pPr>
        <w:pStyle w:val="TextoNormal"/>
      </w:pPr>
      <w:r>
        <w:t xml:space="preserve">b) Interpuesto por los demandados recurso de apelación contra dicha Sentencia, la misma fue objeto de ejecución provisional por el Juzgado a instancia de la demandante y al amparo del art. 385 L.E.C. </w:t>
      </w:r>
    </w:p>
    <w:p w:rsidR="00B01F4A" w:rsidRDefault="00B01F4A" w:rsidP="00B01F4A">
      <w:pPr>
        <w:pStyle w:val="TextoNormal"/>
      </w:pPr>
      <w:r>
        <w:t xml:space="preserve">c) El 2 de mayo de 1995 la Sección Segunda de la Audiencia Provincial de Navarra dictó Sentencia estimando parcialmente el recurso de apelación y revocando, en parte, la Sentencia impugnada, en el sentido de que la cantidad a satisfacer por los demandados-apelantes sería la que se fijara en periodo de ejecución de Sentencia con arreglo a las bases explicitadas en el fundamento jurídico 5.º de la propia Sentencia dictada en apelación (en síntesis, la Sala rebajaba la comisión debida del 6 al 2 por 100). </w:t>
      </w:r>
    </w:p>
    <w:p w:rsidR="00B01F4A" w:rsidRDefault="00B01F4A" w:rsidP="00B01F4A">
      <w:pPr>
        <w:pStyle w:val="TextoNormal"/>
      </w:pPr>
      <w:r>
        <w:t xml:space="preserve">d) Las dos partes interpusieron sendos recursos de casación contra dicha Sentencia, pendientes de admisión (en el momento de presentación de esta demanda de amparo) </w:t>
      </w:r>
    </w:p>
    <w:p w:rsidR="00B01F4A" w:rsidRDefault="00B01F4A" w:rsidP="00B01F4A">
      <w:pPr>
        <w:pStyle w:val="TextoNormal"/>
      </w:pPr>
      <w:r>
        <w:t xml:space="preserve">e) El 17 de mayo de 1995 los demandados-apelantes se dirigieron por escrito al Juzgado de Primera Instancia núm. 5 de Pamplona solicitando, al amparo del art. 1.722 L.E.C., la </w:t>
      </w:r>
      <w:r>
        <w:lastRenderedPageBreak/>
        <w:t xml:space="preserve">ejecución provisional de la Sentencia dictada en apelación por la Audiencia Provincial, y, en consecuencia, la devolución de las dos terceras partes de la cantidad que habían satisfecho en ejecución provisional de la primera Sentencia (en concreto, se pedía la devolución de 8.813.532 pesetas), con el compromiso de prestar aval en garantía de la citada cifra. </w:t>
      </w:r>
    </w:p>
    <w:p w:rsidR="00B01F4A" w:rsidRDefault="00B01F4A" w:rsidP="00B01F4A">
      <w:pPr>
        <w:pStyle w:val="TextoNormal"/>
      </w:pPr>
      <w:r>
        <w:t xml:space="preserve">El Juzgado respondió a dicha solicitud por providencia de 23 de mayo de 1995, por la que acordaba esperar para tomar una decisión a la remisión de los autos principales por la Audiencia Provincial. Interpuesto recurso de reposición contra dicha providencia, el mismo fue desestimado por Auto del Juzgado de 6 de junio de 1995, por el que se remitía a los demandados-apelantes a la Audiencia Provincial para instar la ejecución provisional de la Sentencia de apelación. </w:t>
      </w:r>
    </w:p>
    <w:p w:rsidR="00B01F4A" w:rsidRDefault="00B01F4A" w:rsidP="00B01F4A">
      <w:pPr>
        <w:pStyle w:val="TextoNormal"/>
      </w:pPr>
      <w:r>
        <w:t xml:space="preserve">t) Instada, pues, dicha ejecución provisional ante la Sección Segunda de la Audiencia Provincial de Navarra, ésta, por providencia de 28 de junio de 1995, declaró no haber lugar a la misma, por entender que, dado que ello supondría alterar los términos de la ejecución provisional tramitada ante el Juzgado de Primera Instancia, la solicitud debía ser dirigida a éste. </w:t>
      </w:r>
    </w:p>
    <w:p w:rsidR="00B01F4A" w:rsidRDefault="00B01F4A" w:rsidP="00B01F4A">
      <w:pPr>
        <w:pStyle w:val="TextoNormal"/>
      </w:pPr>
      <w:r>
        <w:t xml:space="preserve">g) Dicha providencia no fue recurrida. En su lugar, y conforme a lo indicado en ella, los demandados-apelantes volvieron a dirigirse por escrito al Juzgado, solicitando esta vez la modificación de la ejecución provisional de la primera Sentencia conforme al fallo de la dictada en apelación, y reiterando el compromiso de presentación de aval. </w:t>
      </w:r>
    </w:p>
    <w:p w:rsidR="00B01F4A" w:rsidRDefault="00B01F4A" w:rsidP="00B01F4A">
      <w:pPr>
        <w:pStyle w:val="TextoNormal"/>
      </w:pPr>
      <w:r>
        <w:t xml:space="preserve">El Juzgado rechazó esta pretensión por providencia de 26 de septiembre de 1995, y, de nuevo, por Auto de 17 de octubre de 1995, al desestimar el recurso de reposición interpuesto contra aquélla, por entender que dicha solicitud carecía de cobertura legal. </w:t>
      </w:r>
    </w:p>
    <w:p w:rsidR="00B01F4A" w:rsidRDefault="00B01F4A" w:rsidP="00B01F4A">
      <w:pPr>
        <w:pStyle w:val="TextoNormal"/>
      </w:pPr>
      <w:r>
        <w:t>h) Finalmente, interpuesto recurso de apelación contra dicho Auto (rollo 96/96), el mismo fue estimado por Auto de la Sección Segunda de la Audiencia Provincial de Navarra de 22 de mayo de 1991, con base en una interpretación flexible de los arts. 385 y 1.722 L.E.C. que permitiera una solución razonable del conflicto, accediendo, en consecuencia, a la modificación de la ejecución provisional en los términos solicitados por los demandados-apelantes en la causa principal.</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La entidad mercantil que solícita el amparo entiende que el Auto impugnado de la Sección Segunda de la Audiencia Provincial de Navarra ha vulnerado su derecho a la tutela judicial efectiva por cuatro motivos. En primer lugar, infringiría el principio de legalidad, ya que, a su juicio, nuestras normas procesales sólo autorizan la ejecución provisional de Sentencias por una sola vez. En segundo lugar, le habría causado indefensión, al accederse a la modificación de la ejecución provisional de la primera Sentencia sin seguirse el procedimiento de los arts. 1.722 y 1.723 L.E.C., lo que vendría a privarle de la fianza exigible a la otra parte con arreglo a estos preceptos. En tercer lugar, dicho Auto incurriría, a su juicio, en incongruencia con relevancia constitucional al ser contradictorio con la providencia previamente dictada por la misma Sala el 28 de junio de 1995. Y, finalmente, infringiría su derecho a la tutela judicial efectiva por falta de respeto a la cosa juzgada, en relación tanto con la ejecución provisional acordada por el Juzgado de Primera Instancia como con la providencia de dicha Sala antes mencionada. </w:t>
      </w:r>
    </w:p>
    <w:p w:rsidR="00B01F4A" w:rsidRDefault="00B01F4A" w:rsidP="00B01F4A">
      <w:pPr>
        <w:pStyle w:val="TextoNormal"/>
      </w:pPr>
      <w:r>
        <w:t xml:space="preserve">Por todo ello, se solicita en la demanda el otorgamiento del amparo y la anulación del Auto impugnado </w:t>
      </w:r>
    </w:p>
    <w:p w:rsidR="00B01F4A" w:rsidRDefault="00B01F4A" w:rsidP="00B01F4A">
      <w:pPr>
        <w:pStyle w:val="TextoNormal"/>
      </w:pPr>
      <w:r>
        <w:t>Mediante otrosí se solícita también la suspensión de la ejecución de dicho Auto, por cuanto vendría a suponer la eliminación de unas garantías, que podría dar lugar a una futura posible inejecución por insolvencia de imposible reparación.</w:t>
      </w:r>
    </w:p>
    <w:p w:rsidR="00B01F4A" w:rsidRDefault="00B01F4A" w:rsidP="00B01F4A">
      <w:pPr>
        <w:pStyle w:val="TextoNormal"/>
      </w:pPr>
    </w:p>
    <w:p w:rsidR="00B01F4A" w:rsidRDefault="00B01F4A" w:rsidP="00B01F4A">
      <w:pPr>
        <w:pStyle w:val="TextoNormal"/>
      </w:pPr>
      <w:r w:rsidRPr="00B01F4A">
        <w:rPr>
          <w:rStyle w:val="NumeroAFNegritaCaracter"/>
        </w:rPr>
        <w:lastRenderedPageBreak/>
        <w:t>4</w:t>
      </w:r>
      <w:r>
        <w:t>. Por providencia de 19 de diciembre de 1996, la Sección Segunda de este Tribunal acordó admitir a trámite la demanda de amparo, sin perjuicio de lo que resulte de los antecedentes, y, a tenor de lo dispuesto en el art. 51 LOTC, requerir atentamente a la Audiencia Provincial de Navarra y al Juzgado de Primera Instancia núm. 5 de Pamplona para que remitieran testimonio, respectivamente, del recurso de apelación núm. 96/96 y del juicio de menor cuantía núm. 774/93 (con inclusión de la pieza separada de ejecución provisional), interesando al propio tiempo el emplazamiento de quienes fueron parte en el mencionado procedimiento, con excepción de la solicitante de amparo, para su posible comparecencia en el presente proceso constitucional; acordó asimismo formar la oportuna pieza separada de suspensión.</w:t>
      </w:r>
    </w:p>
    <w:p w:rsidR="00B01F4A" w:rsidRDefault="00B01F4A" w:rsidP="00B01F4A">
      <w:pPr>
        <w:pStyle w:val="TextoNormal"/>
      </w:pPr>
    </w:p>
    <w:p w:rsidR="00B01F4A" w:rsidRDefault="00B01F4A" w:rsidP="00B01F4A">
      <w:pPr>
        <w:pStyle w:val="TextoNormal"/>
      </w:pPr>
      <w:r w:rsidRPr="00B01F4A">
        <w:rPr>
          <w:rStyle w:val="NumeroAFNegritaCaracter"/>
        </w:rPr>
        <w:t>5</w:t>
      </w:r>
      <w:r>
        <w:t>. Por providencia de la misma fecha, la Sección Segunda acordó tener por formada la presente pieza separada de suspensión y, de conformidad con lo previsto en el art. 56 LOTC, conceder al Ministerio Fiscal y a la solicitante del amparo un plazo común de tres días para alegaciones sobre dicha suspensión.</w:t>
      </w:r>
    </w:p>
    <w:p w:rsidR="00B01F4A" w:rsidRDefault="00B01F4A" w:rsidP="00B01F4A">
      <w:pPr>
        <w:pStyle w:val="TextoNormal"/>
      </w:pPr>
    </w:p>
    <w:p w:rsidR="00B01F4A" w:rsidRDefault="00B01F4A" w:rsidP="00B01F4A">
      <w:pPr>
        <w:pStyle w:val="TextoNormal"/>
      </w:pPr>
      <w:r w:rsidRPr="00B01F4A">
        <w:rPr>
          <w:rStyle w:val="NumeroAFNegritaCaracter"/>
        </w:rPr>
        <w:t>6</w:t>
      </w:r>
      <w:r>
        <w:t>. La representación procesal del recurrente no presentó alegaciones en este trámite.</w:t>
      </w:r>
    </w:p>
    <w:p w:rsidR="00B01F4A" w:rsidRDefault="00B01F4A" w:rsidP="00B01F4A">
      <w:pPr>
        <w:pStyle w:val="TextoNormal"/>
      </w:pPr>
    </w:p>
    <w:p w:rsidR="00B01F4A" w:rsidRDefault="00B01F4A" w:rsidP="00B01F4A">
      <w:pPr>
        <w:pStyle w:val="TextoNormal"/>
      </w:pPr>
      <w:r w:rsidRPr="00B01F4A">
        <w:rPr>
          <w:rStyle w:val="NumeroAFNegritaCaracter"/>
        </w:rPr>
        <w:t>7</w:t>
      </w:r>
      <w:r>
        <w:t xml:space="preserve">. Por su parte, el Ministerio Fiscal registró su escrito de alegaciones el 7 de enero de 1997, interesando la denegación de la suspensión solicitada. </w:t>
      </w:r>
    </w:p>
    <w:p w:rsidR="00B01F4A" w:rsidRDefault="00B01F4A" w:rsidP="00B01F4A">
      <w:pPr>
        <w:pStyle w:val="TextoNormal"/>
      </w:pPr>
      <w:r>
        <w:t>A su juicio, el criterio argüido para solicitar la suspensión, que es una posible insolvencia de los deudores, no es suficiente para provocar tal efecto, máxime cuando la cantidad a ejecutar ascendería, como mucho, a una cifra en torno a los 8.000.000 de pesetas, divididos en diez partes recurridas. De otro lado, tampoco se acredita en forma alguna ese peligro de evasión de garantías que se alega como fundamento de la petición de suspensión. Por último, hay que reparar, a juicio del Ministerio Fiscal, en que el otorgamiento del amparo no abocaría necesariamente al pago de una concreta suma de dinero, sino a la anulación del Auto dictado con la emisión de otro nuevo acorde con los principios de tutela judicial efectiva.</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B01F4A" w:rsidRDefault="00B01F4A" w:rsidP="00B01F4A">
      <w:pPr>
        <w:pStyle w:val="TextoNormal"/>
      </w:pPr>
      <w:r>
        <w:t>En la interpretación de la referida disposición, este Tribunal viene manteniendo que cuando el recurso se dirige contra resoluciones judiciales, lo más acorde con el interés general es su cumplimiento, que dota de efectividad a la tutela judicial, consagrada por el art. 24.1 C.E., del litigante que obtuvo un pronunciamiento favorable a sus pretensiones, por lo que, en tales casos, será necesario que se acredite suficientemente la irreparabilidad del perjuicio que pudiera traer consigo la ejecución de la resolución impugnada, privando al amparo de su finalidad, para que la medida cautelar que se interesa pueda prosperar.</w:t>
      </w:r>
    </w:p>
    <w:p w:rsidR="00B01F4A" w:rsidRDefault="00B01F4A" w:rsidP="00B01F4A">
      <w:pPr>
        <w:pStyle w:val="TextoNormal"/>
      </w:pPr>
      <w:r>
        <w:lastRenderedPageBreak/>
        <w:t>Conforme a tal criterio interpretativo, este Tribunal viene distinguiendo entre las resoluciones judiciales que imponen penas privativas de libertad o afectan a otros bienes o derechos de difícil o imposible restitución a su estado anterior y aquellas que tienen efectos meramente económicos. En relación con estas últimas, la regla general viene siendo la no suspensión, salvo que, por razón de la importancia cuantitativa de dichos efectos u otras circunstancias que concurran en el caso, su cumplimiento pudiera ocasionar daños irreparables, de lo cual, no obstante, el recurrente ha de ofrecer siempre, al menos, un principio razonable de prueba (AATC 253/1995 y 118/1996)</w:t>
      </w:r>
    </w:p>
    <w:p w:rsidR="00B01F4A" w:rsidRDefault="00B01F4A" w:rsidP="00B01F4A">
      <w:pPr>
        <w:pStyle w:val="TextoNormal"/>
      </w:pPr>
    </w:p>
    <w:p w:rsidR="00B01F4A" w:rsidRDefault="00B01F4A" w:rsidP="00B01F4A">
      <w:pPr>
        <w:pStyle w:val="TextoNormal"/>
      </w:pPr>
      <w:r w:rsidRPr="00B01F4A">
        <w:rPr>
          <w:rStyle w:val="NumeroAFNegritaCaracter"/>
        </w:rPr>
        <w:t>2</w:t>
      </w:r>
      <w:r>
        <w:t>. En el caso presente se solicita la suspensión de un Auto de la Audiencia Provincial de Navarra que, a raíz de la estimación parcial de la apelación contra una Sentencia condenatoria al pago de cantidad y de la interposición por las dos partes litigantes de sendos recursos de casación, acordó (durante la pendencia de dichos recursos) modificar la ejecución provisional de la Sentencia recaída en primera instancia para acomodarla a lo decidido en apelación, con la consecuencia de que la entidad mercantil demandante en el juicio principal y hoy recurrente en amparo ha de devolver (siempre a título cautelar) a los demandados-apelantes una parte de la cantidad recibida en ejecución provisional de la primera Sentencia.</w:t>
      </w:r>
    </w:p>
    <w:p w:rsidR="00B01F4A" w:rsidRDefault="00B01F4A" w:rsidP="00B01F4A">
      <w:pPr>
        <w:pStyle w:val="TextoNormal"/>
      </w:pPr>
      <w:r>
        <w:t>A la vista de estas circunstancias, y atendiendo a la doctrina anteriormente expuesta, resulta clara la improcedencia de acceder a la suspensión que se solicita, por cuanto los efectos de la resolución judicial impugnada son meramente económicos y no existen razones para pensar que su ejecución pueda ocasionar a la recurrente perjuicios irreparables que hicieran perder al amparo su finalidad.</w:t>
      </w:r>
    </w:p>
    <w:p w:rsidR="00B01F4A" w:rsidRDefault="00B01F4A" w:rsidP="00B01F4A">
      <w:pPr>
        <w:pStyle w:val="TextoNormal"/>
      </w:pPr>
      <w:r>
        <w:t>A este respecto, la demandante de amparo se limita a alegar la falta de garantías de restitución de la cantidad que debe ahora devolver que supuestamente le habría provocado la resolución impugnada, en razón al procedimiento seguido para su adopción.</w:t>
      </w:r>
    </w:p>
    <w:p w:rsidR="00B01F4A" w:rsidRDefault="00B01F4A" w:rsidP="00B01F4A">
      <w:pPr>
        <w:pStyle w:val="TextoNormal"/>
      </w:pPr>
      <w:r>
        <w:t>Mas esta alegación carece de fundamento. En efecto, aparte de que la mera falta de garantías de restitución no es en sí misma razón suficiente para acordar la suspensión (ATC 130/1990), en el caso presente esa supuesta privación de garantías no se compadece en absoluto con lo expresamente declarado en el Auto que se impugna, el cual accede a la solicitud de modificación de la ejecución provisional «en los propios términos» solicitados por los demandados-apelantes, los cuales hicieron en todo momento ofrecimiento de constitución de aval, como se recuerda en el propio Auto impugnado (fundamento jurídico 2.º).</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lo expuesto, la Sala acuerda denegar la suspensión solicitada.</w:t>
      </w:r>
    </w:p>
    <w:p w:rsidR="00B01F4A" w:rsidRDefault="00B01F4A" w:rsidP="00B01F4A">
      <w:pPr>
        <w:pStyle w:val="TextoNormal"/>
      </w:pPr>
    </w:p>
    <w:p w:rsidR="00B01F4A" w:rsidRDefault="00B01F4A" w:rsidP="00B01F4A">
      <w:pPr>
        <w:pStyle w:val="TextoNormal"/>
      </w:pPr>
      <w:r>
        <w:t>Madrid, a veintisiete de enero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11" w:name="AUTO_1997_21"/>
      <w:r>
        <w:lastRenderedPageBreak/>
        <w:t>AUTO 21/1997, de 27 de enero de 1997</w:t>
      </w:r>
    </w:p>
    <w:bookmarkEnd w:id="111"/>
    <w:p w:rsidR="00B01F4A" w:rsidRDefault="00B01F4A" w:rsidP="00B01F4A">
      <w:pPr>
        <w:pStyle w:val="TtuloResolucin"/>
      </w:pPr>
      <w:r>
        <w:t>Sala Primera</w:t>
      </w:r>
    </w:p>
    <w:p w:rsidR="00B01F4A" w:rsidRDefault="00B01F4A" w:rsidP="00B01F4A">
      <w:pPr>
        <w:pStyle w:val="TtuloResolucin"/>
      </w:pPr>
    </w:p>
    <w:p w:rsidR="00B01F4A" w:rsidRDefault="00B01F4A" w:rsidP="00B01F4A">
      <w:pPr>
        <w:pStyle w:val="SntesisDescriptiva"/>
      </w:pPr>
      <w:r>
        <w:t>ECLI:ES:TC:1997:21A</w:t>
      </w:r>
    </w:p>
    <w:p w:rsidR="00B01F4A" w:rsidRDefault="00B01F4A" w:rsidP="00B01F4A">
      <w:pPr>
        <w:pStyle w:val="SntesisDescriptiva"/>
      </w:pPr>
    </w:p>
    <w:p w:rsidR="00B01F4A" w:rsidRDefault="00B01F4A" w:rsidP="00B01F4A">
      <w:pPr>
        <w:pStyle w:val="SntesisDescriptiva"/>
      </w:pPr>
      <w:r>
        <w:t>Excms. Srs. don Álvaro Rodríguez Bereijo, don José Vicente Gimeno Sendra, don Pedro Cruz Villalón, don Enrique Ruiz Vadillo, don Manuel Jiménez de Parga y Cabrera y don Pablo García Manzano.</w:t>
      </w:r>
    </w:p>
    <w:p w:rsidR="00B01F4A" w:rsidRDefault="00B01F4A" w:rsidP="00B01F4A">
      <w:pPr>
        <w:pStyle w:val="SntesisDescriptiva"/>
      </w:pPr>
    </w:p>
    <w:p w:rsidR="00B01F4A" w:rsidRDefault="00B01F4A" w:rsidP="00B01F4A">
      <w:pPr>
        <w:pStyle w:val="SntesisDescriptiva"/>
      </w:pPr>
      <w:r>
        <w:t>Acordando haber lugar al desistimiento del actor en el recurso de amparo 2.579/1996.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Por escrito presentado en el Registro de este Tribunal el día 24 de junio de 1996, procedente del Juzgado de Guardia donde se depositó el día 21 anterior, la Procuradora de los Tribunales doña Soledad Paloma Muelas García, en nombre y representación de el Ayuntamiento de Alhaurín de la Torre, interpone recurso de amparo constitucional contra Sentencia, de 19 de junio de 1996, dictada por el Tribunal Superior de Justicia de Andalucía, Sala de lo Contencioso-Administrativo, con sede en Málaga, en el recurso contencioso-electoral 01/316/96, sobre impugnación de Acuerdo de designación de Alcalde, por haberse infringido el derecho fundamental a obtener la tutela judicial efectiva de Jueces y Tribunales y a la utilización de los medios pertinentes de prueba, garantizados en los arts. 24.1 y 2 de la Constitución.</w:t>
      </w:r>
    </w:p>
    <w:p w:rsidR="00B01F4A" w:rsidRDefault="00B01F4A" w:rsidP="00B01F4A">
      <w:pPr>
        <w:pStyle w:val="TextoNormal"/>
      </w:pPr>
    </w:p>
    <w:p w:rsidR="00B01F4A" w:rsidRDefault="00B01F4A" w:rsidP="00B01F4A">
      <w:pPr>
        <w:pStyle w:val="TextoNormal"/>
      </w:pPr>
      <w:r w:rsidRPr="00B01F4A">
        <w:rPr>
          <w:rStyle w:val="NumeroAFNegritaCaracter"/>
        </w:rPr>
        <w:t>2</w:t>
      </w:r>
      <w:r>
        <w:t>. Admitido el recurso de amparo, se tuvo por parte a la Procuradora doña Olga Rodríguez Herranz, en nombre y representación de don Fernando Povea García y del partido político Agrupación Social Independiente de Alhaurín de la Torre, otorgando en la providencia de 15 de noviembre último un plazo de veinte días al Fiscal y a las demás partes para evacuar el trámite de alegaciones previsto en el art. 52 LOTC.</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Por escritos que tuvieron entrada en el Registro del Tribunal el 25 de noviembre de 1996, la Procuradora Sra. Muelas García y el Letrado Sr. Antiñolo Gil renunciaron a la representación y defensa conferida por el Ayuntamiento en virtud del cambio producido por las elecciones en la indicada Corporación, personándose, con fecha 26 de noviembre de 1996, el Procurador don Ignacio Aguilar Fernández bajo la dirección del Letrado don Juan Sánchez Guerrero en la representación del Ayuntamiento y desistiendo del recurso en virtud de decreto de la Alcaldía firmado a 20 de noviembre del mismo año.. </w:t>
      </w:r>
    </w:p>
    <w:p w:rsidR="00B01F4A" w:rsidRDefault="00B01F4A" w:rsidP="00B01F4A">
      <w:pPr>
        <w:pStyle w:val="TextoNormal"/>
      </w:pPr>
      <w:r>
        <w:t xml:space="preserve">El 27 de noviembre de 1996 se presentó en el Registro del Tribunal, procedente del Juzgado de Guardia de Madrid, donde ingresó el día anterior escrito del Procurador don Francisco Javier Martínez Salas, en representación de don Francisco Rodríguez Godoy, Concejal del Ayuntamiento citado, quien dice haber sido promotor de este recurso en su calidad de </w:t>
      </w:r>
      <w:r>
        <w:lastRenderedPageBreak/>
        <w:t xml:space="preserve">Alcalde de la expresada Corporación y que manifiesta que al tener interés directo en el presente procedimiento se persona a efectos de sostener el recurso haciendo propias las alegaciones y actuaciones formuladas por el Ayuntamiento de Alhaurín de la Torre. </w:t>
      </w:r>
    </w:p>
    <w:p w:rsidR="00B01F4A" w:rsidRDefault="00B01F4A" w:rsidP="00B01F4A">
      <w:pPr>
        <w:pStyle w:val="TextoNormal"/>
      </w:pPr>
      <w:r>
        <w:t xml:space="preserve">La Sección, por providencia de 2 de diciembre siguiente, acordó dar traslado del escrito de desistimiento y del de personación del Sr. Rodríguez Godoy al Ministerio Fiscal y a la Sra. Rodríguez Herranz para alegar lo pertinente. </w:t>
      </w:r>
    </w:p>
    <w:p w:rsidR="00B01F4A" w:rsidRDefault="00B01F4A" w:rsidP="00B01F4A">
      <w:pPr>
        <w:pStyle w:val="TextoNormal"/>
      </w:pPr>
      <w:r>
        <w:t>El Procurador Sr. Aguilar Fernández, en escrito presentado el 11 de diciembre de 1996, manifiesta que el presente recurso fue promovido cuando era Alcaldesa doña Josefa Rando y no el Sr. Rodríguez Godoy, que nunca había sido Alcalde y que en ningún caso puede ejercitar la acción del Ayuntamiento para el cual éste es el exclusivamente legitimado.</w:t>
      </w:r>
    </w:p>
    <w:p w:rsidR="00B01F4A" w:rsidRDefault="00B01F4A" w:rsidP="00B01F4A">
      <w:pPr>
        <w:pStyle w:val="TextoNormal"/>
      </w:pPr>
    </w:p>
    <w:p w:rsidR="00B01F4A" w:rsidRDefault="00B01F4A" w:rsidP="00B01F4A">
      <w:pPr>
        <w:pStyle w:val="TextoNormal"/>
      </w:pPr>
      <w:r w:rsidRPr="00B01F4A">
        <w:rPr>
          <w:rStyle w:val="NumeroAFNegritaCaracter"/>
        </w:rPr>
        <w:t>4</w:t>
      </w:r>
      <w:r>
        <w:t>. La Procuradora Sra. Rodríguez Herranz presentó escritos el 11 de diciembre en nombre de sus representados en los que sustancialmente manifiesta no oponerse al desistimiento efectuado por el Ayuntamiento recurrente y se opone a la personación del Sr. Rodríguez Godoy por falta de legitimación, puesto que el recurso que hoy nos trae causa fue interpuesto por la Alcaldesa Sra. Rando Ríos cuando el Sr. Rodríguez Godoy sólo era Concejal, puesto que fue elegido Alcalde por el Pleno el 8 de agosto y el recurso se interpuso en el mes de junio anterior, siendo, por otro lado, totalmente extemporánea la personación interesada.</w:t>
      </w:r>
    </w:p>
    <w:p w:rsidR="00B01F4A" w:rsidRDefault="00B01F4A" w:rsidP="00B01F4A">
      <w:pPr>
        <w:pStyle w:val="TextoNormal"/>
      </w:pPr>
    </w:p>
    <w:p w:rsidR="00B01F4A" w:rsidRDefault="00B01F4A" w:rsidP="00B01F4A">
      <w:pPr>
        <w:pStyle w:val="TextoNormal"/>
      </w:pPr>
      <w:r w:rsidRPr="00B01F4A">
        <w:rPr>
          <w:rStyle w:val="NumeroAFNegritaCaracter"/>
        </w:rPr>
        <w:t>5</w:t>
      </w:r>
      <w:r>
        <w:t>. El Ministerio Fiscal, por dictamen recibido en el Tribunal el 18 de diciembre de 1996, llega a la conclusión de que la personación del coadyuvante es de dudosa viabilidad y en este caso carecería de toda utilidad práctica, no siendo procedente que se acepte la pretensión de hacer propia las actuaciones y alegaciones del Ayuntamiento, puesto que no ha comparecido en plazo para formular adecuadamente sus alegaciones en la forma prevista en el art. 52 de la Ley Orgánica del Tribunal. Denegada la personación del coadyuvante entiende el Fiscal que no se dan motivos de interés público que aconsejen la continuación del procedimiento: no existen otras partes recurrentes que puedan mantener la acción y concurren los requisitos legales. Debe acordarse el desistimiento y el archivo de las actuaciones.</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La representación de don Francisco Rodríguez Godoy, en su escrito de personación, manifiesta hacerlo a efectos de sostener el recurso, haciendo propias todas las alegaciones y actuaciones formuladas por el Ayuntamiento de Alhaurín de la Torre a efectos de obtener un pronunciamiento conforme a lo suplicado en el escrito por el que se interpuso el presente recurso.</w:t>
      </w:r>
    </w:p>
    <w:p w:rsidR="00B01F4A" w:rsidRDefault="00B01F4A" w:rsidP="00B01F4A">
      <w:pPr>
        <w:pStyle w:val="TextoNormal"/>
      </w:pPr>
      <w:r>
        <w:t xml:space="preserve">El art. 47.1 LOTC otorga la legitimación para comparecer en el proceso de amparo, con el carácter de demandado o con el de coadyuvante, a quienes ostenten un interés legítimo. Lo que ni este precepto legal ni otro alguno confieren a quien ostente dicho interés es legitimación para comparecer como recurrente en un proceso iniciado por otra parte. Esto es lo que pretende la representación del Sr. Rodríguez Godoy: conocedor, sin duda, del decreto de la Alcaldía de 20 de noviembre de 1996 por el que se acuerda desistir del recurso interpuesto por el ente municipal y no, en concepto personal, por su Alcalde ni por concejal alguno, comparece y solicita sostener el amparo en los términos contenidos en la demanda municipal. En definitiva, lo que pretende es sustituir al recurrente; no se trata de coadyuvar a la demanda, de la que ya sabía haber hecho dejación el Ayuntamiento. Por tanto, carece de fundamentación jurídica y debe ser desestimada la personación instada, de conformidad </w:t>
      </w:r>
      <w:r>
        <w:lastRenderedPageBreak/>
        <w:t>con lo dispuesto en el art. 47.1 de la Ley Orgánica de este Tribunal y a lo declarado en la STC 66/1989.</w:t>
      </w:r>
    </w:p>
    <w:p w:rsidR="00B01F4A" w:rsidRDefault="00B01F4A" w:rsidP="00B01F4A">
      <w:pPr>
        <w:pStyle w:val="TextoNormal"/>
      </w:pPr>
    </w:p>
    <w:p w:rsidR="00B01F4A" w:rsidRDefault="00B01F4A" w:rsidP="00B01F4A">
      <w:pPr>
        <w:pStyle w:val="TextoNormal"/>
      </w:pPr>
      <w:r w:rsidRPr="00B01F4A">
        <w:rPr>
          <w:rStyle w:val="NumeroAFNegritaCaracter"/>
        </w:rPr>
        <w:t>2</w:t>
      </w:r>
      <w:r>
        <w:t>. Entre las formas de terminación del recurso de amparo figura, por aplicación supletoria de la legislación ordinaria (art. 80 LOTC), la del desistimiento.</w:t>
      </w:r>
    </w:p>
    <w:p w:rsidR="00B01F4A" w:rsidRDefault="00B01F4A" w:rsidP="00B01F4A">
      <w:pPr>
        <w:pStyle w:val="TextoNormal"/>
      </w:pPr>
      <w:r>
        <w:t>La decisión de la parte recurrente aparece revestida de los requisitos legales, entre ellos la aportación del decreto de la Alcaldía que acuerda desistir del recurso de amparo. No se aprecia, por otro lado, perjuicio de parte ni daño para el interés general o público, como se desprende tanto de los escritos del Ministerio Fiscal como de las demás partes personadas, que manifiestan su conformidad con el desistimiento. Es procedente, pues, estimar la voluntad de desistir, poniéndose fin al proceso.</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su virtud, la Sala acuerda tener por desistido del recurso de amparo al Ayuntamiento de Alhaurín de la Torre y el archivo de las actuaciones.</w:t>
      </w:r>
    </w:p>
    <w:p w:rsidR="00B01F4A" w:rsidRDefault="00B01F4A" w:rsidP="00B01F4A">
      <w:pPr>
        <w:pStyle w:val="TextoNormal"/>
      </w:pPr>
    </w:p>
    <w:p w:rsidR="00B01F4A" w:rsidRDefault="00B01F4A" w:rsidP="00B01F4A">
      <w:pPr>
        <w:pStyle w:val="TextoNormal"/>
      </w:pPr>
      <w:r>
        <w:t>Madrid, a veintisiete de enero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12" w:name="AUTO_1997_22"/>
      <w:r>
        <w:lastRenderedPageBreak/>
        <w:t>AUTO 22/1997, de 27 de enero de 1997</w:t>
      </w:r>
    </w:p>
    <w:bookmarkEnd w:id="112"/>
    <w:p w:rsidR="00B01F4A" w:rsidRDefault="00B01F4A" w:rsidP="00B01F4A">
      <w:pPr>
        <w:pStyle w:val="TtuloResolucin"/>
      </w:pPr>
      <w:r>
        <w:t>Sala Segunda</w:t>
      </w:r>
    </w:p>
    <w:p w:rsidR="00B01F4A" w:rsidRDefault="00B01F4A" w:rsidP="00B01F4A">
      <w:pPr>
        <w:pStyle w:val="TtuloResolucin"/>
      </w:pPr>
    </w:p>
    <w:p w:rsidR="00B01F4A" w:rsidRDefault="00B01F4A" w:rsidP="00B01F4A">
      <w:pPr>
        <w:pStyle w:val="SntesisDescriptiva"/>
      </w:pPr>
      <w:r>
        <w:t>ECLI:ES:TC:1997:22A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don Rafael de Mendizábal Allende, don Julio D. González Campos, don Carles Viver Pi-Sunyer y don Tomás Salvador Vives Antón.</w:t>
      </w:r>
    </w:p>
    <w:p w:rsidR="00B01F4A" w:rsidRDefault="00B01F4A" w:rsidP="00B01F4A">
      <w:pPr>
        <w:pStyle w:val="SntesisDescriptiva"/>
      </w:pPr>
    </w:p>
    <w:p w:rsidR="00B01F4A" w:rsidRDefault="00B01F4A" w:rsidP="00B01F4A">
      <w:pPr>
        <w:pStyle w:val="SntesisDescriptiva"/>
      </w:pPr>
      <w:r>
        <w:t>Denegando la suspensión de la ejecución del acto que origina el recurso de amparo 3.430/1996.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en este Tribunal el día 21 de septiembre de 1996, don José Murga Rodríguez, Procurador de los Tribunales, interpone recurso de amparo en nombre de don Francisco Javier de Murga Florido, contra la resolución de la que se hace mérito en el encabezamiento.</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Los hechos relevantes para el examen de la pretensión de amparo son, en síntesis, los siguientes: </w:t>
      </w:r>
    </w:p>
    <w:p w:rsidR="00B01F4A" w:rsidRDefault="00B01F4A" w:rsidP="00B01F4A">
      <w:pPr>
        <w:pStyle w:val="TextoNormal"/>
      </w:pPr>
      <w:r>
        <w:t xml:space="preserve">a) La Sentencia de la Sección Primera de la Audiencia Provincial de Madrid 307/96, de 25 de junio, condenó al acusado hoy recurrente a las penas de ocho años y un día de prisión mayor y de multa de 101.000.000 de pesetas por la autoría de un delito contra la salud pública, y a las penas de dos meses y un día de arresto mayor y de multa de 23.150.000 pesetas por la autoría de un delito de contrabando. </w:t>
      </w:r>
    </w:p>
    <w:p w:rsidR="00B01F4A" w:rsidRDefault="00B01F4A" w:rsidP="00B01F4A">
      <w:pPr>
        <w:pStyle w:val="TextoNormal"/>
      </w:pPr>
      <w:r>
        <w:t xml:space="preserve">En el fallo se incluía la siguiente disposición: «Para el cumplimiento de la pena se le abona todo el tiempo que lleva en prisión provisional por esta causa, situación en la que permanecerá.» </w:t>
      </w:r>
    </w:p>
    <w:p w:rsidR="00B01F4A" w:rsidRDefault="00B01F4A" w:rsidP="00B01F4A">
      <w:pPr>
        <w:pStyle w:val="TextoNormal"/>
      </w:pPr>
      <w:r>
        <w:t xml:space="preserve">b) Mediante Auto de 12 de julio de 1996, la Sección Primera de la Audiencia Provincial de Madrid acordó tener por preparado recurso de casación contra la anterior Sentencia. En la parte dispositiva del Auto se incluye el siguiente particular: «Se acuerda que el acusado continúe en la misma situación de prisión en que se halla.» </w:t>
      </w:r>
    </w:p>
    <w:p w:rsidR="00B01F4A" w:rsidRDefault="00B01F4A" w:rsidP="00B01F4A">
      <w:pPr>
        <w:pStyle w:val="TextoNormal"/>
      </w:pPr>
      <w:r>
        <w:t>c) Contra el citado particular interpuso el recurrente recurso de súplica. La Audiencia lo desestima argumentando, en síntesis, en primer lugar, que no se trata «de una prórroga ni de adopción de una medida cautelar ex novo», y que no media «una concreta petición de modificación de la situación de prisión existente», por lo que no es necesaria la petición expresa del Fiscal. Añade, en segundo lugar, que el hecho de que se haya ya dictado la Sentencia condenatoria con base en verdaderas pruebas y la gravedad de la pena impuesta justifican la decisión de permanencia en prisión del recurrente.</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Considera el recurrente, en primer lugar, que se ha prescindido de ciertas formas legalmente previstas para el Acuerdo sobre su permanencia en prisión: postulación previa del </w:t>
      </w:r>
      <w:r>
        <w:lastRenderedPageBreak/>
        <w:t xml:space="preserve">Ministerio Fiscal y audiencia del acusado. Dichas garantías se encontrarían reguladas en el art. 504, párrafo 40, L.E.Crim., para la prórroga de la prisión provisional y serían, por ello, aplicables a la decisión de continuidad de la misma que prevé el art. 881 bis a), párrafo tercero, L.E.Crim. en la resolución relativa a la preparación del recurso de casación. </w:t>
      </w:r>
    </w:p>
    <w:p w:rsidR="00B01F4A" w:rsidRDefault="00B01F4A" w:rsidP="00B01F4A">
      <w:pPr>
        <w:pStyle w:val="TextoNormal"/>
      </w:pPr>
      <w:r>
        <w:t>La queja del segundo motivo de la demanda versa sobre la total falta de motivación del mantenimiento en prisión en la Sentencia condenatoria y en el primero de los Autos recurridos. El posterior intento de subsanación por parte del Auto de 30 de julio sería insuficiente y absolutamente extemporáneo.</w:t>
      </w:r>
    </w:p>
    <w:p w:rsidR="00B01F4A" w:rsidRDefault="00B01F4A" w:rsidP="00B01F4A">
      <w:pPr>
        <w:pStyle w:val="TextoNormal"/>
      </w:pPr>
    </w:p>
    <w:p w:rsidR="00B01F4A" w:rsidRDefault="00B01F4A" w:rsidP="00B01F4A">
      <w:pPr>
        <w:pStyle w:val="TextoNormal"/>
      </w:pPr>
      <w:r w:rsidRPr="00B01F4A">
        <w:rPr>
          <w:rStyle w:val="NumeroAFNegritaCaracter"/>
        </w:rPr>
        <w:t>4</w:t>
      </w:r>
      <w:r>
        <w:t>. Mediante providencia de 9 de diciembre de 1996, la Sección Cuarta de este Tribunal acuerda admitir a trámite la demanda de amparo y dirigir sendas comunicaciones a la Sección Primera de la Audiencia Provincial de Madrid y al Juzgado de Instrucción núm. 39 de Madrid, a fin de que remitan testimonio de las actuaciones correspondientes al procedimiento del que trae causa el presente recurso y de que emplace este último órgano judicial a quienes hubieran sido parte en el mismo para su posible comparecencia en este proceso de amparo.</w:t>
      </w:r>
    </w:p>
    <w:p w:rsidR="00B01F4A" w:rsidRDefault="00B01F4A" w:rsidP="00B01F4A">
      <w:pPr>
        <w:pStyle w:val="TextoNormal"/>
      </w:pPr>
    </w:p>
    <w:p w:rsidR="00B01F4A" w:rsidRDefault="00B01F4A" w:rsidP="00B01F4A">
      <w:pPr>
        <w:pStyle w:val="TextoNormal"/>
      </w:pPr>
      <w:r w:rsidRPr="00B01F4A">
        <w:rPr>
          <w:rStyle w:val="NumeroAFNegritaCaracter"/>
        </w:rPr>
        <w:t>5</w:t>
      </w:r>
      <w:r>
        <w:t>. Mediante escrito registrado en este Tribunal el día 11 de diciembre, la representación del recurrente solicita la suspensión del «Acuerdo adoptado por la Sección Primera de la Audiencia Provincial de Madrid, en Sentencia núm. 307, de fecha 20 de junio de 1996, en la que se acordó que permaneciera para el recurrente, Francisco Javier Murga Florido, la situación de prisión en que se hallaba».</w:t>
      </w:r>
    </w:p>
    <w:p w:rsidR="00B01F4A" w:rsidRDefault="00B01F4A" w:rsidP="00B01F4A">
      <w:pPr>
        <w:pStyle w:val="TextoNormal"/>
      </w:pPr>
    </w:p>
    <w:p w:rsidR="00B01F4A" w:rsidRDefault="00B01F4A" w:rsidP="00B01F4A">
      <w:pPr>
        <w:pStyle w:val="TextoNormal"/>
      </w:pPr>
      <w:r w:rsidRPr="00B01F4A">
        <w:rPr>
          <w:rStyle w:val="NumeroAFNegritaCaracter"/>
        </w:rPr>
        <w:t>6</w:t>
      </w:r>
      <w:r>
        <w:t>. Mediante providencia de 19 de diciembre, la Sección acuerda la apertura de pieza separada de suspensión y, conforme determina el art. 56 LOTC, concede un plazo común de tres días a la parte demandante y al Ministerio Fiscal para que aleguen lo que estimen pertinente sobre la misma.</w:t>
      </w:r>
    </w:p>
    <w:p w:rsidR="00B01F4A" w:rsidRDefault="00B01F4A" w:rsidP="00B01F4A">
      <w:pPr>
        <w:pStyle w:val="TextoNormal"/>
      </w:pPr>
    </w:p>
    <w:p w:rsidR="00B01F4A" w:rsidRDefault="00B01F4A" w:rsidP="00B01F4A">
      <w:pPr>
        <w:pStyle w:val="TextoNormal"/>
      </w:pPr>
      <w:r w:rsidRPr="00B01F4A">
        <w:rPr>
          <w:rStyle w:val="NumeroAFNegritaCaracter"/>
        </w:rPr>
        <w:t>7</w:t>
      </w:r>
      <w:r>
        <w:t>. En pro de la suspensión la representación del demandante alega que la misma no lesiona derechos de terceros, mientras que su denegación «carecería de virtualidad jurídica y dejaría vacío de contenido el amparo solicitado por el recurrente, a quien de poco serviría la estimación final de su recurso si permanece en situación de prisión preventiva irregularmente acordada».</w:t>
      </w:r>
    </w:p>
    <w:p w:rsidR="00B01F4A" w:rsidRDefault="00B01F4A" w:rsidP="00B01F4A">
      <w:pPr>
        <w:pStyle w:val="TextoNormal"/>
      </w:pPr>
    </w:p>
    <w:p w:rsidR="00B01F4A" w:rsidRDefault="00B01F4A" w:rsidP="00B01F4A">
      <w:pPr>
        <w:pStyle w:val="TextoNormal"/>
      </w:pPr>
      <w:r w:rsidRPr="00B01F4A">
        <w:rPr>
          <w:rStyle w:val="NumeroAFNegritaCaracter"/>
        </w:rPr>
        <w:t>8</w:t>
      </w:r>
      <w:r>
        <w:t>. El Ministerio Fiscal considera que no procede la suspensión solicitada, «porque el recurso de amparo no pierde su finalidad por el mantenimiento de la prisión provisional del actor al estar ya condenado por sentencia aunque no firme». Además, el mantenimiento en prisión se debe, según el Auto que resuelve el recurso de súplica, a la posibilidad de la fuga del actor, sin que el Tribunal Constitucional pueda entrar a analizar la misma, por faltarle inmediación y porque ello equivaldría a resolver sobre el fondo del asunto. El escrito finaliza con la siguiente argumentación: «La no suspensión de la resolución judicial que se solícita no haría perder al recurso su finalidad ya que el tiempo transcurrido en prisión por el actor se podrá recuperar al poderse imputar al cumplimiento de la condena y además se podría disminuir la posibilidad de perjuicio acelerando la resolución del recurso de amparo.»</w:t>
      </w:r>
    </w:p>
    <w:p w:rsidR="00B01F4A" w:rsidRDefault="00B01F4A" w:rsidP="00B01F4A">
      <w:pPr>
        <w:pStyle w:val="TextoNormal"/>
      </w:pPr>
    </w:p>
    <w:p w:rsidR="00B01F4A" w:rsidRDefault="00B01F4A" w:rsidP="00B01F4A">
      <w:pPr>
        <w:pStyle w:val="TextoNormalNegritaCentrado"/>
        <w:keepNext/>
      </w:pPr>
      <w:r>
        <w:lastRenderedPageBreak/>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Lo que solicita el recurrente bajo la cobertura del art. 56 LOTC es su puesta provisional en libertad. Dicha petición pretende la suspensión de la prisión provisional, pero se dirige contra dos resoluciones que ni acuerdan dicha prisión ni frente a lo pretendido en la demanda la prorrogan, sino que disponen el mantenimiento de la citada medida cautelar. Por ello, la suspensión de la ejecución de las decisiones judiciales ahora combatidas en amparo no comportaría la concesión de libertad provisional, sino precisamente, contra lo solicitado por el recurrente, la continuidad de una situación de prisión que dichas resoluciones se limitan a confirmar al hilo de relevantes datos procesales -Sentencia en primera instancia y preparación del recurso de casación-. De ahí que cabría ya negar la medida cautelar solicitada por caer fuera del cauce de suspensión que regula el art. 56 LOTC.</w:t>
      </w:r>
    </w:p>
    <w:p w:rsidR="00B01F4A" w:rsidRDefault="00B01F4A" w:rsidP="00B01F4A">
      <w:pPr>
        <w:pStyle w:val="TextoNormal"/>
      </w:pPr>
      <w:r>
        <w:t>La anterior solución puede parecer excesivamente formalista en la interpretación del art. 56 LOTC, ajeno a los importantes intereses que se hayan en juego en estas piezas de suspensión. De ahí que estimemos posible y conveniente salvar el obstáculo formal indicado y, aceptando la incardinación en el art. 56 LOTC de la solicitud de suspensión, que lo es de la medida de acuerdo de la misma, procedamos a la consideración de su fondo.</w:t>
      </w:r>
    </w:p>
    <w:p w:rsidR="00B01F4A" w:rsidRDefault="00B01F4A" w:rsidP="00B01F4A">
      <w:pPr>
        <w:pStyle w:val="TextoNormal"/>
      </w:pPr>
    </w:p>
    <w:p w:rsidR="00B01F4A" w:rsidRDefault="00B01F4A" w:rsidP="00B01F4A">
      <w:pPr>
        <w:pStyle w:val="TextoNormal"/>
      </w:pPr>
      <w:r w:rsidRPr="00B01F4A">
        <w:rPr>
          <w:rStyle w:val="NumeroAFNegritaCaracter"/>
        </w:rPr>
        <w:t>2</w:t>
      </w:r>
      <w:r>
        <w:t>. Del tenor del art. 56 LOTC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w:t>
      </w:r>
    </w:p>
    <w:p w:rsidR="00B01F4A" w:rsidRDefault="00B01F4A" w:rsidP="00B01F4A">
      <w:pPr>
        <w:pStyle w:val="TextoNormal"/>
      </w:pPr>
      <w:r>
        <w:t>a) Contra lo considerado por el ministerio Fiscal, concurre sin ningún género de dudas en el presente supuesto el primero de los requisitos de la suspensión. Como el amparo impetrado contempla la paralización de la situación de prisión provisional que el recurrente considera no fundamentada, una solución denegatoria a la petición formulada haría perder al amparo en todo o en parte su finalidad práctica, pues, de estimarse posteriormente el recurso, la resolución no podría reparar la privación de libertad ya consumada.</w:t>
      </w:r>
    </w:p>
    <w:p w:rsidR="00B01F4A" w:rsidRDefault="00B01F4A" w:rsidP="00B01F4A">
      <w:pPr>
        <w:pStyle w:val="TextoNormal"/>
      </w:pPr>
      <w:r>
        <w:t xml:space="preserve">b) Mayor detenimiento requiere la reflexión en este caso en cuanto a la concurrencia del segundo de los requisitos. Es cierto, por una parte, que, so pena de negar la suspendibilidad de toda resolución judicial, la mera perturbación que provoca ya su pérdida de ejecutividad no puede impedir por sí sola la suspensión (AATC 169/1995, 249/1996, 282/1996). También lo es que en la ponderación de la perturbación añadida que supone la suspensión de unas resoluciones de prisión provisional recurridas, en parte, por su fundamentación, y en el análisis de su finalidad que dicha evaluación implica, este Tribunal ve limitada su labor por la frontera que demarca el análisis del fondo de la cuestión, vedado en este trámite, máxime en supuestos como el que aquí se examina, en el que el otorgamiento de la suspensión supondría, por sí solo, el del amparo que se solicita y un prejuicio de la citada cuestión final. Esta cortapisa relativa a la indagación de las finalidades concretas de la medida impugnada no nos impide, sin embargo, reparar en la ínsita naturaleza excepcional de la prisión provisional y en su disposición a priori como medio insoslayable para posibilitar la administración de justicia penal y la evitación de nuevos comportamientos delictivos (STC 128/1995). Si ello es así y si los delitos enjuiciados y sancionados ya en primera instancia son graves -aquí, en principio, delitos contra la salud pública y de contrabando, inicialmente merecedores de dos penas de privación de libertad de ocho años y un día y de dos meses y un día, y de dos penas de multa de 101.000.000 de pesetas y de 23.150.000 pesetas- se configura un panorama que, como ya sucediera en los AATC 169/1995, 249/1996 y </w:t>
      </w:r>
      <w:r>
        <w:lastRenderedPageBreak/>
        <w:t>282/1996, permite sostener que la suspensión podría ocasionar graves perturbaciones del interés general e incluso de derechos de terceros.</w:t>
      </w:r>
    </w:p>
    <w:p w:rsidR="00B01F4A" w:rsidRDefault="00B01F4A" w:rsidP="00B01F4A">
      <w:pPr>
        <w:pStyle w:val="TextoNormal"/>
      </w:pPr>
    </w:p>
    <w:p w:rsidR="00B01F4A" w:rsidRDefault="00B01F4A" w:rsidP="00B01F4A">
      <w:pPr>
        <w:pStyle w:val="TextoNormal"/>
      </w:pPr>
      <w:r w:rsidRPr="00B01F4A">
        <w:rPr>
          <w:rStyle w:val="NumeroAFNegritaCaracter"/>
        </w:rPr>
        <w:t>3</w:t>
      </w:r>
      <w:r>
        <w:t>. De lo dicho en los fundamentos anteriores se desprende que no procede conceder la suspensión solicitada por no concurrir el segundo de los requisitos legales para ello; sin embargo, la gravedad y certeza de los perjuicios que esta denegación ocasiona obligan a este Tribunal a reducir en lo posible esos efectos, con lo que, como se ha hecho en otros casos -por todos, AATC 144/1990, 159/1995, 249/1996 y 282/1996-, la Sala acuerda acelerar la resolución del presente recurso, incluso anteponiéndola en el orden de señalamientos.</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lo expuesto, la Sala acuerda no acceder a la suspensión interesada por la parte recurrente.</w:t>
      </w:r>
    </w:p>
    <w:p w:rsidR="00B01F4A" w:rsidRDefault="00B01F4A" w:rsidP="00B01F4A">
      <w:pPr>
        <w:pStyle w:val="TextoNormal"/>
      </w:pPr>
    </w:p>
    <w:p w:rsidR="00B01F4A" w:rsidRDefault="00B01F4A" w:rsidP="00B01F4A">
      <w:pPr>
        <w:pStyle w:val="TextoNormal"/>
      </w:pPr>
      <w:r>
        <w:t>Madrid, a veintisiete de enero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13" w:name="AUTO_1997_23"/>
      <w:r>
        <w:lastRenderedPageBreak/>
        <w:t>AUTO 23/1997, de 27 de enero de 1997</w:t>
      </w:r>
    </w:p>
    <w:bookmarkEnd w:id="113"/>
    <w:p w:rsidR="00B01F4A" w:rsidRDefault="00B01F4A" w:rsidP="00B01F4A">
      <w:pPr>
        <w:pStyle w:val="TtuloResolucin"/>
      </w:pPr>
      <w:r>
        <w:t>Sección Tercera</w:t>
      </w:r>
    </w:p>
    <w:p w:rsidR="00B01F4A" w:rsidRDefault="00B01F4A" w:rsidP="00B01F4A">
      <w:pPr>
        <w:pStyle w:val="TtuloResolucin"/>
      </w:pPr>
    </w:p>
    <w:p w:rsidR="00B01F4A" w:rsidRDefault="00B01F4A" w:rsidP="00B01F4A">
      <w:pPr>
        <w:pStyle w:val="SntesisDescriptiva"/>
      </w:pPr>
      <w:r>
        <w:t>ECLI:ES:TC:1997:23A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y don Rafael de Mendizábal Allende.</w:t>
      </w:r>
    </w:p>
    <w:p w:rsidR="00B01F4A" w:rsidRDefault="00B01F4A" w:rsidP="00B01F4A">
      <w:pPr>
        <w:pStyle w:val="SntesisDescriptiva"/>
      </w:pPr>
    </w:p>
    <w:p w:rsidR="00B01F4A" w:rsidRDefault="00B01F4A" w:rsidP="00B01F4A">
      <w:pPr>
        <w:pStyle w:val="SntesisDescriptiva"/>
      </w:pPr>
      <w:r>
        <w:t>Acordando la inadmisión a trámite del recurso de amparo 4.485/1996.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en el Juzgado de Guardia de Madrid, de fecha 5 de diciembre de 1996, el Procurador don Antonio María Álvarez-Buylla Ballesteros, en nombre y representación de don Angelo Cavaliere, interpone recurso de amparo contra el Auto núm. 32/96, de fecha 3 de octubre de 1996, dictado por el Pleno de la Sala de lo Penal de la Audiencia Nacional, por el que se desestima el recurso de súplica núm. 25/96, interpuesto contra el Auto núm. 22/96 de la Sección Primera de la misma Sala, de 2 de julio de 1996, por el que se declaró procedente la extradición del recurrente a la República Checa.</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Los hechos más relevantes que se desprenden de la demanda son, en síntesis, los siguientes: </w:t>
      </w:r>
    </w:p>
    <w:p w:rsidR="00B01F4A" w:rsidRDefault="00B01F4A" w:rsidP="00B01F4A">
      <w:pPr>
        <w:pStyle w:val="TextoNormal"/>
      </w:pPr>
      <w:r>
        <w:t xml:space="preserve">a) Con fecha 29 de enero de 1996 tuvo entrada en el Ministerio español de Asuntos Exteriores una nota verbal procedente de la Embajada de la República Checa en la que se solicitaba la extradición de don Angelo Cavaliere, de nacionalidad italiana, director gerente de la Sociedad MILANPRAGA, quien, fingiendo la pretensión de adquisición contractual de garantías y créditos bancarios, obtuvo en Praga pagos de capital de varias empresas y contrató unos anuncios en dos publicaciones, que no pagó, habiendo provocado así un perjuicio total de 150 millones de coronas, que equivalen a unos 750 millones de pesetas. Tras los trámites de rigor, la Sección Primera de la Sala de lo Penal de la Audiencia Nacional dictó el Auto 22/96, por el que, en aplicación del Convenio Europeo de Extradición (en adelante C.E.Ex.), ratificado por España y por la República Checa, y de la Ley 4/1985, de 21 de marzo, de Extradición Pasiva (en adelante L.E.P.), declara procedente la extradición a la República Checa del recurrente de amparo, si bien la decisión última corresponde al Gobierno. </w:t>
      </w:r>
    </w:p>
    <w:p w:rsidR="00B01F4A" w:rsidRDefault="00B01F4A" w:rsidP="00B01F4A">
      <w:pPr>
        <w:pStyle w:val="TextoNormal"/>
      </w:pPr>
      <w:r>
        <w:t>b) Interpuesto recurso de súplica contra tal Auto, el Pleno de la Sala de lo Penal de la misma Audiencia Nacional dictó otro Auto, núm. 32/96, en el que se desestimó el recurso; se acordó, para el caso de condena en el país reclamante, el abono del tiempo que el Sr. Cavaliere ha estado privado de libertad provisionalmente por el procedimiento de extradición; se desestimó su petición de puesta en libertad y se ratificaron los Autos de la Sección Primera, de fechas 18 de junio de 1996 y 10 de julio de 1996.</w:t>
      </w:r>
    </w:p>
    <w:p w:rsidR="00B01F4A" w:rsidRDefault="00B01F4A" w:rsidP="00B01F4A">
      <w:pPr>
        <w:pStyle w:val="TextoNormal"/>
      </w:pPr>
    </w:p>
    <w:p w:rsidR="00B01F4A" w:rsidRDefault="00B01F4A" w:rsidP="00B01F4A">
      <w:pPr>
        <w:pStyle w:val="TextoNormal"/>
      </w:pPr>
      <w:r w:rsidRPr="00B01F4A">
        <w:rPr>
          <w:rStyle w:val="NumeroAFNegritaCaracter"/>
        </w:rPr>
        <w:lastRenderedPageBreak/>
        <w:t>3</w:t>
      </w:r>
      <w:r>
        <w:t xml:space="preserve">. La demanda de amparo solicita la declaración de nulidad de ambos Autos y la inmediata puesta en libertad del recurrente. Alega diversos motivos, pero todos ellos relacionados con la presunta vulneración del art. 24.1 y 2 de la C.E., en relación con otros preceptos constitucionales. Con mención de la doctrina del T.C., se expresa con carácter previo que en los procedimientos de extradición las vulneraciones de derechos realizadas por los órganos judiciales del Estado requirente pueden ser imputables a los Tribunales españoles si declaran procedente la extradición. </w:t>
      </w:r>
    </w:p>
    <w:p w:rsidR="00B01F4A" w:rsidRDefault="00B01F4A" w:rsidP="00B01F4A">
      <w:pPr>
        <w:pStyle w:val="TextoNormal"/>
      </w:pPr>
      <w:r>
        <w:t xml:space="preserve">a) Según el primer motivo, en la República Checa no está garantizado de facto el derecho fundamental a un proceso público con todas las garantías, por cuanto la instrucción es llevada a cabo por un órgano policial sin posibilidad de recurrir ante un órgano judicial y a espaldas del acusado, lo que es propio de un Estado con tradición comunista-totalitaria desde 1948 y que todavía no es plenamente democrático. </w:t>
      </w:r>
    </w:p>
    <w:p w:rsidR="00B01F4A" w:rsidRDefault="00B01F4A" w:rsidP="00B01F4A">
      <w:pPr>
        <w:pStyle w:val="TextoNormal"/>
      </w:pPr>
      <w:r>
        <w:t xml:space="preserve">b) El Auto impugnado habría lesionado el derecho a la tutela judicial efectiva sin indefensión (art. 24.1 C.E.) y el principio de legalidad penal (art. 25. 1 C. E.), al declarar procedente la extradición, ya que en el presente caso no se cumple el principio de doble incriminación, exigido por el art. 2.1 del C.E.Ex. y el art. 2 de la L.E.P. El tipo del fraude previsto en el Código Penal checo no coincide con el delito de estafa del C.P. español, por cuanto que aquél no requiere que la conducta típica haya de consistir en engaño, bastando «poner a una persona en una situación de error»; según la demanda, el hecho por el que solicitó la extradición no constituyó una conducta engañosa, sino a lo sumo una modalidad imprudente de estafa (atípica en el Derecho español) o un ilícito civil. El Auto impugnado pretende adaptar la norma extranjera a la correlativa española, entendiendo que la exigencia contenida en aquélla de poner a una persona en situación de error está presuponiendo ya la exigencia de una conducta engañosa, cuando en realidad -argumenta la demanda- una persona puede ser colocada en esa situación sin necesidad de desplegar engaño bastante. Se ha infringido además el art. 7.1 a) de la L.E.P. por no haber sido acompañada la solicitud de extradición con el Auto de procesamiento o resolución análoga, «con expresión sumaria de los hechos y lugar y fecha en que fueron realizados». </w:t>
      </w:r>
    </w:p>
    <w:p w:rsidR="00B01F4A" w:rsidRDefault="00B01F4A" w:rsidP="00B01F4A">
      <w:pPr>
        <w:pStyle w:val="TextoNormal"/>
      </w:pPr>
      <w:r>
        <w:t xml:space="preserve">c) Se alega vulneración del derecho a la tutela judicial efectiva (art. 24.1 C.E.), cuyo alcance se extiende también a la concesión de la extradición ajustada a Derecho. Sin embargo, según el recurrente en la solicitud de extradición concurren motivaciones políticas, que deberían haber dado lugar al rechazo de la extradición en virtud del art. 3 del C.E.Ex. y del art. 5, 1.º L.E.P. La persecución política obedece a que el Sr. Cavaliere fue requerido por la Empresa MOTOKOV, propiedad del Estado checo, para colaborar en el tráfico de armas, a lo que aquél se negó, dando lugar a un enfrentamiento con la cúpula gubernativa checa. Otro motivo de persecución política estriba en que el Partido Comunista Checo, junto con la Policía, impulsó una entrada y registro ilegales en la oficina del recurrente, sita en el mismo edificio central del mismo Partido. </w:t>
      </w:r>
    </w:p>
    <w:p w:rsidR="00B01F4A" w:rsidRDefault="00B01F4A" w:rsidP="00B01F4A">
      <w:pPr>
        <w:pStyle w:val="TextoNormal"/>
      </w:pPr>
      <w:r>
        <w:t xml:space="preserve">d) Se ha vulnerado el art. 15 de la C.E., que prohibe la tortura y las penas o tratos inhumanos o degradantes, así como el art. 4, 60 de la L.E.P. que obliga a rechazar la extradición cuando el Estado requirente no diere garantías de que la persona reclamada no será sometida a dichas penas o tratos. Diferentes pruebas han demostrado la existencia de tratos inhumanos y degradantes en las prisiones checas; así, el informe «Prisión Conditions in Czechoslovakia», elaborado en 1991 por The Human Richt Watch; las declaraciones de dos testigos; o el caso «Kalianek», descrito en la vista. La demanda refuta los argumentos del Auto impugnado, que a juicio del recurrente no ofrece una motivación material y por tanto infringe el derecho a una tutela judicial efectiva, pues tal resolución reconoce que «no todas las </w:t>
      </w:r>
      <w:r>
        <w:lastRenderedPageBreak/>
        <w:t xml:space="preserve">cárceles [del Estado requirente] padecen las mismas deficiencias» y relaciona las condiciones de las cárceles con el desarrollo económico de cada Estado, cuando en realidad el que un Estado respete o no los derechos humanos no tiene nada que ver con su pobreza o riqueza. Y si se reconoce que el Estado checo tolera en sus prisiones tratos inhumanos o degradantes -como reconoce en algunos casos el Tribunal a quo-, entonces no es posible conceder la extradición con el argumento (contenido en el Auto de la Sección Primera, de 2 de julio de 1996) de que cabría recurrir ante los Tribunales checos o ante los organismos internacionales si el reclamado fuese sometido a situaciones vejatorias, porque la valoración del grado de cumplimiento de los derechos humanos en el Estado requirente debe ser efectuado por el órgano judicial español ex ante, como ha entendido el T.D.H en su Sentencia de 7 de julio de 1989 (caso Soering) o en la de 20 de marzo de 1991. </w:t>
      </w:r>
    </w:p>
    <w:p w:rsidR="00B01F4A" w:rsidRDefault="00B01F4A" w:rsidP="00B01F4A">
      <w:pPr>
        <w:pStyle w:val="TextoNormal"/>
      </w:pPr>
      <w:r>
        <w:t>e) La última queja reputa lesionado el derecho a un proceso sin dilaciones indebidas (art. 24.2 C.E., art. 6.1 del C.E.D.H. y art. 14.3 del Pacto Internacional de Derechos Civiles y Políticos), pues el Sr. Cavaliere se encuentra en prisión provisional desde el 22 de diciembre de 1995 por un presunto delito de estafa; además, desde la deliberación y decisión del recurso de súplica hasta la notificación a la parte del Auto han transcurrido más de tres meses, sin que haya habido actividad judicial alguna que justifique el retraso.</w:t>
      </w:r>
    </w:p>
    <w:p w:rsidR="00B01F4A" w:rsidRDefault="00B01F4A" w:rsidP="00B01F4A">
      <w:pPr>
        <w:pStyle w:val="TextoNormal"/>
      </w:pPr>
    </w:p>
    <w:p w:rsidR="00B01F4A" w:rsidRDefault="00B01F4A" w:rsidP="00B01F4A">
      <w:pPr>
        <w:pStyle w:val="TextoNormal"/>
      </w:pPr>
      <w:r w:rsidRPr="00B01F4A">
        <w:rPr>
          <w:rStyle w:val="NumeroAFNegritaCaracter"/>
        </w:rPr>
        <w:t>4</w:t>
      </w:r>
      <w:r>
        <w:t>. Mediante providencia de 19 de diciembre de 1996 la Sección Tercera de este Tribunal requirió al Procurador don Antonio María Álvarez Buylla Ballesteros para que acreditara fehacientemente en un plazo de diez días la representación que dice ostentar del recurrente con el correspondiente poder.</w:t>
      </w:r>
    </w:p>
    <w:p w:rsidR="00B01F4A" w:rsidRDefault="00B01F4A" w:rsidP="00B01F4A">
      <w:pPr>
        <w:pStyle w:val="TextoNormal"/>
      </w:pPr>
    </w:p>
    <w:p w:rsidR="00B01F4A" w:rsidRDefault="00B01F4A" w:rsidP="00B01F4A">
      <w:pPr>
        <w:pStyle w:val="TextoNormal"/>
      </w:pPr>
      <w:r w:rsidRPr="00B01F4A">
        <w:rPr>
          <w:rStyle w:val="NumeroAFNegritaCaracter"/>
        </w:rPr>
        <w:t>5</w:t>
      </w:r>
      <w:r>
        <w:t>. Presentado el poder el día 31 de diciembre de 1996, la misma Sección, por providencia de 13 de enero de 1997, acordó, de conformidad con lo dispuesto en el art. 50.3 de la LOTC, conceder al demandante de amparo y al Ministerio Fiscal el plazo común de diez días para que formulasen, con las aportaciones documentales que procedieran, las alegaciones que estimaran pertinentes, en relación con la carencia manifiesta de contenido constitucional de la demanda [art. 50.1 c) de la LOTC]. Asimismo se declaró en la misma providencia que, en cuanto a la suspensión interesada de la resolución impugnada, se acordaría lo procedente una vez que se decidiera sobre la admisión de la demanda de amparo.</w:t>
      </w:r>
    </w:p>
    <w:p w:rsidR="00B01F4A" w:rsidRDefault="00B01F4A" w:rsidP="00B01F4A">
      <w:pPr>
        <w:pStyle w:val="TextoNormal"/>
      </w:pPr>
    </w:p>
    <w:p w:rsidR="00B01F4A" w:rsidRDefault="00B01F4A" w:rsidP="00B01F4A">
      <w:pPr>
        <w:pStyle w:val="TextoNormal"/>
      </w:pPr>
      <w:r w:rsidRPr="00B01F4A">
        <w:rPr>
          <w:rStyle w:val="NumeroAFNegritaCaracter"/>
        </w:rPr>
        <w:t>6</w:t>
      </w:r>
      <w:r>
        <w:t>. La representación del demandante presentó un escrito, registrado en este Tribunal el día 21 de enero de 1997, por el que se ponía en conocimiento del mismo que el Consejo de Ministros, mediante Resolución de 29 de noviembre de 1996, había acordado la entrega de don Angelo Cavaliere a la República Checa, en ejecución del expediente de extradición núm. 37/95, para el próximo 23 de enero de 1997, reiterando la solicitud, en este caso con carácter de urgencia, de que este Tribunal acordara la suspensión de la resolución recurrida.</w:t>
      </w:r>
    </w:p>
    <w:p w:rsidR="00B01F4A" w:rsidRDefault="00B01F4A" w:rsidP="00B01F4A">
      <w:pPr>
        <w:pStyle w:val="TextoNormal"/>
      </w:pPr>
    </w:p>
    <w:p w:rsidR="00B01F4A" w:rsidRDefault="00B01F4A" w:rsidP="00B01F4A">
      <w:pPr>
        <w:pStyle w:val="TextoNormal"/>
      </w:pPr>
      <w:r w:rsidRPr="00B01F4A">
        <w:rPr>
          <w:rStyle w:val="NumeroAFNegritaCaracter"/>
        </w:rPr>
        <w:t>7</w:t>
      </w:r>
      <w:r>
        <w:t xml:space="preserve">. El escrito de alegaciones del Ministerio Fiscal, fechado el 23 de enero de 1997, propone la inadmisión de la demanda por carecer ésta manifiestamente de contenido constitucional. Aun aceptando el punto de partida del recurso, conforme al cual son imputables a los Tribunales españoles que entienden de un procedimiento de extradición las posibles vulneraciones de derechos fundamentales que pudieran cometer las autoridades extranjeras, entiende el Ministerio Fiscal que no es función de este Tribunal revisar la interpretación que de los Convenios de la normativa aplicable puedan haber realizado los Tribunales españoles en el ejercicio de su actividad jurisdiccional. En cuanto a la queja de lesión de un derecho a </w:t>
      </w:r>
      <w:r>
        <w:lastRenderedPageBreak/>
        <w:t xml:space="preserve">un proceso con todas las garantías, fundamentada en que el proceso penal de la República Checa -especialmente en su fase de instrucción- es un procedimiento policial, la rechaza con el argumento de que se pretende extrapolar nuestro sistema de garantías al procedimiento de ese país, lo que no sería respetuoso con las facultades soberanas que a todo Estado debe reconocerse, y particularmente cuando ese Estado es parte, como asimismo lo es España, del C.E.Ex. No constituye violación del derecho a un proceso con todas las garantías el hecho de que, en la regulación checa, la fase instructora sea realizada por la policía bajo la «supervisión» del Ministerio Fiscal, pero sin intervención judicial, por cuanto las garantías procesales en ese país han sido objeto de una constante reactualización y adaptación a las exigencias de un régimen democrático en los últimos años; además de que la atribución de la instrucción al Ministerio Fiscal o a un Juez de Instrucción constituye uno de los debates actuales en el seno de los países con más honda raigambre democrática y, desde luego, también en el nuestro. </w:t>
      </w:r>
    </w:p>
    <w:p w:rsidR="00B01F4A" w:rsidRDefault="00B01F4A" w:rsidP="00B01F4A">
      <w:pPr>
        <w:pStyle w:val="TextoNormal"/>
      </w:pPr>
      <w:r>
        <w:t xml:space="preserve">Respecto a la denuncia de que las resoluciones impugnadas habrían vulnerado el principio de doble incriminación, que el Ministerio Público entiende incardinable con más propiedad en el principio de legalidad (art. 25.1 C.E.) que en el del derecho a la tutela judicial efectiva, se expresa que la demanda pretende discutir no la previsión legislativa en los dos ordenamientos, sino la equivalencia de ambas figuras delictivas, sobre la base de inexigencia del engaño en el art. 250 del C.P. checo. Pero dicha discusión pertenece al ámbito de la calificación jurídica e interpretación de la legalidad ordinaria, que, por tanto, no es revisable por el Tribunal Constitucional. Además de que el precepto en cuestión ofrece una cobertura más que suficiente para la apreciación de la conducta delictiva. </w:t>
      </w:r>
    </w:p>
    <w:p w:rsidR="00B01F4A" w:rsidRDefault="00B01F4A" w:rsidP="00B01F4A">
      <w:pPr>
        <w:pStyle w:val="TextoNormal"/>
      </w:pPr>
      <w:r>
        <w:t xml:space="preserve">Las alegaciones aducidas en la demanda de amparo de que se ha vulnerado el art. 24.1 de la C.E. por el hecho de estar guiado el Estado reclamante por motivaciones políticas y de que se ha vulnerado el art. 15 de la C.E., que garantiza la integridad física y moral, prohibiendo asimismo la tortura y los tratos inhumanos o degradantes, son afirmaciones carentes de justificación alguna en que asentarlas. Fuera de las divagaciones efectuadas con carácter genérico, ninguna constatación de los hechos existe. Ambas alegaciones fueron tratadas, resueltas y suficientemente motivadas por los Autos impugnados, siendo su argumentación irreprochable. </w:t>
      </w:r>
    </w:p>
    <w:p w:rsidR="00B01F4A" w:rsidRDefault="00B01F4A" w:rsidP="00B01F4A">
      <w:pPr>
        <w:pStyle w:val="TextoNormal"/>
      </w:pPr>
      <w:r>
        <w:t>Frente a la queja de dilaciones indebidas, constata el representante del Ministerio Fiscal que tal afirmación no ha sido expresada previamente en el proceso, con lo que no se ha dado oportunidad a los órganos judiciales para una eventual reparación de las mismas (STC 172/1987), sin olvidar que «no toda irregularidad o retraso es identificable con la violación del derecho fundamental» (ATC 271/1992).</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De los motivos de amparo que fundamentan la pretensión del recurrente en el presente caso no pueden ser admitidos por evidente carencia de contenido constitucional los siguientes: la falta de garantías de la instrucción penal en Chequia, la motivación política de la solicitud de extradición y la existencia de tratos inhumanos o degradantes en las cárceles checas. Se trata de quejas relativas todas ellas a circunstancias de hecho o de Derecho del Estado requirente, la República Checa. Todas estas circunstancias han sido enjuiciadas con suficiente detenimiento y motivación tanto en el Auto de la Sección Primera como en el Auto del Pleno de la Sala de lo Penal, ambos de la Audiencia Nacional. La afirmación con</w:t>
      </w:r>
      <w:r>
        <w:lastRenderedPageBreak/>
        <w:t>tenida en el Auto del Pleno de que «no todas las cárceles [checas] padecen las mismas deficiencias» -de lo que se derivaría, a juicio del recurrente, la posibilidad de que el Sr. Cavaliere fuera internado en una prisión en la que sí existieran tales deficiencias-, está sacada del contexto del fundamento jurídico 3.º del Auto impugnado, pues ahí mismo también se reconoce que «la situación de las cárceles en el país reclamante es visto que se encuentra en evolución positiva y con problemas que son comunes a multitud de países, no pudiendo mantenerse que no se dan y procuran en las mismas las condiciones suficientes de salvaguarda de los derechos humanos». Luego no hay contradicción en la fundamentación, sino reconocimiento de que el régimen penitenciario checo no conculca como regla general los derechos humanos, sin que lógicamente se pueda excluir de forma absoluta la posibilidad de que una persona entregada mediante extradición sufra un trato inhumano o degradante en el futuro. Tal seguridad o certeza respecto de algo futuro no la tiene el órgano judicial a quo, pero tampoco ser humano alguno. Lo que la norma quiere excluir es la entrega de sujetos que presumiblemente, con cierto grado de seguridad, pueda sufrir tratos inhumanos o degradantes en el Estado requirente. Como ya expresamos en la STC 13/1994 (fundamento jurídico 5.º) la concesión del amparo por estos motivos en un procedimiento extradicional sólo podría basarse en el «temor racional y fundado» de que los órganos judiciales del Estado reclamante pueden someter al extraditado a tales vulneraciones de sus derechos fundamentales, pues «de otro modo se daría al recurso una orientación cautelar que no le es propia», en cuya idea insiste el último fundamento de dicha Sentencia que, con el carácter no preventivo de las lesiones denunciadas, cierra la argumentación desestimatoria del amparo.</w:t>
      </w:r>
    </w:p>
    <w:p w:rsidR="00B01F4A" w:rsidRDefault="00B01F4A" w:rsidP="00B01F4A">
      <w:pPr>
        <w:pStyle w:val="TextoNormal"/>
      </w:pPr>
      <w:r>
        <w:t>Por otro lado, la demanda intenta asociar la concesión de la extradición con el cumplimiento de una prolongada pena de prisión por parte del Sr. Cavaliere en la República Checa, como si hubiera una relación de causa a efecto entre una y otra cuestión. Cuando en realidad se trata de una solicitud de extradición de una persona todavía no condenada en aquel país, sino meramente acusada de un delito y que, por lo tanto, debe ser sometida todavía a enjuiciamiento, del que se podrá derivar la condena o la absolución. Por eso con mayor razón se puede recordar en este caso la doctrina de este Tribunal de que la concesión de extradición no supone juicio alguno sobre la culpabilidad o inocencia del reclamado (AATC 308/1984, 59/1985, 247/1985, 363/1985).</w:t>
      </w:r>
    </w:p>
    <w:p w:rsidR="00B01F4A" w:rsidRDefault="00B01F4A" w:rsidP="00B01F4A">
      <w:pPr>
        <w:pStyle w:val="TextoNormal"/>
      </w:pPr>
      <w:r>
        <w:t>Estos tres motivos adolecen además de dos defectos que hacen improcedente su admisión. En primer lugar, tratan de modificar los hechos en que se basan las resoluciones impugnadas con base en las pruebas practicadas, cuando el recurso de amparo lo impide expresamente en el art. 44.1 b) de nuestra Ley Orgánica. Y en segundo lugar, están referidos a temas de legalidad ordinaria -la valoración de la legislación checa, en orden a determinar si garantiza o no los derechos humanos-, que han sido examinados por la Audiencia Nacional en términos razonados que satisfacen las exigencias del art. 24 C.E.</w:t>
      </w:r>
    </w:p>
    <w:p w:rsidR="00B01F4A" w:rsidRDefault="00B01F4A" w:rsidP="00B01F4A">
      <w:pPr>
        <w:pStyle w:val="TextoNormal"/>
      </w:pPr>
    </w:p>
    <w:p w:rsidR="00B01F4A" w:rsidRDefault="00B01F4A" w:rsidP="00B01F4A">
      <w:pPr>
        <w:pStyle w:val="TextoNormal"/>
      </w:pPr>
      <w:r w:rsidRPr="00B01F4A">
        <w:rPr>
          <w:rStyle w:val="NumeroAFNegritaCaracter"/>
        </w:rPr>
        <w:t>2</w:t>
      </w:r>
      <w:r>
        <w:t>. Achaca la representación del recurrente a las resoluciones que impugna haber infringido el principio de doble incriminación, lo que habría vulnerado tanto el derecho a la tutela judicial efectiva (art. 24.1 C.E.)  como el principio de legalidad penal (art. 25.1 C.E.). Pero como ya expresamos en la STC 11/1983, y como con razón destaca el Ministerio Fiscal, la lesión de la regla de la doble incriminación implica ante todo una lesión del principio de legalidad penal.</w:t>
      </w:r>
    </w:p>
    <w:p w:rsidR="00B01F4A" w:rsidRDefault="00B01F4A" w:rsidP="00B01F4A">
      <w:pPr>
        <w:pStyle w:val="TextoNormal"/>
      </w:pPr>
      <w:r>
        <w:t xml:space="preserve">Para centrar en sus justos términos esta cuestión es preciso desterrar la idea que subyace a la demanda de que el principio de doble incriminación equivale a una identidad de las normas penales de ambos Estados. Lo cierto es que el principio en cuestión no exige una </w:t>
      </w:r>
      <w:r>
        <w:lastRenderedPageBreak/>
        <w:t>misma denominación del delito en ambas legislaciones ni tampoco que las normas penales respectivas sean idénticas. El significado de este principio consiste en que el hecho sea delictivo y con una determinada penalidad en las legislaciones penales del Estado requirente y del Estado requerido (art. 2.1 C.E.Ex.). El órgano competente del Estado reclamante debe considerar que un hecho -en este supuesto, todavía no enjuiciado- es constitutivo de delito según su legislación penal, lo que resulta obvio, porque en caso contrario no iniciaría la persecución penal.  Pero además, como garantía adicional en el procedimiento de extradición, se exige que el mismo hecho por el que se solicita la entrega sea constitutivo de delito según el Código Penal del Estado requerido, lo que representa una concesión o reconocimiento de la soberanía en materia penal de éste. La demanda pretende, no obstante, una comparación de las normas penales de ambos Estados, intentando deducir de la falta de identidad la improcedencia de la extradición, lo que no se adecúa al significado de la exigencia de la incriminación doble.</w:t>
      </w:r>
    </w:p>
    <w:p w:rsidR="00B01F4A" w:rsidRDefault="00B01F4A" w:rsidP="00B01F4A">
      <w:pPr>
        <w:pStyle w:val="TextoNormal"/>
      </w:pPr>
      <w:r>
        <w:t>Sentado lo anterior, hay que afirmar que la doble incriminación constituye un problema de legalidad ordinaria sobre el que corresponde pronunciarse a los Tribunales competentes, como sin duda lo hizo la Audiencia Nacional, que constató con motivación pormenorizada y razonable que el hecho imputado a don Angelo Cavaliere podía ser constitutivo de delito según la legislación penal, tanto española como checa. La extradición, en sí misma, es una medida que entra dentro del ámbito competencial de la jurisdicción ordinaria, cuya regularidad desde esta sola perspectiva no corresponde valorar en esta sede constitucional (STC 13/1994), salvo que en el procedimiento ante la Audiencia Nacional se hubiera lesionado algún derecho fundamental susceptible de producir la nulidad pretendida en el recurso de amparo.</w:t>
      </w:r>
    </w:p>
    <w:p w:rsidR="00B01F4A" w:rsidRDefault="00B01F4A" w:rsidP="00B01F4A">
      <w:pPr>
        <w:pStyle w:val="TextoNormal"/>
      </w:pPr>
    </w:p>
    <w:p w:rsidR="00B01F4A" w:rsidRDefault="00B01F4A" w:rsidP="00B01F4A">
      <w:pPr>
        <w:pStyle w:val="TextoNormal"/>
      </w:pPr>
      <w:r w:rsidRPr="00B01F4A">
        <w:rPr>
          <w:rStyle w:val="NumeroAFNegritaCaracter"/>
        </w:rPr>
        <w:t>3</w:t>
      </w:r>
      <w:r>
        <w:t>. En cuanto a la denuncia de haber sufrido el proceso dilaciones indebidas declara la representación del recurrente que fue alegada mediante escrito fechado el 18 de noviembre de 1996. Pero aunque es cierto que han transcurrido más de tres meses y medio desde la deliberación y decisión del recurso de súplica hasta la notificación del mismo, que podría reputarse como retraso no justificado, es evidente que esta infracción procesal, por sí sola, no tiene entidad suficiente para determinar la anulación de los Autos de la Audiencia Nacional.</w:t>
      </w:r>
    </w:p>
    <w:p w:rsidR="00B01F4A" w:rsidRDefault="00B01F4A" w:rsidP="00B01F4A">
      <w:pPr>
        <w:pStyle w:val="TextoNormal"/>
      </w:pPr>
    </w:p>
    <w:p w:rsidR="00B01F4A" w:rsidRDefault="00B01F4A" w:rsidP="00B01F4A">
      <w:pPr>
        <w:pStyle w:val="TextoNormal"/>
      </w:pPr>
      <w:r w:rsidRPr="00B01F4A">
        <w:rPr>
          <w:rStyle w:val="NumeroAFNegritaCaracter"/>
        </w:rPr>
        <w:t>4</w:t>
      </w:r>
      <w:r>
        <w:t>. La inadmisión de estos motivos hace innecesario un pronunciamiento acerca de la suspensión solicitada.</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virtud de lo anteriormente expuesto, la Sección acuerda la inadmisión del presente recurso de amparo y el archivo de las actuaciones.</w:t>
      </w:r>
    </w:p>
    <w:p w:rsidR="00B01F4A" w:rsidRDefault="00B01F4A" w:rsidP="00B01F4A">
      <w:pPr>
        <w:pStyle w:val="TextoNormal"/>
      </w:pPr>
    </w:p>
    <w:p w:rsidR="00B01F4A" w:rsidRDefault="00B01F4A" w:rsidP="00B01F4A">
      <w:pPr>
        <w:pStyle w:val="TextoNormal"/>
      </w:pPr>
      <w:r>
        <w:t>Madrid, a veintisiete de enero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14" w:name="AUTO_1997_24"/>
      <w:r>
        <w:lastRenderedPageBreak/>
        <w:t>AUTO 24/1997, de 28 de enero de 1997</w:t>
      </w:r>
    </w:p>
    <w:bookmarkEnd w:id="114"/>
    <w:p w:rsidR="00B01F4A" w:rsidRDefault="00B01F4A" w:rsidP="00B01F4A">
      <w:pPr>
        <w:pStyle w:val="TtuloResolucin"/>
      </w:pPr>
      <w:r>
        <w:t>Sección Primera</w:t>
      </w:r>
    </w:p>
    <w:p w:rsidR="00B01F4A" w:rsidRDefault="00B01F4A" w:rsidP="00B01F4A">
      <w:pPr>
        <w:pStyle w:val="TtuloResolucin"/>
      </w:pPr>
    </w:p>
    <w:p w:rsidR="00B01F4A" w:rsidRDefault="00B01F4A" w:rsidP="00B01F4A">
      <w:pPr>
        <w:pStyle w:val="SntesisDescriptiva"/>
      </w:pPr>
      <w:r>
        <w:t>ECLI:ES:TC:1997:24A</w:t>
      </w:r>
    </w:p>
    <w:p w:rsidR="00B01F4A" w:rsidRDefault="00B01F4A" w:rsidP="00B01F4A">
      <w:pPr>
        <w:pStyle w:val="SntesisDescriptiva"/>
      </w:pPr>
    </w:p>
    <w:p w:rsidR="00B01F4A" w:rsidRDefault="00B01F4A" w:rsidP="00B01F4A">
      <w:pPr>
        <w:pStyle w:val="SntesisDescriptiva"/>
      </w:pPr>
      <w:r>
        <w:t>Excms. Srs. don Álvaro Rodríguez Bereijo, don Pedro Cruz Villalón y don Enrique Ruiz Vadillo.</w:t>
      </w:r>
    </w:p>
    <w:p w:rsidR="00B01F4A" w:rsidRDefault="00B01F4A" w:rsidP="00B01F4A">
      <w:pPr>
        <w:pStyle w:val="SntesisDescriptiva"/>
      </w:pPr>
    </w:p>
    <w:p w:rsidR="00B01F4A" w:rsidRDefault="00B01F4A" w:rsidP="00B01F4A">
      <w:pPr>
        <w:pStyle w:val="SntesisDescriptiva"/>
      </w:pPr>
      <w:r>
        <w:t>Acordando la inadmisión a trámite del recurso de amparo 1.302/1995.</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Con fecha 10 de abril de 1995 se presentó escrito por don Emiliano Bárcenas Simarro y doña Juana Martínez Revilla, por medio del cual manifestaban su intención de interponer recurso de amparo contra diversas actuaciones judiciales, al tiempo que solicitaban el nombramiento de Abogado y Procurador del turno de oficio.</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Por providencia de 16 de mayo de 1995, la Sección Primera (Sala Primera) de este Tribunal acuerda tener por recibido el escrito y conceder a los recurrentes un plazo de diez días a fin de que, para poder proceder al nombramiento de profesionales del turno de oficio que solicitan, acrediten haber gozado de los beneficios de justicia gratuita en el proceso judicial antecedente, acompañando copia de la resolución en la que se concede dicho beneficio, o bien procedan a cumplimentar el modelo de solicitud de asistencia jurídica gratuita que se acompaña, según establece el Real Decreto 108/1995, de 27 de enero, devolviéndolo a este Tribunal, en unión de la documentación exigida, en el plazo concedido. Igualmente. dentro del indicado plazo, deberán presentar las correspondientes copias de las resoluciones judiciales que recurren y una certificación acreditativa de la fecha de notificación a su representación legal de la última resolución jurídica recurrida, a efectos del cómputo del plazo establecido en el art. 44.2 de la citada Ley Orgánica. Y todo ello con la advertencia de que, de no atender al requerimiento del Tribunal dentro del término concedido, se acordará la inadmisión y archivo del recurso, conforme dispone el art. 50.5 LOTC. </w:t>
      </w:r>
    </w:p>
    <w:p w:rsidR="00B01F4A" w:rsidRDefault="00B01F4A" w:rsidP="00B01F4A">
      <w:pPr>
        <w:pStyle w:val="TextoNormal"/>
      </w:pPr>
      <w:r>
        <w:t>Por providencia de 3 de julio de 1995 se reiteró la petición de copias de las resoluciones judiciales y la certificación acreditativa de la notificación anteriormente solicitada, concediendo un nuevo y último plazo de diez días con apercibimiento de archivo.</w:t>
      </w:r>
    </w:p>
    <w:p w:rsidR="00B01F4A" w:rsidRDefault="00B01F4A" w:rsidP="00B01F4A">
      <w:pPr>
        <w:pStyle w:val="TextoNormal"/>
      </w:pPr>
    </w:p>
    <w:p w:rsidR="00B01F4A" w:rsidRDefault="00B01F4A" w:rsidP="00B01F4A">
      <w:pPr>
        <w:pStyle w:val="TextoNormal"/>
      </w:pPr>
      <w:r w:rsidRPr="00B01F4A">
        <w:rPr>
          <w:rStyle w:val="NumeroAFNegritaCaracter"/>
        </w:rPr>
        <w:t>3</w:t>
      </w:r>
      <w:r>
        <w:t>. Por providencia de 6 de noviembre de 1995 se acuerda remitir los documentos recibidos al Colegio de Procuradores de Madrid y Consejo General de la Abogacía, para que, si procede, designen sendos profesionales del turno de oficio. Designados, ambos, por providencia de 11 de diciembre de 1995, se acuerda tener por hechas las designaciones y dar traslado de los escritos y documentos al Letrado y Procurador designados de oficio para formalizar demanda en el plazo de veinte días.</w:t>
      </w:r>
    </w:p>
    <w:p w:rsidR="00B01F4A" w:rsidRDefault="00B01F4A" w:rsidP="00B01F4A">
      <w:pPr>
        <w:pStyle w:val="TextoNormal"/>
      </w:pPr>
    </w:p>
    <w:p w:rsidR="00B01F4A" w:rsidRDefault="00B01F4A" w:rsidP="00B01F4A">
      <w:pPr>
        <w:pStyle w:val="TextoNormal"/>
      </w:pPr>
      <w:r w:rsidRPr="00B01F4A">
        <w:rPr>
          <w:rStyle w:val="NumeroAFNegritaCaracter"/>
        </w:rPr>
        <w:lastRenderedPageBreak/>
        <w:t>4</w:t>
      </w:r>
      <w:r>
        <w:t xml:space="preserve">. En fecha lo de enero de 1996 se formaliza el escrito de demanda de amparo, que se basa, en síntesis, en los siguientes hechos: </w:t>
      </w:r>
    </w:p>
    <w:p w:rsidR="00B01F4A" w:rsidRDefault="00B01F4A" w:rsidP="00B01F4A">
      <w:pPr>
        <w:pStyle w:val="TextoNormal"/>
      </w:pPr>
      <w:r>
        <w:t xml:space="preserve">Ante el Juzgado de Primera Instancia núm. 62 de los de Madrid se siguieron autos de juicio ejecutivo contra los actuales demandantes de amparo, y una Sociedad de responsabilidad limitada constituida por los mismos, en ejecución de póliza de crédito suscrita por los citados demandantes con determinada entidad bancaria, por una cantidad cercana a los seis millones de pesetas. </w:t>
      </w:r>
    </w:p>
    <w:p w:rsidR="00B01F4A" w:rsidRDefault="00B01F4A" w:rsidP="00B01F4A">
      <w:pPr>
        <w:pStyle w:val="TextoNormal"/>
      </w:pPr>
      <w:r>
        <w:t xml:space="preserve">Desde el comienzo de las actuaciones, la entidad actora afirmó ante el Juzgado Civil que desconocía el domicilio o paradero tanto de las personas físicas demandadas como de la sociedad constituida por las mismas. El juicio ejecutivo, con citación de remate incluida, embargo preventivo de bienes y demás actuaciones subsiguientes, se siguió en rebeldía de los demandados y efectuándose todas las citaciones y notificaciones en estrados, o bien mediante edictos publicados en los periódicos y demás lugares oficiales previstos legalmente. Se dictó Sentencia de remate, se procedió a la vía de apremio y se embargaron, además de las cuentas corrientes de la Sociedad Limitada demandada que indicó el actor, dos bienes inmuebles que constaban en el Registro de la Propiedad como de la titularidad de los recurrentes, concretamente dos parcelas de terreno de determinada extensión sitas en un lugar de la provincia de Segovia y en una de las cuales constaba en el Registro la construcción de una vivienda unifamiliar. </w:t>
      </w:r>
    </w:p>
    <w:p w:rsidR="00B01F4A" w:rsidRDefault="00B01F4A" w:rsidP="00B01F4A">
      <w:pPr>
        <w:pStyle w:val="TextoNormal"/>
      </w:pPr>
      <w:r>
        <w:t xml:space="preserve">Tras la venta en pública subasta de una de las dos parcelas, concretamente la que no tiene vivienda construida, los demandantes de amparo afirman enterarse de la existencia del proceso judicial antecedente, del que dicen no haber tenido nunca conocimiento, y acuden en amparo alegando la indefensión de que han sido objeto, pues, según afirman en su recurso, la entidad demandante tenía en todo momento conocimiento del lugar en que vivían, que no es otro que aquella vivienda unifamiliar en la que se trabó embargo, y con mala fe e incurriendo en falsedad no puso en conocimiento del Juzgado tal dato, propiciando, en consecuencia, el desconocimiento efectivo por dichos demandados del proceso y su falta de participación y contradicción en el mismo, con invocación expresa de la lesión del derecho consagrado en el art. 24.1 C.E. </w:t>
      </w:r>
    </w:p>
    <w:p w:rsidR="00B01F4A" w:rsidRDefault="00B01F4A" w:rsidP="00B01F4A">
      <w:pPr>
        <w:pStyle w:val="TextoNormal"/>
      </w:pPr>
      <w:r>
        <w:t>En virtud de todo ello suplican se dicte Sentencia por la que, otorgando el amparo pedido, se anule y deje sin efecto la Sentencia dictada por el Juzgado de Primera Instancia núm. 62 de los de Madrid, de 4 de enero de 1994, así como todos los actos judiciales posteriores derivados de la misma y se repongan las actuaciones judiciales al momento procesal de notificación de interposición de la demanda a los demandados.</w:t>
      </w:r>
    </w:p>
    <w:p w:rsidR="00B01F4A" w:rsidRDefault="00B01F4A" w:rsidP="00B01F4A">
      <w:pPr>
        <w:pStyle w:val="TextoNormal"/>
      </w:pPr>
    </w:p>
    <w:p w:rsidR="00B01F4A" w:rsidRDefault="00B01F4A" w:rsidP="00B01F4A">
      <w:pPr>
        <w:pStyle w:val="TextoNormal"/>
      </w:pPr>
      <w:r w:rsidRPr="00B01F4A">
        <w:rPr>
          <w:rStyle w:val="NumeroAFNegritaCaracter"/>
        </w:rPr>
        <w:t>5</w:t>
      </w:r>
      <w:r>
        <w:t>. Por providencia de 18 de julio de 1996, la Sección acuerda, a tenor de lo dispuesto en el art. 50.3 LOTC, conceder un plazo común de diez días al Ministerio Fiscal y a los solicitantes de amparo para que dentro de dicho término aleguen lo que estimen pertinente en relación con el siguiente motivo de inadmisión: «carecer la demanda manifiestamente de contenido que justifique una decisión por parte de este Tribunal Constitucional, de conformidad con lo prevenido en el art. 50.1 c) LOTC.»</w:t>
      </w:r>
    </w:p>
    <w:p w:rsidR="00B01F4A" w:rsidRDefault="00B01F4A" w:rsidP="00B01F4A">
      <w:pPr>
        <w:pStyle w:val="TextoNormal"/>
      </w:pPr>
    </w:p>
    <w:p w:rsidR="00B01F4A" w:rsidRDefault="00B01F4A" w:rsidP="00B01F4A">
      <w:pPr>
        <w:pStyle w:val="TextoNormal"/>
      </w:pPr>
      <w:r w:rsidRPr="00B01F4A">
        <w:rPr>
          <w:rStyle w:val="NumeroAFNegritaCaracter"/>
        </w:rPr>
        <w:t>6</w:t>
      </w:r>
      <w:r>
        <w:t>. En fecha 1 de septiembre de 1996 se ha recibido escrito de la representación de los demandantes de amparo, en el que se ratifican en el contenido de su escrito de demanda inicial y solicitan se conozca del fondo del recurso de amparo y se dicte Sentencia en los términos que se recogen en su suplico.</w:t>
      </w:r>
    </w:p>
    <w:p w:rsidR="00B01F4A" w:rsidRDefault="00B01F4A" w:rsidP="00B01F4A">
      <w:pPr>
        <w:pStyle w:val="TextoNormal"/>
      </w:pPr>
    </w:p>
    <w:p w:rsidR="00B01F4A" w:rsidRDefault="00B01F4A" w:rsidP="00B01F4A">
      <w:pPr>
        <w:pStyle w:val="TextoNormal"/>
      </w:pPr>
      <w:r w:rsidRPr="00B01F4A">
        <w:rPr>
          <w:rStyle w:val="NumeroAFNegritaCaracter"/>
        </w:rPr>
        <w:lastRenderedPageBreak/>
        <w:t>7</w:t>
      </w:r>
      <w:r>
        <w:t>. En fecha 18 de septiembre de 1996 se diligencia la recepción del escrito de alegaciones del Ministerio Fiscal. En él interesa la inadmisión a trámite del recurso de amparo, habida cuenta de la carencia manifiesta de contenido constitucional en la pretensión de amparo. Comienza el Ministerio Público por exponer que la demanda de amparo residencia su queja en el art. 24.1 C.E., basando su alegato jurídico en el hecho de haber sido celebrado juicio sin audiencia del recurrente, al haber sido citado por edictos en una maniobra fraudulenta de la demandante principal (entidad bancaria), que ocultó al Juzgado el real domicilio del demandando. Por ello, continúa, surge una primera duda acerca del cumplimiento del requisito del agotamiento de la vía judicial [art. 44.1 a) LOTC], toda vez que una eventual reparación debería haber llevado al recurrente al planteamiento de un recurso de revisión con base al art. 1.796.4.º L.E.C., lo que, de resultar favorable, evitaría la vía constitucional (así, ATC 235/1990). Pero, añade el Ministerio Fiscal, en relación con el fondo de la pretensión, de la documentación aportada no se deriva una lesión del derecho fundamental que tenga su origen en un acto del poder judicial, sin que la citación edictal aboque automáticamente a una vulneración del art. 24.1 C.E., pues el Tribunal Constitucional ha tenido por correcto constitucionalmente tal acto de comunicación en los supuestos en que legalmente está previsto, es decir, domicilio desconocido e ignorancia de paradero, una vez que el órgano judicial ha agotado otras posibilidades de emplazamiento (SSTC 16/1985, 157/1987, 216/1992 y 227/1994). Por todo ello, concluye el Ministerio Fiscal interesando la inadmisión a trámite del recurso por su carencia de contenido constitucional.</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Hemos de confirmar nuestra inicial apreciación de concurrencia de la causa de inadmisión del recurso de amparo que se advirtió a los recurrentes en la providencia de 18 de julio de 1996, conforme también interesa el Ministerio Fiscal en su escrito de alegaciones.</w:t>
      </w:r>
    </w:p>
    <w:p w:rsidR="00B01F4A" w:rsidRDefault="00B01F4A" w:rsidP="00B01F4A">
      <w:pPr>
        <w:pStyle w:val="TextoNormal"/>
      </w:pPr>
      <w:r>
        <w:t>La cuestión que plantean los demandantes, una vez más ante esta sede, es la relativa al defectuoso llamamiento judicial, que les ha provocado indefensión en cuanto ha dado lugar a una Sentencia y a todo un procedimiento seguido inaudita parte. Pero, por un lado, la queja carece de relevancia en lo atinente a la falsedad que, según los actores, ha cometido la entidad demandante en el ejecutivo, pues dicha falsedad, en cuanto tal, no afectaría a la actuación judicial, que es la única que puede revisarse en esta sede.  Además, esa supuesta falsedad tiene otros cauces de actuación procesal más propios que el recurso de amparo, conforme indica el Ministerio Fiscal, como son la vía penal o el recurso extraordinario de revisión, que los actores no han intentado siquiera. No obstante, conviene puntualizar que, por su naturaleza extraordinaria, tampoco se ha considerado estrictamente necesario este último recurso para agotar la vía judicial previa.</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La cuestión se centra, pues, en determinar si el Juzgado de Primera instancia actuó correctamente en la práctica de las notificaciones y citaciones a los recurrentes, haciéndolo siempre en estrados o por medio de edictos ateniéndose a los datos proporcionados por la entidad actora, o si, por el contrario, debería haber agotado otras posibilidades de investigación del domicilio o paradero de los demandados que hubiese facilitado su efectivo conocimiento del proceso y, por ende, sus posibilidades de intervención en él.  En este caso, la respuesta a tal cuestión ha de ser negativa, pues, en primer término, el Juzgado no puede ni tiene por qué dudar de las afirmaciones de la parte actora acerca del paradero desconocido del demandado ni tampoco puede conocer que aquél tuviese información acerca del mismo </w:t>
      </w:r>
      <w:r>
        <w:lastRenderedPageBreak/>
        <w:t>a través de las conversaciones y tratos previos de las partes sobre la reclamación extrajudicial de la deuda (como insisten en reseñar una y otra vez los recurrentes de amparo). Y, en cuanto al dato relativo a la vivienda unifamiliar existente en una de las fincas embargadas, al que ahora aluden los recurrentes como lugar en que debía haberse intentado la citación por constituir su domicilio habitual, ha de reseñarse que no se trata en este supuesto de un verdadero domicilio que figurase como tal en ningún documento; y, por ello, no resulta razonablemente exigible al Juzgado la comprobación de tal dato y además que presumiese que, tratándose de vivienda unifamiliar y estando a nombre de los demandados, podría constituir el citado domicilio habitual de los mismos. Todo ello escapa del razonable ejercicio de sus funciones, que, por parte del órgano judicial, que, en este caso, se han atenido correctamente a los datos obrantes en autos y aportados al proceso, por lo que no cabe apreciar vulneración constitucional alguna del derecho invocado a la tutela judicial efectiva sin indefensión (art. 24.1 C.E.).</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virtud de todo lo expuesto, la Sección acuerda inadmitir a trámite el recurso de amparo formulado por don Emiliano Bárcenas Simarro y doña Juana Martínez Revilla, por concurrir la causa de inadmisión prevista en el art.  50.1 c) LOTC: carencia</w:t>
      </w:r>
    </w:p>
    <w:p w:rsidR="00B01F4A" w:rsidRDefault="00B01F4A" w:rsidP="00B01F4A">
      <w:pPr>
        <w:pStyle w:val="TextoNormal"/>
      </w:pPr>
      <w:r>
        <w:t>manifiesta de contenido que justifique una decisión sobre su fondo por parte de este Tribunal Constitucional.</w:t>
      </w:r>
    </w:p>
    <w:p w:rsidR="00B01F4A" w:rsidRDefault="00B01F4A" w:rsidP="00B01F4A">
      <w:pPr>
        <w:pStyle w:val="TextoNormal"/>
      </w:pPr>
    </w:p>
    <w:p w:rsidR="00B01F4A" w:rsidRDefault="00B01F4A" w:rsidP="00B01F4A">
      <w:pPr>
        <w:pStyle w:val="TextoNormal"/>
      </w:pPr>
      <w:r>
        <w:t>Madrid, a veintiocho de enero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15" w:name="AUTO_1997_25"/>
      <w:r>
        <w:lastRenderedPageBreak/>
        <w:t>AUTO 25/1997, de 28 de enero de 1997</w:t>
      </w:r>
    </w:p>
    <w:bookmarkEnd w:id="115"/>
    <w:p w:rsidR="00B01F4A" w:rsidRDefault="00B01F4A" w:rsidP="00B01F4A">
      <w:pPr>
        <w:pStyle w:val="TtuloResolucin"/>
      </w:pPr>
      <w:r>
        <w:t>Pleno</w:t>
      </w:r>
    </w:p>
    <w:p w:rsidR="00B01F4A" w:rsidRDefault="00B01F4A" w:rsidP="00B01F4A">
      <w:pPr>
        <w:pStyle w:val="TtuloResolucin"/>
      </w:pPr>
    </w:p>
    <w:p w:rsidR="00B01F4A" w:rsidRDefault="00B01F4A" w:rsidP="00B01F4A">
      <w:pPr>
        <w:pStyle w:val="SntesisDescriptiva"/>
      </w:pPr>
      <w:r>
        <w:t>ECLI:ES:TC:1997:25A</w:t>
      </w:r>
    </w:p>
    <w:p w:rsidR="00B01F4A" w:rsidRDefault="00B01F4A" w:rsidP="00B01F4A">
      <w:pPr>
        <w:pStyle w:val="SntesisDescriptiva"/>
      </w:pPr>
    </w:p>
    <w:p w:rsidR="00B01F4A" w:rsidRDefault="00B01F4A" w:rsidP="00B01F4A">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B01F4A" w:rsidRDefault="00B01F4A" w:rsidP="00B01F4A">
      <w:pPr>
        <w:pStyle w:val="SntesisDescriptiva"/>
      </w:pPr>
    </w:p>
    <w:p w:rsidR="00B01F4A" w:rsidRDefault="00B01F4A" w:rsidP="00B01F4A">
      <w:pPr>
        <w:pStyle w:val="SntesisDescriptiva"/>
      </w:pPr>
      <w:r>
        <w:t>Acordando la inadmisión a trámite de la cuestión de inconstitucionalidad 1.771/1996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La Sala de lo Contencioso-Administrativo del Tribunal Superior de Justicia de Navarra, por Auto de 21 de marzo de 1996, dictado en recurso contencioso-administrativo núm. 1.134/94, interpuesto en nombre de don T. Jesús Albéniz Irigoyen contra Resolución del Tribunal Económico-Administrativo Regional de Navarra de 19 de abril de 1994, desestimatoria de la reclamación interpuesta contra acto de retención tributaría a cuenta del IRPF practicada a la recurrente en la pensión por incapacidad permanente que percibe con cargo al Régimen de Clases Pasivas del Estado, que ha tenido su entrada en el Registro General del Tribunal Constitucional el 26 de abril de 1996, plantea cuestión de inconstitucionalidad sobre el art. 9.1, apartados b) y c), de la Ley 18/1991, de 6 de junio, reguladora del Impuesto sobre la Renta de las Personas Físicas, en la redacción dada al mismo por el art. 62 de la Ley 21/1993, de 29 de diciembre, de Presupuestos Generales del Estado para 1994, por la posible vulneración de los arts. 14 y 31.1 C.E.</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Los hechos que han dado lugar al planteamiento de tal cuestión son los siguientes: </w:t>
      </w:r>
    </w:p>
    <w:p w:rsidR="00B01F4A" w:rsidRDefault="00B01F4A" w:rsidP="00B01F4A">
      <w:pPr>
        <w:pStyle w:val="TextoNormal"/>
      </w:pPr>
      <w:r>
        <w:t xml:space="preserve">a) Don T. Jesús Albéniz Irigoyen, perceptor de pensión de jubilación por incapacidad permanente con cargo al Régimen de Clases Pasivas del Estado, formuló la reclamación núm. 60/94 ante el Tribunal Económico-Administrativo Regional de Navarra contra la retención a cuenta del IRPF que le fue practicada en la nómina del mes de enero de 1994. Tal reclamación fue desestimada por Resolución de 19 de abril de 1995, al no constar encontrarse el reclamante en situación de incapacidad permanente en grado de gran invalidez y no alcanzar el ámbito de la vía económico-administrativa a la cuestión de si la Ley 21/1993 de Presupuestos Generales del Estado para 1994 constituía la vía adecuada para modificar el art. 9 de la Ley 18/1991, de 6 de junio, reguladora del IRPF. </w:t>
      </w:r>
    </w:p>
    <w:p w:rsidR="00B01F4A" w:rsidRDefault="00B01F4A" w:rsidP="00B01F4A">
      <w:pPr>
        <w:pStyle w:val="TextoNormal"/>
      </w:pPr>
      <w:r>
        <w:t xml:space="preserve">b) El 27 de octubre de 1994 fue interpuesto, en nombre de dicho reclamante, ante la Sala de lo Contencioso-Administrativo del Tribunal Superior de Justicia de Navarra, recurso contencioso-administrativo, al que correspondió el núm. 1.134/94, contra dicha Resolución del Tribunal Económico-Administrativo Regional de Navarra. </w:t>
      </w:r>
    </w:p>
    <w:p w:rsidR="00B01F4A" w:rsidRDefault="00B01F4A" w:rsidP="00B01F4A">
      <w:pPr>
        <w:pStyle w:val="TextoNormal"/>
      </w:pPr>
      <w:r>
        <w:lastRenderedPageBreak/>
        <w:t>c) Seguido el recurso por sus trámites, declarado concluso el procedimiento y señalado día para votación y fallo, la Sala acordó oír a las partes y al Ministerio Fiscal acerca de la pertinencia de plantear cuestión de inconstitucionalidad del art. 62 de la Ley 21/1993, por el que se da nueva redacción al art. 9.1 de la Ley 18/1991, por posible violación del art. 14 de la Constitución, al aplicar a los funcionarios públicos un régimen de exención fiscal más reducido que el aplicable al personal acogido a la Seguridad Social, estableciendo un trato diferenciado para situaciones que originariamente estaban en una situación jurídica idéntica trámite evacuado por el Ministerio Fiscal que consideró procedente plantear la cuestión de inconstitucionalidad, y por el Abogado del Estado estimando procedente tal planteamiento. Y dicha Sala acordó, por Auto de 21 de marzo de 1996, con suspensión del plazo para dictar sentencia, plantear cuestión de inconstitucionalidad ante el Tribunal Constitucional respecto de la posible vulneración de los arts. 14 y 31.1 C.E.</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En dicho Auto de planteamiento de la cuestión razona la Sala de lo Contencioso-Administrativo, en esencia, lo siguiente: </w:t>
      </w:r>
    </w:p>
    <w:p w:rsidR="00B01F4A" w:rsidRDefault="00B01F4A" w:rsidP="00B01F4A">
      <w:pPr>
        <w:pStyle w:val="TextoNormal"/>
      </w:pPr>
      <w:r>
        <w:t xml:space="preserve">La norma cuestionada es el art. 9, apartados b) y c), de la Ley 18/1991, de 6 de junio, en la redacción obtenido del art. 62 de la Ley 21/1993, de 29 de diciembre. Se somete a la revisión de la Sala un acto de retención tributaria que trae su causa del mencionado precepto. La adecuación o no del precepto a la Ley Fundamental es indispensable para resolver el fondo del asunto, cumpliéndose así el requisito de justificar en qué medida la decisión del proceso dependa de la validez de la norma cuestionada. </w:t>
      </w:r>
    </w:p>
    <w:p w:rsidR="00B01F4A" w:rsidRDefault="00B01F4A" w:rsidP="00B01F4A">
      <w:pPr>
        <w:pStyle w:val="TextoNormal"/>
      </w:pPr>
      <w:r>
        <w:t xml:space="preserve">Es el derecho a la igualdad, consagrado por el art. 14 C.E., en relación con el art. 31.1 C.E., que declara el derecho a un sistema tributario basado en los principios de igualdad y capacidad económica, el que podría haber sido vulnerado, conforme a la doctrina del Tribunal Constitucional al respecto en STC 76/1990. El precepto cuestionado contiene un tratamiento fiscal diferenciado según la condición del perceptor de las rentas, pues para los perceptores de prestaciones con cargo a la Seguridad Social están exentas las que sean consecuencia de una declaración de incapacidad permanente absoluta o gran invalidez, mientras que el apartado c) del mencionado art. 9.1 limita la exención, en los supuestos en que el perceptor es un funcionario, a las prestaciones percibidas como consecuencia de gran invalidez, sin extender la exención a las que sean consecuencia de incapacidad permanente absoluta. </w:t>
      </w:r>
    </w:p>
    <w:p w:rsidR="00B01F4A" w:rsidRDefault="00B01F4A" w:rsidP="00B01F4A">
      <w:pPr>
        <w:pStyle w:val="TextoNormal"/>
      </w:pPr>
      <w:r>
        <w:t xml:space="preserve">Nos encontramos ante dos situaciones de hecho objetivamente idénticas, estribando la diferencia tan sólo en el sujeto pagador, sin que exista justificación objetiva razonable que fundamente la desigualdad de tratamiento fiscal. </w:t>
      </w:r>
    </w:p>
    <w:p w:rsidR="00B01F4A" w:rsidRDefault="00B01F4A" w:rsidP="00B01F4A">
      <w:pPr>
        <w:pStyle w:val="TextoNormal"/>
      </w:pPr>
      <w:r>
        <w:t xml:space="preserve">La discriminación tributaría, atendiendo a la cualidad del sujeto pasivo, no puede utilizarse como elemento diferenciador que la justifique, por cuanto que a efectos fiscales la condición, bien de trabajador dependiente y por cuenta ajena o con cargo a la Seguridad Social o bien de funcionario público o con cargo al Régimen de Clases Pasivas, resulta intrascendente, puesto que la Ley 18/1991, reguladora del IRPF, otorga un trato idéntico a las rentas de igual origen y cuantía, con independencia de que el sujeto perceptor sea un funcionario público o un trabajador por cuenta ajena, pues resultaría ilógico y contrario al principio de igualdad lo contrario. El tratamiento diferenciado puede resultar justificado en otros aspectos atinentes a la situación laboral, mas no en materia fiscal. </w:t>
      </w:r>
    </w:p>
    <w:p w:rsidR="00B01F4A" w:rsidRDefault="00B01F4A" w:rsidP="00B01F4A">
      <w:pPr>
        <w:pStyle w:val="TextoNormal"/>
      </w:pPr>
      <w:r>
        <w:t xml:space="preserve">Esta es la discriminación introducida por el precepto cuestionado, pues la desigualdad introducida podría considerarse artificiosa, por no fundarse en un criterio objetivo y suficientemente razonado. Tal precepto quebranta, igualmente, el principio de capacidad económica (art. 31.1 C.E.), dado que la renta es percibida tanto por el funcionario público que </w:t>
      </w:r>
      <w:r>
        <w:lastRenderedPageBreak/>
        <w:t xml:space="preserve">disfruta de una pensión por incapacidad permanente absoluta como por el trabajador que disfruta de la misma, colocando al primero en una posición más gravosa desde el punto de vista contributivo. </w:t>
      </w:r>
    </w:p>
    <w:p w:rsidR="00B01F4A" w:rsidRDefault="00B01F4A" w:rsidP="00B01F4A">
      <w:pPr>
        <w:pStyle w:val="TextoNormal"/>
      </w:pPr>
      <w:r>
        <w:t xml:space="preserve">Las razones que han movido al legislador a declarar exentas para los trabajadores por cuenta ajena las pensiones por incapacidad permanente deben ser igualmente aplicables cuando los perceptores sean funcionarios públicos, pues los arts. 14 y 31.1 C.E. así lo exigen, sin que se alcance a advertir los fines perseguidos por la discriminación, como no sean los meramente recaudatorios. </w:t>
      </w:r>
    </w:p>
    <w:p w:rsidR="00B01F4A" w:rsidRDefault="00B01F4A" w:rsidP="00B01F4A">
      <w:pPr>
        <w:pStyle w:val="TextoNormal"/>
      </w:pPr>
      <w:r>
        <w:t>A mayor abundamiento se señala que el Grupo Parlamentario Popular promovió también un procedimiento de inconstitucionalidad todavía no resuelto respecto de la nueva redacción dada al art. 9.1 de la Ley 18/1991; que ha sido admitida a trámite, bajo el núm. 13/96, análoga cuestión planteada por la Sala de lo Contencioso-Administrativo del Tribunal Superior de Justicia de Cantabria; y que en el proyecto de Ley de Presupuestos Generales del Estado para 1996 se da otra vez nueva redacción a dicho art. 9.1 en el sentido que se indica.</w:t>
      </w:r>
    </w:p>
    <w:p w:rsidR="00B01F4A" w:rsidRDefault="00B01F4A" w:rsidP="00B01F4A">
      <w:pPr>
        <w:pStyle w:val="TextoNormal"/>
      </w:pPr>
    </w:p>
    <w:p w:rsidR="00B01F4A" w:rsidRDefault="00B01F4A" w:rsidP="00B01F4A">
      <w:pPr>
        <w:pStyle w:val="TextoNormal"/>
      </w:pPr>
      <w:r w:rsidRPr="00B01F4A">
        <w:rPr>
          <w:rStyle w:val="NumeroAFNegritaCaracter"/>
        </w:rPr>
        <w:t>4</w:t>
      </w:r>
      <w:r>
        <w:t>. Recabada por providencia de la Sección Segunda la remisión de testimonio de las alegaciones del trámite de audiencia a que se refiere el art. 35.2 de la Ley Orgánica del Tribunal Constitucional y recibido dicho testimonio, por nueva providencia de 1 de octubre de 1996 se acordó oír al Fiscal General del Estado para que, en plazo de diez días y a los efectos del último inciso del art. 37.1 de dicha Ley Orgánica, alegase sobre lo que estimara procedente acerca de la posible inadmisión de la presente cuestión de inconstitucionalidad por la circunstancia sobrevenida, a consecuencia de la STC 134/1996, de 22 de julio, de poder ser ya notoriamente infundada la cuestión que trata de suscitarse al haber desaparecido su objeto.</w:t>
      </w:r>
    </w:p>
    <w:p w:rsidR="00B01F4A" w:rsidRDefault="00B01F4A" w:rsidP="00B01F4A">
      <w:pPr>
        <w:pStyle w:val="TextoNormal"/>
      </w:pPr>
    </w:p>
    <w:p w:rsidR="00B01F4A" w:rsidRDefault="00B01F4A" w:rsidP="00B01F4A">
      <w:pPr>
        <w:pStyle w:val="TextoNormal"/>
      </w:pPr>
      <w:r w:rsidRPr="00B01F4A">
        <w:rPr>
          <w:rStyle w:val="NumeroAFNegritaCaracter"/>
        </w:rPr>
        <w:t>5</w:t>
      </w:r>
      <w:r>
        <w:t>. El Fiscal General del Estado, por escrito que tuvo su entrada el 6 de octubre de 1996, manifiesta que la presente cuestión coincide en su objeto con lo resuelto por la STC 134/1996, de 22 de julio; que la eficacia general a que se refiere el art. 164 C.E. respecto de las sentencias dictadas en procesos de control de constitucionalidad de las leyes determina que la presente cuestión carezca de objeto, pues éste ha sido definitivamente resuelto en lo que se refiere al art. 9.1 c) de la Ley 18/91; y que por lo que respecta al art. 9.1 b) de dicha Ley, la cuestión es inadmisible, por no ser aplicable en el proceso contencioso-administrativo y cumplir una función de término de comparación. Por lo que interesa la inadmisión a trámite de la presente cuestión de inconstitucionalidad.</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EB5FD0">
        <w:rPr>
          <w:rStyle w:val="NumeroAFNegritaCaracter"/>
        </w:rPr>
        <w:t>Único.</w:t>
      </w:r>
      <w:r>
        <w:t xml:space="preserve"> El art. 37.1 de la Ley Orgánica del Tribunal Constitucional (LOTC) permite a éste «rechazar, en trámite de admisión, mediante auto y sin otra audiencia que la del Fiscal General del Estado, la cuestión de inconstitucionalidad cuando faltaren las</w:t>
      </w:r>
    </w:p>
    <w:p w:rsidR="00B01F4A" w:rsidRDefault="00B01F4A" w:rsidP="00B01F4A">
      <w:pPr>
        <w:pStyle w:val="TextoNormal"/>
      </w:pPr>
      <w:r>
        <w:t>condiciones procesales o fuere notoriamente infundada la cuestión suscitada».</w:t>
      </w:r>
    </w:p>
    <w:p w:rsidR="00B01F4A" w:rsidRDefault="00B01F4A" w:rsidP="00B01F4A">
      <w:pPr>
        <w:pStyle w:val="TextoNormal"/>
      </w:pPr>
      <w:r>
        <w:t xml:space="preserve">Dicha norma permite inadmitir las cuestiones de inconstitucionalidad carentes de objeto, circunstancia. ésta sobrevenida en el presente supuesto, dado que aquí se plantea la duda en idénticos términos en que la misma ha sido resuelta en nuestra Sentencia 134/1996, de 22 de julio («Boletín Oficial del Estado» núm. 194, de 12 de agosto de 1996), resolutoria del recurso de inconstitucionalidad promovido por más de cincuenta Diputados del Grupo Parlamentario Popular al que se alude en el Auto de planteamiento de la cuestión y recaída con </w:t>
      </w:r>
      <w:r>
        <w:lastRenderedPageBreak/>
        <w:t>posterioridad a dicho planteamiento, respecto de unos mismos preceptos legales, los arts. 9.1 b) y c) de la Ley 18/1991, de 6 de junio, del Impuesto sobre la Renta de las Personas Físicas, en su nueva redacción efectuada por el art. 62 de la Ley 21/1993, de 29 de diciembre, de Presupuestos Generales del Estado para 1994. El órgano judicial proponente de la presente cuestión efectúa un planteamiento sustancialmente idéntico al que tuvo lugar en el referido recurso de inconstitucionalidad, al estimar dicho órgano que podría vulnerar el derecho fundamental a la igualdad reconocido por el art. 14 en relación con el 31.1, ambos C.E., la diferencia de tratamiento fiscal establecida por dicha Ley 18/1991, en su nueva redacción, entre perceptores de prestaciones por incapacidad permanente absoluta o gran invalidez con cargo a la Seguridad Social (artículo 9.1.b) y los funcionarios de las Administraciones públicas perceptores de pensiones por inutilidad o incapacidad permanente. Este Tribunal ha declarado en la referida STC 134/1996, a la que íntegramente nos remitimos, tras considerar que tal diferenciación vulnera el principio de igualdad establecido en la Constitución, que «el art. 62 de la Ley 21/1993, de 29 de diciembre, de Presupuestos Generales del Estado para 1994, en el que se dio una nueva redacción al art. 9.1 c) de la Ley 18/1991, de 6 de junio, del Impuesto sobre la Renta de las Personas Físicas, es inconstitucional y nulo sólo en la medida en que viene a suprimir, únicamente para los funcionarios de las Administraciones Públicas que se hallen en situación de incapacidad permanente absoluta, la exención de dicho Impuesto». Declaración que conforme a los arts.  164.1 C.E. y 38.1 LOTC produce plenos efectos frente a todos a partir de su publicación en el «Boletín Oficial del Estado», quedando así resuelta la duda que en la presente cuestión de inconstitucionalidad se suscita.</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lo expuesto, el Pleno del Tribunal acuerda inadmitir la cuestión de inconstitucionalidad núm. 1.771/96 planteada por la Sala de lo Contencioso-Administrativo del Tribunal Superior de Justicia de Navarra en el recurso núm. 1. 134/94 sobre el art. 9.1,</w:t>
      </w:r>
    </w:p>
    <w:p w:rsidR="00B01F4A" w:rsidRDefault="00B01F4A" w:rsidP="00B01F4A">
      <w:pPr>
        <w:pStyle w:val="TextoNormal"/>
      </w:pPr>
      <w:r>
        <w:t>apartados b) y c), de la Ley 18/1991, de 6 de junio, reguladora del Impuesto sobre la Renta de las Personas Físicas, en la redacción dada por el art. 62 de la Ley 21/1993, de 29 de diciembre, de Presupuestos Generales del Estado para 1994.</w:t>
      </w:r>
    </w:p>
    <w:p w:rsidR="00B01F4A" w:rsidRDefault="00B01F4A" w:rsidP="00B01F4A">
      <w:pPr>
        <w:pStyle w:val="TextoNormal"/>
      </w:pPr>
    </w:p>
    <w:p w:rsidR="00B01F4A" w:rsidRDefault="00B01F4A" w:rsidP="00B01F4A">
      <w:pPr>
        <w:pStyle w:val="TextoNormal"/>
      </w:pPr>
      <w:r>
        <w:t>Madrid, a veintiocho de enero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16" w:name="AUTO_1997_26"/>
      <w:r>
        <w:lastRenderedPageBreak/>
        <w:t>AUTO 26/1997, de 28 de enero de 1997</w:t>
      </w:r>
    </w:p>
    <w:bookmarkEnd w:id="116"/>
    <w:p w:rsidR="00B01F4A" w:rsidRDefault="00B01F4A" w:rsidP="00B01F4A">
      <w:pPr>
        <w:pStyle w:val="TtuloResolucin"/>
      </w:pPr>
      <w:r>
        <w:t>Pleno</w:t>
      </w:r>
    </w:p>
    <w:p w:rsidR="00B01F4A" w:rsidRDefault="00B01F4A" w:rsidP="00B01F4A">
      <w:pPr>
        <w:pStyle w:val="TtuloResolucin"/>
      </w:pPr>
    </w:p>
    <w:p w:rsidR="00B01F4A" w:rsidRDefault="00B01F4A" w:rsidP="00B01F4A">
      <w:pPr>
        <w:pStyle w:val="SntesisDescriptiva"/>
      </w:pPr>
      <w:r>
        <w:t>ECLI:ES:TC:1997:26A</w:t>
      </w:r>
    </w:p>
    <w:p w:rsidR="00B01F4A" w:rsidRDefault="00B01F4A" w:rsidP="00B01F4A">
      <w:pPr>
        <w:pStyle w:val="SntesisDescriptiva"/>
      </w:pPr>
    </w:p>
    <w:p w:rsidR="00B01F4A" w:rsidRDefault="00B01F4A" w:rsidP="00B01F4A">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B01F4A" w:rsidRDefault="00B01F4A" w:rsidP="00B01F4A">
      <w:pPr>
        <w:pStyle w:val="SntesisDescriptiva"/>
      </w:pPr>
    </w:p>
    <w:p w:rsidR="00B01F4A" w:rsidRDefault="00B01F4A" w:rsidP="00B01F4A">
      <w:pPr>
        <w:pStyle w:val="SntesisDescriptiva"/>
      </w:pPr>
      <w:r>
        <w:t>Acordando la inadmisión a trámite de la cuestión de inconstitucionalidad 3.560/1996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17" w:name="AUTO_1997_27"/>
      <w:r>
        <w:lastRenderedPageBreak/>
        <w:t>AUTO 27/1997, de 28 de enero de 1997</w:t>
      </w:r>
    </w:p>
    <w:bookmarkEnd w:id="117"/>
    <w:p w:rsidR="00B01F4A" w:rsidRDefault="00B01F4A" w:rsidP="00B01F4A">
      <w:pPr>
        <w:pStyle w:val="TtuloResolucin"/>
      </w:pPr>
      <w:r>
        <w:t>Pleno</w:t>
      </w:r>
    </w:p>
    <w:p w:rsidR="00B01F4A" w:rsidRDefault="00B01F4A" w:rsidP="00B01F4A">
      <w:pPr>
        <w:pStyle w:val="TtuloResolucin"/>
      </w:pPr>
    </w:p>
    <w:p w:rsidR="00B01F4A" w:rsidRDefault="00B01F4A" w:rsidP="00B01F4A">
      <w:pPr>
        <w:pStyle w:val="SntesisDescriptiva"/>
      </w:pPr>
      <w:r>
        <w:t>ECLI:ES:TC:1997:27A</w:t>
      </w:r>
    </w:p>
    <w:p w:rsidR="00B01F4A" w:rsidRDefault="00B01F4A" w:rsidP="00B01F4A">
      <w:pPr>
        <w:pStyle w:val="SntesisDescriptiva"/>
      </w:pPr>
    </w:p>
    <w:p w:rsidR="00B01F4A" w:rsidRDefault="00B01F4A" w:rsidP="00B01F4A">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B01F4A" w:rsidRDefault="00B01F4A" w:rsidP="00B01F4A">
      <w:pPr>
        <w:pStyle w:val="SntesisDescriptiva"/>
      </w:pPr>
    </w:p>
    <w:p w:rsidR="00B01F4A" w:rsidRDefault="00B01F4A" w:rsidP="00B01F4A">
      <w:pPr>
        <w:pStyle w:val="SntesisDescriptiva"/>
      </w:pPr>
      <w:r>
        <w:t>Acordando la inadmisión a trámite de la cuestión de inconstitucionalidad 3.561/1996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18" w:name="AUTO_1997_28"/>
      <w:r>
        <w:lastRenderedPageBreak/>
        <w:t>AUTO 28/1997, de 28 de enero de 1997</w:t>
      </w:r>
    </w:p>
    <w:bookmarkEnd w:id="118"/>
    <w:p w:rsidR="00B01F4A" w:rsidRDefault="00B01F4A" w:rsidP="00B01F4A">
      <w:pPr>
        <w:pStyle w:val="TtuloResolucin"/>
      </w:pPr>
      <w:r>
        <w:t>Pleno</w:t>
      </w:r>
    </w:p>
    <w:p w:rsidR="00B01F4A" w:rsidRDefault="00B01F4A" w:rsidP="00B01F4A">
      <w:pPr>
        <w:pStyle w:val="TtuloResolucin"/>
      </w:pPr>
    </w:p>
    <w:p w:rsidR="00B01F4A" w:rsidRDefault="00B01F4A" w:rsidP="00B01F4A">
      <w:pPr>
        <w:pStyle w:val="SntesisDescriptiva"/>
      </w:pPr>
      <w:r>
        <w:t>ECLI:ES:TC:1997:28A</w:t>
      </w:r>
    </w:p>
    <w:p w:rsidR="00B01F4A" w:rsidRDefault="00B01F4A" w:rsidP="00B01F4A">
      <w:pPr>
        <w:pStyle w:val="SntesisDescriptiva"/>
      </w:pPr>
    </w:p>
    <w:p w:rsidR="00B01F4A" w:rsidRDefault="00B01F4A" w:rsidP="00B01F4A">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B01F4A" w:rsidRDefault="00B01F4A" w:rsidP="00B01F4A">
      <w:pPr>
        <w:pStyle w:val="SntesisDescriptiva"/>
      </w:pPr>
    </w:p>
    <w:p w:rsidR="00B01F4A" w:rsidRDefault="00B01F4A" w:rsidP="00B01F4A">
      <w:pPr>
        <w:pStyle w:val="SntesisDescriptiva"/>
      </w:pPr>
      <w:r>
        <w:t>Acordando la inadmisión a trámite de la cuestión de inconstitucionalidad 3.562/1996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19" w:name="AUTO_1997_29"/>
      <w:r>
        <w:lastRenderedPageBreak/>
        <w:t>AUTO 29/1997, de 28 de enero de 1997</w:t>
      </w:r>
    </w:p>
    <w:bookmarkEnd w:id="119"/>
    <w:p w:rsidR="00B01F4A" w:rsidRDefault="00B01F4A" w:rsidP="00B01F4A">
      <w:pPr>
        <w:pStyle w:val="TtuloResolucin"/>
      </w:pPr>
      <w:r>
        <w:t>Pleno</w:t>
      </w:r>
    </w:p>
    <w:p w:rsidR="00B01F4A" w:rsidRDefault="00B01F4A" w:rsidP="00B01F4A">
      <w:pPr>
        <w:pStyle w:val="TtuloResolucin"/>
      </w:pPr>
    </w:p>
    <w:p w:rsidR="00B01F4A" w:rsidRDefault="00B01F4A" w:rsidP="00B01F4A">
      <w:pPr>
        <w:pStyle w:val="SntesisDescriptiva"/>
      </w:pPr>
      <w:r>
        <w:t>ECLI:ES:TC:1997:29A</w:t>
      </w:r>
    </w:p>
    <w:p w:rsidR="00B01F4A" w:rsidRDefault="00B01F4A" w:rsidP="00B01F4A">
      <w:pPr>
        <w:pStyle w:val="SntesisDescriptiva"/>
      </w:pPr>
    </w:p>
    <w:p w:rsidR="00B01F4A" w:rsidRDefault="00B01F4A" w:rsidP="00B01F4A">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B01F4A" w:rsidRDefault="00B01F4A" w:rsidP="00B01F4A">
      <w:pPr>
        <w:pStyle w:val="SntesisDescriptiva"/>
      </w:pPr>
    </w:p>
    <w:p w:rsidR="00B01F4A" w:rsidRDefault="00B01F4A" w:rsidP="00B01F4A">
      <w:pPr>
        <w:pStyle w:val="SntesisDescriptiva"/>
      </w:pPr>
      <w:r>
        <w:t>Acordando la inadmisión a trámite de la cuestión de inconstitucionalidad 3.564/1996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20" w:name="AUTO_1997_30"/>
      <w:r>
        <w:lastRenderedPageBreak/>
        <w:t>AUTO 30/1997, de 29 de enero de 1997</w:t>
      </w:r>
    </w:p>
    <w:bookmarkEnd w:id="120"/>
    <w:p w:rsidR="00B01F4A" w:rsidRDefault="00B01F4A" w:rsidP="00B01F4A">
      <w:pPr>
        <w:pStyle w:val="TtuloResolucin"/>
      </w:pPr>
      <w:r>
        <w:t>Sección Segunda</w:t>
      </w:r>
    </w:p>
    <w:p w:rsidR="00B01F4A" w:rsidRDefault="00B01F4A" w:rsidP="00B01F4A">
      <w:pPr>
        <w:pStyle w:val="TtuloResolucin"/>
      </w:pPr>
    </w:p>
    <w:p w:rsidR="00B01F4A" w:rsidRDefault="00B01F4A" w:rsidP="00B01F4A">
      <w:pPr>
        <w:pStyle w:val="SntesisDescriptiva"/>
      </w:pPr>
      <w:r>
        <w:t>ECLI:ES:TC:1997:30A</w:t>
      </w:r>
    </w:p>
    <w:p w:rsidR="00B01F4A" w:rsidRDefault="00B01F4A" w:rsidP="00B01F4A">
      <w:pPr>
        <w:pStyle w:val="SntesisDescriptiva"/>
      </w:pPr>
    </w:p>
    <w:p w:rsidR="00B01F4A" w:rsidRDefault="00B01F4A" w:rsidP="00B01F4A">
      <w:pPr>
        <w:pStyle w:val="SntesisDescriptiva"/>
      </w:pPr>
      <w:r>
        <w:t>Excms. Srs. don José Vicente Gimeno Sendra, don Manuel Jiménez de Parga y Cabrera y don Pablo García Manzano.</w:t>
      </w:r>
    </w:p>
    <w:p w:rsidR="00B01F4A" w:rsidRDefault="00B01F4A" w:rsidP="00B01F4A">
      <w:pPr>
        <w:pStyle w:val="SntesisDescriptiva"/>
      </w:pPr>
    </w:p>
    <w:p w:rsidR="00B01F4A" w:rsidRDefault="00B01F4A" w:rsidP="00B01F4A">
      <w:pPr>
        <w:pStyle w:val="SntesisDescriptiva"/>
      </w:pPr>
      <w:r>
        <w:t>Acordando la inadmisión a trámite del recurso de amparo 3.466/1995.</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xml:space="preserve">. Mediante escrito llegado al Registro de este Tribunal el día 13 de octubre 1995 (presentado en el Decanato de los Juzgados de Madrid el anterior día 11), se interpuso recurso de amparo contra el Acuerdo del Consejo de Gobierno de la Región de Murcia, de 3 diciembre 1992, que suspendió provisionalmente al actor en el ejercicio de sus funciones como Director general de Radiotelevisión murciana (RTVMur). </w:t>
      </w:r>
    </w:p>
    <w:p w:rsidR="00B01F4A" w:rsidRDefault="00B01F4A" w:rsidP="00B01F4A">
      <w:pPr>
        <w:pStyle w:val="TextoNormal"/>
      </w:pPr>
      <w:r>
        <w:t xml:space="preserve">Asimismo, se impugna la Sentencia emitida por el Tribunal Superior de Justicia (Sala de lo Contencioso-Administrativo) de Murcia, de 26 julio 1993 (a. 1704-92), y el Auto dictado por el Tribunal Supremo (Sala de lo Contencioso-Administrativo, Sección Séptima), de 11 julio 1995 (r. 851-94), que confirmaron el acto impugnado. </w:t>
      </w:r>
    </w:p>
    <w:p w:rsidR="00B01F4A" w:rsidRDefault="00B01F4A" w:rsidP="00B01F4A">
      <w:pPr>
        <w:pStyle w:val="TextoNormal"/>
      </w:pPr>
      <w:r>
        <w:t xml:space="preserve">La demanda pide el reconocimiento de los derechos fundamentales invocados, y que se declare la nulidad del Acuerdo gubernativo y de las resoluciones judiciales impugnadas. Subsidiariamente, suplica que se anule el Auto del Tribunal Supremo y se retrotraigan las actuaciones para que se resuelva el recurso de casación. Igualmente pide la condena en costas a la Región de Murcia, si se opusiera a su demanda. </w:t>
      </w:r>
    </w:p>
    <w:p w:rsidR="00B01F4A" w:rsidRDefault="00B01F4A" w:rsidP="00B01F4A">
      <w:pPr>
        <w:pStyle w:val="TextoNormal"/>
      </w:pPr>
      <w:r>
        <w:t>Mediante otrosí solicita el recibimiento a prueba para acreditar que no ha simultaneado la vía de amparo judicial con la vía judicial ordinaria.</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La pretensión de amparo se sustenta en los siguientes hechos: </w:t>
      </w:r>
    </w:p>
    <w:p w:rsidR="00B01F4A" w:rsidRDefault="00B01F4A" w:rsidP="00B01F4A">
      <w:pPr>
        <w:pStyle w:val="TextoNormal"/>
      </w:pPr>
      <w:r>
        <w:t xml:space="preserve">a) El actor fue nombrado Director general de Radiotelevisión murciana mediante Decreto Regional 9/1991, 24 enero (BORM 31.1). Cesó de su cargo el 10 junio 1991, al terminar la legislatura, permaneciendo desde entonces en el ejercicio de sus funciones hasta la designación de un nuevo Director general, de conformidad con la Ley de Murcia 9/1988, de 11 noviembre, reguladora de RTVMur. </w:t>
      </w:r>
    </w:p>
    <w:p w:rsidR="00B01F4A" w:rsidRDefault="00B01F4A" w:rsidP="00B01F4A">
      <w:pPr>
        <w:pStyle w:val="TextoNormal"/>
      </w:pPr>
      <w:r>
        <w:t xml:space="preserve">b) El 26 noviembre 1992, el Consejo de Gobierno de la Región de Murcia acordó abrirle un expediente disciplinario por haberse abonado a sí mismo una indemnización al extinguirse su relación laboral de alto cargo con RTVMur, por haber cesado como Secretario general al haber sido designado Director general. </w:t>
      </w:r>
    </w:p>
    <w:p w:rsidR="00B01F4A" w:rsidRDefault="00B01F4A" w:rsidP="00B01F4A">
      <w:pPr>
        <w:pStyle w:val="TextoNormal"/>
      </w:pPr>
      <w:r>
        <w:t>c) En la misma sesión, el Gobierno aprobó el Decreto Regional 86/1992, 26 noviembre, por el que se determinan las condiciones de desempeño del cargo de Director general de Radiotelevisión murciana (publicado en el BORM 1. 12, corrección errores 9.12). El De</w:t>
      </w:r>
      <w:r>
        <w:lastRenderedPageBreak/>
        <w:t xml:space="preserve">creto desarrolla lo dispuesto en el art. 10.3 de la Ley RTVMur (Ley Regional 9/1988): «reglamentariamente se determinará la retribución que, con cargo al Presupuesto de RTVMur, percibirá el Director general, así como las condiciones de desempeño de dicho cargo, no previstas en la presente Ley.» </w:t>
      </w:r>
    </w:p>
    <w:p w:rsidR="00B01F4A" w:rsidRDefault="00B01F4A" w:rsidP="00B01F4A">
      <w:pPr>
        <w:pStyle w:val="TextoNormal"/>
      </w:pPr>
      <w:r>
        <w:t xml:space="preserve">d) El 3 diciembre 1992 el Consejo de Gobierno de la Región acordó suspender cautelarmente al Sr. Martín-Gil «de conformidad con lo previsto en el art. 3 del Decreto Regional 86/1992». </w:t>
      </w:r>
    </w:p>
    <w:p w:rsidR="00B01F4A" w:rsidRDefault="00B01F4A" w:rsidP="00B01F4A">
      <w:pPr>
        <w:pStyle w:val="TextoNormal"/>
      </w:pPr>
      <w:r>
        <w:t xml:space="preserve">El Acuerdo obedece a las siguientes razones: 1.ª que es nulo el acto por el que el Sr. Martín-Gil en su condición de Director general de RTVMur, había procedido a la estimación, cálculo y pago en su propio favor de una cantidad de 5,8 millones de pesetas, entendiendo que le era debida por razón de su cese como Secretario general del mismo ente el día 30 enero 1995; 2.ª el Consejo de Administración de RTVMur, por Acuerdos de 13 noviembre 1992, consideró completamente inadecuado e ilícito que el Director general en funciones se autoliquidara y autopagara una indemnización por un supuesto de extinción de relación jurídica de dudosa realización, y que, en el supuesto de que se negara a reembolsar la cantidad en cuestión, solicitaba al Gobierno de la Región que ejerciera las acciones legales oportunas para su devolución; 3.ª el Consejo inició entonces un expediente depuración de responsabilidades administrativas y contables, conforme a lo dispuesto en el art. 42 de la Ley de Régimen Jurídico de la Administración del Estado y el art. 106 de la Ley de Hacienda de la Región de Murcia; 4.ª la apertura de dicho expediente,. y el hecho de que el Director general en funciones no había dado cumplimiento al requerimiento para que devolviera la cantidad con que se autoindemnizó el 26 diciembre 1990 justificaba su suspensión cautelar. </w:t>
      </w:r>
    </w:p>
    <w:p w:rsidR="00B01F4A" w:rsidRDefault="00B01F4A" w:rsidP="00B01F4A">
      <w:pPr>
        <w:pStyle w:val="TextoNormal"/>
      </w:pPr>
      <w:r>
        <w:t xml:space="preserve">El Acuerdo indicaba que el régimen y efectos de la suspensión «se regirán por lo previsto en su normativa especifica y, en su defecto, por la aplicable a las Autoridades y funcionarios públicos». </w:t>
      </w:r>
    </w:p>
    <w:p w:rsidR="00B01F4A" w:rsidRDefault="00B01F4A" w:rsidP="00B01F4A">
      <w:pPr>
        <w:pStyle w:val="TextoNormal"/>
      </w:pPr>
      <w:r>
        <w:t xml:space="preserve">e) El actor interpuso recurso contencioso-administrativo ordinario contra el Decreto Regional 86/1992, tramitado bajo el número de registro 1705-92. Simultáneamente interpuso recurso contencioso-administrativo de amparo por el cauce de la Ley 62/1978 contra el Acuerdo de suspenderle de su cargo. </w:t>
      </w:r>
    </w:p>
    <w:p w:rsidR="00B01F4A" w:rsidRDefault="00B01F4A" w:rsidP="00B01F4A">
      <w:pPr>
        <w:pStyle w:val="TextoNormal"/>
      </w:pPr>
      <w:r>
        <w:t xml:space="preserve">f) El 17 diciembre 1992, el Consejo de Gobierno nombró Administrador provisional de RTVMur a un Sr. Guadiola (Decreto Regional 89/1992, de 17 diciembre). </w:t>
      </w:r>
    </w:p>
    <w:p w:rsidR="00B01F4A" w:rsidRDefault="00B01F4A" w:rsidP="00B01F4A">
      <w:pPr>
        <w:pStyle w:val="TextoNormal"/>
      </w:pPr>
      <w:r>
        <w:t xml:space="preserve">g) El 18 junio 1993, el Gobierno de Murcia acordó cesar, a petición propia, al actor de su cargo de Director general, tras haber presentado libremente su dimisión irrevocable. Cese formalizado por DR. 93/1993, de 18 junio. </w:t>
      </w:r>
    </w:p>
    <w:p w:rsidR="00B01F4A" w:rsidRDefault="00B01F4A" w:rsidP="00B01F4A">
      <w:pPr>
        <w:pStyle w:val="TextoNormal"/>
      </w:pPr>
      <w:r>
        <w:t xml:space="preserve">En la misma sesión, el Consejo acordó suspender la tramitación del expediente disciplinario incoado contra el actor, «hasta tanto recaiga Sentencia firme en el procedimiento laboral iniciado en su contra por RTVMur». </w:t>
      </w:r>
    </w:p>
    <w:p w:rsidR="00B01F4A" w:rsidRDefault="00B01F4A" w:rsidP="00B01F4A">
      <w:pPr>
        <w:pStyle w:val="TextoNormal"/>
      </w:pPr>
      <w:r>
        <w:t xml:space="preserve">h) El Tribunal Superior de Justicia de Murcia desestimó, por Sentencia de 26 julio 1993, el amparo solicitado contra la suspensión de su cargo. Tras rechazar la inadmisibilidad del recurso, desestimó las pretensiones del recurrente porque: 1) no se ha violado el derecho fundamental de acceso a los cargos públicos (art. 23.2 C.E.) porque el Acuerdo de suspensión de funciones cumple los requisitos básicos exigidos legalmente y porque no cesó ni removió del cargo al actor, siendo cuestiones de legalidad ordinaria la cobertura legal del Decreto Regional 86/1992; 2) tampoco resulta infringido el art. 24.1 C.E. porque no puede ser imputada a órganos administrativos; ni el derecho a la presunción de inocencia, porque sería necesario que se hubiera producido una condena, ya que la suspensión cautelar y provisional de funciones no puede considerarse una sanción anticipada; 3) tampoco han sido infringidos los principios de legalidad, de tipicidad y de irretroactividad (art. 25. 1) porque </w:t>
      </w:r>
      <w:r>
        <w:lastRenderedPageBreak/>
        <w:t xml:space="preserve">el principio de legalidad en materia penal, tanto criminal como administrativa, es distinto de la sumisión de la Administración a la Ley reconocida en los arts. 103 y 9.3 C.E., preceptos que quedan fuera del ámbito de protección de la Ley 62/1978. Además, el Decreto Regional 86/1992 no tipifica infracciones ni establece sanciones, sino que desarrolla la Ley 9/1988, estableciendo reglamentariamente las condiciones del desempeño del cargo del Director general de RTVMur (en virtud de la autorización conferida por el art. 10.3 de la Ley). La posibilidad de que éste pueda ser suspendido cautelarmente durante la sustanciación de un expediente disciplinario, basado en las responsabilidades previstas en una norma con rango de Ley, como es la Ley Regional 3/1990, de 5 abril (de Hacienda de la Región de Murcia, cuyos arts. 104 a 106 califican como responsabilidad disciplinaria los actos de las autoridades que causen grave daño a la Hacienda Pública, mediando dolo, culpa o negligencia), no permite mantener que dicho Decreto ni el acto de aplicación recurrido puedan infringir el principio de legalidad que se examina Que fue publicado en el «Boletín Oficial de la Región de Murcia» el día 1. 12.1992, por lo que su aplicación el siguiente día 3 no vulnera el principio de irretroactividad de las leyes sancionadoras o restrictivas de derechos. </w:t>
      </w:r>
    </w:p>
    <w:p w:rsidR="00B01F4A" w:rsidRDefault="00B01F4A" w:rsidP="00B01F4A">
      <w:pPr>
        <w:pStyle w:val="TextoNormal"/>
      </w:pPr>
      <w:r>
        <w:t>i) El actor interpuso recurso de casación contra la mencionada Sentencia, alegando seis motivos, por infracción de los arts. 23.2, 24 y 25.1 C.E. El Tribunal Supremo, mediante Auto de 11 junio 1995 impugnado, inadmitió el recurso a trámite por versar sobre una cuestión de personal [art. 93.2 a) L.J.C.A.].</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La demanda de amparo alega la vulneración de los derechos fundamentales enunciados en los arts. 23.2, 24 y 25.1 C.E.: </w:t>
      </w:r>
    </w:p>
    <w:p w:rsidR="00B01F4A" w:rsidRDefault="00B01F4A" w:rsidP="00B01F4A">
      <w:pPr>
        <w:pStyle w:val="TextoNormal"/>
      </w:pPr>
      <w:r>
        <w:t xml:space="preserve">a) El derecho fundamental recogido en el art. 23.2 C.E., cuyo contenido incluye el mantenerse en el cargo público y desempeñarlo de acuerdo con lo previsto en la Ley ha sido vulnerado porque la medida cautelar de suspensión es nula de pleno derecho, pues no está prevista en norma alguna con rango de Ley que sea aplicable. Esta medida está regulada en la legislación de la función pública que es inaplicable, ni directamente ni por analogía, a los cargos públicos de carácter político o no representativo, como es el caso de Director general de RTVMur. Dado que el actor se encontraba cesado por haber expirado la legislatura, ejerciendo provisionalmente las funciones de Director general, la única medida legalmente procedente para respetar las condiciones de desempeño del cargo era el nombramiento de un nuevo Director general, de acuerdo con el art. 10.5 de la Ley Regional 9/1988. La inexistencia de norma jurídica que regulara la suspensión del Director general de RTVMur obligó al Consejo de Gobierno a aprobar el Decreto Regional 86/1992, el cual, además de tener un ilegal carácter singular, carece de habilitación legal suficiente y contradice los arts. 10.5, 11 y 12 de la Ley 9/1988, lo que determina su evidente nulidad de pleno derecho. </w:t>
      </w:r>
    </w:p>
    <w:p w:rsidR="00B01F4A" w:rsidRDefault="00B01F4A" w:rsidP="00B01F4A">
      <w:pPr>
        <w:pStyle w:val="TextoNormal"/>
      </w:pPr>
      <w:r>
        <w:t xml:space="preserve">b) El acuerdo por el que se impuso la suspensión cautelar no expresó los efectos de dicha medida ni, sobre todo, su duración, lo que la convierte en una sanción encubierta o anticipada, que vulneró el derecho del actor a la presunción de inocencia (art. 24.2, inciso 11, C.E.). Carácter que quedó confirmado con su duración, que sobrepasó el plazo máximo de seis meses establecido por la legislación funcionarial. La Sentencia impugnada, al considerar que la medida no es desproporcionada porque la consecuencia de mayor gravedad que tiene es la limitación de percepción de sueldo que supone para el actor, ignora los gravísimos daños morales producidos, agravados además por la publicidad dada por la Administración a los hechos, hecho notorio conocido por todos y no necesitado de prueba. </w:t>
      </w:r>
    </w:p>
    <w:p w:rsidR="00B01F4A" w:rsidRDefault="00B01F4A" w:rsidP="00B01F4A">
      <w:pPr>
        <w:pStyle w:val="TextoNormal"/>
      </w:pPr>
      <w:r>
        <w:t xml:space="preserve">c) La verdadera naturaleza de la suspensión cautelar como una sanción encubierta implica la evidente vulneración de los derechos a la reserva de Ley a la tipificación y a la irretroactividad de las infracciones y sanciones (art. 25.1 C.E.). La medida fue establecida </w:t>
      </w:r>
      <w:r>
        <w:lastRenderedPageBreak/>
        <w:t xml:space="preserve">por una norma sin rango de Ley, el Decreto Regional 86/1982. La infracción es puramente formal, pues consiste en la mera apertura de un expediente administrativo «disciplinario», y no se establece el contenido de la sanción. Finalmente, la suspensión se aplicó con efectos retroactivos, tanto si se refiere a los hechos objetos del expediente, ocurridos el 26 diciembre 1991, como si se refiere a la apertura del expediente administrativo, acaecida el 26 noviembre 1992, sin que se pueda tomar como punto de referencia la fecha de adopción del acuerdo de suspensión. </w:t>
      </w:r>
    </w:p>
    <w:p w:rsidR="00B01F4A" w:rsidRDefault="00B01F4A" w:rsidP="00B01F4A">
      <w:pPr>
        <w:pStyle w:val="TextoNormal"/>
      </w:pPr>
      <w:r>
        <w:t xml:space="preserve">d) La Sentencia dictada por el Tribunal Superior de Justicia vulnera directamente el derecho fundamental a la tutela judicial efectiva (art. 24. 1 C.E.), al interpretar erróneamente el art. 23.2 C.E. y al aceptar sin la necesaria contradicción la alegación de la Administración demandada de que la indemnización percibida por el actor como consecuencia de la extinción del contrato laboral de alta dirección antes de su nombramiento como Director general era improcedente, causándole indefensión. </w:t>
      </w:r>
    </w:p>
    <w:p w:rsidR="00B01F4A" w:rsidRDefault="00B01F4A" w:rsidP="00B01F4A">
      <w:pPr>
        <w:pStyle w:val="TextoNormal"/>
      </w:pPr>
      <w:r>
        <w:t>e) Por último, el Auto de inadmisión del recurso del casación vulnera el art. 24.1 C.E., en su vertiente del derecho de acceso a los recursos establecidos por la Ley, porque en problemas directamente relacionados con derechos fundamentales es necesario permitir la segunda instancia, sin que pueda tenerse en cuenta el límite de las cuestiones de personal.</w:t>
      </w:r>
    </w:p>
    <w:p w:rsidR="00B01F4A" w:rsidRDefault="00B01F4A" w:rsidP="00B01F4A">
      <w:pPr>
        <w:pStyle w:val="TextoNormal"/>
      </w:pPr>
    </w:p>
    <w:p w:rsidR="00B01F4A" w:rsidRDefault="00B01F4A" w:rsidP="00B01F4A">
      <w:pPr>
        <w:pStyle w:val="TextoNormal"/>
      </w:pPr>
      <w:r w:rsidRPr="00B01F4A">
        <w:rPr>
          <w:rStyle w:val="NumeroAFNegritaCaracter"/>
        </w:rPr>
        <w:t>4</w:t>
      </w:r>
      <w:r>
        <w:t xml:space="preserve">. La Sección acordó, por providencia de 19 junio 1996, abrir trámite de alegaciones acerca de la eventual concurrencia de los siguientes motivos de inadmisión: a) Ser el recurso inviable por prematuro [art. 50.1 a en relación con los arts. 41.2 y 44.1 a) LOTC], a tenor de la doctrina de la STC 112/1990 y el ATC 217/1985; b) Haber sido desestimados recursos de amparo en supuestos sustancialmente iguales [art. 50.1 d) LOTC] en los AATC 779/1988, y 4/1989, c) Carecer la demanda de contenido que justifique su admisión [art. 50.1 c) LOTC]. </w:t>
      </w:r>
    </w:p>
    <w:p w:rsidR="00B01F4A" w:rsidRDefault="00B01F4A" w:rsidP="00B01F4A">
      <w:pPr>
        <w:pStyle w:val="TextoNormal"/>
      </w:pPr>
      <w:r>
        <w:t xml:space="preserve">El demandante formuló alegaciones reafirmando y ampliando los fundamentos de su recurso de amparo y razonando que no existen motivos para inadmitirlo. </w:t>
      </w:r>
    </w:p>
    <w:p w:rsidR="00B01F4A" w:rsidRDefault="00B01F4A" w:rsidP="00B01F4A">
      <w:pPr>
        <w:pStyle w:val="TextoNormal"/>
      </w:pPr>
      <w:r>
        <w:t>El Fiscal presentó su informe propugnando la inadmisión del recurso. Se alega la violación de los derechos a la presunción de inocencia y a la reserva de ley y tipicidad e irretroactividad de infracciones y sanciones administrativas, cuando lo cierto es que ninguna sanción se la ha impuesto todavía al actor; por lo que es de aplicación la doctrina de la STC 112/1990. En cuanto a los derechos de los arts. 23.2 y 24.1, debería reconocerse al actor el derecho al recurso si su demanda tuviera una fundamentación bastante como para entender comprometido alguno de los derechos fundamentales protegidos a través de la Ley 62/1978; pero tal derecho cedería ante lo que pudiera ser una utilización abusiva de la citada vía preferente y sumaria. La alegación de que se ha vulnerado el derecho a los cargos públicos carece, prima facie, de fundamento por las razones indicadas por la Sentencia del T.S.J. Por lo tanto, ninguna vulneración se ha producido.</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actor impugna la suspensión en el cargo de Director general de la Radiotelevisión murciana (RTVMur), decretada por el Gobierno de la Región de Murcia, en relación con el expediente contable abierto contra él por haberse pagado a sí mismo una indemnización.</w:t>
      </w:r>
    </w:p>
    <w:p w:rsidR="00B01F4A" w:rsidRDefault="00B01F4A" w:rsidP="00B01F4A">
      <w:pPr>
        <w:pStyle w:val="TextoNormal"/>
      </w:pPr>
      <w:r>
        <w:t>Alega la vulneración de diversos derechos fundamentales, enunciados en los arts. 25.1 y 23.2 C.E., así como el derecho a la tutela judicial efectiva.</w:t>
      </w:r>
    </w:p>
    <w:p w:rsidR="00B01F4A" w:rsidRDefault="00B01F4A" w:rsidP="00B01F4A">
      <w:pPr>
        <w:pStyle w:val="TextoNormal"/>
      </w:pPr>
    </w:p>
    <w:p w:rsidR="00B01F4A" w:rsidRDefault="00B01F4A" w:rsidP="00B01F4A">
      <w:pPr>
        <w:pStyle w:val="TextoNormal"/>
      </w:pPr>
      <w:r w:rsidRPr="00B01F4A">
        <w:rPr>
          <w:rStyle w:val="NumeroAFNegritaCaracter"/>
        </w:rPr>
        <w:lastRenderedPageBreak/>
        <w:t>2</w:t>
      </w:r>
      <w:r>
        <w:t>. En el plano procesal [art. 50.1 a) LOTC] se advierte de inmediato que la pretensión de amparo se dirige contra una medida de suspensión provisional de un funcionario público, en el sentido amplio de persona que ejerce funciones públicas. Dicha medida ha sido adoptada mientras se tramita un expediente administrativo por responsabilidad contable; expediente que no ha sido resuelto todavía, al quedar pendiente de la Sentencia que pueda dictarse en un proceso judicial ante los Tribunales del orden social, entablado por el ente público contra el actor. En cualquier caso, los efectos de la suspensión han de quedar confirmados o corregidos por la resolución que se dicte en el procedimiento principal (art. 49.3 de la Ley de Funcionarios Civiles del Estado de 1964: «Cuando la suspensión no sea declarada firme, el tiempo de duración de la misma se computará como de servicio activo, debiendo acordarse la inmediata reincorporación del funcionario a su puesto de trabajo, con reconocimiento de todos los derechos económicos y demás que procedan desde la fecha de efectos de la suspensión»).</w:t>
      </w:r>
    </w:p>
    <w:p w:rsidR="00B01F4A" w:rsidRDefault="00B01F4A" w:rsidP="00B01F4A">
      <w:pPr>
        <w:pStyle w:val="TextoNormal"/>
      </w:pPr>
      <w:r>
        <w:t>Este dato resultó determinante en el fallo de la STC 112/1990. La desestimación del amparo pretendido por un funcionario, que alegaba que al liquidar la condena de tres años de suspensión de cargo público, impuesta por cohecho, se le debía abonar el tiempo en que había estado suspendido provisionalmente por el Ministerio (dos años y quince días), no se debió a razones de fondo. El Tribunal no resolvió la cuestión planteada sobre el principio non bis in idem (art. 25.1 C.E.), porque entendió que «el actor ha interpuesto el presente recurso de amparo antes de que se haya producido efectivamente la vulneración alegada y antes de haber agotado los remedios judiciales ordinarios que estaban a su disposición» (fundamento jurídico 3.1).  Precisamente, porque todavía no había finalizado el expediente administrativo disciplinario, que podía finalizar sin imponer ninguna sanción (y por ende, suprimiendo los efectos de la suspensión provisional); o imponiendo una que permitiría entonces enjuiciar en el fondo la cuestión constitucional planteada.</w:t>
      </w:r>
    </w:p>
    <w:p w:rsidR="00B01F4A" w:rsidRDefault="00B01F4A" w:rsidP="00B01F4A">
      <w:pPr>
        <w:pStyle w:val="TextoNormal"/>
      </w:pPr>
      <w:r>
        <w:t>Este mismo criterio había sido establecido en el ATC 217/1985, que pone de manifiesto una regla aplicable con carácter general: «Estando en trámite el expediente disciplinario y sin haberse adoptado en él resoluciones definitivas, el planteamiento del proceso especial contencioso-administrativo era de por sí prematuro, y aún con mayor razón el recurso de amparo, sobre unos eventuales agravios que no pueden ser objeto de pretensión cautelar o precautoria, ya que el proceso constitucional es subsidiario y último y tiene que plantearse sobre decisiones concretas que representen violaciones ya producidas, como ha proclamado la doctrina de este Tribunal últimamente en el Auto de 30 de enero de 1985 ... y en cualquier caso, ... podrían recurrir cuando el expediente concluya, impugnando la resolución definitiva o de fondo que pusiera término al mismo» (fundamento jurídico 4.º).</w:t>
      </w:r>
    </w:p>
    <w:p w:rsidR="00B01F4A" w:rsidRDefault="00B01F4A" w:rsidP="00B01F4A">
      <w:pPr>
        <w:pStyle w:val="TextoNormal"/>
      </w:pPr>
      <w:r>
        <w:t>Esta doctrina ha sido mantenida con rigor por este Tribunal, que sólo se ha pronunciado sobre cuestiones atinentes a suspensiones provisionales de funcionarios al controlar alegadas inejecuciones de resoluciones judiciales (STC 105/1994, y AATC 9/1990 y 41/1992), o vulneraciones de derechos fundamentales sustantivos, como la libertad de sindicación (ATC 98/1986). En el ATC 338/1991 se inadmitió un recurso de amparo dirigido contra una suspensión provisional porque todavía estaba pendiente la vía judicial contra la sanción disciplinaria.</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Esta es la situación presente, por lo que todo lo relativo a la alegada vulneración causada por la medida de suspensión provisional en los derechos a la legalidad punitiva y a los cargos públicos (arts. 25.1 y 23.2 C.E.)  debe quedar descartado de este proceso, por prematuro [art. 50.1 a) LOTC, en relación con sus arts. 41.2, en cuanto prevé el amparo frente </w:t>
      </w:r>
      <w:r>
        <w:lastRenderedPageBreak/>
        <w:t>a vulneraciones reales y efectivas, no hipotéticas o futuras, y 44.1 a), en cuanto exige el agotamiento de la vía judicial previa].</w:t>
      </w:r>
    </w:p>
    <w:p w:rsidR="00B01F4A" w:rsidRDefault="00B01F4A" w:rsidP="00B01F4A">
      <w:pPr>
        <w:pStyle w:val="TextoNormal"/>
      </w:pPr>
      <w:r>
        <w:t>En efecto, no se alega ninguna de las circunstancias excepcionales que podrían justificar un adelantamiento en el tiempo del control judicial para evitar que la anterior doctrina genere un ámbito exento de control susceptible de abuso.  Porque, como indicamos en la doctrina mencionada anteriormente, sólo cabe enjuiciar directamente una medida cautelar de suspensión provisional cuando todavía no ha sido resuelto el procedimiento administrativo disciplinario, si éste se demora indebidamente, o si la Administración incurre en vía de hecho, imponiendo la suspensión cautelar de un funcionario al margen de todo procedimiento de exigencia de responsabilidades por el desempeño de su cargo.</w:t>
      </w:r>
    </w:p>
    <w:p w:rsidR="00B01F4A" w:rsidRDefault="00B01F4A" w:rsidP="00B01F4A">
      <w:pPr>
        <w:pStyle w:val="TextoNormal"/>
      </w:pPr>
    </w:p>
    <w:p w:rsidR="00B01F4A" w:rsidRDefault="00B01F4A" w:rsidP="00B01F4A">
      <w:pPr>
        <w:pStyle w:val="TextoNormal"/>
      </w:pPr>
      <w:r w:rsidRPr="00B01F4A">
        <w:rPr>
          <w:rStyle w:val="NumeroAFNegritaCaracter"/>
        </w:rPr>
        <w:t>4</w:t>
      </w:r>
      <w:r>
        <w:t>. En el recurso no se alega ni se combate ninguna demora en concluir el expediente, tal y como señalaba el ATC 217/1985, fundamento jurídico 4.º: «Si se dilatare la decisión más de lo razonable y debido, podían denunciar la demora ante la Administración, y si no actúa con la debida diligencia, entablar ante el Tribunal competente el recurso contencioso-administrativo ordinario, para lograr la imprescindible actuación que condujera a su rápida resolución».</w:t>
      </w:r>
    </w:p>
    <w:p w:rsidR="00B01F4A" w:rsidRDefault="00B01F4A" w:rsidP="00B01F4A">
      <w:pPr>
        <w:pStyle w:val="TextoNormal"/>
      </w:pPr>
      <w:r>
        <w:t>En segundo lugar, la demanda tampoco alega la inexistencia de todo procedimiento principal que pudiera dar lugar a la imposición de la medida de suspensión de empleo (ATC 217/1985, fundamento jurídico 2.º: «Existiendo al menos dos acuerdos municipales, uno de incoación del expediente disciplinario y otro de nombramiento de Instructor y Secretario del mismo, ambos notificados al funcionario afectado, como él reconoce, es obvio que queda desmentida de manera cierta la alegación de ausencia total de procedimiento, que es la que podía caracterizar y fundar la presencia de la mera vía de hecho, pues ésta, por su contenido intrínseco, sólo podría aflorar si la suspensión provisional de la función se hubiera realizado al margen de todo procedimiento y actuación jurídica preestablecida, por lo que al existir el procedimiento apoyado en normas legales, se desnaturaliza la presencia de tal desvío de manera absoluta»).</w:t>
      </w:r>
    </w:p>
    <w:p w:rsidR="00B01F4A" w:rsidRDefault="00B01F4A" w:rsidP="00B01F4A">
      <w:pPr>
        <w:pStyle w:val="TextoNormal"/>
      </w:pPr>
    </w:p>
    <w:p w:rsidR="00B01F4A" w:rsidRDefault="00B01F4A" w:rsidP="00B01F4A">
      <w:pPr>
        <w:pStyle w:val="TextoNormal"/>
      </w:pPr>
      <w:r w:rsidRPr="00B01F4A">
        <w:rPr>
          <w:rStyle w:val="NumeroAFNegritaCaracter"/>
        </w:rPr>
        <w:t>5</w:t>
      </w:r>
      <w:r>
        <w:t>. En cualquier caso, las invocaciones de los derechos fundamentales a la legalidad punitiva y a la presunción de inocencia carecen de contenido [art.  50.1 c) LOTC]. Como con toda corrección indica la Sentencia impugnada, el art.  25.1 C.E. sólo protege frente a sanciones y penas, no frente a una suspensión provisional; pues ese precepto constitucional no consagra el principio general de legalidad de la actuación administrativa, que viene establecido por los arts. 103.1, 106.1 y 9.3 C.E., ajenos al amparo [arts. 53.2 C.E. y 50.1 b) LOTC]. Todas las alegaciones relativas a la carencia de cobertura legal del Decreto Regional 86/1992, que determina las condiciones de desempeño del cargo de Director general de RTVMur, desde la óptica del art. 25.1 C.E. carecen de toda relevancia constitucional en vía de amparo.</w:t>
      </w:r>
    </w:p>
    <w:p w:rsidR="00B01F4A" w:rsidRDefault="00B01F4A" w:rsidP="00B01F4A">
      <w:pPr>
        <w:pStyle w:val="TextoNormal"/>
      </w:pPr>
      <w:r>
        <w:t xml:space="preserve">La presunción de inocencia (art. 24.1 C.E.), por su parte, no ha sido vulnerada por la medida de suspensión provisional acordada. Corno indicó el ATC 98/1986, inadmitiendo un recurso de amparo contra otra medida de suspensión, «la presunción de inocencia es compatible con la aplicación de medidas cautelares siempre que se adopten por resolución fundada en Derecho, que cuando no es reglada ha de basarse en un juicio de razonabilidad acerca de la finalidad perseguida y las circunstancias concurrentes, pues una medida desproporcionada o irrazonable no sería propiamente cautelar, sino que tendría un carácter punitivo en cuanto al exceso (STC 108/1984, fundamento jurídico 2.º). Ahora bien, la suspensión en el presente recurso es una medida cautelar, de carácter provisional, prevista en la </w:t>
      </w:r>
      <w:r>
        <w:lastRenderedPageBreak/>
        <w:t>legislación vigente; la resolución en que se acuerda tal medida tiene suficiente motivación, y no puede calificarse de desproporcionado o irrazonable, pues... la consecuencia de mayor gravedad es la limitación de percepción de sueldo (art. 49.1 de la Ley Articulada de Funcionarios Civiles), y ésta sería fácilmente reparable si finalmente no se impusiese sanción disciplinaria. Por todo ello, no puede afirmarse que la suspensión provisional decretada vulnere el derecho a la presunción de inocencia consagrado en el art. 24.2 de la Constitución (fundamento jurídico 3.º).</w:t>
      </w:r>
    </w:p>
    <w:p w:rsidR="00B01F4A" w:rsidRDefault="00B01F4A" w:rsidP="00B01F4A">
      <w:pPr>
        <w:pStyle w:val="TextoNormal"/>
      </w:pPr>
    </w:p>
    <w:p w:rsidR="00B01F4A" w:rsidRDefault="00B01F4A" w:rsidP="00B01F4A">
      <w:pPr>
        <w:pStyle w:val="TextoNormal"/>
      </w:pPr>
      <w:r w:rsidRPr="00B01F4A">
        <w:rPr>
          <w:rStyle w:val="NumeroAFNegritaCaracter"/>
        </w:rPr>
        <w:t>6</w:t>
      </w:r>
      <w:r>
        <w:t>. En cuanto al alegado derecho a no ser removido del cargo público poseído por el actor, invocando el art. 23.2 C.E., el planteamiento básico de su demanda de amparo es inaceptable. En modo alguno puede aceptarse que un alto cargo ve protegido el desempeño de su cargo, y su mantenimiento en él, por la Constitución.</w:t>
      </w:r>
    </w:p>
    <w:p w:rsidR="00B01F4A" w:rsidRDefault="00B01F4A" w:rsidP="00B01F4A">
      <w:pPr>
        <w:pStyle w:val="TextoNormal"/>
      </w:pPr>
      <w:r>
        <w:t>Con carácter preliminar es preciso subrayar que la doctrina de este Tribunal sólo protege frente al cese u otras perturbaciones ilegítimas en su desempeño a los cargos representativos: aquéllos que han sido elegidos por los ciudadanos y que, por tanto, permiten a éstos participar en los asuntos públicos a través de dichos representantes. Es el reflejo del derecho fundamental de participación, enunciado en el apartado 1 del art. 23 C.E., el que prolonga y refuerza una protección constitucional que, literalmente, sólo atañe al «acceso»; no, desde luego, el derecho relativo a cargos y funciones públicas, enunciado en su apartado 2. Así ha sido declarado expresamente por este Tribunal (SSTC 5/1983, 10/1983, 32/1985 y 161/1988), y hecho ver con absoluta claridad desde su primera Sentencia: pues en ella se otorgó amparo al actor, que había sido cesado del Ayuntamiento de Andújar por causar baja en su partido político, en su cargo de concejal; pero se denegó en lo relativo a su cargo de Alcalde, precisamente por no concurrir en él la cualidad de cargo de representación popular (STC 5/1983, fundamento jurídico 5.º).</w:t>
      </w:r>
    </w:p>
    <w:p w:rsidR="00B01F4A" w:rsidRDefault="00B01F4A" w:rsidP="00B01F4A">
      <w:pPr>
        <w:pStyle w:val="TextoNormal"/>
      </w:pPr>
      <w:r>
        <w:t>Desde entonces, nuestra doctrina señala con precisión que el art. 23.2 C.E.  protege el «acceso» a los cargos y funciones públicas no representativos.  Respecto a quienes ya desempeñan esos cargos o funciones, el precepto constitucional solo otorga «un derecho de carácter puramente reaccional para impugnar ante la jurisdicción ordinaria y en último término ante el Tribunal Constitucional, toda norma o toda aplicación concreta de una norma que quiebre la igualdad» (SSTC 50/1986, fundamento jurídico 4.º, y 24/1990, fundamento jurídico 2.º).</w:t>
      </w:r>
    </w:p>
    <w:p w:rsidR="00B01F4A" w:rsidRDefault="00B01F4A" w:rsidP="00B01F4A">
      <w:pPr>
        <w:pStyle w:val="TextoNormal"/>
      </w:pPr>
    </w:p>
    <w:p w:rsidR="00B01F4A" w:rsidRDefault="00B01F4A" w:rsidP="00B01F4A">
      <w:pPr>
        <w:pStyle w:val="TextoNormal"/>
      </w:pPr>
      <w:r w:rsidRPr="00B01F4A">
        <w:rPr>
          <w:rStyle w:val="NumeroAFNegritaCaracter"/>
        </w:rPr>
        <w:t>7</w:t>
      </w:r>
      <w:r>
        <w:t>. Y ésta es la clave del presente recurso: en ningún momento se alega discriminación, o ninguna razón por la que el actor haya sido sometido a un trato desigual. Tampoco existe alegación ninguna de que su suspensión como Director general de Radio Televisión Murciana haya tenido nada que ver con el proceso de comunicación pública libre que protege el art. 20 C. E. (ver STC 6/1981, fundamento jurídico 3.º), y ni siquiera con el sistema institucional diseñado con el fin de promover el pluralismo informativo (ver SSTC 60/1982, y 146/1993, fundamentos jurídicos 4.º y 5.º).</w:t>
      </w:r>
    </w:p>
    <w:p w:rsidR="00B01F4A" w:rsidRDefault="00B01F4A" w:rsidP="00B01F4A">
      <w:pPr>
        <w:pStyle w:val="TextoNormal"/>
      </w:pPr>
      <w:r>
        <w:t>Sólo se trata de la pugna entre un alto cargo y su Gobierno. Pugna que nace por una paradoja ordinamental: el cruce de una norma ajena a los hechos (la designación por mayoría cualificada de todo Director general de RTVMur, que explica la dificultad en designar sucesor) y una norma aparentemente nimia: que el Director cesado sigue desempañando su puesto «en funciones». Por ende, el medio ordinario de resolver cualquier discrepancia entre Gobierno y alto cargo, el cese, no sirve en este caso: el Director general ya se encuentra cesado meses antes de que estalle el conflicto al haber expirado el mandato del Parlamento regional.</w:t>
      </w:r>
    </w:p>
    <w:p w:rsidR="00B01F4A" w:rsidRDefault="00B01F4A" w:rsidP="00B01F4A">
      <w:pPr>
        <w:pStyle w:val="TextoNormal"/>
      </w:pPr>
      <w:r>
        <w:lastRenderedPageBreak/>
        <w:t>Introducir en esta pugna el derecho fundamental que enuncia el art. 23.2 C.E.  es improcedente. No se alega desigualdad ninguna, y el actor es un alto cargo.  El Director general de la RTV Murciana ha sido investido mediante un nombramiento discrecional (art. 10.1 Ley Regional 9/1988: «Será nombrado por el Consejo de Gobierno, previa consulta al Consejo de Administración» de RTVMur, compuesto por trece miembros elegidos por la Asamblea Regional a propuesta de los grupos parlamentarios, proporcionalmente). No ha sido elegido mediante el voto de los ciudadanos, por lo que no le resulta de aplicación la protección reforzada que el art. 23, apartados 1 y 2, C.E. otorga a los cargos representativos (desde las SSTC 5 y 10/1983). Tampoco ha accedido al puesto que ocupa mediante concurso u oposición, sujetos a los principios de mérito y capacidad, por lo que tampoco le resulta de aplicación la jurisprudencia elaborada respecto a funcionarios de carrera (SSTC 75/1983, fundamento jurídico 3.º, y 200/1991, fundamento jurídico 2.º).</w:t>
      </w:r>
    </w:p>
    <w:p w:rsidR="00B01F4A" w:rsidRDefault="00B01F4A" w:rsidP="00B01F4A">
      <w:pPr>
        <w:pStyle w:val="TextoNormal"/>
      </w:pPr>
      <w:r>
        <w:t>Por estas razones, su extenso alegato acerca de la ilegalidad de su suspensión provisional como alto cargo carece de contenido que justifique su admisión (art. 50.1 c LOTC).</w:t>
      </w:r>
    </w:p>
    <w:p w:rsidR="00B01F4A" w:rsidRDefault="00B01F4A" w:rsidP="00B01F4A">
      <w:pPr>
        <w:pStyle w:val="TextoNormal"/>
      </w:pPr>
    </w:p>
    <w:p w:rsidR="00B01F4A" w:rsidRDefault="00B01F4A" w:rsidP="00B01F4A">
      <w:pPr>
        <w:pStyle w:val="TextoNormal"/>
      </w:pPr>
      <w:r w:rsidRPr="00B01F4A">
        <w:rPr>
          <w:rStyle w:val="NumeroAFNegritaCaracter"/>
        </w:rPr>
        <w:t>8</w:t>
      </w:r>
      <w:r>
        <w:t>. Finalmente, las alegaciones de la demanda de amparo fundadas en el art.  24.1 C.E. son insostenibles, e inciden igualmente en causas de inadmisión previstas por el art. 50.1 LOTC.</w:t>
      </w:r>
    </w:p>
    <w:p w:rsidR="00B01F4A" w:rsidRDefault="00B01F4A" w:rsidP="00B01F4A">
      <w:pPr>
        <w:pStyle w:val="TextoNormal"/>
      </w:pPr>
      <w:r>
        <w:t>En primer lugar, la alegación de que la Administración murciana vulneró su derecho a una tutela judicial efectiva y sin indefensión carece de lógica, pues «no puede existir una violación del derecho a la tutela judicial efectiva referido a un acto de la Administración o norma reglamentaria, fuera del caso en que [lo que aquí no se produce] en virtud de tal norma quedara impedido u obstaculizado el derecho de acceso a los Tribunales de justicia» (STC 123/1987, fundamento jurídico 6.º) tal y como le explicó la Sentencia impugnada.</w:t>
      </w:r>
    </w:p>
    <w:p w:rsidR="00B01F4A" w:rsidRDefault="00B01F4A" w:rsidP="00B01F4A">
      <w:pPr>
        <w:pStyle w:val="TextoNormal"/>
      </w:pPr>
      <w:r>
        <w:t>En segundo lugar, la afirmación de que la Sentencia del Tribunal Superior de Justicia de Murcia vulneró el art. 24.1 C.E. por interpretar erróneamente el art. 23.2 carece de toda sustantividad o autonomía, pues se diluye en la invocación del derecho a la igualdad en los cargos públicos.</w:t>
      </w:r>
    </w:p>
    <w:p w:rsidR="00B01F4A" w:rsidRDefault="00B01F4A" w:rsidP="00B01F4A">
      <w:pPr>
        <w:pStyle w:val="TextoNormal"/>
      </w:pPr>
      <w:r>
        <w:t>Y en tercer lugar, el alegato de que la inadmisión del recurso de casación intentado ante el Tribunal Supremo, por tratarse de cuestiones de personal [art. 93.2 a) L.J.C.A.J, vulneró el art. 24.1 C.E., incurre en la causa de inadmisión prevista por la letra d) del art. 50.1 LOTC.</w:t>
      </w:r>
    </w:p>
    <w:p w:rsidR="00B01F4A" w:rsidRDefault="00B01F4A" w:rsidP="00B01F4A">
      <w:pPr>
        <w:pStyle w:val="TextoNormal"/>
      </w:pPr>
      <w:r>
        <w:t>La invocación que se hace de la doctrina de la STC 188/1994 es irrelevante. La doctrina allí establecida se refirió a la inadmisión por razón de la cuantía, en un recurso contencioso-administrativo de amparo relativo a otros derechos fundamentales (la libertad religiosa e ideológica). Caso totalmente distinto al presente, en que el criterio sigue siendo el de los Autos mencionados.</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lo expuesto, la Sección acuerda la inadmisión de la demanda de amparo y el archivo de las actuaciones.</w:t>
      </w:r>
    </w:p>
    <w:p w:rsidR="00B01F4A" w:rsidRDefault="00B01F4A" w:rsidP="00B01F4A">
      <w:pPr>
        <w:pStyle w:val="TextoNormal"/>
      </w:pPr>
    </w:p>
    <w:p w:rsidR="00B01F4A" w:rsidRDefault="00B01F4A" w:rsidP="00B01F4A">
      <w:pPr>
        <w:pStyle w:val="TextoNormal"/>
      </w:pPr>
      <w:r>
        <w:t>Madrid, a veintinueve de enero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21" w:name="AUTO_1997_31"/>
      <w:r>
        <w:lastRenderedPageBreak/>
        <w:t>AUTO 31/1997, de 29 de enero de 1997</w:t>
      </w:r>
    </w:p>
    <w:bookmarkEnd w:id="121"/>
    <w:p w:rsidR="00B01F4A" w:rsidRDefault="00B01F4A" w:rsidP="00B01F4A">
      <w:pPr>
        <w:pStyle w:val="TtuloResolucin"/>
      </w:pPr>
      <w:r>
        <w:t>Sección Segunda</w:t>
      </w:r>
    </w:p>
    <w:p w:rsidR="00B01F4A" w:rsidRDefault="00B01F4A" w:rsidP="00B01F4A">
      <w:pPr>
        <w:pStyle w:val="TtuloResolucin"/>
      </w:pPr>
    </w:p>
    <w:p w:rsidR="00B01F4A" w:rsidRDefault="00B01F4A" w:rsidP="00B01F4A">
      <w:pPr>
        <w:pStyle w:val="SntesisDescriptiva"/>
      </w:pPr>
      <w:r>
        <w:t>ECLI:ES:TC:1997:31A</w:t>
      </w:r>
    </w:p>
    <w:p w:rsidR="00B01F4A" w:rsidRDefault="00B01F4A" w:rsidP="00B01F4A">
      <w:pPr>
        <w:pStyle w:val="SntesisDescriptiva"/>
      </w:pPr>
    </w:p>
    <w:p w:rsidR="00B01F4A" w:rsidRDefault="00B01F4A" w:rsidP="00B01F4A">
      <w:pPr>
        <w:pStyle w:val="SntesisDescriptiva"/>
      </w:pPr>
      <w:r>
        <w:t>Excms. Srs. don José Vicente Gimeno Sendra, don Manuel Jiménez de Parga y Cabrera y don Pablo García Manzano.</w:t>
      </w:r>
    </w:p>
    <w:p w:rsidR="00B01F4A" w:rsidRDefault="00B01F4A" w:rsidP="00B01F4A">
      <w:pPr>
        <w:pStyle w:val="SntesisDescriptiva"/>
      </w:pPr>
    </w:p>
    <w:p w:rsidR="00B01F4A" w:rsidRDefault="00B01F4A" w:rsidP="00B01F4A">
      <w:pPr>
        <w:pStyle w:val="SntesisDescriptiva"/>
      </w:pPr>
      <w:r>
        <w:t>Acordando haber lugar al desistimiento del actor en el recurso de amparo 3.816/1996.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22" w:name="AUTO_1997_32"/>
      <w:r>
        <w:lastRenderedPageBreak/>
        <w:t>AUTO 32/1997, de 10 de febrero de 1997</w:t>
      </w:r>
    </w:p>
    <w:bookmarkEnd w:id="122"/>
    <w:p w:rsidR="00B01F4A" w:rsidRDefault="00B01F4A" w:rsidP="00B01F4A">
      <w:pPr>
        <w:pStyle w:val="TtuloResolucin"/>
      </w:pPr>
      <w:r>
        <w:t>Sección Primera</w:t>
      </w:r>
    </w:p>
    <w:p w:rsidR="00B01F4A" w:rsidRDefault="00B01F4A" w:rsidP="00B01F4A">
      <w:pPr>
        <w:pStyle w:val="TtuloResolucin"/>
      </w:pPr>
    </w:p>
    <w:p w:rsidR="00B01F4A" w:rsidRDefault="00B01F4A" w:rsidP="00B01F4A">
      <w:pPr>
        <w:pStyle w:val="SntesisDescriptiva"/>
      </w:pPr>
      <w:r>
        <w:t>ECLI:ES:TC:1997:32A</w:t>
      </w:r>
    </w:p>
    <w:p w:rsidR="00B01F4A" w:rsidRDefault="00B01F4A" w:rsidP="00B01F4A">
      <w:pPr>
        <w:pStyle w:val="SntesisDescriptiva"/>
      </w:pPr>
    </w:p>
    <w:p w:rsidR="00B01F4A" w:rsidRDefault="00B01F4A" w:rsidP="00B01F4A">
      <w:pPr>
        <w:pStyle w:val="SntesisDescriptiva"/>
      </w:pPr>
      <w:r>
        <w:t>Excms. Srs. don Álvaro Rodríguez Bereijo, don Pedro Cruz Villalón y don Enrique Ruiz Vadillo.</w:t>
      </w:r>
    </w:p>
    <w:p w:rsidR="00B01F4A" w:rsidRDefault="00B01F4A" w:rsidP="00B01F4A">
      <w:pPr>
        <w:pStyle w:val="SntesisDescriptiva"/>
      </w:pPr>
    </w:p>
    <w:p w:rsidR="00B01F4A" w:rsidRDefault="00B01F4A" w:rsidP="00B01F4A">
      <w:pPr>
        <w:pStyle w:val="SntesisDescriptiva"/>
      </w:pPr>
      <w:r>
        <w:t>Acordando la inadmisión a trámite del recurso de amparo 2.365/1995.</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presentado en el Registro General de este Tribunal el día 24 de junio de 1995, la Procuradora de los Tribunales doña Isabel Cañedo Vega, en nombre y representación de don Antonio Benedito Serrano, interpuso recurso de amparo contra la Sentencia de la Sala de lo Social del Tribunal Supremo, de 25 de abril de 1995, que resolvió el recurso de casación para la unificación de doctrina interpuesto contra la dictada por la Sala de lo Social del Tribunal Superior de Justicia de Madrid en 15 de octubre de 1992.</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La demanda se basa en los siguientes hechos: </w:t>
      </w:r>
    </w:p>
    <w:p w:rsidR="00B01F4A" w:rsidRDefault="00B01F4A" w:rsidP="00B01F4A">
      <w:pPr>
        <w:pStyle w:val="TextoNormal"/>
      </w:pPr>
      <w:r>
        <w:t xml:space="preserve">a) En las elecciones a órganos de representación unitaria de los trabajadores que en 1990 se celebraron en la empresa del ahora recurrente, éste y otros cuatro trabajadores más fueron excluidos del censo electoral por ser personal no incluido en y al margen del ámbito de aplicación del Convenio Colectivo, en virtud de Resolución de la Mesa Electoral de 11 de octubre de 1990. </w:t>
      </w:r>
    </w:p>
    <w:p w:rsidR="00B01F4A" w:rsidRDefault="00B01F4A" w:rsidP="00B01F4A">
      <w:pPr>
        <w:pStyle w:val="TextoNormal"/>
      </w:pPr>
      <w:r>
        <w:t xml:space="preserve">Formulada demanda solicitando se declarase su derecho a figurar en el censo electoral y a participar en los comicios, fue desestimada por Sentencia del Juzgado de lo Social núm. 22 de Madrid de 11 de marzo de 1991 porque, si bien la exclusión pudiera tener la consideración de vicio grave, no se acreditaba que tuviera la virtualidad de alterar el resultado de las elecciones (art. 76.3 del E.T.). </w:t>
      </w:r>
    </w:p>
    <w:p w:rsidR="00B01F4A" w:rsidRDefault="00B01F4A" w:rsidP="00B01F4A">
      <w:pPr>
        <w:pStyle w:val="TextoNormal"/>
      </w:pPr>
      <w:r>
        <w:t xml:space="preserve">b) En trámite de suplicación, la Sala de lo Social del Tribunal Superior de Justicia de Madrid, por Sentencia de 15 de octubre de 1992, acogió la pretensión actora declarando la nulidad del proceso electoral. </w:t>
      </w:r>
    </w:p>
    <w:p w:rsidR="00B01F4A" w:rsidRDefault="00B01F4A" w:rsidP="00B01F4A">
      <w:pPr>
        <w:pStyle w:val="TextoNormal"/>
      </w:pPr>
      <w:r>
        <w:t xml:space="preserve">«... no se puede considerar -razonaba la Sala- elemento decisivo para desestimar la demanda el dato de que su inclusión en el censo no hubiera alterado el signo de la elección, pues aquí se trata del derecho de los actores a participar en el proceso, con independencia de cuál sea el resultado del mismo, por todo lo cual, ... entendiendo que los actores son trabajadores de régimen común, se debe estimar que tienen derecho a estar incluidos en el censo ... » (fundamento de Derecho 3.º). </w:t>
      </w:r>
    </w:p>
    <w:p w:rsidR="00B01F4A" w:rsidRDefault="00B01F4A" w:rsidP="00B01F4A">
      <w:pPr>
        <w:pStyle w:val="TextoNormal"/>
      </w:pPr>
      <w:r>
        <w:t xml:space="preserve">c) Recurrida en casación para la unificación de doctrina, la Sala de lo Social del Tribunal Supremo, en Sentencia de 25 de abril de 1995, declaró que no cabe recurso alguno contra la Sentencia dictada por el Juzgado de lo Social, anuló lo actuado desde su notificación y la declaró firme. Su fundamento de Derecho 2.º expresaba lo siguiente: </w:t>
      </w:r>
    </w:p>
    <w:p w:rsidR="00B01F4A" w:rsidRDefault="00B01F4A" w:rsidP="00B01F4A">
      <w:pPr>
        <w:pStyle w:val="TextoNormal"/>
      </w:pPr>
      <w:r>
        <w:lastRenderedPageBreak/>
        <w:t xml:space="preserve">« 1. Es cierto, desde luego, que por lo general deviene inviable el recurso de casación para la unificación de doctrina que hubiera sido preparado sin observancia de lo que exige el art. 218 del Texto Articulado de la Ley de Procedimiento Laboral ... Mas no es menos cierto que, cuando con ocasión de conocer de un recurso de tal clase, incluso al margen y con independencia de lo que en el mismo se planteara, quedara patente que se hubieran producido actos judiciales con manifiesta incompetencia funcional, la falta de dicho presupuesto procesal, generadora de la nulidad de pleno Derecho de los indicados actos (art. 238.1 de la Ley Orgánica del Poder Judicial), fuerza a la Sala, actuando de oficio, a decretar las indicadas consecuencias, sin que el eventual defecto en la preparación del recurso, óbice procesal producido en todo caso con posterioridad a la asunción indebida de competencia funcional, haya de excluir la adopción de tal pronunciamiento, pues el mismo viene ordenado por el art. 240.2 de la citada Ley Orgánica del Poder Judicial. Tal es el criterio que manifiestan entre otras, nuestras Sentencias de 9 de marzo, 13, 15 y 22 de julio y 30 de octubre de 1992 y 5 de febrero y 20 de diciembre de 1993, todas ellas referidas a supuestos en los que faltaba el indicado presupuesto procesal (competencia funcional). </w:t>
      </w:r>
    </w:p>
    <w:p w:rsidR="00B01F4A" w:rsidRDefault="00B01F4A" w:rsidP="00B01F4A">
      <w:pPr>
        <w:pStyle w:val="TextoNormal"/>
      </w:pPr>
      <w:r>
        <w:t>2. La indicada actuación de oficio resulta obligada en el supuesto controvertido, teniendo en cuenta que la Sala de procedencia, al admitir y resolver en cuanto al fondo, un recurso de suplicación, que había sido interpuesto contra la Sentencia de instancia, recaída en proceso sobre materia electoral, asumió una competencia funcional de la que manifiestamente carecía, dado lo que de manera inequívoca disponían a la sazón los arts. 133 b) y 188.1, ambos del Texto Articulado de la Ley de Procedimiento Laboral.</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 sin que tal conclusión pudiera quedar desvirtuada por lo que establecía el artículo 188.1 f) del citado texto articulado de la Ley de Procedimiento Laboral, conforme al cual son recurribles en suplicación las sentencias dictadas en materia de tutela de la libertad sindical, pues, además de que, respecto a la materia electoral, el proceso especial que regula el Capítulo Undécimo, Título 11, Libro 11, queda excluido por expreso mandato del art. 181 -hoy 182 del Texto Refundido aprobado por Real Decreto legislativo 2/1995-, la pretensión deducida no fue exclusivamente fundada en violación de un derecho fundamental». </w:t>
      </w:r>
    </w:p>
    <w:p w:rsidR="00B01F4A" w:rsidRDefault="00B01F4A" w:rsidP="00B01F4A">
      <w:pPr>
        <w:pStyle w:val="TextoNormal"/>
      </w:pPr>
      <w:r>
        <w:t xml:space="preserve">3. La demanda de amparo presentada estima violados los arts. 9.3, 14, 23. 1, 24.1 y 28.1 C.E. Se ha privado ilegítimamente al recurrente del derecho sindical más básico y primario en el ámbito de la empresa de su derecho a participar como elector y elegible en un proceso electoral para designar «representantes de los trabajadores, con discriminación frente al resto de la plantilla del centro de trabajo y en contra del criterio de otros Juzgados de lo Social de Madrid (núms. 2, 24 y 25). </w:t>
      </w:r>
    </w:p>
    <w:p w:rsidR="00B01F4A" w:rsidRDefault="00B01F4A" w:rsidP="00B01F4A">
      <w:pPr>
        <w:pStyle w:val="TextoNormal"/>
      </w:pPr>
      <w:r>
        <w:t>El Tribunal Supremo, se afirma, elimina la garantía de cierre que el legislador estableció en el art. 188.1 f) de la L.P.L. para salvaguardia de los derechos fundamentales. La pretensión que denuncia violación de derechos fundamentales en un proceso electoral debe tramitarse por el cauce especial señalado para este tipo de procesos, salvo en lo tocante al recurso de suplicación. De otra parte, si el recurso ha sido inadmitido, ha fracasado en su fase previa, el Tribunal Supremo carece de jurisdicción para decidir ningún aspecto relacionado con el caso. La lectura de las Sentencias en que se apoya demuestra que en todos los supuestos ya se había superado la fase previa de inadmisión y, por tanto, el Tribunal tenía facultad de decisión. El exceso de jurisdicción y este apartamiento injustificado de una línea jurisprudencial consolidada vulnera los arts. 9.3 y 14 C.E.</w:t>
      </w:r>
    </w:p>
    <w:p w:rsidR="00B01F4A" w:rsidRDefault="00B01F4A" w:rsidP="00B01F4A">
      <w:pPr>
        <w:pStyle w:val="TextoNormal"/>
      </w:pPr>
    </w:p>
    <w:p w:rsidR="00B01F4A" w:rsidRDefault="00B01F4A" w:rsidP="00B01F4A">
      <w:pPr>
        <w:pStyle w:val="TextoNormal"/>
      </w:pPr>
      <w:r w:rsidRPr="00B01F4A">
        <w:rPr>
          <w:rStyle w:val="NumeroAFNegritaCaracter"/>
        </w:rPr>
        <w:t>4</w:t>
      </w:r>
      <w:r>
        <w:t xml:space="preserve">. La Sección, por providencia de 10 de julio de 1995, acordó, a tenor del art. 50.5 de la LOTC, conceder a la Procuradora Sra. Cañedo Vega un plazo de diez días para presentar </w:t>
      </w:r>
      <w:r>
        <w:lastRenderedPageBreak/>
        <w:t>certificación acreditativa de la fecha de notificación de la Sentencia que puso fin a la vía judicial previa. Por providencia de 11 de septiembre de 1995 concedió idéntico plazo para presentar la referida certificación, advirtiendo que se decretaría la inadmisión del recurso de no ser atendido el proveído.</w:t>
      </w:r>
    </w:p>
    <w:p w:rsidR="00B01F4A" w:rsidRDefault="00B01F4A" w:rsidP="00B01F4A">
      <w:pPr>
        <w:pStyle w:val="TextoNormal"/>
      </w:pPr>
    </w:p>
    <w:p w:rsidR="00B01F4A" w:rsidRDefault="00B01F4A" w:rsidP="00B01F4A">
      <w:pPr>
        <w:pStyle w:val="TextoNormal"/>
      </w:pPr>
      <w:r w:rsidRPr="00B01F4A">
        <w:rPr>
          <w:rStyle w:val="NumeroAFNegritaCaracter"/>
        </w:rPr>
        <w:t>5</w:t>
      </w:r>
      <w:r>
        <w:t xml:space="preserve">. Cumplimentado el requerimiento, la Sección, por providencia de 25 de marzo de 1996, acordó, a tenor de lo dispuesto en el art. 50.3 de la LOTC, conceder un plazo común de diez días al Ministerio Fiscal y al solicitante de amparo para alegar lo que estimaran pertinente en relación con el motivo de inadmisión prevenido en el art. 50.1 c) de la LOTC. </w:t>
      </w:r>
    </w:p>
    <w:p w:rsidR="00B01F4A" w:rsidRDefault="00B01F4A" w:rsidP="00B01F4A">
      <w:pPr>
        <w:pStyle w:val="TextoNormal"/>
      </w:pPr>
      <w:r>
        <w:t xml:space="preserve">La representación del demandante solicitó la admisión a trámite del recurso, haciendo hincapié en que los órganos judiciales han dejado sin respuesta la cuestión básica planteada en la litis: la ilegalidad cometida por la Mesa electoral al excluirle del censo. </w:t>
      </w:r>
    </w:p>
    <w:p w:rsidR="00B01F4A" w:rsidRDefault="00B01F4A" w:rsidP="00B01F4A">
      <w:pPr>
        <w:pStyle w:val="TextoNormal"/>
      </w:pPr>
      <w:r>
        <w:t xml:space="preserve">El Fiscal ante el Tribunal Constitucional interesó la inadmisión del recurso por la causa que advirtió la Sección. A su juicio, conviene delimitar debidamente el objeto del amparo porque, aunque la demanda formalmente impugna la Sentencia de la Sala de lo Social del Tribunal Supremo y toda su fundamentación se dirige a demostrar que ha incurrido en vulneración de los arts. 14 y 24.1 C.E. -el art. 9.3 no es susceptible de amparo conforme al art. 41.1 de la LOTC-, en el petitum se reclama el derecho del actor a no ser discriminado por razón del cargo y a participar en el proceso electoral, lo que parece indicar que ataca la Sentencia de instancia y el acuerdo de la Mesa electoral excluyéndole del censo de electores. Siguiendo el orden histórico del proceso se suscitan, pues, dos cuestiones: la primera consiste en la impugnación del acuerdo de la Mesa electoral, que confirmó la Sentencia del Juzgado de lo Social, y la segunda se refiere a la Sentencia del Tribunal Supremo. </w:t>
      </w:r>
    </w:p>
    <w:p w:rsidR="00B01F4A" w:rsidRDefault="00B01F4A" w:rsidP="00B01F4A">
      <w:pPr>
        <w:pStyle w:val="TextoNormal"/>
      </w:pPr>
      <w:r>
        <w:t xml:space="preserve">Esta decisión, al explicar razonadamente no sólo el carácter de orden público de la resolución que adopta, sino también la improcedencia del recurso de suplicación habida cuenta de lo dispuesto en el art. 133 b) de la L.P.L., no permite apreciar lesión alguna del derecho a la tutela judicial efectiva, porque se trata de una resolución motivada y además la determinación de las causas legales de inadmisión de los recursos es cuestión de legalidad ordinaria no revisable por el Tribunal Constitucional, salvo cuando se adopten de manera irrazonable o arbitraria, máxime teniendo en cuenta que este caso no afecta al debate sobre derechos fundamentales. Tampoco puede imputársele lesión del derecho a la igualdad en la aplicación de la ley a menos que se citen otras resoluciones de la propia Sala que hayan dado solución distinta a supuestos iguales, lo que no ocurre en el presente caso. </w:t>
      </w:r>
    </w:p>
    <w:p w:rsidR="00B01F4A" w:rsidRDefault="00B01F4A" w:rsidP="00B01F4A">
      <w:pPr>
        <w:pStyle w:val="TextoNormal"/>
      </w:pPr>
      <w:r>
        <w:t>De otra parte, la Resolución del Tribunal Supremo no ha obstaculizado al recurrente la invocación de derechos fundamentales supuestamente vulnerados por el acuerdo de la Mesa Electoral, lo que pudo hacer, primero, durante el proceso electoral ante el Juzgado y después, en el recurso de amparo. Pero lo cierto es que de la Sentencia de instancia no se desprende el planteamiento del problema desde la lesión de derechos fundamentales y en la demanda de amparo no se establecen otros fundamentos distintos de los dirigidos a impugnar la Sentencia del Tribunal Supremo.</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Concurre en la presente demanda de amparo la causa de inadmisión prevista en el art. 50.1 c) LOTC, consistente en la carencia manifiesta de contenido que justifique una decisión por parte de este Tribunal sobre el fondo del asunto.</w:t>
      </w:r>
    </w:p>
    <w:p w:rsidR="00B01F4A" w:rsidRDefault="00B01F4A" w:rsidP="00B01F4A">
      <w:pPr>
        <w:pStyle w:val="TextoNormal"/>
      </w:pPr>
    </w:p>
    <w:p w:rsidR="00B01F4A" w:rsidRDefault="00B01F4A" w:rsidP="00B01F4A">
      <w:pPr>
        <w:pStyle w:val="TextoNormal"/>
      </w:pPr>
      <w:r w:rsidRPr="00B01F4A">
        <w:rPr>
          <w:rStyle w:val="NumeroAFNegritaCaracter"/>
        </w:rPr>
        <w:lastRenderedPageBreak/>
        <w:t>2</w:t>
      </w:r>
      <w:r>
        <w:t>. Ante todo importa reiterar que el art. 9.3 C.E no consagra derechos fundamentales invocables a través del recurso de amparo. Carece igualmente de consistencia la alegada desigualdad en la aplicación judicial de la ley (art.  14 C.E.), toda vez que se proponen como término de comparación resoluciones dictadas por órganos judiciales distintos a aquéllos frente a los que se demanda el amparo. Por otra parte, el derecho fundamental contenido en el art.  23 C.E. es ajeno por completo a la presente controversia (SSTC 149/1988 y 189/1993 y AATC 491/1987 y 364/1988). En cuanto a la alegada vulneración del derecho fundamental a la libertad sindical es de tener en cuenta que, en este supuesto no está en juego la participación del sindicato o sus afiliados en los comicios, sino la condición de elector de un trabajador, al margen de su opción sindical, que además no consta.</w:t>
      </w:r>
    </w:p>
    <w:p w:rsidR="00B01F4A" w:rsidRDefault="00B01F4A" w:rsidP="00B01F4A">
      <w:pPr>
        <w:pStyle w:val="TextoNormal"/>
      </w:pPr>
    </w:p>
    <w:p w:rsidR="00B01F4A" w:rsidRDefault="00B01F4A" w:rsidP="00B01F4A">
      <w:pPr>
        <w:pStyle w:val="TextoNormal"/>
      </w:pPr>
      <w:r w:rsidRPr="00B01F4A">
        <w:rPr>
          <w:rStyle w:val="NumeroAFNegritaCaracter"/>
        </w:rPr>
        <w:t>3</w:t>
      </w:r>
      <w:r>
        <w:t>. En lo concerniente a la irrecurribilidad de la Sentencia dictada por el Juzgado de lo Social y a la forma en que así lo declaró la Sala de lo Social del Tribunal Supremo, es ineludible partir de la doctrina sentada en la STC 37/1995. Desde la premisa de la distinta entidad del acceso a la justicia y al recurso, porque el primero tiene naturaleza constitucional mientras que el derecho a que se revise la respuesta judicial es de configuración legal, dicha Sentencia extrajo dos importantes consecuencias:</w:t>
      </w:r>
    </w:p>
    <w:p w:rsidR="00B01F4A" w:rsidRDefault="00B01F4A" w:rsidP="00B01F4A">
      <w:pPr>
        <w:pStyle w:val="TextoNormal"/>
      </w:pPr>
      <w:r>
        <w:t>a) El principio hermenéutico pro actione no opera con igual intensidad en la fase inicial del proceso que en las sucesivas. En el acceso a la justicia funciona con toda su intensidad, en tanto el mismo ha de ser matizado cuando se trata de los siguientes grados procesales que eventualmente puedan configurarse.</w:t>
      </w:r>
    </w:p>
    <w:p w:rsidR="00B01F4A" w:rsidRDefault="00B01F4A" w:rsidP="00B01F4A">
      <w:pPr>
        <w:pStyle w:val="TextoNormal"/>
      </w:pPr>
      <w:r>
        <w:t>b) Las operaciones de selección de la norma aplicable, incluso en su dimensión temporal, su interpretación y la concreción del supuesto de hecho en punto a la admisibilidad de los recursos, la concurrencia de los presupuestos exigidos y el cumplimiento de los requisitos procesales no son fiscalizables en sede constitucional, salvo que se desviaren notoriamente de la racionalidad, como directiva de la decisión, para incurrir en la arbitrariedad proscrita por el art. 9 C.E.</w:t>
      </w:r>
    </w:p>
    <w:p w:rsidR="00B01F4A" w:rsidRDefault="00B01F4A" w:rsidP="00B01F4A">
      <w:pPr>
        <w:pStyle w:val="TextoNormal"/>
      </w:pPr>
      <w:r>
        <w:t>A la luz de esta doctrina no es ocioso recordar que, acerca de la posibilidad de recurrir en suplicación la Sentencia del Juzgado de lo Social, la normativa es rotunda. Según el art. 133 b) de la L.P.L. de 1990 no cabe recurso, irrecurribilidad que reitera el art. 188.1. Ya el ATC 491/1987 declaró que la inexistencia de recurso en esta modalidad procesal no pugna con el art. 24.1 C.E. Que ex 188.1 f) quepa recurrir las Sentencias dictadas en materia de tutela de la libertad sindical y demás derechos fundamentales y libertades públicas, no hace arbitraria la tesis que estima ello insuficiente para extender la previsión a las recaídas en procesos electorales por el mero hecho de denunciar la lesión de un derecho de tal naturaleza.</w:t>
      </w:r>
    </w:p>
    <w:p w:rsidR="00B01F4A" w:rsidRDefault="00B01F4A" w:rsidP="00B01F4A">
      <w:pPr>
        <w:pStyle w:val="TextoNormal"/>
      </w:pPr>
      <w:r>
        <w:t>De otra parte, los actos judiciales producidos con manifiesta falta de competencia funcional son nulos de pleno derecho (art. 238.1 de la L.O.P.J.), nulidad que puede ser declarada de oficio por el Juez o Tribunal (art. 240.2 de la L.O.P.J.). Al amparo de esta normativa decidió la Sala de lo Social del Tribunal Supremo, sin que tal control sobre el cumplimiento de los presupuestos procesales adquiera relevancia constitucional porque se efectuara con ocasión de un recurso de casación para la unificación de doctrina defectuosamente preparado, pues ni siquiera la desigual aplicación de la ley que se denuncia presenta consistencia. En efecto, las Sentencias que el órgano judicial invoca básicamente destacan la posibilidad de apreciar de oficio que la resolución impugnada no era recurrible en suplicación, y sólo en dos de ellas (Sentencias de 15 de julio de 1992 y 5 de febrero de 1993) se alude tangencialmente a la observancia de los requisitos que establecen los arts.  216 y 221 de la L.P.L. de 1990.</w:t>
      </w:r>
    </w:p>
    <w:p w:rsidR="00B01F4A" w:rsidRDefault="00B01F4A" w:rsidP="00B01F4A">
      <w:pPr>
        <w:pStyle w:val="TextoNormal"/>
      </w:pPr>
    </w:p>
    <w:p w:rsidR="00B01F4A" w:rsidRDefault="00B01F4A" w:rsidP="00B01F4A">
      <w:pPr>
        <w:pStyle w:val="TextoNormal"/>
      </w:pPr>
      <w:r w:rsidRPr="00B01F4A">
        <w:rPr>
          <w:rStyle w:val="NumeroAFNegritaCaracter"/>
        </w:rPr>
        <w:t>4</w:t>
      </w:r>
      <w:r>
        <w:t>. La alegada vulneración del derecho fundamental a la igualdad (art. 14 C.E.), esta vez como consecuencia de la exclusión del demandante de amparo del censo electoral en las elecciones a órganos de representación unitaria de los trabajadores, efectuada por la Mesa electoral, es de tener en cuenta que esta última no puede ser incluida entre los poderes públicos mencionados en el art.  41.2 LOTC (STC 51/1988), de tal modo que, a fin de atribuir la lesión del derecho al Juzgado de lo Social por no haber reparado la vulneración (art. 44 de la LOTC) debería sortearse el obstáculo que deriva del limitado objeto del proceso electoral, pues la demanda únicamente puede fundarse en causas tasadas, entre ellas, cualquier vicio grave que pudiera afectar a las garantías del proceso electoral y que altere su resultado [art. 129 c) de la L.P.L.].</w:t>
      </w:r>
    </w:p>
    <w:p w:rsidR="00B01F4A" w:rsidRDefault="00B01F4A" w:rsidP="00B01F4A">
      <w:pPr>
        <w:pStyle w:val="TextoNormal"/>
      </w:pPr>
      <w:r>
        <w:t>Aunque pueda entrañar una lesión del derecho a la igualdad ante la ley consagrar en la aplicación de la norma una diferencia no objetiva ni razonable o una discriminación constitucionalmente prohibida (STC 69/1991), en este caso no cabe reprochar al intérprete de la norma una violación del art. 14 C.E. El art. 69.1 del E.T. considera electores a todos los trabajadores de la empresa o centro de trabajo mayores de dieciséis años y con una antigüedad en la empresa de, al menos, un mes. El órgano judicial no ignoró este precepto sino que entendió que los arts. 76.3 del E.T. y 129 c) de la L.P.L. constreñían el ámbito de su enjuiciamiento. En este contexto no puede imputársele, por tanto, haber perpetuado una discriminación proscrita por el art. 14 C.E.</w:t>
      </w:r>
    </w:p>
    <w:p w:rsidR="00B01F4A" w:rsidRDefault="00B01F4A" w:rsidP="00B01F4A">
      <w:pPr>
        <w:pStyle w:val="TextoNormal"/>
      </w:pPr>
    </w:p>
    <w:p w:rsidR="00B01F4A" w:rsidRDefault="00B01F4A" w:rsidP="00B01F4A">
      <w:pPr>
        <w:pStyle w:val="TextoNormal"/>
      </w:pPr>
      <w:r w:rsidRPr="00B01F4A">
        <w:rPr>
          <w:rStyle w:val="NumeroAFNegritaCaracter"/>
        </w:rPr>
        <w:t>5</w:t>
      </w:r>
      <w:r>
        <w:t>. Con todo, no puede ocultarse que tras el iter procesal emprendido, el actor no ha obtenido una resolución de fondo sobre la pretensión ejercitada -su derecho a figurar en el censo electoral y a participar como elector en los comicios-, resultado final cuya compatibilidad con el art. 24.1 C.E. debemos ahora analizar.</w:t>
      </w:r>
    </w:p>
    <w:p w:rsidR="00B01F4A" w:rsidRDefault="00B01F4A" w:rsidP="00B01F4A">
      <w:pPr>
        <w:pStyle w:val="TextoNormal"/>
      </w:pPr>
      <w:r>
        <w:t>Con anterioridad se puso de relieve que en el diseño legislativo de las reclamaciones en materia electoral los motivos para impugnar la elección, las resoluciones de la Mesa o, en general, las actuaciones producidas a lo largo del proceso electoral, están configurados como un numerus clausus. En abstracto, esta limitada revisión jurisdiccional, típica del contencioso-electoral, en la medida en que puede justificarse por la necesidad de preservar ciertos intereses dignos de protección, no pugna con la Constitución. Reiteradamente ha declarado este Tribunal que el legislador puede emplear con distintas finalidades el juego entre los juicios plenarios y sumarios y, por consiguiente, es indudable la legitimidad constitucional de los procedimientos sumarios, procedimientos éstos que no vulneran el art. 24.1 C.E. porque queda abierta a todos los interesados la vía del juicio declarativo para la defensa de sus derechos (SSTC 187/1990, 8/1991 y 6/1992, de entre las más recientes).</w:t>
      </w:r>
    </w:p>
    <w:p w:rsidR="00B01F4A" w:rsidRDefault="00B01F4A" w:rsidP="00B01F4A">
      <w:pPr>
        <w:pStyle w:val="TextoNormal"/>
      </w:pPr>
      <w:r>
        <w:t>Ahora bien, siendo la participación en la empresa uno de los derechos básicos del trabajador [art. 4.1 g) del E.T.] y el ejercicio individual de las acciones derivadas del contrato de trabajo uno de los derechos que tiene el trabajador en la relación de trabajo [art. 4.2 g) del E.T.], una conclusión respetuosa con el contenido del art. 24.1 C.E. obliga a entender que, si bien cuando la exclusión del censo electoral de algún trabajador no altera el resultado de las elecciones, la controversia no puede canalizarse por la vía específica del procedimiento electoral, tal pretensión puede ejercitarse como acción declarativa a través del procedimiento ordinario, pues de lo contrario se estaría admitiendo injustificadamente un ámbito exento de control jurisdiccional.</w:t>
      </w:r>
    </w:p>
    <w:p w:rsidR="00B01F4A" w:rsidRDefault="00B01F4A" w:rsidP="00B01F4A">
      <w:pPr>
        <w:pStyle w:val="TextoNormal"/>
      </w:pPr>
      <w:r>
        <w:t xml:space="preserve">Desde luego las resoluciones impugnadas no han rechazado este cauce, ni el recurrente acredita haberlo promovido infructuosamente, sin conseguir un pronunciamiento sobre su </w:t>
      </w:r>
      <w:r>
        <w:lastRenderedPageBreak/>
        <w:t>pretensión sustantiva, lo que, en definitiva, viene a confirmar la concurrencia de la causa de inadmisión puesta de manifiesto en la providencia de 25 de marzo de 1996.</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virtud de lo anteriormente expuesto, la Sección acuerda la inadmisión del presente recurso de amparo y el archivo de las actuaciones.</w:t>
      </w:r>
    </w:p>
    <w:p w:rsidR="00B01F4A" w:rsidRDefault="00B01F4A" w:rsidP="00B01F4A">
      <w:pPr>
        <w:pStyle w:val="TextoNormal"/>
      </w:pPr>
    </w:p>
    <w:p w:rsidR="00B01F4A" w:rsidRDefault="00B01F4A" w:rsidP="00B01F4A">
      <w:pPr>
        <w:pStyle w:val="TextoNormal"/>
      </w:pPr>
      <w:r>
        <w:t>Madrid, a diez de febrero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23" w:name="AUTO_1997_33"/>
      <w:r>
        <w:lastRenderedPageBreak/>
        <w:t>AUTO 33/1997, de 10 de febrero de 1997</w:t>
      </w:r>
    </w:p>
    <w:bookmarkEnd w:id="123"/>
    <w:p w:rsidR="00B01F4A" w:rsidRDefault="00B01F4A" w:rsidP="00B01F4A">
      <w:pPr>
        <w:pStyle w:val="TtuloResolucin"/>
      </w:pPr>
      <w:r>
        <w:t>Sección Primera</w:t>
      </w:r>
    </w:p>
    <w:p w:rsidR="00B01F4A" w:rsidRDefault="00B01F4A" w:rsidP="00B01F4A">
      <w:pPr>
        <w:pStyle w:val="TtuloResolucin"/>
      </w:pPr>
    </w:p>
    <w:p w:rsidR="00B01F4A" w:rsidRDefault="00B01F4A" w:rsidP="00B01F4A">
      <w:pPr>
        <w:pStyle w:val="SntesisDescriptiva"/>
      </w:pPr>
      <w:r>
        <w:t>ECLI:ES:TC:1997:33A</w:t>
      </w:r>
    </w:p>
    <w:p w:rsidR="00B01F4A" w:rsidRDefault="00B01F4A" w:rsidP="00B01F4A">
      <w:pPr>
        <w:pStyle w:val="SntesisDescriptiva"/>
      </w:pPr>
    </w:p>
    <w:p w:rsidR="00B01F4A" w:rsidRDefault="00B01F4A" w:rsidP="00B01F4A">
      <w:pPr>
        <w:pStyle w:val="SntesisDescriptiva"/>
      </w:pPr>
      <w:r>
        <w:t>Excms. Srs. don Álvaro Rodríguez Bereijo, don Pedro Cruz Villalón y don Enrique Ruiz Vadillo.</w:t>
      </w:r>
    </w:p>
    <w:p w:rsidR="00B01F4A" w:rsidRDefault="00B01F4A" w:rsidP="00B01F4A">
      <w:pPr>
        <w:pStyle w:val="SntesisDescriptiva"/>
      </w:pPr>
    </w:p>
    <w:p w:rsidR="00B01F4A" w:rsidRDefault="00B01F4A" w:rsidP="00B01F4A">
      <w:pPr>
        <w:pStyle w:val="SntesisDescriptiva"/>
      </w:pPr>
      <w:r>
        <w:t>Acordando la inadmisión a trámite del recurso de amparo 3.183/1995.</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Por escrito presentado en este Tribunal el día 4 de septiembre de 1995, don Olier Antonio Silva Mendes impugna Auto de 27 de julio 1995 de la Audiencia Provincial de Cáceres, que desestima recurso de súplica contra otro de 17 de junio de 1995 por el que se deniega solicitud de expulsión del territorio nacional.</w:t>
      </w:r>
    </w:p>
    <w:p w:rsidR="00B01F4A" w:rsidRDefault="00B01F4A" w:rsidP="00B01F4A">
      <w:pPr>
        <w:pStyle w:val="TextoNormal"/>
      </w:pPr>
    </w:p>
    <w:p w:rsidR="00B01F4A" w:rsidRDefault="00B01F4A" w:rsidP="00B01F4A">
      <w:pPr>
        <w:pStyle w:val="TextoNormal"/>
      </w:pPr>
      <w:r w:rsidRPr="00B01F4A">
        <w:rPr>
          <w:rStyle w:val="NumeroAFNegritaCaracter"/>
        </w:rPr>
        <w:t>2</w:t>
      </w:r>
      <w:r>
        <w:t>. Por providencia de 11 de septiembre de 1995 se requirió al recurrente para que compareciese con Abogado y Procurador o solicitase su designación de oficio. Presentada la correspondiente solicitud, por providencia de 23 de octubre de 1995 se ordenó que se procediese a tal designación. Una vez realizada, por otra de 20 de noviembre de 1995, se concedió un plazo de veinte días para que formulara la correspondiente demanda de amparo, dentro del cual se alegó que, para ello, era necesario contar con la totalidad de las actuaciones judiciales. De conformidad con lo prevenido en el art. 88 LOTC, la Sección requirió, por providencia de 11 de diciembre de 1995, a la Audiencia Provincial de Cáceres y al Juzgado de Instrucción núm. 1 de Coria, para que, en el plazo de diez días, remitiesen testimonio dei rollo de apelación y procedimiento abreviado correspondientes. Una vez recibidos, el 19 de febrero de 1996, se concedió nuevo plazo de veinte días para formular demanda, lo que se hizo por escrito presentado el 12 de marzo de 1996.</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El recurso de amparo tiene su origen en los siguientes antecedentes de hecho: </w:t>
      </w:r>
    </w:p>
    <w:p w:rsidR="00B01F4A" w:rsidRDefault="00B01F4A" w:rsidP="00B01F4A">
      <w:pPr>
        <w:pStyle w:val="TextoNormal"/>
      </w:pPr>
      <w:r>
        <w:t xml:space="preserve">a) El demandante fue juzgado por un delito calificado por el Ministerio Fiscal de tráfico de drogas, por el que se solicitaba una pena de seis años y un día de prisión mayor y multa, sí bien, celebrado el juicio, modificó tales conclusiones, en el sentido de solicitar una pena de cuatro años, dos meses y un día, a lo que el acusado mostró su conformidad. </w:t>
      </w:r>
    </w:p>
    <w:p w:rsidR="00B01F4A" w:rsidRDefault="00B01F4A" w:rsidP="00B01F4A">
      <w:pPr>
        <w:pStyle w:val="TextoNormal"/>
      </w:pPr>
      <w:r>
        <w:t xml:space="preserve">b) La Sentencia lo condena como autor de un delito sancionado en el inciso final del art. 344 C.P., tráfico de sustancias que no causen grave daño a la salud, penado con arresto mayor en su grado máximo a prisión menor en su grado medio y multa. Pero le impuso la pena establecida en el art. 344 bis a) al concurrir la circunstancia de tratarse de una cantidad de notoria importancia, por lo que le corresponde la pena superior en grado, o sea, la de prisión menor en grado máximo a prisión mayor en grado medio. Concretamente, fue condenado a cuatro años, dos meses y un día (prisión menor en grado máximo) y multa, existiendo conformidad entre él y el Ministerio Fiscal. </w:t>
      </w:r>
    </w:p>
    <w:p w:rsidR="00B01F4A" w:rsidRDefault="00B01F4A" w:rsidP="00B01F4A">
      <w:pPr>
        <w:pStyle w:val="TextoNormal"/>
      </w:pPr>
      <w:r>
        <w:lastRenderedPageBreak/>
        <w:t>c) El recurrente solicitó que se le aplicase lo establecido en el art. 21.2, párrafo segundo, de la Ley Orgánica 7/1985, sobre Derechos y Libertades de los Extranjeros en España (L.O.D.L.E.E.), al haber sido condenado a una pena de prisión menor. La Audiencia, en un primer momento se declaró incompetente, pero, al resolver la súplica, entró a conocer del fondo del asunto, desestimando la petición por considerar que la expulsión es sólo procedente en los casos en que se condena por delitos menos graves, entendiendo por tales «los castigados con pena igual o inferior a prisión menor, siempre partiendo de la pena en abstracto que correspondía al delito por el que han sido condenados con independencia de la pena concretamente impuesta», al no concurrir ello en este caso, en el que la pena procedente por el delito por el que se le condena es la de prisión menor en grado máximo a prisión mayor en grado medio.</w:t>
      </w:r>
    </w:p>
    <w:p w:rsidR="00B01F4A" w:rsidRDefault="00B01F4A" w:rsidP="00B01F4A">
      <w:pPr>
        <w:pStyle w:val="TextoNormal"/>
      </w:pPr>
    </w:p>
    <w:p w:rsidR="00B01F4A" w:rsidRDefault="00B01F4A" w:rsidP="00B01F4A">
      <w:pPr>
        <w:pStyle w:val="TextoNormal"/>
      </w:pPr>
      <w:r w:rsidRPr="00B01F4A">
        <w:rPr>
          <w:rStyle w:val="NumeroAFNegritaCaracter"/>
        </w:rPr>
        <w:t>4</w:t>
      </w:r>
      <w:r>
        <w:t>. La demanda de amparo entiende que se ha vulnerado el art. 17 C.E. al hacerse una interpretación de la norma contraria al principio pro libertate que exigiría que se tuviese en consideración la pena realmente impuesta y no la que corresponde en abstracto al tipo delictivo, cuando ello resulte más favorable a la puesta en libertad del penado.</w:t>
      </w:r>
    </w:p>
    <w:p w:rsidR="00B01F4A" w:rsidRDefault="00B01F4A" w:rsidP="00B01F4A">
      <w:pPr>
        <w:pStyle w:val="TextoNormal"/>
      </w:pPr>
    </w:p>
    <w:p w:rsidR="00B01F4A" w:rsidRDefault="00B01F4A" w:rsidP="00B01F4A">
      <w:pPr>
        <w:pStyle w:val="TextoNormal"/>
      </w:pPr>
      <w:r w:rsidRPr="00B01F4A">
        <w:rPr>
          <w:rStyle w:val="NumeroAFNegritaCaracter"/>
        </w:rPr>
        <w:t>5</w:t>
      </w:r>
      <w:r>
        <w:t>. Por providencia de 10 de junio de 1996, a tenor de lo dispuesto en el art. 50.3 LOTC, con vista de las actuaciones recibidas, se concedió un plazo de diez días al Ministerio Fiscal y al solicitante del amparo para que formulasen las alegaciones que estimasen pertinentes acerca de la posible existencia del motivo de inadmisión recogido en el art. 50.1 c), consistente carecer la demanda manifiestamente de contenido que justifique una decisión por parte de este Tribunal.</w:t>
      </w:r>
    </w:p>
    <w:p w:rsidR="00B01F4A" w:rsidRDefault="00B01F4A" w:rsidP="00B01F4A">
      <w:pPr>
        <w:pStyle w:val="TextoNormal"/>
      </w:pPr>
    </w:p>
    <w:p w:rsidR="00B01F4A" w:rsidRDefault="00B01F4A" w:rsidP="00B01F4A">
      <w:pPr>
        <w:pStyle w:val="TextoNormal"/>
      </w:pPr>
      <w:r w:rsidRPr="00B01F4A">
        <w:rPr>
          <w:rStyle w:val="NumeroAFNegritaCaracter"/>
        </w:rPr>
        <w:t>6</w:t>
      </w:r>
      <w:r>
        <w:t>. Mediante escrito presentado el día 24 de junio de 1996, el Fiscal interesó que, de acuerdo con el art. 50.1 c) LOTC, se inadmitiese el presente recurso. Considera que la medida de expulsión prevista en el art. 21.2 L.O.D.L.E.E. como alternativa a la pena de privación de libertad no supone el reconocimiento de un derecho incondicional del extranjero a la expulsión en función del favor libertatis, siendo así que, en este caso, se ha hecho una interpretación de la facultad otorgada por la Ley al Tribunal basada en la jurisprudencia del Tribunal Supremo y la Circular de la Fiscalía General del Estado 1/1994 y se ha motivado suficientemente la decisión adoptada.</w:t>
      </w:r>
    </w:p>
    <w:p w:rsidR="00B01F4A" w:rsidRDefault="00B01F4A" w:rsidP="00B01F4A">
      <w:pPr>
        <w:pStyle w:val="TextoNormal"/>
      </w:pPr>
    </w:p>
    <w:p w:rsidR="00B01F4A" w:rsidRDefault="00B01F4A" w:rsidP="00B01F4A">
      <w:pPr>
        <w:pStyle w:val="TextoNormal"/>
      </w:pPr>
      <w:r w:rsidRPr="00B01F4A">
        <w:rPr>
          <w:rStyle w:val="NumeroAFNegritaCaracter"/>
        </w:rPr>
        <w:t>7</w:t>
      </w:r>
      <w:r>
        <w:t>. Tras una nueva designación de Abogado de oficio, motivada por el abandono de la profesión del primeramente designado, finalmente el 5 de octubre de 1996 se presentaron las correspondientes alegaciones en la que se justificaba la vulneración del derecho fundamental en cuestión por cuanto el criterio de tomar en consideración la pena en abstracto, seguido por el órgano judicial no es válido, pues tras la Sentencia toda pena es concreta, una vez tomadas en consideración todas y cada una de las circunstancias objetivas y subjetivas que concurren para su interposición.</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xml:space="preserve">. Concurre en la presente demanda de amparo el motivo de inadmisión previsto en el art. 50.1 c) LOTC consistente en la falta de contenido que justifique una decisión sobre el </w:t>
      </w:r>
      <w:r>
        <w:lastRenderedPageBreak/>
        <w:t>fondo por parte de este Tribunal. La demanda parte de una determinada interpretación del art. 21.2 L.O.D.L.E.E., que establece:</w:t>
      </w:r>
    </w:p>
    <w:p w:rsidR="00B01F4A" w:rsidRDefault="00B01F4A" w:rsidP="00B01F4A">
      <w:pPr>
        <w:pStyle w:val="TextoNormal"/>
      </w:pPr>
      <w:r>
        <w:t>«Cuando un extranjero se encuentre encartado en un procedimiento por delitos menos graves, entendiéndose tales los castigados en nuestro ordenamiento jurídico con pena igual o inferior a prisión menor, el Juez podrá autorizar, previa audiencia del Fiscal, su salida de España, siempre que se cumplan los requisitos establecidos en la L.E.Crim., o su expulsión, si está incurso en alguno de los supuestos establecidos en el art. 26. 1.</w:t>
      </w:r>
    </w:p>
    <w:p w:rsidR="00B01F4A" w:rsidRDefault="00B01F4A" w:rsidP="00B01F4A">
      <w:pPr>
        <w:pStyle w:val="TextoNormal"/>
      </w:pPr>
      <w:r>
        <w:t>Si el extranjero fuere condenado por delito menos grave y en Sentencia firme, el Juez o Tribunal podrán acordar, previa audiencia de aquél, su expulsión del Territorio nacional como sustitutiva de las penas que le fueren aplicables, asegurando en todo caso la satisfacción de las responsabilidades civiles a que hubiere lugar, todo ello sin perjuicio de cumplir, sí regresara a España, la pena que le fuere impuesta.»</w:t>
      </w:r>
    </w:p>
    <w:p w:rsidR="00B01F4A" w:rsidRDefault="00B01F4A" w:rsidP="00B01F4A">
      <w:pPr>
        <w:pStyle w:val="TextoNormal"/>
      </w:pPr>
      <w:r>
        <w:t>Sostiene el demandante que debe estarse, como interpretación más favorable a la libertad, para determinar si el delito por el que se le ha condenado es o no menos grave, a la pena realmente impuesta, pudiéndose autorizar la sustitución por la expulsión cuando la condena no sea superior a seis años, aunque, como aquí ocurre, se trate de un tipo delictivo al que corresponda en su grado máximo una pena superior a la de prisión menor.</w:t>
      </w:r>
    </w:p>
    <w:p w:rsidR="00B01F4A" w:rsidRDefault="00B01F4A" w:rsidP="00B01F4A">
      <w:pPr>
        <w:pStyle w:val="TextoNormal"/>
      </w:pPr>
      <w:r>
        <w:t>El Fiscal, por su parte, interesa la inadmisión del recurso, toda vez que entiende que estando privado de libertad en virtud de Sentencia firme no existe un derecho incondicional del extranjero a la expulsión en función del favor libertatis, siendo así que, en este caso, se ha hecho una interpretación de la facultad otorgada por la Ley al Tribunal basada en la jurisprudencia del Tribunal Supremo y la Circular de la Fiscalía General del Estado 1/1994 y se ha motivado suficientemente la decisión adoptada.</w:t>
      </w:r>
    </w:p>
    <w:p w:rsidR="00B01F4A" w:rsidRDefault="00B01F4A" w:rsidP="00B01F4A">
      <w:pPr>
        <w:pStyle w:val="TextoNormal"/>
      </w:pPr>
    </w:p>
    <w:p w:rsidR="00B01F4A" w:rsidRDefault="00B01F4A" w:rsidP="00B01F4A">
      <w:pPr>
        <w:pStyle w:val="TextoNormal"/>
      </w:pPr>
      <w:r w:rsidRPr="00B01F4A">
        <w:rPr>
          <w:rStyle w:val="NumeroAFNegritaCaracter"/>
        </w:rPr>
        <w:t>2</w:t>
      </w:r>
      <w:r>
        <w:t>. Ante todo debe distinguirse dentro de esta figura de expulsión, dado que la relevancia constitucional de los problemas que puedan plantearse es bien distinta en uno y otro caso, entre, por una parte, la expulsión a instancia del interesado, en la que éste manifiesta su deseo y voluntad de que se le sustituya la pena por esa otra medida; y, por otra, la expulsión de oficio, decretada contra la voluntad del afectado. Respecto a este último supuesto, la STC 242/1994, ha declarado que «no se concibe como modalidad de ejercicio del ius puniendi del Estado frente a un hecho legalmente tipificado como delito, sino como medida que frente a una conducta incorrecta del extranjero en el Estado en que legalmente reside puede imponerle en el marco de una política criminal, vinculada a una política de extranjería, que a aquél incumbe legítimamente diseñar», precisando más adelante que «no se trata de una pena, pero indiscutiblemente puede llegar a ser, de no aceptarse por el afectado, una medida restrictiva de los derechos de los extranjeros que se encuentran residiendo legítimamente en España, en este caso, del derecho de permanecer en nuestro país, cuya relevancia constitucional se ha afirmado en la jurisprudencia de este Tribunal».</w:t>
      </w:r>
    </w:p>
    <w:p w:rsidR="00B01F4A" w:rsidRDefault="00B01F4A" w:rsidP="00B01F4A">
      <w:pPr>
        <w:pStyle w:val="TextoNormal"/>
      </w:pPr>
      <w:r>
        <w:t>Ahora bien, cuando la expulsión la solicita el afectado, lo que se está planteando es la concesión de un beneficio consistente en evitar la privación de libertad personal, al adquirir esta consecuencia una evidente prevalencia sobre la limitación consistente en la privación de la libertad de residencia por el territorio nacional.</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Desde esta perspectiva debe rechazarse, de conformidad con el alegato del Ministerio Fiscal, que la pretensión que se formula sea protegible por el art.  17 C.E., invocado en la demanda de amparo. Ciertamente, en la resolución que se impugna, se decidía acerca de la libertad del demandante, pero ello no es por sí mismo determinante de la concesión del </w:t>
      </w:r>
      <w:r>
        <w:lastRenderedPageBreak/>
        <w:t>amparo. No cabe, en efecto, hablar de un derecho fundamental a la aplicación de la sustitución de la pena por expulsión prevista en el art. 21.2 L.O.D.L.E.E., sino que se trata de una medida que, además del cumplimiento de los requisitos mínimos establecidos en la Ley (condena por delito menos grave, aseguramiento de las responsabilidades civiles), exige una valoración del Juez, dada su configuración legal, que ha de realizar una ponderada interpretación del conjunto del ordenamiento y de los valores defendidos en la Constitución, que ni está obligado a otorgarla ni sujeto a una interpretación necesariamente favorable en virtud, exclusivamente, del principio pro libertate. El art. 17 C.E., como ya se dijera en relación con la remisión condicional, «no impone a los Jueces y Tribunales que integran el Poder Judicial una especial obligación de benevolencia ni les otorga facultades para resolver en equidad al margen de la Ley ni, en particular, les obliga a conceder la remisión condicional de la condena cuando se dan los requisitos del art. 93 C.P. No nos corresponde, en consecuencia, porque está al margen del derecho constitucionalmente garantizado, juzgar acerca del rigor o la benignidad de las decisiones judiciales que ni aplican normas contrarias a la Constitución ni las interpretan de modo incompatible con ella» (STC 54/1986).</w:t>
      </w:r>
    </w:p>
    <w:p w:rsidR="00B01F4A" w:rsidRDefault="00B01F4A" w:rsidP="00B01F4A">
      <w:pPr>
        <w:pStyle w:val="TextoNormal"/>
      </w:pPr>
    </w:p>
    <w:p w:rsidR="00B01F4A" w:rsidRDefault="00B01F4A" w:rsidP="00B01F4A">
      <w:pPr>
        <w:pStyle w:val="TextoNormal"/>
      </w:pPr>
      <w:r w:rsidRPr="00B01F4A">
        <w:rPr>
          <w:rStyle w:val="NumeroAFNegritaCaracter"/>
        </w:rPr>
        <w:t>4</w:t>
      </w:r>
      <w:r>
        <w:t>. Lo dicho es encuadrable en un planteamiento más general, conforme al cual, «dentro del necesario arbitrio judicial para la aplicación de las previsiones naturalmente abstractas del legislador, cabe admitir, como ejercicio constitucionalmente correcto de la potestad jurisdiccional, el dotar de sentido a una institución legal de impreciso contenido. Si tal interpretación hermenéutica ha sido declarada conforme a la Constitución en la confección de los presupuestos de la pena, v. gr. para el delito continuado (STC 89/1983), más lo será a la hora de salvaguardada la prevención general, ejecutar in concreto una determinada pena» (STC 230/1991). De ello resulta que la función de este Tribunal, ante resoluciones denegatorias de este beneficio, debe limitarse a comprobar que su denegación haya sido motivada y que no se produzca «una privación de libertad en un caso no previsto por la ley» (STC 14/1988).</w:t>
      </w:r>
    </w:p>
    <w:p w:rsidR="00B01F4A" w:rsidRDefault="00B01F4A" w:rsidP="00B01F4A">
      <w:pPr>
        <w:pStyle w:val="TextoNormal"/>
      </w:pPr>
      <w:r>
        <w:t>En este caso, la resolución de la Audiencia está motivada y basada en la aplicación de la Ley, sin que pueda tacharse de arbitraría, pues no es incoherente con el texto de la norma, que toma en consideración el tipo de delito por el que se le condena, lo que le conduce a aplicar el criterio de la pena abstracta, apoyándose además en una Circular de la Fiscalía General del Estado, y si bien pueden aducirse razones en favor de la consideración de la pena concreta, ello no llega al punto de que se pueda tachar de arbitraria la resolución impugnada al basarse en una confusa redacción de la Ley.</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lo expuesto, la Sección acuerda inadmitir la presente demanda de amparo.</w:t>
      </w:r>
    </w:p>
    <w:p w:rsidR="00B01F4A" w:rsidRDefault="00B01F4A" w:rsidP="00B01F4A">
      <w:pPr>
        <w:pStyle w:val="TextoNormal"/>
      </w:pPr>
    </w:p>
    <w:p w:rsidR="00B01F4A" w:rsidRDefault="00B01F4A" w:rsidP="00B01F4A">
      <w:pPr>
        <w:pStyle w:val="TextoNormal"/>
      </w:pPr>
      <w:r>
        <w:t>Madrid, a diez de febrero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24" w:name="AUTO_1997_34"/>
      <w:r>
        <w:lastRenderedPageBreak/>
        <w:t>AUTO 34/1997, de 10 de febrero de 1997</w:t>
      </w:r>
    </w:p>
    <w:bookmarkEnd w:id="124"/>
    <w:p w:rsidR="00B01F4A" w:rsidRDefault="00B01F4A" w:rsidP="00B01F4A">
      <w:pPr>
        <w:pStyle w:val="TtuloResolucin"/>
      </w:pPr>
      <w:r>
        <w:t>Sala Segunda</w:t>
      </w:r>
    </w:p>
    <w:p w:rsidR="00B01F4A" w:rsidRDefault="00B01F4A" w:rsidP="00B01F4A">
      <w:pPr>
        <w:pStyle w:val="TtuloResolucin"/>
      </w:pPr>
    </w:p>
    <w:p w:rsidR="00B01F4A" w:rsidRDefault="00B01F4A" w:rsidP="00B01F4A">
      <w:pPr>
        <w:pStyle w:val="SntesisDescriptiva"/>
      </w:pPr>
      <w:r>
        <w:t>ECLI:ES:TC:1997:34A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don Rafael de Mendizábal Allende, don Julio D. González Campos, don Carles Viver Pi-Sunyer y don Tomás Salvador Vives Antón.</w:t>
      </w:r>
    </w:p>
    <w:p w:rsidR="00B01F4A" w:rsidRDefault="00B01F4A" w:rsidP="00B01F4A">
      <w:pPr>
        <w:pStyle w:val="SntesisDescriptiva"/>
      </w:pPr>
    </w:p>
    <w:p w:rsidR="00B01F4A" w:rsidRDefault="00B01F4A" w:rsidP="00B01F4A">
      <w:pPr>
        <w:pStyle w:val="SntesisDescriptiva"/>
      </w:pPr>
      <w:r>
        <w:t>Acordando la suspensión de la ejecución del acto que origina el recurso de amparo 3.413/1995.</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ante este Tribunal el día 6 de octubre de 1995, el Procurador de los Tribunales don Carmelo Olmos Gómez, en nombre y representación de doña Montserrat Rull Virgili y otros, formula demanda de amparo constitucional contra la Sentencia de la Sección Cuarta de la Sala de lo Contencioso-Administrativo del Tribunal Superior de Justicia de Cataluña, de 4 de noviembre de 1994, recaída en el proceso núm. 776/92, en virtud de la cual, con estimación parcial del recurso interpuesto, fueron anulados diferentes extremos de la Resolución del Departamento de Enseñanza de la Generalidad de Cataluña de 25 de noviembre de 1991 (Diario Oficial de 2 de diciembre), por la que se convocaba concurso de méritos para la adquisición de la condición de Catedrático.</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Los hechos de que trae causa la presente demanda de amparo relevantes para la resolución del caso son, en síntesis, los siguientes: </w:t>
      </w:r>
    </w:p>
    <w:p w:rsidR="00B01F4A" w:rsidRDefault="00B01F4A" w:rsidP="00B01F4A">
      <w:pPr>
        <w:pStyle w:val="TextoNormal"/>
      </w:pPr>
      <w:r>
        <w:t xml:space="preserve">a) Los hoy recurrentes fueron incluidos en la lista de aspirantes para adquirir la condición de Catedrático, de conformidad con el procedimiento selectivo convocado por la Resolución de 25 de noviembre de 1991, y que fue publicada en el «Diario Oficial de la Generalidad de Cataluña» del día 26 de febrero de 1993, habiendo obtenido, de resultas del citado procedimiento, la indicada condición. </w:t>
      </w:r>
    </w:p>
    <w:p w:rsidR="00B01F4A" w:rsidRDefault="00B01F4A" w:rsidP="00B01F4A">
      <w:pPr>
        <w:pStyle w:val="TextoNormal"/>
      </w:pPr>
      <w:r>
        <w:t xml:space="preserve">b) El recurso contencioso-administrativo núm. 776/92, entablado por don José Manuel Badenas Duarte y otros, fue resuelto por la Sentencia de la Sección Cuarta de la Sala de lo Contencioso-Administrativo del Tribunal Superior de Justicia de Cataluña de 4 de noviembre de 1994, en cuyo fallo, luego del arriba mencionado pronunciamiento anulatorio, se hacía constar la procedencia del recurso de casación y la indicación de que por el Departamento de Enseñanza de la Generalidad se procediera a notificar el encabezamiento y parte dispositiva de la misma a todas aquellas personas que, figurando o no en la lista de aspirantes publicada en el «Diario Oficial de la Generalidad de Cataluña» del día 26 de febrero de 1993, hubieran adquirido la condición de Catedrático en virtud del procedimiento selectivo convocado por Resolución de 25 de noviembre de 1991. </w:t>
      </w:r>
    </w:p>
    <w:p w:rsidR="00B01F4A" w:rsidRDefault="00B01F4A" w:rsidP="00B01F4A">
      <w:pPr>
        <w:pStyle w:val="TextoNormal"/>
      </w:pPr>
      <w:r>
        <w:lastRenderedPageBreak/>
        <w:t xml:space="preserve">c) En cumplimiento del meritado fallo, la Resolución de 19 de mayo de 1995 procedió a notificar a los interesados la citada Sentencia, comunicándose, a su vez, a la Sala, por Resolución de 25 de mayo, dicha ejecución. En virtud de la aludida notificación, la providencia de 10 de julio de 1995 tuvo a los recurrentes en amparo por personados y parte en calidad de codemandados en el recurso núm. 776/92, así como por preparado el recurso de casación interpuesto por aquéllos. </w:t>
      </w:r>
    </w:p>
    <w:p w:rsidR="00B01F4A" w:rsidRDefault="00B01F4A" w:rsidP="00B01F4A">
      <w:pPr>
        <w:pStyle w:val="TextoNormal"/>
      </w:pPr>
      <w:r>
        <w:t xml:space="preserve">d) La providencia de la Sección Cuarta de la Sala de lo Contencioso-Administrativo del Tribunal Superior de Justicia de Cataluña de 15 de septiembre de 1995, notificada en 19 de septiembre, dio traslado a los hoy recurrentes del Auto de la Sección Séptima de la Sala Tercera del Tribunal Supremo de 2 de junio de 1995, recaído en el recurso núm. 8.494/94, que inadmitió, por referirse a materia de personal, y no tratarse la en su momento impugnada de una norma; el recurso de casación interpuesto por la Generalidad de Cataluña contra la Sentencia de la Sección Cuarta de la Sala de lo Contencioso-Administrativo del Tribunal Superior de Justicia de Cataluña de 4 de noviembre de 1994, recaída en el recurso núm. 776/92 y objeto del presente recurso de amparo. </w:t>
      </w:r>
    </w:p>
    <w:p w:rsidR="00B01F4A" w:rsidRDefault="00B01F4A" w:rsidP="00B01F4A">
      <w:pPr>
        <w:pStyle w:val="TextoNormal"/>
      </w:pPr>
      <w:r>
        <w:t>e) La Sección Cuarta de la Sala de lo Contencioso-Administrativo del Tribunal Superior de Justicia de Cataluña dictó Auto de fecha 25 de octubre de 1995 suspendiendo la ejecución de la Sentencia ahora recurrida en amparo.</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Los demandantes en amparo, que articulan su queja en virtud del art. 44 LOTC, entienden que la resolución judicial recurrida vulnera diferentes derechos consignados en el art. 24, en sus dos apartados, del texto constitucional, en razón de la imputación (primariamente ha de entenderse a la Administración, aunque igualmente, en su cometido de comprobación de los emplazamientos por aquélla efectuados ex art. 64.1 L.J.C.A., al órgano jurisdiccional, en virtud de lo prescrito en el núm. 2 del citado art. 64) de transgresión del derecho a la tutela judicial efectiva sin indefensión a la omisión de los debidos emplazamientos personales y directos a los hoy recurrentes, omisión impeditiva del acceso a la jurisdicción y, en consecuencia, determinante de la frustración de la defensa en el proceso de los derechos e intereses de que eran titulares por mor de la situación de ventaja que para los mismos se desprendía del procedimiento de selección de que trae causa el proceso judicial a quo y que se concreta en el hecho de figurar en la lista de aspirantes, publicada durante la tramitación del recurso interpuesto contra diferentes extremos de la convocatoria del procedimiento de selección del que resultó la adquisición de la condición de Catedráticos por los mismos. </w:t>
      </w:r>
    </w:p>
    <w:p w:rsidR="00B01F4A" w:rsidRDefault="00B01F4A" w:rsidP="00B01F4A">
      <w:pPr>
        <w:pStyle w:val="TextoNormal"/>
      </w:pPr>
      <w:r>
        <w:t>Asimismo ha de entenderse de una manera subsidiaria imputan los recurrentes a la resolución judicial recurrida vulneración de los derechos consagrados en los arts. 14 (principio-derecho de igualdad) y 27 (por lo que se refiere a la libertad de cátedra, que entienden subsumida en este precepto) del texto constitucional, efectuando (aun cuando sin referencia a precepto constitucional específico) una serie de consideraciones acerca de la conculcación por aquélla del derecho a utilizar el catalán.</w:t>
      </w:r>
    </w:p>
    <w:p w:rsidR="00B01F4A" w:rsidRDefault="00B01F4A" w:rsidP="00B01F4A">
      <w:pPr>
        <w:pStyle w:val="TextoNormal"/>
      </w:pPr>
    </w:p>
    <w:p w:rsidR="00B01F4A" w:rsidRDefault="00B01F4A" w:rsidP="00B01F4A">
      <w:pPr>
        <w:pStyle w:val="TextoNormal"/>
      </w:pPr>
      <w:r w:rsidRPr="00B01F4A">
        <w:rPr>
          <w:rStyle w:val="NumeroAFNegritaCaracter"/>
        </w:rPr>
        <w:t>4</w:t>
      </w:r>
      <w:r>
        <w:t xml:space="preserve">. La Sección Tercera, mediante providencia de 20 de marzo de 1996, acordó admitir a trámite el recurso de amparo, dirigir comunicación a la Sección Séptima de la Sala Tercera del Tribunal Supremo a fin de que, en plazo que no excediera de diez días, remitiera certificación o fotocopia adverada de las actuaciones correspondientes al recurso núm. 8.494/94, y a la Sala de lo Contencioso-Administrativo del Tribunal Superior de Justicia de Cataluña a fin de que, en ese mismo plazo, remitiera certificación o fotocopia adverada de las actuaciones correspondientes al recurso núm. 776/92; así como que se emplazara previamente, </w:t>
      </w:r>
      <w:r>
        <w:lastRenderedPageBreak/>
        <w:t>para que en el plazo de diez días pudieran comparecer en el recurso de amparo y defender su derecho a quienes hubieran sido parte en el procedimiento excepto la parte recurrente en amparo.</w:t>
      </w:r>
    </w:p>
    <w:p w:rsidR="00B01F4A" w:rsidRDefault="00B01F4A" w:rsidP="00B01F4A">
      <w:pPr>
        <w:pStyle w:val="TextoNormal"/>
      </w:pPr>
    </w:p>
    <w:p w:rsidR="00B01F4A" w:rsidRDefault="00B01F4A" w:rsidP="00B01F4A">
      <w:pPr>
        <w:pStyle w:val="TextoNormal"/>
      </w:pPr>
      <w:r w:rsidRPr="00B01F4A">
        <w:rPr>
          <w:rStyle w:val="NumeroAFNegritaCaracter"/>
        </w:rPr>
        <w:t>5</w:t>
      </w:r>
      <w:r>
        <w:t>. Por providencia de 20 de marzo de 1996 la Sección acordó formar la oportuna pieza de suspensión y, conforme a lo dispuesto en el art. 56 LOTC, conceder un plazo común de tres días a la parte recurrente y al Ministerio Fiscal para que alegaran lo que estimasen pertinente acerca de dicho extremo.</w:t>
      </w:r>
    </w:p>
    <w:p w:rsidR="00B01F4A" w:rsidRDefault="00B01F4A" w:rsidP="00B01F4A">
      <w:pPr>
        <w:pStyle w:val="TextoNormal"/>
      </w:pPr>
    </w:p>
    <w:p w:rsidR="00B01F4A" w:rsidRDefault="00B01F4A" w:rsidP="00B01F4A">
      <w:pPr>
        <w:pStyle w:val="TextoNormal"/>
      </w:pPr>
      <w:r w:rsidRPr="00B01F4A">
        <w:rPr>
          <w:rStyle w:val="NumeroAFNegritaCaracter"/>
        </w:rPr>
        <w:t>6</w:t>
      </w:r>
      <w:r>
        <w:t xml:space="preserve">. Mediante escrito que tuvo entrada en este Tribunal el 25 de marzo de 1996, los recurrentes en amparo solicitan la suspensión cautelar de la ejecución de Sentencia para evitar una situación irreversible que haga ineficaz, inútil o ilusorio el amparo y que produciría graves perjuicios no sólo a ellos mismos sino también al sistema educativo por razón del interés protegido en el art. 27 C.E. </w:t>
      </w:r>
    </w:p>
    <w:p w:rsidR="00B01F4A" w:rsidRDefault="00B01F4A" w:rsidP="00B01F4A">
      <w:pPr>
        <w:pStyle w:val="TextoNormal"/>
      </w:pPr>
      <w:r>
        <w:t>La ejecución significaría, según los recurrentes, realizar un nuevo proceso selectivo que sustituyera al anulado parcialmente por la Sentencia recurrida en amparo, a través de un procedimiento absolutamente distinto al empleado, pudiendo perder la condición de Catedrático parte de los seleccionados en la convocatoria parcialmente anulada, y aunque los interesados recuperaran su condición de Catedrático se verían perjudicados indudablemente.</w:t>
      </w:r>
    </w:p>
    <w:p w:rsidR="00B01F4A" w:rsidRDefault="00B01F4A" w:rsidP="00B01F4A">
      <w:pPr>
        <w:pStyle w:val="TextoNormal"/>
      </w:pPr>
    </w:p>
    <w:p w:rsidR="00B01F4A" w:rsidRDefault="00B01F4A" w:rsidP="00B01F4A">
      <w:pPr>
        <w:pStyle w:val="TextoNormal"/>
      </w:pPr>
      <w:r w:rsidRPr="00B01F4A">
        <w:rPr>
          <w:rStyle w:val="NumeroAFNegritaCaracter"/>
        </w:rPr>
        <w:t>7</w:t>
      </w:r>
      <w:r>
        <w:t xml:space="preserve">. El Ministerio Fiscal, por escrito que tuvo entrada en este Tribunal el 26 de marzo de 1996, se opone a la suspensión solicitada. </w:t>
      </w:r>
    </w:p>
    <w:p w:rsidR="00B01F4A" w:rsidRDefault="00B01F4A" w:rsidP="00B01F4A">
      <w:pPr>
        <w:pStyle w:val="TextoNormal"/>
      </w:pPr>
      <w:r>
        <w:t xml:space="preserve">Manifiesta que en el caso de resoluciones judiciales el criterio general es el de la no suspensión, y este supuesto no es una excepción. La consecuencia inmediata de la no suspensión sería la ejecución de la Sentencia dictada por el Tribunal Superior de Justicia de Cataluña y la convocatoria de un nuevo concurso. A dicho concurso podrían comparecer tanto los solicitantes de amparo como todas las personas interesadas, luego ningún perjuicio traería tal consecuencia. Antes lo contrario, la irreparabilidad o cuando menos la perturbación grave de los intereses generales vendría dada para el caso de que no se ejecutara la Sentencia y quedaran excluidos quienes en virtud de la Sentencia tendrían derecho a participar en las pruebas. </w:t>
      </w:r>
    </w:p>
    <w:p w:rsidR="00B01F4A" w:rsidRDefault="00B01F4A" w:rsidP="00B01F4A">
      <w:pPr>
        <w:pStyle w:val="TextoNormal"/>
      </w:pPr>
      <w:r>
        <w:t xml:space="preserve">S. Por providencia de 18 de julio de 1996 la Sección acordó conceder un plazo común de tres días a la representación procesal de la Generalidad de Cataluña y a la Procuradora doña Isabel Juliá Corujo para que aleguen lo que estimen pertinente sobre suspensión interesada por la parte recurrente. </w:t>
      </w:r>
    </w:p>
    <w:p w:rsidR="00B01F4A" w:rsidRDefault="00B01F4A" w:rsidP="00B01F4A">
      <w:pPr>
        <w:pStyle w:val="TextoNormal"/>
      </w:pPr>
      <w:r>
        <w:t xml:space="preserve">9. Por escrito presentado en los Juzgados de Guardia de Madrid el 30 de julio de 1996, la Generalidad de Cataluña interesa la suspensión de la ejecución de la Sentencia del Tribunal Superior de Justicia. </w:t>
      </w:r>
    </w:p>
    <w:p w:rsidR="00B01F4A" w:rsidRDefault="00B01F4A" w:rsidP="00B01F4A">
      <w:pPr>
        <w:pStyle w:val="TextoNormal"/>
      </w:pPr>
      <w:r>
        <w:t xml:space="preserve">Considera que lo que podría producir graves perturbaciones en los intereses generales sería la ejecución de la Sentencia, en el caso que posteriormente se otorgara el amparo solicitado. Destaca la incidencia que sobre la organización de la enseñanza puede tener la ejecución de la misma. En este sentido manifiesta que la condición de catedrático está configurada en la disposición adicional decimosexta, apartado tercero, de la L.O.G.S.E. como un mérito docente específico que hay que valorar a todos los efectos. En consecuencia, si no se paraliza la ejecución podrían producirse graves perjuicios para la organización de la enseñanza y podría afectar al derecho a la educación de los alumnos, reconocido en el art. 27 C.E. como un derecho fundamental. </w:t>
      </w:r>
    </w:p>
    <w:p w:rsidR="00B01F4A" w:rsidRDefault="00B01F4A" w:rsidP="00B01F4A">
      <w:pPr>
        <w:pStyle w:val="TextoNormal"/>
      </w:pPr>
      <w:r>
        <w:lastRenderedPageBreak/>
        <w:t xml:space="preserve">También manifiesta que debido a la gran cantidad de actos e interesados que resultarían afectados, así como la complejidad de la ejecución, si se tuvieran que retrotraer los actos realizados se perjudicaría la finalidad del amparo y la organización del servicio público de la enseñanza. Por lo que también con fundamento en ello solicita la suspensión de la ejecución de la Sentencia. </w:t>
      </w:r>
    </w:p>
    <w:p w:rsidR="00B01F4A" w:rsidRDefault="00B01F4A" w:rsidP="00B01F4A">
      <w:pPr>
        <w:pStyle w:val="TextoNormal"/>
      </w:pPr>
      <w:r>
        <w:t>10. Por diligencia del Secretario de Justicia de la Sala Segunda de este Tribunal, de 6 de agosto de 1996, se hizo constar que no se había recibido escrito alguno de la Procuradora señora Juliá Corujo.</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punto de este mismo precepto que la suspensión, no obstante, podrá denegarse cuando de aquélla «pueda seguirse perturbación grave de los intereses generales o de los derechos fundamentales o intereses públicos de un tercero».</w:t>
      </w:r>
    </w:p>
    <w:p w:rsidR="00B01F4A" w:rsidRDefault="00B01F4A" w:rsidP="00B01F4A">
      <w:pPr>
        <w:pStyle w:val="TextoNormal"/>
      </w:pPr>
      <w:r>
        <w:t>De acuerdo con la doctrina mantenida por este Tribunal (AATC 17/1980, 57/1980, 257/1986, 249/1989, 294/1989 y 141/1990),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B01F4A" w:rsidRDefault="00B01F4A" w:rsidP="00B01F4A">
      <w:pPr>
        <w:pStyle w:val="TextoNormal"/>
      </w:pPr>
    </w:p>
    <w:p w:rsidR="00B01F4A" w:rsidRDefault="00B01F4A" w:rsidP="00B01F4A">
      <w:pPr>
        <w:pStyle w:val="TextoNormal"/>
      </w:pPr>
      <w:r w:rsidRPr="00B01F4A">
        <w:rPr>
          <w:rStyle w:val="NumeroAFNegritaCaracter"/>
        </w:rPr>
        <w:t>2</w:t>
      </w:r>
      <w:r>
        <w:t>. Como contrapeso,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con la garantía de la efectividad de la tutela judicial que consagra el art.  24 de nuestra Constitución. En efecto, el soporte de tal medida consiste en el riesgo o la certeza de que la ejecución ocasionará un grave perjuicio si posteriormente se concediera el amparo. El análisis de los intereses en conflicto, en el presente amparo, cuya ponderación nos corresponde como presupuesto de una tal medida cautelar, hacen del todo punto aconsejable respetar la situación anterior a la Sentencia en tela de juicio.  Efectivamente, el interés público demanda en este supuesto mantener la situación de hecho y, en consecuencia, suspender los efectos de la Sentencia del Tribunal Superior de Justicia de Cataluña de 4 de noviembre de 1994, lo que, por otra parte, ya hizo ese mismo Tribunal por Auto de 25 de octubre de 1995.</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lastRenderedPageBreak/>
        <w:t>ACUERDA</w:t>
      </w:r>
    </w:p>
    <w:p w:rsidR="00B01F4A" w:rsidRDefault="00B01F4A" w:rsidP="00B01F4A">
      <w:pPr>
        <w:pStyle w:val="TextoNormalCentrado"/>
      </w:pPr>
    </w:p>
    <w:p w:rsidR="00B01F4A" w:rsidRDefault="00B01F4A" w:rsidP="00B01F4A">
      <w:pPr>
        <w:pStyle w:val="TextoNormal"/>
      </w:pPr>
      <w:r>
        <w:t>Por lo expuesto, la Sala acuerda suspender la ejecución de la Sentencia de la Sección Cuarta de la Sala de lo Contencioso-Administrativo del Tribunal Superior de Justicia de Cataluña de 4 de noviembre de 1994, recaída en el proceso núm. 776/92.</w:t>
      </w:r>
    </w:p>
    <w:p w:rsidR="00B01F4A" w:rsidRDefault="00B01F4A" w:rsidP="00B01F4A">
      <w:pPr>
        <w:pStyle w:val="TextoNormal"/>
      </w:pPr>
    </w:p>
    <w:p w:rsidR="00B01F4A" w:rsidRDefault="00B01F4A" w:rsidP="00B01F4A">
      <w:pPr>
        <w:pStyle w:val="TextoNormal"/>
      </w:pPr>
      <w:r>
        <w:t>Madrid, a diez de febrero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25" w:name="AUTO_1997_35"/>
      <w:r>
        <w:lastRenderedPageBreak/>
        <w:t>AUTO 35/1997, de 10 de febrero de 1997</w:t>
      </w:r>
    </w:p>
    <w:bookmarkEnd w:id="125"/>
    <w:p w:rsidR="00B01F4A" w:rsidRDefault="00B01F4A" w:rsidP="00B01F4A">
      <w:pPr>
        <w:pStyle w:val="TtuloResolucin"/>
      </w:pPr>
      <w:r>
        <w:t>Sala Primera</w:t>
      </w:r>
    </w:p>
    <w:p w:rsidR="00B01F4A" w:rsidRDefault="00B01F4A" w:rsidP="00B01F4A">
      <w:pPr>
        <w:pStyle w:val="TtuloResolucin"/>
      </w:pPr>
    </w:p>
    <w:p w:rsidR="00B01F4A" w:rsidRDefault="00B01F4A" w:rsidP="00B01F4A">
      <w:pPr>
        <w:pStyle w:val="SntesisDescriptiva"/>
      </w:pPr>
      <w:r>
        <w:t>ECLI:ES:TC:1997:35A</w:t>
      </w:r>
    </w:p>
    <w:p w:rsidR="00B01F4A" w:rsidRDefault="00B01F4A" w:rsidP="00B01F4A">
      <w:pPr>
        <w:pStyle w:val="SntesisDescriptiva"/>
      </w:pPr>
    </w:p>
    <w:p w:rsidR="00B01F4A" w:rsidRDefault="00B01F4A" w:rsidP="00B01F4A">
      <w:pPr>
        <w:pStyle w:val="SntesisDescriptiva"/>
      </w:pPr>
      <w:r>
        <w:t>Excms. Srs. don Álvaro Rodríguez Bereijo, don José Vicente Gimeno Sendra, don Pedro Cruz Villalón, don Enrique Ruiz Vadillo, don Manuel Jiménez de Parga y Cabrera y don Pablo García Manzano.</w:t>
      </w:r>
    </w:p>
    <w:p w:rsidR="00B01F4A" w:rsidRDefault="00B01F4A" w:rsidP="00B01F4A">
      <w:pPr>
        <w:pStyle w:val="SntesisDescriptiva"/>
      </w:pPr>
    </w:p>
    <w:p w:rsidR="00B01F4A" w:rsidRDefault="00B01F4A" w:rsidP="00B01F4A">
      <w:pPr>
        <w:pStyle w:val="TtuloResolucin"/>
      </w:pPr>
      <w:r>
        <w:t>*Este auto no incorpora doctrina constitucional.</w:t>
      </w:r>
    </w:p>
    <w:p w:rsidR="00B01F4A" w:rsidRDefault="00B01F4A">
      <w:pPr>
        <w:spacing w:after="160" w:line="259" w:lineRule="auto"/>
        <w:rPr>
          <w:rFonts w:ascii="Times New Roman" w:eastAsia="Times New Roman" w:hAnsi="Times New Roman" w:cs="Times New Roman"/>
          <w:b/>
          <w:sz w:val="24"/>
          <w:szCs w:val="24"/>
          <w:lang w:eastAsia="es-ES"/>
        </w:rPr>
      </w:pPr>
      <w:r>
        <w:br w:type="page"/>
      </w:r>
    </w:p>
    <w:p w:rsidR="00B01F4A" w:rsidRDefault="00B01F4A" w:rsidP="00B01F4A">
      <w:pPr>
        <w:pStyle w:val="TtuloResolucin"/>
      </w:pPr>
      <w:bookmarkStart w:id="126" w:name="AUTO_1997_36"/>
      <w:r>
        <w:lastRenderedPageBreak/>
        <w:t>AUTO 36/1997, de 10 de febrero de 1997</w:t>
      </w:r>
    </w:p>
    <w:bookmarkEnd w:id="126"/>
    <w:p w:rsidR="00B01F4A" w:rsidRDefault="00B01F4A" w:rsidP="00B01F4A">
      <w:pPr>
        <w:pStyle w:val="TtuloResolucin"/>
      </w:pPr>
      <w:r>
        <w:t>Sala Segunda</w:t>
      </w:r>
    </w:p>
    <w:p w:rsidR="00B01F4A" w:rsidRDefault="00B01F4A" w:rsidP="00B01F4A">
      <w:pPr>
        <w:pStyle w:val="TtuloResolucin"/>
      </w:pPr>
    </w:p>
    <w:p w:rsidR="00B01F4A" w:rsidRDefault="00B01F4A" w:rsidP="00B01F4A">
      <w:pPr>
        <w:pStyle w:val="SntesisDescriptiva"/>
      </w:pPr>
      <w:r>
        <w:t>ECLI:ES:TC:1997:36A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don Rafael de Mendizábal Allende, don Julio D. González Campos, don Carles Viver Pi-Sunyer y don Tomás Salvador Vives Antón.</w:t>
      </w:r>
    </w:p>
    <w:p w:rsidR="00B01F4A" w:rsidRDefault="00B01F4A" w:rsidP="00B01F4A">
      <w:pPr>
        <w:pStyle w:val="SntesisDescriptiva"/>
      </w:pPr>
    </w:p>
    <w:p w:rsidR="00B01F4A" w:rsidRDefault="00B01F4A" w:rsidP="00B01F4A">
      <w:pPr>
        <w:pStyle w:val="SntesisDescriptiva"/>
      </w:pPr>
      <w:r>
        <w:t>Denegando la suspensión de la ejecución del acto que origina el recurso de amparo 655/1996.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xml:space="preserve">. La Procuradora de los Tribunales doña Lidia Leyva Cabero, en nombre de don Juan José Vélez Ruiz de Lobera y en escrito presentado el 16 de febrero de 1996, interpuso recurso de amparo contra la Sentencia que la Sala de lo Cotencioso-Administrativo del Tribunal Superior de Justicia de Cantabria dictó el 22 de enero de 1996, en el recurso núm. 887/95, sobre convocatoria de proceso selectivo realizada mediante Orden de 13 de enero de 1995, en aplicación de la disposición transitoria 6.1 de la Ley del Parlamento cántabro 4/1993, de 10 de marzo, de la Función Pública. En la demanda de amparo se dice que la mencionada resolución judicial lesiona el derecho fundamental del recurrente a obtener la tutela judicial efectiva sin indefensión (art. 24.1 C.E.) y se solicita que, otorgando el amparo interesado, sea dictada Sentencia en la que, anulando la impugnada, se reconozca al demandante el derecho a ser oído y a contestar la demanda en el recurso contencioso-administrativo núm. 887/95, y se ordene retrotraer las actuaciones al momento procesal inmediatamente posterior al allanamiento de la Diputación Regional de Cantabria, mandando continuar los trámites del recurso a partir de dicha petición de allanamiento y declarando el derecho de aquél a obtener una sentencia sobre el fondo del asunto. </w:t>
      </w:r>
    </w:p>
    <w:p w:rsidR="00B01F4A" w:rsidRDefault="00B01F4A" w:rsidP="00B01F4A">
      <w:pPr>
        <w:pStyle w:val="TextoNormal"/>
      </w:pPr>
      <w:r>
        <w:t xml:space="preserve">En el lugar correspondiente de la demanda también se solicita la suspensión de la ejecución de la resolución judicial impugnada, porque la anulación en ella de la Orden de convocatoria en cuya aplicación el demandante accedió a su actual plaza, mediante el proceso electivo excepcional, singular y único previsto en la Disposición transitoria sexta, 1, de la Ley de la Función Pública de la Diputación Regional de Cantabria, de ejecutarse, provocará que su plaza quede vacante pudiendo ser ofrecida en una futura oferta pública de empleo. Ello imposibilitaría su reincorporación a la misma si, estimándose el amparo, la Sala de, lo Contencioso-Administrativo del Tribunal Superior de Justicia de Cantabria rechazara posteriormente la demanda, la pretensión de anulabilidad de la Orden de convocatoria y el allanamiento de la Diputación Regional de Cantabria. Por contra, de la suspensión no se derivará perturbación grave de los intereses generales o de los derechos fundamentales o libertades públicos de terceros, toda vez que las plazas convocadas en el mencionado proceso selectivo no han estado hasta la fecha incluidas en la oferta pública de empleo y, por ello, ésta podrá convocarse sin necesidad de ejecutar la Sentencia impugnada. En cualquier caso si, estimado el recurso de amparo y retrotraídas las actuaciones, el Tribunal Superior de </w:t>
      </w:r>
      <w:r>
        <w:lastRenderedPageBreak/>
        <w:t>Justicia anulase la Orden de convocatoria, nada impedirá que la plaza sea incluida en una posterior oferta pública de empleo.</w:t>
      </w:r>
    </w:p>
    <w:p w:rsidR="00B01F4A" w:rsidRDefault="00B01F4A" w:rsidP="00B01F4A">
      <w:pPr>
        <w:pStyle w:val="TextoNormal"/>
      </w:pPr>
    </w:p>
    <w:p w:rsidR="00B01F4A" w:rsidRDefault="00B01F4A" w:rsidP="00B01F4A">
      <w:pPr>
        <w:pStyle w:val="TextoNormal"/>
      </w:pPr>
      <w:r w:rsidRPr="00B01F4A">
        <w:rPr>
          <w:rStyle w:val="NumeroAFNegritaCaracter"/>
        </w:rPr>
        <w:t>2</w:t>
      </w:r>
      <w:r>
        <w:t>. La Sección Cuarta, en providencia de 29 de marzo de 1996, acordó formar la correspondiente pieza separada y conceder en ella un plazo común de tres días al Ministerio Fiscal y al demandante para que dentro del mismo pudieran alegar cuanto estimaran pertinente en relación con la medida cautelar solicitada.</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El demandante de amparo ha evacuado el traslado de escrito presentado el 10 de abril, en el que, con mayor extensión, reitera los argumentos expuestos al efecto en su escrito de demanda. </w:t>
      </w:r>
    </w:p>
    <w:p w:rsidR="00B01F4A" w:rsidRDefault="00B01F4A" w:rsidP="00B01F4A">
      <w:pPr>
        <w:pStyle w:val="TextoNormal"/>
      </w:pPr>
      <w:r>
        <w:t>El Fiscal hizo lo propio en el día anterior, manifestando que no se opone a la adopción de la medida cautelar interesada, y para ello trae a colación la doctrina contenida en el ATC 90/1992.</w:t>
      </w:r>
    </w:p>
    <w:p w:rsidR="00B01F4A" w:rsidRDefault="00B01F4A" w:rsidP="00B01F4A">
      <w:pPr>
        <w:pStyle w:val="TextoNormal"/>
      </w:pPr>
    </w:p>
    <w:p w:rsidR="00B01F4A" w:rsidRDefault="00B01F4A" w:rsidP="00B01F4A">
      <w:pPr>
        <w:pStyle w:val="TextoNormal"/>
      </w:pPr>
      <w:r w:rsidRPr="00B01F4A">
        <w:rPr>
          <w:rStyle w:val="NumeroAFNegritaCaracter"/>
        </w:rPr>
        <w:t>4</w:t>
      </w:r>
      <w:r>
        <w:t>. La Diputación Regional de Cantabria ha comparecido, representada y defendida por un Letrado de sus Servicios Jurídicos, mediante escrito presentado el 26 de junio, por lo que se la tuvo por personada y parte en providencia de 16 de septiembre, en la que, a su vez, se la dio traslado para que en el plazo de tres días alegase lo que tuviese por pertinente sobre la suspensión interesada por el recurrente. Evacuó el traslado en escrito recibido el 30 de septiembre, en el que se opone a la adopción de la mencionada medida cautelar porque la ejecución de la Sentencia impugnada en ningún momento haría perder al amparo su finalidad, en tanto que la suspensión originaría graves perjuicios al interés público que afectarían al proceso selectivo de incorporación al personal a la Administración autonómica.</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B01F4A" w:rsidRDefault="00B01F4A" w:rsidP="00B01F4A">
      <w:pPr>
        <w:pStyle w:val="TextoNormal"/>
      </w:pPr>
      <w:r>
        <w:t>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es finalidad, según dice el art. 56 de nuestra</w:t>
      </w:r>
    </w:p>
    <w:p w:rsidR="00B01F4A" w:rsidRDefault="00B01F4A" w:rsidP="00B01F4A">
      <w:pPr>
        <w:pStyle w:val="TextoNormal"/>
      </w:pPr>
      <w:r>
        <w:t>Ley Orgánica, convirtiendo así una eventual sentencia favorable en una mera declaración de buenos propósitos, desprovista de eficacia práctica.</w:t>
      </w:r>
    </w:p>
    <w:p w:rsidR="00B01F4A" w:rsidRDefault="00B01F4A" w:rsidP="00B01F4A">
      <w:pPr>
        <w:pStyle w:val="TextoNormal"/>
      </w:pPr>
    </w:p>
    <w:p w:rsidR="00B01F4A" w:rsidRDefault="00B01F4A" w:rsidP="00B01F4A">
      <w:pPr>
        <w:pStyle w:val="TextoNormal"/>
      </w:pPr>
      <w:r w:rsidRPr="00B01F4A">
        <w:rPr>
          <w:rStyle w:val="NumeroAFNegritaCaracter"/>
        </w:rPr>
        <w:lastRenderedPageBreak/>
        <w:t>2</w:t>
      </w:r>
      <w:r>
        <w:t>. En supuestos como el presente, en que se dilucida el acceso a las funciones públicas, este Tribunal ha precisado que para decidir sobre la solicitud de suspensión y ante la concurrencia de intereses contrapuestos en juego «resuelta necesario apreciar ( ... ) la incidencia que la ejecución del acto pudiera tener en la finalidad misma del amparo solicitado, de manera que procederá la suspensión cuando la ejecución conlleve unos efectos que impidiesen la efectividad del amparo en caso de ser otorgado, a no ser que, de acordarse la suspensión, se siguiese una perturbación grave de los intereses generales o de los derechos fundamentales y libertades públicas de terceros» (ATC 145/1989).</w:t>
      </w:r>
    </w:p>
    <w:p w:rsidR="00B01F4A" w:rsidRDefault="00B01F4A" w:rsidP="00B01F4A">
      <w:pPr>
        <w:pStyle w:val="TextoNormal"/>
      </w:pPr>
      <w:r>
        <w:t>En el presente caso la suspensión de la resolución judicial impugnada en amparo no implicaría per se la continuación del normal desenvolvimiento del procedimiento selectivo cuya pertinente convocatoria, a la vista del allanamiento formulado por la Administración, fue anulada por aquélla, dado que, según manifiesta el propio recurrente, aquel desenvolvimiento fue suspendido por la propia Administración, aun el de carácter restringido contemplado en la disposición transitoria sexta, apartado uno, de la Ley de Cantabria 4/1993. En consecuencia y en la medida en el que interés jurídicamente protegido del demandante se cifra en la mera expectativa del acceso a la función pública autonómica, no son de advertir, más allá de la molestia o retraso que para aquél dimana de la demora en el desarrollo y resolución del procedimiento efectivo a él afectante, perjuicios que revistan entidad suficiente para enervar el interés general anudado a la ejecución de las decisiones de los poderes públicos, más aún de los resoluciones firmes de la jurisdicción, parámetro rector de la suspensión ex art. 56.1 LOTC. Así se lo hemos dicho ya en tres ocasiones al aquí recurrente, utilizando las mismas palabras, en los AATC 104/1996, 134/1996 y 172/1996, todos de 1996.</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lo expuesto, la Sala acuerda denegar la suspensión solicitada en el presente proceso de amparo.</w:t>
      </w:r>
    </w:p>
    <w:p w:rsidR="00B01F4A" w:rsidRDefault="00B01F4A" w:rsidP="00B01F4A">
      <w:pPr>
        <w:pStyle w:val="TextoNormal"/>
      </w:pPr>
    </w:p>
    <w:p w:rsidR="00B01F4A" w:rsidRDefault="00B01F4A" w:rsidP="00B01F4A">
      <w:pPr>
        <w:pStyle w:val="TextoNormal"/>
      </w:pPr>
      <w:r>
        <w:t>Madrid, a diez de febrero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27" w:name="AUTO_1997_37"/>
      <w:r>
        <w:lastRenderedPageBreak/>
        <w:t>AUTO 37/1997, de 10 de febrero de 1997</w:t>
      </w:r>
    </w:p>
    <w:bookmarkEnd w:id="127"/>
    <w:p w:rsidR="00B01F4A" w:rsidRDefault="00B01F4A" w:rsidP="00B01F4A">
      <w:pPr>
        <w:pStyle w:val="TtuloResolucin"/>
      </w:pPr>
      <w:r>
        <w:t>Sala Segunda</w:t>
      </w:r>
    </w:p>
    <w:p w:rsidR="00B01F4A" w:rsidRDefault="00B01F4A" w:rsidP="00B01F4A">
      <w:pPr>
        <w:pStyle w:val="TtuloResolucin"/>
      </w:pPr>
    </w:p>
    <w:p w:rsidR="00B01F4A" w:rsidRDefault="00B01F4A" w:rsidP="00B01F4A">
      <w:pPr>
        <w:pStyle w:val="SntesisDescriptiva"/>
      </w:pPr>
      <w:r>
        <w:t>ECLI:ES:TC:1997:37A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don Rafael de Mendizábal Allende, don Julio D. González Campos, don Carles Viver Pi-Sunyer y don Tomás Salvador Vives Antón.</w:t>
      </w:r>
    </w:p>
    <w:p w:rsidR="00B01F4A" w:rsidRDefault="00B01F4A" w:rsidP="00B01F4A">
      <w:pPr>
        <w:pStyle w:val="SntesisDescriptiva"/>
      </w:pPr>
    </w:p>
    <w:p w:rsidR="00B01F4A" w:rsidRDefault="00B01F4A" w:rsidP="00B01F4A">
      <w:pPr>
        <w:pStyle w:val="TtuloResolucin"/>
      </w:pPr>
      <w:r>
        <w:t>*Este auto no incorpora doctrina constitucional.</w:t>
      </w:r>
    </w:p>
    <w:p w:rsidR="00B01F4A" w:rsidRDefault="00B01F4A">
      <w:pPr>
        <w:spacing w:after="160" w:line="259" w:lineRule="auto"/>
        <w:rPr>
          <w:rFonts w:ascii="Times New Roman" w:eastAsia="Times New Roman" w:hAnsi="Times New Roman" w:cs="Times New Roman"/>
          <w:b/>
          <w:sz w:val="24"/>
          <w:szCs w:val="24"/>
          <w:lang w:eastAsia="es-ES"/>
        </w:rPr>
      </w:pPr>
      <w:r>
        <w:br w:type="page"/>
      </w:r>
    </w:p>
    <w:p w:rsidR="00B01F4A" w:rsidRDefault="00B01F4A" w:rsidP="00B01F4A">
      <w:pPr>
        <w:pStyle w:val="TtuloResolucin"/>
      </w:pPr>
      <w:bookmarkStart w:id="128" w:name="AUTO_1997_38"/>
      <w:r>
        <w:lastRenderedPageBreak/>
        <w:t>AUTO 38/1997, de 10 de febrero de 1997</w:t>
      </w:r>
    </w:p>
    <w:bookmarkEnd w:id="128"/>
    <w:p w:rsidR="00B01F4A" w:rsidRDefault="00B01F4A" w:rsidP="00B01F4A">
      <w:pPr>
        <w:pStyle w:val="TtuloResolucin"/>
      </w:pPr>
      <w:r>
        <w:t>Sala Segunda</w:t>
      </w:r>
    </w:p>
    <w:p w:rsidR="00B01F4A" w:rsidRDefault="00B01F4A" w:rsidP="00B01F4A">
      <w:pPr>
        <w:pStyle w:val="TtuloResolucin"/>
      </w:pPr>
    </w:p>
    <w:p w:rsidR="00B01F4A" w:rsidRDefault="00B01F4A" w:rsidP="00B01F4A">
      <w:pPr>
        <w:pStyle w:val="SntesisDescriptiva"/>
      </w:pPr>
      <w:r>
        <w:t>ECLI:ES:TC:1997:38A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don Rafael de Mendizábal Allende, don Julio D. González Campos, don Carles Viver Pi-Sunyer y don Tomás Salvador Vives Antón.</w:t>
      </w:r>
    </w:p>
    <w:p w:rsidR="00B01F4A" w:rsidRDefault="00B01F4A" w:rsidP="00B01F4A">
      <w:pPr>
        <w:pStyle w:val="SntesisDescriptiva"/>
      </w:pPr>
    </w:p>
    <w:p w:rsidR="00B01F4A" w:rsidRDefault="00B01F4A" w:rsidP="00B01F4A">
      <w:pPr>
        <w:pStyle w:val="SntesisDescriptiva"/>
      </w:pPr>
      <w:r>
        <w:t>Acordando la suspensión condicionada de la ejecución del acto que origina el recurso de amparo 1.061/1996.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La Procuradora de los Tribunales doña María Ortega Cortina, en nombre de don Giacomo Ventura Bassat y mediante escrito presentado el 13 de marzo de 1996, interpuso recurso de amparo contra la providencia que el Juez de Primera Instancia de Vielha dictó el 25 de septiembre de 1995 en procedimiento del artículo 131 de la Ley Hipotecaria, seguido contra aquél a instancia de la entidad «Banco Central Hispanoamericano, Sociedad Anónima», y por la que se requiere a «Inversiones Sardy, Sociedad Anónima», para que entregue las llaves de la finca número 2.263, entidad número 12, en el bloque tercero, sito en el conjunto grupo H, vivienda numerada con el 49-B, en la localidad de Garós y para que, al propio tiempo, manifieste si dicha vivienda se encuentra arrendada y, en caso afirmativo, el nombre del arrendatario.</w:t>
      </w:r>
    </w:p>
    <w:p w:rsidR="00B01F4A" w:rsidRDefault="00B01F4A" w:rsidP="00B01F4A">
      <w:pPr>
        <w:pStyle w:val="TextoNormal"/>
      </w:pPr>
    </w:p>
    <w:p w:rsidR="00B01F4A" w:rsidRDefault="00B01F4A" w:rsidP="00B01F4A">
      <w:pPr>
        <w:pStyle w:val="TextoNormal"/>
      </w:pPr>
      <w:r w:rsidRPr="00B01F4A">
        <w:rPr>
          <w:rStyle w:val="NumeroAFNegritaCaracter"/>
        </w:rPr>
        <w:t>2</w:t>
      </w:r>
      <w:r>
        <w:t>. La Sección Cuarta, en providencia de 4 de julio de 1996, acordó formar la correspondiente pieza separada y conceder en ella un plazo común de tres días al Ministerio Fiscal y al demandante para que dentro del mismo pudieran alegar cuanto estimaran pertinente en relación con la medida cautelar solicitada.</w:t>
      </w:r>
    </w:p>
    <w:p w:rsidR="00B01F4A" w:rsidRDefault="00B01F4A" w:rsidP="00B01F4A">
      <w:pPr>
        <w:pStyle w:val="TextoNormal"/>
      </w:pPr>
    </w:p>
    <w:p w:rsidR="00B01F4A" w:rsidRDefault="00B01F4A" w:rsidP="00B01F4A">
      <w:pPr>
        <w:pStyle w:val="TextoNormal"/>
      </w:pPr>
      <w:r w:rsidRPr="00B01F4A">
        <w:rPr>
          <w:rStyle w:val="NumeroAFNegritaCaracter"/>
        </w:rPr>
        <w:t>3</w:t>
      </w:r>
      <w:r>
        <w:t>. El solicitante de amparo evacuó el traslado en escrito que presentó el 9 de julio, donde alegó que la ejecución que pretende paralizar causaría daños y perjuicios no sólo a él, sino también a la arrendataria que ocupa la finca litigiosa. Por su parte, el Fiscal hizo lo propio el 10 de julio, en escrito en el que también interesa la suspensión, habida cuenta de que la entrega de llaves que se ordena practicar en la providencia recurrida en amparo supone el desplazamiento de la posesión al adjudicatario del inmueble en el juicio del art. 131 de la Ley Hipotecaria, por lo que podrá quedar frustrada la finalidad del amparo. De otro lado, si el amparo no llega a prosperar, la suspensión no supone sino un retraso en el cumplimiento de la resolución judicial.</w:t>
      </w:r>
    </w:p>
    <w:p w:rsidR="00B01F4A" w:rsidRDefault="00B01F4A" w:rsidP="00B01F4A">
      <w:pPr>
        <w:pStyle w:val="TextoNormal"/>
      </w:pPr>
    </w:p>
    <w:p w:rsidR="00B01F4A" w:rsidRDefault="00B01F4A" w:rsidP="00B01F4A">
      <w:pPr>
        <w:pStyle w:val="TextoNormal"/>
      </w:pPr>
      <w:r w:rsidRPr="00B01F4A">
        <w:rPr>
          <w:rStyle w:val="NumeroAFNegritaCaracter"/>
        </w:rPr>
        <w:t>4</w:t>
      </w:r>
      <w:r>
        <w:t xml:space="preserve">. En providencia de 16 de septiembre, la Sección Cuarta tuvo por partes en el proceso constitucional de que esta pieza separada de suspensión dimana a la compañía «Banco Central Hispanoamericano, Sociedad Anónima», y a doña Elisabeth Mcgurk, a quienes se dio </w:t>
      </w:r>
      <w:r>
        <w:lastRenderedPageBreak/>
        <w:t>traslado por tres días para que alegasen lo que tuviesen por pertinente sobre la suspensión instada. La segunda ha mostrado su conformidad con la suspensión en escrito de 21 de septiembre de 1996; el primero, sin embargo, se ha opuesto a ella razonado que, de causarse algún perjuicio con la ejecución, sería a los arrendatarios del inmueble y no al demandante de amparo, que actúa en representación de la entidad propietaria de los bienes hipotecarios.</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B01F4A" w:rsidRDefault="00B01F4A" w:rsidP="00B01F4A">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 aun cuando a veces pueda resultar inevitable y hasta conveniente una mirada al soslayo.</w:t>
      </w:r>
    </w:p>
    <w:p w:rsidR="00B01F4A" w:rsidRDefault="00B01F4A" w:rsidP="00B01F4A">
      <w:pPr>
        <w:pStyle w:val="TextoNormal"/>
      </w:pPr>
    </w:p>
    <w:p w:rsidR="00B01F4A" w:rsidRDefault="00B01F4A" w:rsidP="00B01F4A">
      <w:pPr>
        <w:pStyle w:val="TextoNormal"/>
      </w:pPr>
      <w:r w:rsidRPr="00B01F4A">
        <w:rPr>
          <w:rStyle w:val="NumeroAFNegritaCaracter"/>
        </w:rPr>
        <w:t>2</w:t>
      </w:r>
      <w:r>
        <w:t>. El análisis de los intereses en conflicto, dentro del caso concreto que nos ocupa, desvela ante todo que existe un interés latente, intrínseco a la ejecutoriedad de toda resolución judicial definitiva y firme, como exigencia inherente a la efectividad de la tutela judicial, cuya plenitud sólo así se alcanza. La petición del demandante de amparo, desde la perspectiva opuesta, es que se oiga a la sociedad por él representada en el proceso judicial sumario en el cual fue dictada la providencia impugnada aquí y ahora, cuya ejecución consiste en dar a la adjudicataria la posesión del inmueble hipotecado que, a su vez, tiene arrendado a una tercera persona. El éxito hipotético del amparo conllevaría tan sólo la retroacción de las actuaciones para que le fuera notificada a la sociedad arrendadora tal providencia, donde se señalaba día y hora para la subasta de la finca litigiosa y, por ello, no garantiza un pronunciamiento sobre la inviabilidad del procedimiento ejecutivo instado, pero si en cambio se produjera la efectividad de aquella providencia, el eventual amparo podría resultar vaciado de contenido por la situación de hecho irreversible que así se crearía.</w:t>
      </w:r>
    </w:p>
    <w:p w:rsidR="00B01F4A" w:rsidRDefault="00B01F4A" w:rsidP="00B01F4A">
      <w:pPr>
        <w:pStyle w:val="TextoNormal"/>
      </w:pPr>
      <w:r>
        <w:lastRenderedPageBreak/>
        <w:t>Las sobredichas reflexiones nos inducen a tomar la medida cautelar solicitada.  Ahora bien, como la providencia cuya ejecución se deja en suspenso contiene pronunciamientos favorables a la sociedad que promovió el juicio hipotecario, merecedora con la misma intensidad de una efectiva tutela judicial, se hace necesario un contrapeso para conseguir el justo equilibrio de los intereses en conflicto, mediante la exigencia de afianzamiento suficiente, cuya cuantía dejamos al prudente arbitrio del Juez encargado de llevar a puro y debido efecto lo decidido, quien habrá de concretar también la elección de la modalidad o modalidades en que haya de materializarse, dentro de las admitidas en Derecho, para asegurar a la contraparte la eventual indemnización de los perjuicios que pudiera sufrir como consecuencia de la medida cautelar adoptada si al final de este trayecto triunfarán sus pretensiones.</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virtud de lo expuesto, la Sala acuerda suspender la ejecución de la providencia objeto de este proceso, condicionando dicha suspensión a la previa prestación de fianza por parte del demandante de amparo, en la cuantía y condiciones que establezca el</w:t>
      </w:r>
    </w:p>
    <w:p w:rsidR="00B01F4A" w:rsidRDefault="00B01F4A" w:rsidP="00B01F4A">
      <w:pPr>
        <w:pStyle w:val="TextoNormal"/>
      </w:pPr>
      <w:r>
        <w:t>Juez encargado de la ejecución, para responder de los perjuicios económicos que pudieran ocasionarse con esta medida cautelar a la sociedad promotora del juicio donde tal providencia fue pronunciada.</w:t>
      </w:r>
    </w:p>
    <w:p w:rsidR="00B01F4A" w:rsidRDefault="00B01F4A" w:rsidP="00B01F4A">
      <w:pPr>
        <w:pStyle w:val="TextoNormal"/>
      </w:pPr>
    </w:p>
    <w:p w:rsidR="00B01F4A" w:rsidRDefault="00B01F4A" w:rsidP="00B01F4A">
      <w:pPr>
        <w:pStyle w:val="TextoNormal"/>
      </w:pPr>
      <w:r>
        <w:t>Madrid, a diez de enero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29" w:name="AUTO_1997_39"/>
      <w:r>
        <w:lastRenderedPageBreak/>
        <w:t>AUTO 39/1997, de 10 de febrero de 1997</w:t>
      </w:r>
    </w:p>
    <w:bookmarkEnd w:id="129"/>
    <w:p w:rsidR="00B01F4A" w:rsidRDefault="00B01F4A" w:rsidP="00B01F4A">
      <w:pPr>
        <w:pStyle w:val="TtuloResolucin"/>
      </w:pPr>
      <w:r>
        <w:t>Sala Primera</w:t>
      </w:r>
    </w:p>
    <w:p w:rsidR="00B01F4A" w:rsidRDefault="00B01F4A" w:rsidP="00B01F4A">
      <w:pPr>
        <w:pStyle w:val="TtuloResolucin"/>
      </w:pPr>
    </w:p>
    <w:p w:rsidR="00B01F4A" w:rsidRDefault="00B01F4A" w:rsidP="00B01F4A">
      <w:pPr>
        <w:pStyle w:val="SntesisDescriptiva"/>
      </w:pPr>
      <w:r>
        <w:t>ECLI:ES:TC:1997:39A</w:t>
      </w:r>
    </w:p>
    <w:p w:rsidR="00B01F4A" w:rsidRDefault="00B01F4A" w:rsidP="00B01F4A">
      <w:pPr>
        <w:pStyle w:val="SntesisDescriptiva"/>
      </w:pPr>
    </w:p>
    <w:p w:rsidR="00B01F4A" w:rsidRDefault="00B01F4A" w:rsidP="00B01F4A">
      <w:pPr>
        <w:pStyle w:val="SntesisDescriptiva"/>
      </w:pPr>
      <w:r>
        <w:t>Excms. Srs. don Álvaro Rodríguez Bereijo, don José Vicente Gimeno Sendra, don Pedro Cruz Villalón, don Enrique Ruiz Vadillo, don Manuel Jiménez de Parga y Cabrera y don Pablo García Manzano.</w:t>
      </w:r>
    </w:p>
    <w:p w:rsidR="00B01F4A" w:rsidRDefault="00B01F4A" w:rsidP="00B01F4A">
      <w:pPr>
        <w:pStyle w:val="SntesisDescriptiva"/>
      </w:pPr>
    </w:p>
    <w:p w:rsidR="00B01F4A" w:rsidRDefault="00B01F4A" w:rsidP="00B01F4A">
      <w:pPr>
        <w:pStyle w:val="SntesisDescriptiva"/>
      </w:pPr>
      <w:r>
        <w:t>Acordando la suspensión parcial de la ejecución del acto que origina el recurso de amparo 2.656/1996.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en este Tribunal el día 29 de junio de 1996, don José Javier Checa Delgado, Procurador de los Tribunales, interpone recurso de amparo en nombre de don José Luis Cervero Carrillo contra la Sentencia de la que se hace mérito en el encabezamiento. En la demanda se incluye asimismo solicitud de suspensión de la ejecución de las resoluciones recurridas.</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Los hechos relevantes para el examen de la pretensión de amparo son, en síntesis, los siguientes: </w:t>
      </w:r>
    </w:p>
    <w:p w:rsidR="00B01F4A" w:rsidRDefault="00B01F4A" w:rsidP="00B01F4A">
      <w:pPr>
        <w:pStyle w:val="TextoNormal"/>
      </w:pPr>
      <w:r>
        <w:t xml:space="preserve">a) El día 26 de noviembre de 1985 se incoó la causa militar 234/85, relativa a unas manifestaciones del recurrente a la revista «Interviú», que podrán ser constitutivas de delito de insulto a un superior. El recurrente, que era Sargento de la Guardia Civil, había solicitado su pase a la situación de retirado el día 11 de noviembre de 1985. Su petición fue denegada mediante Resolución ministerial de 25 de febrero de 1987, recurrida ante los Tribunales, pero que adquirió posteriormente firmeza por caducidad del recurso. El recurrente sería posteriormente separado del servicio por la Resolución ministerial de 23 de noviembre de 1987, dictada en expediente gubernativo instruido por don Luis Fernández de Henestrosa y posteriormente anulada por resolución judicial. </w:t>
      </w:r>
    </w:p>
    <w:p w:rsidR="00B01F4A" w:rsidRDefault="00B01F4A" w:rsidP="00B01F4A">
      <w:pPr>
        <w:pStyle w:val="TextoNormal"/>
      </w:pPr>
      <w:r>
        <w:t xml:space="preserve">b) El día 4 de febrero de 1986, tras su detención, el recurrente compareció ante el Juez y manifestó que recusaba al Juez Togado actuante, don Jesús Valenciano Almoyna, «por tener pleito pendiente con él. Y propone como prueba se oficie al Juzgado de Instrucción de Alcalá de Henares núm. 2, al Defensor del Pueblo, Amnistía Internacional y al Parlamento Europeo, interesando si en tales organismos existe algún tipo de actuación o denuncia contra la persona recusada». </w:t>
      </w:r>
    </w:p>
    <w:p w:rsidR="00B01F4A" w:rsidRDefault="00B01F4A" w:rsidP="00B01F4A">
      <w:pPr>
        <w:pStyle w:val="TextoNormal"/>
      </w:pPr>
      <w:r>
        <w:t xml:space="preserve">c) La causa penal siguió su curso. En el plazo concedido para la emisión de conclusiones provisionales, el hoy recurrente y entonces imputado planteó una cuestión prejudicial administrativa, relativa a su recurso judicial contra la denegación de su pase a la situación de retirado y la nulidad de actuaciones por falta de resolución del recurso de queja contra su Auto de procesamiento (escrito de 9 de octubre de 1987). </w:t>
      </w:r>
    </w:p>
    <w:p w:rsidR="00B01F4A" w:rsidRDefault="00B01F4A" w:rsidP="00B01F4A">
      <w:pPr>
        <w:pStyle w:val="TextoNormal"/>
      </w:pPr>
      <w:r>
        <w:lastRenderedPageBreak/>
        <w:t xml:space="preserve">Dicho escrito encontró respuesta mediante Auto del Tribunal Militar Territorial Primero (Sección Segunda) de 15 de septiembre de 1993. No habría ya cuestión prejudicial, pues la denegación administrativa había devenido firme por caducidad del recurso, y el recurso de queja había encontrado respuesta denegatoria mediante Auto de 3 de mayo de 1989. </w:t>
      </w:r>
    </w:p>
    <w:p w:rsidR="00B01F4A" w:rsidRDefault="00B01F4A" w:rsidP="00B01F4A">
      <w:pPr>
        <w:pStyle w:val="TextoNormal"/>
      </w:pPr>
      <w:r>
        <w:t xml:space="preserve">d) El día 17 de marzo de 1994, el recurrente volvió a plantear incidente de recusación contra los tres miembros de la Sección Segunda del Tribunal Militar Territorial Primero. La Sección Primera del mismo estimó dicha recusación sólo en relación con uno de ellos, el Presidente de la Sección Segunda, que había actuado como Fiscal en la instrucción (Auto de 24 de enero de 1995). </w:t>
      </w:r>
    </w:p>
    <w:p w:rsidR="00B01F4A" w:rsidRDefault="00B01F4A" w:rsidP="00B01F4A">
      <w:pPr>
        <w:pStyle w:val="TextoNormal"/>
      </w:pPr>
      <w:r>
        <w:t xml:space="preserve">e) Mediante escrito de 9 de marzo de 1995, el recurrente planteó como artículos de previo y especial pronunciamiento las excepciones de nulidad de actuaciones, prescripción del delito, cosa juzgada y declinatoria de jurisdicción. Dichas excepciones tuvieron respuesta en el Auto de 4 de enero de 1996. En lo que respecta a las cuestiones ahora aducidas en esta sede, la resolución niega en general que se haya generado ningún tipo de indefensión y afirma, en particular, que la dilación se debe «a la interposición de toda clase de incidentes y recursos» por la defensa. En cuanto a la negación de la declinatoria de jurisdicción recuerda que la condición militar del imputado se basa tanto, sobre todo, en la firmeza de la denegación de su pase a la situación de retirado, como en la anulación posterior de su separación del servicio. </w:t>
      </w:r>
    </w:p>
    <w:p w:rsidR="00B01F4A" w:rsidRDefault="00B01F4A" w:rsidP="00B01F4A">
      <w:pPr>
        <w:pStyle w:val="TextoNormal"/>
      </w:pPr>
      <w:r>
        <w:t>f) Acudió aún el recurrente en casación. La Sentencia del Tribunal Supremo, que es la finalmente recurrida ante esta jurisdicción, sólo entró en la cuestión competencial: Porque era lo único que se pedía en la súplica y porque «Habiendo sido desestimadas (las demás) por Auto no son susceptibles de recurso de casación, como sí lo es la de declinatoria de jurisdicción (art. 848 de la Ley de Enjuiciamiento Criminal)». En relación con dicha competencia indicada que lo relevante es su condición o no de militar en el momento de la comisión de los hechos imputados. Al respecto no cabría duda, a partir del texto de la norma invocada, del texto del art. 5 del Real Decreto-ley 10/1997 y de la jurisprudencia que los interpreta que quien solicita su pase a la situación de retirado mantiene su condición de militar hasta su obtención.</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En el extenso escrito de demanda se plantean, en síntesis, las cuestiones que se enumeran a continuación: </w:t>
      </w:r>
    </w:p>
    <w:p w:rsidR="00B01F4A" w:rsidRDefault="00B01F4A" w:rsidP="00B01F4A">
      <w:pPr>
        <w:pStyle w:val="TextoNormal"/>
      </w:pPr>
      <w:r>
        <w:t xml:space="preserve">a) La falta de respuesta judicial al incidente de recusación planteado contra el Juez Togado Instructor y la continuación del mismo con su función habría vulnerado los derechos al Juez ordinario predeterminado por la Ley, independiente e imparcial, y a la tutela judicial efectiva. </w:t>
      </w:r>
    </w:p>
    <w:p w:rsidR="00B01F4A" w:rsidRDefault="00B01F4A" w:rsidP="00B01F4A">
      <w:pPr>
        <w:pStyle w:val="TextoNormal"/>
      </w:pPr>
      <w:r>
        <w:t xml:space="preserve">b) La misma vulneración de derechos se habría producido por el hecho de que el señor Fernández de Henestrosa presidiera la Sección que resolvió la primera cuestión prejudicial planteada y la primera nulidad de actuaciones. En dicho Juez, sobre cuya participación en el Tribunal nada se habría comunicado a la defensa, concurrían varias causas de abstención: Habría sido denunciado por el imputado por coacciones y amenaza, había instruido el expediente gubernativo contra el imputado que había concluido provisionalmente con su separación del servicio; con su actividad de reapertura del procedimiento militar pretendería granjearse el favor del señor Roldán, a quien hoy el recurrente habría denunciado y criticado en el ejercicio de su actividad periodística. </w:t>
      </w:r>
    </w:p>
    <w:p w:rsidR="00B01F4A" w:rsidRDefault="00B01F4A" w:rsidP="00B01F4A">
      <w:pPr>
        <w:pStyle w:val="TextoNormal"/>
      </w:pPr>
      <w:r>
        <w:t xml:space="preserve">c) Las mismas vulneraciones tienen ahora sustrato en su enjuiciamiento por parte de un Tribunal Militar, a pesar de que en el momento de los hechos imputados el recurrente no sería ya militar en virtud de los arts. 5 y 9.4 de los Reales Decretos 10/1977 y 706/1977, </w:t>
      </w:r>
      <w:r>
        <w:lastRenderedPageBreak/>
        <w:t xml:space="preserve">que indican que para ello basta la presentación de la solicitud. Se dan además las circunstancias de que durante ocho años en los que siguió vivo el procedimiento el recurrente estaba separado del Cuerpo por sanción. </w:t>
      </w:r>
    </w:p>
    <w:p w:rsidR="00B01F4A" w:rsidRDefault="00B01F4A" w:rsidP="00B01F4A">
      <w:pPr>
        <w:pStyle w:val="TextoNormal"/>
      </w:pPr>
      <w:r>
        <w:t>d) Se habría vulnerado, por último, el derecho del recurrente a un proceso sin dilaciones indebidas. Amén de que el procedimiento ha consumido ya dos años de instrucción y nueve de plenario y de que el Auto de 15 de septiembre de 1993 admite que el procedimiento ha estado en la práctica paralizado desde octubre de 1987 hasta septiembre de 1993, deben computarse otros dos nuevos períodos de dilación: Los diez meses que tarda en resolverse la segunda recusación y los ocho meses en que se demora la respuesta a los artículos de previo y especial pronunciamiento, Por lo demás, como podría comprobarse, es falso y un «desatino» atribuir la tardanza a la conducta procesal del recurrente.</w:t>
      </w:r>
    </w:p>
    <w:p w:rsidR="00B01F4A" w:rsidRDefault="00B01F4A" w:rsidP="00B01F4A">
      <w:pPr>
        <w:pStyle w:val="TextoNormal"/>
      </w:pPr>
    </w:p>
    <w:p w:rsidR="00B01F4A" w:rsidRDefault="00B01F4A" w:rsidP="00B01F4A">
      <w:pPr>
        <w:pStyle w:val="TextoNormal"/>
      </w:pPr>
      <w:r w:rsidRPr="00B01F4A">
        <w:rPr>
          <w:rStyle w:val="NumeroAFNegritaCaracter"/>
        </w:rPr>
        <w:t>4</w:t>
      </w:r>
      <w:r>
        <w:t>. Mediante providencia de 18 de noviembre, la Sección Segunda de este Tribunal requiere de la representación del recurrente acreditación de la pronta y formal invocación del derecho a un proceso sin dilaciones indebida y del agotamiento del correspondiente motivo en la vía judicial ordinaria. En su escrito de 22 de noviembre, el recurrente sitúa dicha invocación en su escrito de 9 de marzo de 1995 (planteamiento de artículos de previo y especial pronunciamiento), que reiteró en el posterior recurso de casación.</w:t>
      </w:r>
    </w:p>
    <w:p w:rsidR="00B01F4A" w:rsidRDefault="00B01F4A" w:rsidP="00B01F4A">
      <w:pPr>
        <w:pStyle w:val="TextoNormal"/>
      </w:pPr>
    </w:p>
    <w:p w:rsidR="00B01F4A" w:rsidRDefault="00B01F4A" w:rsidP="00B01F4A">
      <w:pPr>
        <w:pStyle w:val="TextoNormal"/>
      </w:pPr>
      <w:r w:rsidRPr="00B01F4A">
        <w:rPr>
          <w:rStyle w:val="NumeroAFNegritaCaracter"/>
        </w:rPr>
        <w:t>5</w:t>
      </w:r>
      <w:r>
        <w:t>. Mediante providencia de 19 de diciembre de 1996, la Sección Segunda acuerda admitir a trámite la demanda de amparo y dirigir sendas comunicaciones al Tribunal Supremo y al Tribunal Territorial Primero a fin de que remitan testimonio de las actuaciones correspondientes al procedimiento del que trae causa el presente recurso y de que emplace este último órgano judicial a quien hubieran sido parte en el mismo para su posible comparecencia en este proceso de amparo.</w:t>
      </w:r>
    </w:p>
    <w:p w:rsidR="00B01F4A" w:rsidRDefault="00B01F4A" w:rsidP="00B01F4A">
      <w:pPr>
        <w:pStyle w:val="TextoNormal"/>
      </w:pPr>
    </w:p>
    <w:p w:rsidR="00B01F4A" w:rsidRDefault="00B01F4A" w:rsidP="00B01F4A">
      <w:pPr>
        <w:pStyle w:val="TextoNormal"/>
      </w:pPr>
      <w:r w:rsidRPr="00B01F4A">
        <w:rPr>
          <w:rStyle w:val="NumeroAFNegritaCaracter"/>
        </w:rPr>
        <w:t>6</w:t>
      </w:r>
      <w:r>
        <w:t>. Mediante nueva providencia de 19 de diciembre, la Sección acuerda la apertura de pieza separada de suspensión y, conforme determina el art. 56 LOTC, concede un plazo común de tres días a la parte demandante y al Ministerio fiscal para que aleguen lo que estimen pertinente sobre la misma.</w:t>
      </w:r>
    </w:p>
    <w:p w:rsidR="00B01F4A" w:rsidRDefault="00B01F4A" w:rsidP="00B01F4A">
      <w:pPr>
        <w:pStyle w:val="TextoNormal"/>
      </w:pPr>
    </w:p>
    <w:p w:rsidR="00B01F4A" w:rsidRDefault="00B01F4A" w:rsidP="00B01F4A">
      <w:pPr>
        <w:pStyle w:val="TextoNormal"/>
      </w:pPr>
      <w:r w:rsidRPr="00B01F4A">
        <w:rPr>
          <w:rStyle w:val="NumeroAFNegritaCaracter"/>
        </w:rPr>
        <w:t>7</w:t>
      </w:r>
      <w:r>
        <w:t>. En su escrito de 27 de diciembre de 1996 reitera el recurrente su solicitud de suspensión, especificando que su eficacia se restringiría a «paralizar el procedimiento en tanto que se resuelva el amparo solicitado». Considera que de no acordarse la suspensión que se pide el procedimiento seguirá su curso, el amparo perdería su finalidad y se le ocasionaría con ello un perjuicio irreparable, pues se vería sometido a enjuiciamiento por la jurisdicción militar y se consumaría así la violación de los derechos invocados. Por lo demás, el acuerdo de suspensión no generaría perjuicio de los intereses generales ni de los derechos de terceros, ya que no hay tales derechos de terceros en juego, los que supuestamente pudieran sentirse ofendidos hace tiempo que otorgaron su perdón, y el Tribunal Militar ha mantenido ya la causa paralizada durante seis años sin que se hayan resentido ni la forma de administrar justicia ni el funcionamiento del mismo.</w:t>
      </w:r>
    </w:p>
    <w:p w:rsidR="00B01F4A" w:rsidRDefault="00B01F4A" w:rsidP="00B01F4A">
      <w:pPr>
        <w:pStyle w:val="TextoNormal"/>
      </w:pPr>
    </w:p>
    <w:p w:rsidR="00B01F4A" w:rsidRDefault="00B01F4A" w:rsidP="00B01F4A">
      <w:pPr>
        <w:pStyle w:val="TextoNormal"/>
      </w:pPr>
      <w:r w:rsidRPr="00B01F4A">
        <w:rPr>
          <w:rStyle w:val="NumeroAFNegritaCaracter"/>
        </w:rPr>
        <w:t>8</w:t>
      </w:r>
      <w:r>
        <w:t xml:space="preserve">. El Fiscal concluye su informe de 3 de enero interesando la denegación de la suspensión solicitada. En la fundamentación invoca el ATC 132/1989: «Tratándose de resoluciones interlocutorias de un proceso principal, cuya suspensión podría llevar consigo perturbaciones graves de los intereses generales, y dado que la no suspensión, siguiendo el proceso </w:t>
      </w:r>
      <w:r>
        <w:lastRenderedPageBreak/>
        <w:t>penal su curso, en el que incluso pudieran conocerse las posibles indefensiones constitucionales que aquí se denuncian, no impediría que el recurso, de concederse, perdiera su finalidad, al poder, en su caso, restaurarse el derecho constitucional presuntamente violado mediante la correspondiente anulación de las actuaciones».</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Lo que solicita el recurrente bajo la cobertura del art. 56 es la paralización del procedimiento penal en el que figura como imputado y que se encuentra en la actualidad en fase de juicio oral. Dicha petición no se encuadra propiamente entre las de suspensión de la ejecución de las resoluciones impugnadas en amparo, que son de desestimación de nulidad de actuaciones y de artículos de previo y especial pronunciamiento, sino que se refiere en realidad a la permanencia del efecto suspensivo que genera la pendencia de dicho incidente procesal. No obstante, la huida de un excesivo formalismo en la interpretación del art. 56 LOTC, ajeno a los importantes intereses que se hallan en juego en estas piezas de suspensión, aconsejan la incardinación de la solicitud en dicho precepto y, por ello, la consideración de su fondo (AATC 77/1984, 93/1993, 94/1993 y 16/1994).</w:t>
      </w:r>
    </w:p>
    <w:p w:rsidR="00B01F4A" w:rsidRDefault="00B01F4A" w:rsidP="00B01F4A">
      <w:pPr>
        <w:pStyle w:val="TextoNormal"/>
      </w:pPr>
    </w:p>
    <w:p w:rsidR="00B01F4A" w:rsidRDefault="00B01F4A" w:rsidP="00B01F4A">
      <w:pPr>
        <w:pStyle w:val="TextoNormal"/>
      </w:pPr>
      <w:r w:rsidRPr="00B01F4A">
        <w:rPr>
          <w:rStyle w:val="NumeroAFNegritaCaracter"/>
        </w:rPr>
        <w:t>2</w:t>
      </w:r>
      <w:r>
        <w:t>. Del referido precepto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w:t>
      </w:r>
    </w:p>
    <w:p w:rsidR="00B01F4A" w:rsidRDefault="00B01F4A" w:rsidP="00B01F4A">
      <w:pPr>
        <w:pStyle w:val="TextoNormal"/>
      </w:pPr>
      <w:r>
        <w:t>En efecto, la sustanciación, mediante los trámites procesales pertinentes, de la causa penal a la que el recurrente atribuye las supuestas irregularidades motivo de su queja, implicaría la continuidad del sometimiento del encausado a una jurisdicción -la militar- que estima carece de competencia para enjuiciarle; y de otra parte, con independencia de esta eventual vulneración del derecho al Juez ordinario legalmente predeterminado, se podría ocasionar -de no acceder a la instada suspensión-, la presencia del imputado recurrente en la vista oral de una causa penal sustentada en una previa actividad instructora a la que aquél reprocha quebrantamientos formales esenciales y que, de ser apreciados por este Tribunal, producirían la retroacción de actuaciones a fase procesal anterior a la vista oral. Debemos, pues, concluir con el recurrente que la denegación de la suspensión supone una pérdida parcial de la finalidad de amparo (AATC 7/1984 y 93/1993).</w:t>
      </w:r>
    </w:p>
    <w:p w:rsidR="00B01F4A" w:rsidRDefault="00B01F4A" w:rsidP="00B01F4A">
      <w:pPr>
        <w:pStyle w:val="TextoNormal"/>
      </w:pPr>
      <w:r>
        <w:t>Cabe apreciar asimismo el segundo de los requisitos enunciados, relativo a que la suspensión no perturbe gravemente los intereses generales o los derechos fundamentales o libertades públicas de un tercero. Frente a los efectos de la denegación de la suspensión sobre los derechos invocados por el recurrente no cabe estimar de gravedad suficiente la incidencia de la medida cautelar en la efectividad de la resolución firme impugnada y en la prolongación de un procedimiento ya muy dilatado en el tiempo y en el que el ejercicio de la acusación corresponde exclusivamente al Ministerio Fiscal.</w:t>
      </w:r>
    </w:p>
    <w:p w:rsidR="00B01F4A" w:rsidRDefault="00B01F4A" w:rsidP="00B01F4A">
      <w:pPr>
        <w:pStyle w:val="TextoNormal"/>
      </w:pPr>
    </w:p>
    <w:p w:rsidR="00B01F4A" w:rsidRDefault="00B01F4A" w:rsidP="00B01F4A">
      <w:pPr>
        <w:pStyle w:val="TextoNormal"/>
      </w:pPr>
      <w:r w:rsidRPr="00B01F4A">
        <w:rPr>
          <w:rStyle w:val="NumeroAFNegritaCaracter"/>
        </w:rPr>
        <w:t>3</w:t>
      </w:r>
      <w:r>
        <w:t>. La decisión de suspensión que adoptamos requiere aún alguna matización</w:t>
      </w:r>
    </w:p>
    <w:p w:rsidR="00B01F4A" w:rsidRDefault="00B01F4A" w:rsidP="00B01F4A">
      <w:pPr>
        <w:pStyle w:val="TextoNormal"/>
      </w:pPr>
      <w:r>
        <w:t>Es la primera que, habiendo alcanzado el proceso penal la fase de calificación, su paralización ha de ser inmediata (ATC 77/1984).</w:t>
      </w:r>
    </w:p>
    <w:p w:rsidR="00B01F4A" w:rsidRDefault="00B01F4A" w:rsidP="00B01F4A">
      <w:pPr>
        <w:pStyle w:val="TextoNormal"/>
      </w:pPr>
      <w:r>
        <w:t xml:space="preserve">Concierne la segunda a que tal como precisaba el ATC 77/1984, la suspensión de la causa no afectará a las medidas cautelares personales y reales eventualmente adoptadas ni a las incidencias que respecto a las mismas puedan surgir, pues la protección preventiva en que </w:t>
      </w:r>
      <w:r>
        <w:lastRenderedPageBreak/>
        <w:t>la suspensión consiste no necesita de otro efecto que el indicado, y el interés general reclama que dichas medidas cautelares no resulten entorpecidas por la suspensión, sin que, por lo demás su mantenimiento o modificación pueda privar de finalidad al amparo impetrado.</w:t>
      </w:r>
    </w:p>
    <w:p w:rsidR="00B01F4A" w:rsidRDefault="00B01F4A" w:rsidP="00B01F4A">
      <w:pPr>
        <w:pStyle w:val="TextoNormal"/>
      </w:pPr>
      <w:r>
        <w:t>Ha de precisarse, asimismo, que las circunstancias concurrentes y la duración del proceso «a quo», determinan la procedencia de la misma celeridad en la resolución del presente recurso de amparo, como ha acordado este Tribunal en ocasiones semejantes (AATC 144/1990, 249/1996 y 282/1996).</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virtud de lo expuesto, la Sala acuerda la suspensión de la causa militar número 234/85 en que fueron dictadas las resoluciones recurridas, sin que esta suspensión afecte a las medidas cautelares en ellas adoptadas ni a las incidencias que respecto de</w:t>
      </w:r>
    </w:p>
    <w:p w:rsidR="00B01F4A" w:rsidRDefault="00B01F4A" w:rsidP="00B01F4A">
      <w:pPr>
        <w:pStyle w:val="TextoNormal"/>
      </w:pPr>
      <w:r>
        <w:t>las mismas puedan surgir.</w:t>
      </w:r>
    </w:p>
    <w:p w:rsidR="00B01F4A" w:rsidRDefault="00B01F4A" w:rsidP="00B01F4A">
      <w:pPr>
        <w:pStyle w:val="TextoNormal"/>
      </w:pPr>
    </w:p>
    <w:p w:rsidR="00B01F4A" w:rsidRDefault="00B01F4A" w:rsidP="00B01F4A">
      <w:pPr>
        <w:pStyle w:val="TextoNormal"/>
      </w:pPr>
      <w:r>
        <w:t>Madrid, a diez de febrero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30" w:name="AUTO_1997_40"/>
      <w:r>
        <w:lastRenderedPageBreak/>
        <w:t>AUTO 40/1997, de 10 de febrero de 1997</w:t>
      </w:r>
    </w:p>
    <w:bookmarkEnd w:id="130"/>
    <w:p w:rsidR="00B01F4A" w:rsidRDefault="00B01F4A" w:rsidP="00B01F4A">
      <w:pPr>
        <w:pStyle w:val="TtuloResolucin"/>
      </w:pPr>
      <w:r>
        <w:t>Sala Segunda</w:t>
      </w:r>
    </w:p>
    <w:p w:rsidR="00B01F4A" w:rsidRDefault="00B01F4A" w:rsidP="00B01F4A">
      <w:pPr>
        <w:pStyle w:val="TtuloResolucin"/>
      </w:pPr>
    </w:p>
    <w:p w:rsidR="00B01F4A" w:rsidRDefault="00B01F4A" w:rsidP="00B01F4A">
      <w:pPr>
        <w:pStyle w:val="SntesisDescriptiva"/>
      </w:pPr>
      <w:r>
        <w:t>ECLI:ES:TC:1997:40A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don Rafael de Mendizábal Allende, don Julio D. González Campos, don Carles Viver Pi-Sunyer y don Tomás Salvador Vives Antón.</w:t>
      </w:r>
    </w:p>
    <w:p w:rsidR="00B01F4A" w:rsidRDefault="00B01F4A" w:rsidP="00B01F4A">
      <w:pPr>
        <w:pStyle w:val="SntesisDescriptiva"/>
      </w:pPr>
    </w:p>
    <w:p w:rsidR="00B01F4A" w:rsidRDefault="00B01F4A" w:rsidP="00B01F4A">
      <w:pPr>
        <w:pStyle w:val="SntesisDescriptiva"/>
      </w:pPr>
      <w:r>
        <w:t>Denegando la suspensión de la ejecución del acto que origina el recurso de amparo 2.808/1996.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xml:space="preserve">. El Procurador de los Tribunales, don Fernando Gala Escribano, en nombre de la sociedad cooperativa «San Andrés» y mediante escrito presentado el 11 de julio de 1996, interpuso recurso de amparo contra el Auto que la Sección Primera de la Audiencia Provincial de Toledo dictó el 7 de febrero de dicho año, declarando desierto el recurso de apelación interpuesto contra la Sentencia pronunciada por el Juez de Primera Instancia núm. 1 de Talavera de la Reina en el juicio declarativo de menor cuantía núm. 65/95, que fue confirmado en súplica mediante otro de 5 de marzo siguiente, así como contra el de 22 de abril, siempre de 1996, por el que se inadmitió el recurso de casación que interpuso contra los dos anteriores, confirmado en queja por el que la Sala Primera del Tribunal Supremo pronunció el 25 de junio. </w:t>
      </w:r>
    </w:p>
    <w:p w:rsidR="00B01F4A" w:rsidRDefault="00B01F4A" w:rsidP="00B01F4A">
      <w:pPr>
        <w:pStyle w:val="TextoNormal"/>
      </w:pPr>
      <w:r>
        <w:t>En el lugar correspondiente de la demanda solicitó la suspensión de los efectos del Auto por el que se declara desierto el recurso de apelación, puesto que de no acordarse así la Sentencia dictada en el juicio declarativo de menor cuantía adquirirá firmeza y podrá ser ejecutada, cuya ejecución puede hacer quebrar la viabilidad de la sociedad cooperativa, puesto que al estimarse en aquella Sentencia los fondos litigiosos como depósitos mercantiles y no como aportaciones voluntarias, es previsible que se produzcan reclamaciones en cadena para obtener la devolución de las cantidades entregadas bajo el instituto de las participaciones sociales, poniendo en peligro la solvencia de la sociedad y haciendo, por ello, perder al amparo su finalidad.</w:t>
      </w:r>
    </w:p>
    <w:p w:rsidR="00B01F4A" w:rsidRDefault="00B01F4A" w:rsidP="00B01F4A">
      <w:pPr>
        <w:pStyle w:val="TextoNormal"/>
      </w:pPr>
    </w:p>
    <w:p w:rsidR="00B01F4A" w:rsidRDefault="00B01F4A" w:rsidP="00B01F4A">
      <w:pPr>
        <w:pStyle w:val="TextoNormal"/>
      </w:pPr>
      <w:r w:rsidRPr="00B01F4A">
        <w:rPr>
          <w:rStyle w:val="NumeroAFNegritaCaracter"/>
        </w:rPr>
        <w:t>2</w:t>
      </w:r>
      <w:r>
        <w:t>. La Sección Cuarta, en providencia de 9 de diciembre de 1996, admitió a trámite la demanda de amparo y en otra de igual fecha acordó formar la correspondiente pieza separada y conceder en ella un plazo común de tres días al Ministerio Fiscal y al demandante para que dentro del mismo pudieran alegar cuanto estimaran pertinente en relación con la medida cautelar solicitada.</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La sociedad demandante de amparo ha evacuado el traslado en escrito que presentó el 13 de diciembre, en el que reitera su solicitud de suspensión y reproduce, con mayor extensión, los argumentos expuestos en su escrito de demanda, haciendo consideraciones sobre </w:t>
      </w:r>
      <w:r>
        <w:lastRenderedPageBreak/>
        <w:t xml:space="preserve">la naturaleza de las aportaciones voluntarias realizadas al capital social por los cooperativistas. Añade que en el plano axiológico merece mayor protección el interés de la cooperativa que el del demandante en el proceso civil. Por lo demás, la suspensión lo único que producirá, en el caso de que el amparo sea denegado, es un retraso en la ejecución de la Sentencia, que, por afectar a intereses privados, no incidirá negativamente sobre el interés general. Concluye afirmando que, con independencia de todo lo anterior, aquel demandante no ha instado ante el Juzgado sentenciador la ejecución de la Sentencia. </w:t>
      </w:r>
    </w:p>
    <w:p w:rsidR="00B01F4A" w:rsidRDefault="00B01F4A" w:rsidP="00B01F4A">
      <w:pPr>
        <w:pStyle w:val="TextoNormal"/>
      </w:pPr>
      <w:r>
        <w:t>Por su parte, el Fiscal se ha opuesto a la suspensión en escrito registrado el 16 de diciembre, habida cuenta la trascendencia puramente económica de la ejecución.</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Aunque la Ley Orgánica de este Tribunal no lo diga así explícitamente, no parece discutible que la interposición del recurso de amparo, por su propia naturaleza intrínseca, no obsta a la vigencia, efectividad y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B01F4A" w:rsidRDefault="00B01F4A" w:rsidP="00B01F4A">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cuatelar, que cumple una función de equilibrio entre el poder y la libertad, conectándose directa e inmediatamente a garantía de la efectividad de la tutela judicial que consagra el art. 24 de nuestra Constitución. En efecto, el soporte de tal medida consiste en el riesgo o la certeza de que la ejecución ocasionará un perjuicio que hará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de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 aun cuando a veces pueda resultar inevitable y hasta conveniente una mirada a soslayo.</w:t>
      </w:r>
    </w:p>
    <w:p w:rsidR="00B01F4A" w:rsidRDefault="00B01F4A" w:rsidP="00B01F4A">
      <w:pPr>
        <w:pStyle w:val="TextoNormal"/>
      </w:pPr>
    </w:p>
    <w:p w:rsidR="00B01F4A" w:rsidRDefault="00B01F4A" w:rsidP="00B01F4A">
      <w:pPr>
        <w:pStyle w:val="TextoNormal"/>
      </w:pPr>
      <w:r w:rsidRPr="00B01F4A">
        <w:rPr>
          <w:rStyle w:val="NumeroAFNegritaCaracter"/>
        </w:rPr>
        <w:t>2</w:t>
      </w:r>
      <w:r>
        <w:t>. El análisis de los intereses en conflicto, dentro del caso concreto que nos ocupa, desvela ante todo que exista un interés general latente, intrínseco a la ejecutoriedad de toda Sentencia definitiva y firme, como exigencia inherente a la efectividad de la tutela judicial, cuya plenitud sólo así se alcanza. La petición de la sociedad demandante de amparo, desde la perspectiva opuesta, tiene un contenido exclusivamente económico y como su fundamento se alega tan sólo que la doctrina contenida en la Sentencia dictada por el Juez de Primera Instancia núm. 1 de Talavera de la Reina puede provocar una serie de demandas en cadena de los socios que, si prosperasen, pondrían en peligro la subsistencia de la propia cooperativa</w:t>
      </w:r>
    </w:p>
    <w:p w:rsidR="00B01F4A" w:rsidRDefault="00B01F4A" w:rsidP="00B01F4A">
      <w:pPr>
        <w:pStyle w:val="TextoNormal"/>
      </w:pPr>
      <w:r>
        <w:lastRenderedPageBreak/>
        <w:t>En la ponderación que este Tribunal ha de realizar para decidir sobre la medida cautelar instalada deben quedar fuera esas eventuales, hipotéticas y futuras reclamaciones y sus consecuencias. Los daños y perjuicios a tomar en consideración en esta coyuntura son los efectivos y actuales, ya que sólo ellos, en función de su carácter e importancia, podría hacer perder al amparo su finalidad. Así, pues, el objeto concreto de la suspensión solicitada por la cooperativa queda constreñido a la cantidad líquida a cuya pago fue condenado en la Sentencia. Por otra parte, el único efecto que podría provocar el amparo, si tuviere éxito, consistiría en abrir el cauce del recurso de apelación. Es claro que otorgarlo no significará en ningún caso la absolución de la sociedad ni la anulación de la condena al pago que se le impuso. Por lo dicho, queda claro que la efectividad del Auto de la Audiencia Provincial de Toledo y, consecuentemente, la ejecución de la Sentencia del Juez de Primera Instancia núm. 1 de Talavera de la Reina no producen efectos irreversibles ni ocasionan un grave quebranto económico a la cooperativa, sin que en ningún caso desvirtúen la finalidad de este recurso.</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lo anterior, la Sala acuerda no suspender la ejecución del Auto y la Sentencia objeto de este proceso de amparo.</w:t>
      </w:r>
    </w:p>
    <w:p w:rsidR="00B01F4A" w:rsidRDefault="00B01F4A" w:rsidP="00B01F4A">
      <w:pPr>
        <w:pStyle w:val="TextoNormal"/>
      </w:pPr>
    </w:p>
    <w:p w:rsidR="00B01F4A" w:rsidRDefault="00B01F4A" w:rsidP="00B01F4A">
      <w:pPr>
        <w:pStyle w:val="TextoNormal"/>
      </w:pPr>
      <w:r>
        <w:t>Madrid, a diez de febrero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31" w:name="AUTO_1997_41"/>
      <w:r>
        <w:lastRenderedPageBreak/>
        <w:t>AUTO 41/1997, de 10 de febrero de 1997</w:t>
      </w:r>
    </w:p>
    <w:bookmarkEnd w:id="131"/>
    <w:p w:rsidR="00B01F4A" w:rsidRDefault="00B01F4A" w:rsidP="00B01F4A">
      <w:pPr>
        <w:pStyle w:val="TtuloResolucin"/>
      </w:pPr>
      <w:r>
        <w:t>Sala Primera</w:t>
      </w:r>
    </w:p>
    <w:p w:rsidR="00B01F4A" w:rsidRDefault="00B01F4A" w:rsidP="00B01F4A">
      <w:pPr>
        <w:pStyle w:val="TtuloResolucin"/>
      </w:pPr>
    </w:p>
    <w:p w:rsidR="00B01F4A" w:rsidRDefault="00B01F4A" w:rsidP="00B01F4A">
      <w:pPr>
        <w:pStyle w:val="SntesisDescriptiva"/>
      </w:pPr>
      <w:r>
        <w:t>ECLI:ES:TC:1997:41A</w:t>
      </w:r>
    </w:p>
    <w:p w:rsidR="00B01F4A" w:rsidRDefault="00B01F4A" w:rsidP="00B01F4A">
      <w:pPr>
        <w:pStyle w:val="SntesisDescriptiva"/>
      </w:pPr>
    </w:p>
    <w:p w:rsidR="00B01F4A" w:rsidRDefault="00B01F4A" w:rsidP="00B01F4A">
      <w:pPr>
        <w:pStyle w:val="SntesisDescriptiva"/>
      </w:pPr>
      <w:r>
        <w:t>Excms. Srs. don Álvaro Rodríguez Bereijo, don José Vicente Gimeno Sendra, don Pedro Cruz Villalón, don Enrique Ruiz Vadillo, don Manuel Jiménez de Parga y Cabrera y don Pablo García Manzano.</w:t>
      </w:r>
    </w:p>
    <w:p w:rsidR="00B01F4A" w:rsidRDefault="00B01F4A" w:rsidP="00B01F4A">
      <w:pPr>
        <w:pStyle w:val="SntesisDescriptiva"/>
      </w:pPr>
    </w:p>
    <w:p w:rsidR="00B01F4A" w:rsidRDefault="00B01F4A" w:rsidP="00B01F4A">
      <w:pPr>
        <w:pStyle w:val="SntesisDescriptiva"/>
      </w:pPr>
      <w:r>
        <w:t>Denegando la suspensión de la ejecución del acto que origina el recurso de amparo 2.876/1996.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en este Tribunal el 16 de julio de 1996, don Miguel Ángel de Cabo Picazo, Procurador de los Tribunales, en nombre y representación de «Azulejos Cabrera, Sociedad Anónima», interpuso recurso de amparo contra el Auto dictado por la Sección Primera de la Sala de lo Contencioso Administrativo del Tribunal Supremo de 30 de mayo de 1996, por el que se declara la inadmisión del recurso de casación para la unificación de doctrina contra la Sentencia del Tribunal Superior de Justicia de la Comunidad Valenciana de 21 de septiembre de 1995.</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Los hechos en los que se fundamenta la demanda de amparo son, sucintamente expuestos, los siguientes: </w:t>
      </w:r>
    </w:p>
    <w:p w:rsidR="00B01F4A" w:rsidRDefault="00B01F4A" w:rsidP="00B01F4A">
      <w:pPr>
        <w:pStyle w:val="TextoNormal"/>
      </w:pPr>
      <w:r>
        <w:t xml:space="preserve">a) La Sección Primera de la Sala de lo Contencioso-Administrativo del Tribunal Superior de Justicia de la Comunidad Valenciana dictó Sentencia el día 21 de septiembre de 1995 desestimando la pretensión deducida por la entidad recurrente en amparo sobre iniciación de la vía de apremio para el cobro de ciertas cantidades. </w:t>
      </w:r>
    </w:p>
    <w:p w:rsidR="00B01F4A" w:rsidRDefault="00B01F4A" w:rsidP="00B01F4A">
      <w:pPr>
        <w:pStyle w:val="TextoNormal"/>
      </w:pPr>
      <w:r>
        <w:t xml:space="preserve">b) Notificada tal resolución, la representación procesal de la entidad actora presentó un escrito de preparación de recurso de casación para la unificación de doctrina en el que se alegaba la supuesta contradicción existente entre la Sentencia dictada por el Tribunal Superior de la Comunidad Valenciana y la Sentencia del Tribunal Supremo de 31 de mayo de 1993. Con el escrito de preparación se acompaña fotocopia de esta última Sentencia, extraída de una colección privada, que no recogía el texto íntegro de la Sentencia, a su vez, se manifestaba que se había solicitado de la Sala Tercera certificación oficial de la Sentencia. </w:t>
      </w:r>
    </w:p>
    <w:p w:rsidR="00B01F4A" w:rsidRDefault="00B01F4A" w:rsidP="00B01F4A">
      <w:pPr>
        <w:pStyle w:val="TextoNormal"/>
      </w:pPr>
      <w:r>
        <w:t xml:space="preserve">c) Por providencia de 31 de octubre de 1995 la Sala de instancia tuvo por preparado el recurso de casación remitiendo las actuaciones al Tribunal Supremo. Posteriormente se presentó por la representación del actor escrito de interposición del recurso en que se fundamentaba la contradicción existente entre ambas Sentencias. La certificación oficial de la Sentencia del Tribunal Supremo de 31 de mayo de 1993 fue entregada ante el propio Tribunal Supremo a fin de que obrara en autos y con fecha 9 de enero de 1996, la Sala dicta providencia teniendo por interpuesto el recurso de casación y acordando la devolución del escrito con el que se acompañaba la certificación «por no ser momento procesal oportuno». </w:t>
      </w:r>
    </w:p>
    <w:p w:rsidR="00B01F4A" w:rsidRDefault="00B01F4A" w:rsidP="00B01F4A">
      <w:pPr>
        <w:pStyle w:val="TextoNormal"/>
      </w:pPr>
      <w:r>
        <w:lastRenderedPageBreak/>
        <w:t xml:space="preserve">d) El 23 de febrero de 1996, la Sala Tercera dictó providencia concediendo a las partes el plazo de diez días a fin de que alegaran lo que a su derecho conviniera sobre la posible causa de inadmisión consistente en la defectuosa preparación del recurso al no haber acompañado al escrito de preparación la certificación de las Sentencias contrarias, ni en el plazo de subsanación ni acreditado haber solicitado su expedición en tiempo oportuno, acompañando la copia simple de su texto, de conformidad con el art. 102.2.4 L.J.C.A. </w:t>
      </w:r>
    </w:p>
    <w:p w:rsidR="00B01F4A" w:rsidRDefault="00B01F4A" w:rsidP="00B01F4A">
      <w:pPr>
        <w:pStyle w:val="TextoNormal"/>
      </w:pPr>
      <w:r>
        <w:t>e) Evacuado el trámite, la Sala Tercera dicta Auto el 30 de mayo de 1990 declarando inadmisible el recurso de casación por haber sido defectuosa su preparación, habida cuenta que «únicamente se acompañó fotocopia tomada de una colección privada de la Sentencia alegada como contraria en la que se recoge el texto íntegro de aquélla sin que se subsanase la falta de aportación de la correspondiente certificación en el plazo de diez días».</w:t>
      </w:r>
    </w:p>
    <w:p w:rsidR="00B01F4A" w:rsidRDefault="00B01F4A" w:rsidP="00B01F4A">
      <w:pPr>
        <w:pStyle w:val="TextoNormal"/>
      </w:pPr>
    </w:p>
    <w:p w:rsidR="00B01F4A" w:rsidRDefault="00B01F4A" w:rsidP="00B01F4A">
      <w:pPr>
        <w:pStyle w:val="TextoNormal"/>
      </w:pPr>
      <w:r w:rsidRPr="00B01F4A">
        <w:rPr>
          <w:rStyle w:val="NumeroAFNegritaCaracter"/>
        </w:rPr>
        <w:t>3</w:t>
      </w:r>
      <w:r>
        <w:t>. En la demanda de amparo se imputa al Auto del Tribunal Supremo que inadmite a trámite el recurso de casación para la unificación de doctrina, la lesión del derecho a la tutela judicial efectiva reconocido en el art. 24.1 C. E., en su modalidad de acceso a los recursos legalmente establecidos. Se argumenta, al respecto, que la actora solicitó en tiempo «oportuno» la certificación de la Sentencia supuestamente contradictoria ante el Tribunal Supremo y, por tanto, la Sala debió haber declarado de oficio dicha certificación oficial y tener por preparado el recurso de casación. Así, pues, se afirma por la sociedad recurrente, que el Auto del Tribunal Supremo es erróneo y produce indefensión, y que tendría que haberse tramitado el recurso toda vez que se había solicitado la certificación de la Sentencia contradictoria «en tiempo oportuno», sin que sea pertinente la inadmisión por no haber aportado el texto completo de la Sentencia, pues lo único que pudo aportar la actora es la copia de una colección privada, que posteriormente se subsanó mediante la certificación de la Sentencia íntegra.</w:t>
      </w:r>
    </w:p>
    <w:p w:rsidR="00B01F4A" w:rsidRDefault="00B01F4A" w:rsidP="00B01F4A">
      <w:pPr>
        <w:pStyle w:val="TextoNormal"/>
      </w:pPr>
    </w:p>
    <w:p w:rsidR="00B01F4A" w:rsidRDefault="00B01F4A" w:rsidP="00B01F4A">
      <w:pPr>
        <w:pStyle w:val="TextoNormal"/>
      </w:pPr>
      <w:r w:rsidRPr="00B01F4A">
        <w:rPr>
          <w:rStyle w:val="NumeroAFNegritaCaracter"/>
        </w:rPr>
        <w:t>4</w:t>
      </w:r>
      <w:r>
        <w:t>. Por providencia de 4 de noviembre de 1996, la Sección Segunda de la Sala Primera de este Tribunal acordó admitir a trámite el recurso de amparo y requerir a la Sección Primera de la Sala Tercera del Tribunal Supremo, así como al Tribunal Superior de Justicia de la Comunidad Valenciana para que, en el plazo de diez días remitieren testimonio de las actuaciones relativas a los respectivos recursos, y, al propio tiempo, emplazara a quienes fueran partes en el proceso de que trae causa la presente litis, con excepción del recurrente en amparo para que pudiera comparecer en este proceso constitucional.</w:t>
      </w:r>
    </w:p>
    <w:p w:rsidR="00B01F4A" w:rsidRDefault="00B01F4A" w:rsidP="00B01F4A">
      <w:pPr>
        <w:pStyle w:val="TextoNormal"/>
      </w:pPr>
    </w:p>
    <w:p w:rsidR="00B01F4A" w:rsidRDefault="00B01F4A" w:rsidP="00B01F4A">
      <w:pPr>
        <w:pStyle w:val="TextoNormal"/>
      </w:pPr>
      <w:r w:rsidRPr="00B01F4A">
        <w:rPr>
          <w:rStyle w:val="NumeroAFNegritaCaracter"/>
        </w:rPr>
        <w:t>5</w:t>
      </w:r>
      <w:r>
        <w:t>. Por escrito de 29 de noviembre de 1996, la representación procesal del recurrente interesó la suspensión de la ejecución del acto administrativo, liquidación de la sanción tributaría, confirmando por la Sentencia de la Sala de lo Contencioso-Administrativo del Tribunal Superior de Justicia de la Comunidad Valenciana.</w:t>
      </w:r>
    </w:p>
    <w:p w:rsidR="00B01F4A" w:rsidRDefault="00B01F4A" w:rsidP="00B01F4A">
      <w:pPr>
        <w:pStyle w:val="TextoNormal"/>
      </w:pPr>
    </w:p>
    <w:p w:rsidR="00B01F4A" w:rsidRDefault="00B01F4A" w:rsidP="00B01F4A">
      <w:pPr>
        <w:pStyle w:val="TextoNormal"/>
      </w:pPr>
      <w:r w:rsidRPr="00B01F4A">
        <w:rPr>
          <w:rStyle w:val="NumeroAFNegritaCaracter"/>
        </w:rPr>
        <w:t>6</w:t>
      </w:r>
      <w:r>
        <w:t>. Mediante providencia de 9 de diciembre de 1996, la Sección Segunda acordó formar la oportuna pieza separada de suspensión y, de conformidad con lo prevenido en el art. 56 de la Ley Orgánica del Tribunal Constitucional, conceder un plazo de tres días al Ministerio Fiscal para que, dentro de dicho término, alegue lo que estime pertinente en relación con la petición de suspensión interesada.</w:t>
      </w:r>
    </w:p>
    <w:p w:rsidR="00B01F4A" w:rsidRDefault="00B01F4A" w:rsidP="00B01F4A">
      <w:pPr>
        <w:pStyle w:val="TextoNormal"/>
      </w:pPr>
    </w:p>
    <w:p w:rsidR="00B01F4A" w:rsidRDefault="00B01F4A" w:rsidP="00B01F4A">
      <w:pPr>
        <w:pStyle w:val="TextoNormal"/>
      </w:pPr>
      <w:r w:rsidRPr="00B01F4A">
        <w:rPr>
          <w:rStyle w:val="NumeroAFNegritaCaracter"/>
        </w:rPr>
        <w:t>7</w:t>
      </w:r>
      <w:r>
        <w:t xml:space="preserve">. Por escrito de 23 de diciembre de 1996, el Ministerio Fiscal presentó sus alegaciones en el incidente de suspensión. En dicho escrito manifiesta que la suspensión de la ejecución </w:t>
      </w:r>
      <w:r>
        <w:lastRenderedPageBreak/>
        <w:t>de la resolución impugnada equivaldría a admitir a trámite el recurso de casación y supondría la anticipación del fondo del amparo, por lo que se opone a la suspensión solicitada.</w:t>
      </w:r>
    </w:p>
    <w:p w:rsidR="00B01F4A" w:rsidRDefault="00B01F4A" w:rsidP="00B01F4A">
      <w:pPr>
        <w:pStyle w:val="TextoNormal"/>
      </w:pPr>
    </w:p>
    <w:p w:rsidR="00B01F4A" w:rsidRDefault="00B01F4A" w:rsidP="00B01F4A">
      <w:pPr>
        <w:pStyle w:val="TextoNormal"/>
      </w:pPr>
      <w:r w:rsidRPr="00B01F4A">
        <w:rPr>
          <w:rStyle w:val="NumeroAFNegritaCaracter"/>
        </w:rPr>
        <w:t>8</w:t>
      </w:r>
      <w:r>
        <w:t>. Mediante escrito registrado el 10 de enero de 1997, el Abogado del Estado se personó en el presente procedimiento, interesando que se entendieren con esta representación las actuaciones sucesivas.</w:t>
      </w:r>
    </w:p>
    <w:p w:rsidR="00B01F4A" w:rsidRDefault="00B01F4A" w:rsidP="00B01F4A">
      <w:pPr>
        <w:pStyle w:val="TextoNormal"/>
      </w:pPr>
    </w:p>
    <w:p w:rsidR="00B01F4A" w:rsidRDefault="00B01F4A" w:rsidP="00B01F4A">
      <w:pPr>
        <w:pStyle w:val="TextoNormal"/>
      </w:pPr>
      <w:r w:rsidRPr="00B01F4A">
        <w:rPr>
          <w:rStyle w:val="NumeroAFNegritaCaracter"/>
        </w:rPr>
        <w:t>9</w:t>
      </w:r>
      <w:r>
        <w:t>. Por providencia de 20 de enero de 1997, la Sección Segunda acordó tener por recibido el escrito del Abogado del Estado, teniéndole por personado, y, por otra providencia de la misma fecha acordó concederle un término de tres días a fin de que alegare lo que estimare pertinente en relación con la petición de suspensión interesada por el solicitante de amparo.</w:t>
      </w:r>
    </w:p>
    <w:p w:rsidR="00B01F4A" w:rsidRDefault="00B01F4A" w:rsidP="00B01F4A">
      <w:pPr>
        <w:pStyle w:val="TextoNormal"/>
      </w:pPr>
    </w:p>
    <w:p w:rsidR="00B01F4A" w:rsidRDefault="00B01F4A" w:rsidP="00B01F4A">
      <w:pPr>
        <w:pStyle w:val="TextoNormal"/>
      </w:pPr>
      <w:r w:rsidRPr="00B01F4A">
        <w:rPr>
          <w:rStyle w:val="NumeroAFNegritaCaracter"/>
        </w:rPr>
        <w:t>10</w:t>
      </w:r>
      <w:r>
        <w:t>. El 24 de enero de 1997 se registró en este Tribunal el escrito de alegaciones del Abogado del Estado, oponiéndose a la suspensión solicitada por el recurrente, por entender que lo que se solicita no es la suspensión del acto por razón del cual se reclame el amparo, esto es, una resolución judicial, sino la del acto administrativo contra el que se interpuso el recurso contencioso-administrativo del que trae causa el presente recurso de amparo, pretensión que no tiene encaje en las previsiones en el art. 56 LOTC.</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pudiéndose, no obstante, denegar la suspensión cuando de ésta «pueda seguirse perturbación grave de los intereses generales, o de los derechos fundamentales o intereses públicos de un tercero».</w:t>
      </w:r>
    </w:p>
    <w:p w:rsidR="00B01F4A" w:rsidRDefault="00B01F4A" w:rsidP="00B01F4A">
      <w:pPr>
        <w:pStyle w:val="TextoNormal"/>
      </w:pPr>
      <w:r>
        <w:t>De acuerdo con la doctrina mantenida por este Tribunal (AATC 17/1980, 57/1980, 257/1986, 249/1989, 141/1990, 212/1994, 35/1996 y 76/1996, entre otros), la suspensión se configura como una media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legalidad y veracidad. Este interés general posee especial relieve cuando se trata de resoluciones dictadas por Jueces y Tribunales en el ejercicio de la potestad jurisdiccional que les confiere el art. 117.3 de la Constitución». El punto de partida es, por consiguiente, que la interposición del recurso de amparo, como regla general, no suspende la ejecución de los actos recurridos, salvo en el supuesto expresamente previsto en la LOTC -pérdida de la finalidad el amparo- y aún en este caso siempre que la suspensión no produzca las perturbaciones aludidas en el art. 56 antes citado.</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Debe entenderse que sólo hay perjuicio irreparable cuando la no suspensión del acto recurrido provoque que el posterior y eventual restablecimiento del recurrente en el derecho constitucional vulnerado, en el supuesto de que el amparo sea otorgado, sea tardío e impida definitivamente que tal restauración resulta efectiva. En general se ha entendido que las </w:t>
      </w:r>
      <w:r>
        <w:lastRenderedPageBreak/>
        <w:t>resoluciones judiciales con efectos meramente patrimoniales o económicos, en principio no causan perjuicios irreparables, por lo que no procede su suspensión (AATC 573/1985, 574/1985 ó 275/1990).</w:t>
      </w:r>
    </w:p>
    <w:p w:rsidR="00B01F4A" w:rsidRDefault="00B01F4A" w:rsidP="00B01F4A">
      <w:pPr>
        <w:pStyle w:val="TextoNormal"/>
      </w:pPr>
      <w:r>
        <w:t>A la luz de la doctrina que se acaba de exponer no procede decretar la suspensión solicitada, pues la ejecución de la resolución impugnada, Auto de la Sección Primera de la Sala de lo Contencioso-Administrativo del Tribunal Supremo, por el que se declara la inadmisión del recurso de casación para la unificación de doctrina contra la Sentencia del Tribunal Superior de Justicia de la Comunidad Valenciana de 21 de septiembre de 1995, sólo conllevará la exacción por la vía de apremio de una sanción tributaría. De suerte que, en atención a su naturaleza puramente patrimonial o económica, dicha ejecución no puede entrañar un perjuicio irreparable para la demandante de amparo, ya que el pago es siempre resarcible.</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lo expuesto, la Sala acuerda denegar la suspensión solicitada.</w:t>
      </w:r>
    </w:p>
    <w:p w:rsidR="00B01F4A" w:rsidRDefault="00B01F4A" w:rsidP="00B01F4A">
      <w:pPr>
        <w:pStyle w:val="TextoNormal"/>
      </w:pPr>
    </w:p>
    <w:p w:rsidR="00B01F4A" w:rsidRDefault="00B01F4A" w:rsidP="00B01F4A">
      <w:pPr>
        <w:pStyle w:val="TextoNormal"/>
      </w:pPr>
      <w:r>
        <w:t>Madrid, a diez de febrero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32" w:name="AUTO_1997_42"/>
      <w:r>
        <w:lastRenderedPageBreak/>
        <w:t>AUTO 42/1997, de 10 de febrero de 1997</w:t>
      </w:r>
    </w:p>
    <w:bookmarkEnd w:id="132"/>
    <w:p w:rsidR="00B01F4A" w:rsidRDefault="00B01F4A" w:rsidP="00B01F4A">
      <w:pPr>
        <w:pStyle w:val="TtuloResolucin"/>
      </w:pPr>
      <w:r>
        <w:t>Sección Primera</w:t>
      </w:r>
    </w:p>
    <w:p w:rsidR="00B01F4A" w:rsidRDefault="00B01F4A" w:rsidP="00B01F4A">
      <w:pPr>
        <w:pStyle w:val="TtuloResolucin"/>
      </w:pPr>
    </w:p>
    <w:p w:rsidR="00B01F4A" w:rsidRDefault="00B01F4A" w:rsidP="00B01F4A">
      <w:pPr>
        <w:pStyle w:val="SntesisDescriptiva"/>
      </w:pPr>
      <w:r>
        <w:t>ECLI:ES:TC:1997:42A</w:t>
      </w:r>
    </w:p>
    <w:p w:rsidR="00B01F4A" w:rsidRDefault="00B01F4A" w:rsidP="00B01F4A">
      <w:pPr>
        <w:pStyle w:val="SntesisDescriptiva"/>
      </w:pPr>
    </w:p>
    <w:p w:rsidR="00B01F4A" w:rsidRDefault="00B01F4A" w:rsidP="00B01F4A">
      <w:pPr>
        <w:pStyle w:val="SntesisDescriptiva"/>
      </w:pPr>
      <w:r>
        <w:t>Excms. Srs. don Álvaro Rodríguez Bereijo, don Pedro Cruz Villalón y don Enrique Ruiz Vadillo.</w:t>
      </w:r>
    </w:p>
    <w:p w:rsidR="00B01F4A" w:rsidRDefault="00B01F4A" w:rsidP="00B01F4A">
      <w:pPr>
        <w:pStyle w:val="SntesisDescriptiva"/>
      </w:pPr>
    </w:p>
    <w:p w:rsidR="00B01F4A" w:rsidRDefault="00B01F4A" w:rsidP="00B01F4A">
      <w:pPr>
        <w:pStyle w:val="SntesisDescriptiva"/>
      </w:pPr>
      <w:r>
        <w:t>Acordando la inadmisión a trámite del recurso de amparo 3.392/1996.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Por escrito registrado en este Tribunal el 12 de septiembre de 1996, don Roberto Granizo Palomeque, Procurador de los Tribunales, y de don Miguel Cortizo Nieto, don José Antonio Ventoso Mariño, don Antolín Sánchez Presedo, don Francisco Cerviño González, doña María Xosé Porteiro García, don Manuel Ceferino Díaz Díaz, don Francisco Sineiro García, don Francisco Rodríguez Fernández, don Celestino Torres Rodríguez, don Antonio Gato Soengas, don Ramón Félix Blanco Gómez, don Bonifacio Borreiros Fernández, doña María Antonia Álvarez Yáñez, don Agustín Vega Fuente, don Roberto Taboada Rivadulla, don José Giráldez Maneiro, don José Carlos Baños Márquez, don Ismael Rego González y don Uxio Labarta González, interponen recurso de amparo contra Resolución de la Presidencia del Parlamento de Galicia de 13 de junio de 1996 sobre convocatoria de Pleno Extraordinario.</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Los hechos en los que se fundamenta la demanda son, sucintamente expresados, los que siguen: </w:t>
      </w:r>
    </w:p>
    <w:p w:rsidR="00B01F4A" w:rsidRDefault="00B01F4A" w:rsidP="00B01F4A">
      <w:pPr>
        <w:pStyle w:val="TextoNormal"/>
      </w:pPr>
      <w:r>
        <w:t xml:space="preserve">a) Los ahora demandantes, Diputados del Parlamento de Galicia pertenecientes al Grupo Parlamentario de los Socialistas de Galicia, presentaron ante la Mesa del Parlamento, el 3 de mayo de 1996, al amparo del art. 53 del Reglamento de la Cámara, una solicitud de convocatoria de Pleno Extraordinario, con el siguiente orden del día: </w:t>
      </w:r>
    </w:p>
    <w:p w:rsidR="00B01F4A" w:rsidRDefault="00B01F4A" w:rsidP="00B01F4A">
      <w:pPr>
        <w:pStyle w:val="TextoNormal"/>
      </w:pPr>
      <w:r>
        <w:t xml:space="preserve">« 1. Análisis de la situación y evaluación del impacto para Galicia de los acuerdos sobre financiación autonómica. </w:t>
      </w:r>
    </w:p>
    <w:p w:rsidR="00B01F4A" w:rsidRDefault="00B01F4A" w:rsidP="00B01F4A">
      <w:pPr>
        <w:pStyle w:val="TextoNormal"/>
      </w:pPr>
      <w:r>
        <w:t xml:space="preserve">2. Propuestas de resolución.» </w:t>
      </w:r>
    </w:p>
    <w:p w:rsidR="00B01F4A" w:rsidRDefault="00B01F4A" w:rsidP="00B01F4A">
      <w:pPr>
        <w:pStyle w:val="TextoNormal"/>
      </w:pPr>
      <w:r>
        <w:t xml:space="preserve">b) En su reunión de 14 de mayo de 1996, la Mesa del Parlamento acordó dar traslado del anterior escrito a la Junta de Portavoces para conocer su posición respecto de la convocatoria de un Pleno Extraordinario. Se acordó, asimismo, incluir la cuestión en el orden del día de la Junta de Portavoces que había de celebrarse el mismo día 14. </w:t>
      </w:r>
    </w:p>
    <w:p w:rsidR="00B01F4A" w:rsidRDefault="00B01F4A" w:rsidP="00B01F4A">
      <w:pPr>
        <w:pStyle w:val="TextoNormal"/>
      </w:pPr>
      <w:r>
        <w:t xml:space="preserve">c) En la reunión de la Junta de Portavoces de 14 de mayo de 1996, el Portavoz del Grupo Socialista solicitó que se debatiera la solicitud de convocatoria de Pleno Extraordinario, pues la cuestión determinaría la confección del orden del próximo Pleno. El Presidente estimó oportuna la observación y, tras señalar que los autores de la solicitud habían subsanado «un defecto relativo a la legitimidad de la iniciativa», consideró procedente que el asunto se sometiera a la consideración de la Junta, pues la Mesa tenía que estudiarlo ese mismo día. </w:t>
      </w:r>
      <w:r>
        <w:lastRenderedPageBreak/>
        <w:t xml:space="preserve">Tras una serie de intervenciones de los distintos Portavoces y del propio Presidente, éste da por finalizado el debate sin haberse alcanzado acuerdo alguno. </w:t>
      </w:r>
    </w:p>
    <w:p w:rsidR="00B01F4A" w:rsidRDefault="00B01F4A" w:rsidP="00B01F4A">
      <w:pPr>
        <w:pStyle w:val="TextoNormal"/>
      </w:pPr>
      <w:r>
        <w:t xml:space="preserve">d) Por Resolución de 13 de junio de 1996, la Presidencia del Parlamento acordó no convocar el Pleno Extraordinario solicitado por el Grupo Socialista. En los Antecedentes de dicha Resolución se hace constar, inter alia, que el Portavoz del Grupo Popular se había opuesto a la convocatoria en la reunión de la Mesa del día 14 de mayo; oposición que, aplicado el criterio del voto ponderado, implicaba la negativa de la Mesa a la celebración de un Pleno Extraordinario. En la fundamentación jurídica de la Resolución se señalaba, por su parte, que de una lectura sistemática de los arts. 53 y 72.1 del Reglamento se desprende que, una vez solicitada la convocatoria del Pleno, tienen que cumplirse los siguientes trámites: </w:t>
      </w:r>
    </w:p>
    <w:p w:rsidR="00B01F4A" w:rsidRDefault="00B01F4A" w:rsidP="00B01F4A">
      <w:pPr>
        <w:pStyle w:val="TextoNormal"/>
      </w:pPr>
      <w:r>
        <w:t xml:space="preserve">1.º Calificación del documento por la Mesa y admisión a trámite. </w:t>
      </w:r>
    </w:p>
    <w:p w:rsidR="00B01F4A" w:rsidRDefault="00B01F4A" w:rsidP="00B01F4A">
      <w:pPr>
        <w:pStyle w:val="TextoNormal"/>
      </w:pPr>
      <w:r>
        <w:t xml:space="preserve">2.º Acuerdo de la Junta de Portavoces para fijar el orden del día. </w:t>
      </w:r>
    </w:p>
    <w:p w:rsidR="00B01F4A" w:rsidRDefault="00B01F4A" w:rsidP="00B01F4A">
      <w:pPr>
        <w:pStyle w:val="TextoNormal"/>
      </w:pPr>
      <w:r>
        <w:t xml:space="preserve">3.º Ratificación del orden del día por la Mesa y por la Presidencia. </w:t>
      </w:r>
    </w:p>
    <w:p w:rsidR="00B01F4A" w:rsidRDefault="00B01F4A" w:rsidP="00B01F4A">
      <w:pPr>
        <w:pStyle w:val="TextoNormal"/>
      </w:pPr>
      <w:r>
        <w:t xml:space="preserve">4.º Resolución de la Presidencia convocando el Pleno. </w:t>
      </w:r>
    </w:p>
    <w:p w:rsidR="00B01F4A" w:rsidRDefault="00B01F4A" w:rsidP="00B01F4A">
      <w:pPr>
        <w:pStyle w:val="TextoNormal"/>
      </w:pPr>
      <w:r>
        <w:t>En relación con el primero de los requisitos, se señala en la Resolución que la Mesa entendió que la solicitud de convocatoria venía acompañada de una propuesta de orden del día indefinida; respecto del segundo, se afirma que no se alcanzó acuerdo en la Junta, como tampoco hubo acuerdo favorable de la Mesa (requisito 3.º). Por su parte, la convocatoria de Pleno por el Presidente (requisito 4.º) no es, según la Resolución, un acto automático, sino el acto final de un proceso en el que también intervienen la Mesa y la Junta.</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Se interpone recurso de amparo contra la Resolución de la Presidencia del Parlamento de Galicia de 13 de junio de 1996, interesando su nulidad y el restablecimiento de los recurrentes en la integridad de sus derechos mediante el abono, por la contraparte, de los gastos originados por la interposición del presente recurso. Se solicita asimismo la suspensión de la ejecución de la Resolución impugnada. </w:t>
      </w:r>
    </w:p>
    <w:p w:rsidR="00B01F4A" w:rsidRDefault="00B01F4A" w:rsidP="00B01F4A">
      <w:pPr>
        <w:pStyle w:val="TextoNormal"/>
      </w:pPr>
      <w:r>
        <w:t xml:space="preserve">Se alega infracción de los arts. 23 y 24.1 de la Constitución. La queja de los actores se cifra en la idea de que, atendiendo el tenor literal del art. 53 del Reglamento del Parlamento de Galicia, la convocatoria solicitada era, para el Presidente de la Cámara, un acto debido: </w:t>
      </w:r>
    </w:p>
    <w:p w:rsidR="00B01F4A" w:rsidRDefault="00B01F4A" w:rsidP="00B01F4A">
      <w:pPr>
        <w:pStyle w:val="TextoNormal"/>
      </w:pPr>
      <w:r>
        <w:t xml:space="preserve">«El Pleno del Parlamento de Galicia será convocado por su Presidente, por propia iniciativa o por solicitud, por lo menos, de dos Grupos Parlamentarios o de una quinta parte de los Diputados miembros de la Cámara.» </w:t>
      </w:r>
    </w:p>
    <w:p w:rsidR="00B01F4A" w:rsidRDefault="00B01F4A" w:rsidP="00B01F4A">
      <w:pPr>
        <w:pStyle w:val="TextoNormal"/>
      </w:pPr>
      <w:r>
        <w:t>Sin embargo, la Presidencia ha partido de una interpretación conjunta de este precepto y del art. 72 del mismo Reglamento (según el cual, «el Presidente, de acuerdo con la Mesa y la Junta de Portavoces, teniendo en cuenta el calendario de actividades, fijará el orden del día del Pleno, que se incluirá en la correspondiente convocatoria»), de la que habría derivado una restricción inadmisible del derecho reconocido en aquél. Como norma de procedimiento, se alega, la contenida en el art. 72 ha de estar al servicio del derecho sustantivo establecido en el art. 53. Lo contrario supone obviar las exigencias propias del principio de interpretación más favorable a la efectividad de los derechos, privándose a los actores, por cuestiones de procedimiento -y por medio de una derogación singular del art. 53 contraria a la reserva de ley-, del disfrute de un derecho que ha de encontrar en «el procedimiento reglamentario ( ... ) la vía para (su) tutela parlamentaria»; tutela que «debe seguir las mismas pautas interpretativas que los requisitos para la tutela ( ... ) judicial)» (pág. 25 de la demanda).</w:t>
      </w:r>
    </w:p>
    <w:p w:rsidR="00B01F4A" w:rsidRDefault="00B01F4A" w:rsidP="00B01F4A">
      <w:pPr>
        <w:pStyle w:val="TextoNormal"/>
      </w:pPr>
    </w:p>
    <w:p w:rsidR="00B01F4A" w:rsidRDefault="00B01F4A" w:rsidP="00B01F4A">
      <w:pPr>
        <w:pStyle w:val="TextoNormal"/>
      </w:pPr>
      <w:r w:rsidRPr="00B01F4A">
        <w:rPr>
          <w:rStyle w:val="NumeroAFNegritaCaracter"/>
        </w:rPr>
        <w:lastRenderedPageBreak/>
        <w:t>4</w:t>
      </w:r>
      <w:r>
        <w:t>. Por providencia de 14 de octubre de 1996, la Sección Primera de este Tribunal acordó, de conformidad con lo dispuesto en el art. 50.3 LOTC, conceder a los demandantes de amparo y al Ministerio Fiscal un plazo común de diez días para que alegaran lo que estimasen pertinente sobre la posible concurrencia de la causa de inadmisión tipificada en el art. 50.1 c) LOTC, por carecer la demanda manifiestamente de contenido que justifique una resolución sobre el fondo.</w:t>
      </w:r>
    </w:p>
    <w:p w:rsidR="00B01F4A" w:rsidRDefault="00B01F4A" w:rsidP="00B01F4A">
      <w:pPr>
        <w:pStyle w:val="TextoNormal"/>
      </w:pPr>
    </w:p>
    <w:p w:rsidR="00B01F4A" w:rsidRDefault="00B01F4A" w:rsidP="00B01F4A">
      <w:pPr>
        <w:pStyle w:val="TextoNormal"/>
      </w:pPr>
      <w:r w:rsidRPr="00B01F4A">
        <w:rPr>
          <w:rStyle w:val="NumeroAFNegritaCaracter"/>
        </w:rPr>
        <w:t>5</w:t>
      </w:r>
      <w:r>
        <w:t>. La representación procesal de los demandantes de amparo presentó su escrito de alegaciones el 30 de octubre de 1996. En él vienen a reproducirse los argumentos expuestos en el escrito de demanda.</w:t>
      </w:r>
    </w:p>
    <w:p w:rsidR="00B01F4A" w:rsidRDefault="00B01F4A" w:rsidP="00B01F4A">
      <w:pPr>
        <w:pStyle w:val="TextoNormal"/>
      </w:pPr>
    </w:p>
    <w:p w:rsidR="00B01F4A" w:rsidRDefault="00B01F4A" w:rsidP="00B01F4A">
      <w:pPr>
        <w:pStyle w:val="TextoNormal"/>
      </w:pPr>
      <w:r w:rsidRPr="00B01F4A">
        <w:rPr>
          <w:rStyle w:val="NumeroAFNegritaCaracter"/>
        </w:rPr>
        <w:t>6</w:t>
      </w:r>
      <w:r>
        <w:t>. Con fecha 4 de noviembre de 1996, el Ministerio Público presentó escrito en el que interesaba la traducción de oficio de la resolución impugnada y la concesión de un nuevo plazo de diez días para presentar su escrito de alegaciones.</w:t>
      </w:r>
    </w:p>
    <w:p w:rsidR="00B01F4A" w:rsidRDefault="00B01F4A" w:rsidP="00B01F4A">
      <w:pPr>
        <w:pStyle w:val="TextoNormal"/>
      </w:pPr>
    </w:p>
    <w:p w:rsidR="00B01F4A" w:rsidRDefault="00B01F4A" w:rsidP="00B01F4A">
      <w:pPr>
        <w:pStyle w:val="TextoNormal"/>
      </w:pPr>
      <w:r w:rsidRPr="00B01F4A">
        <w:rPr>
          <w:rStyle w:val="NumeroAFNegritaCaracter"/>
        </w:rPr>
        <w:t>7</w:t>
      </w:r>
      <w:r>
        <w:t>. Mediante providencia de 11 de noviembre de 1996, la Sección acordó, de conformidad con lo interesado por el Ministerio Público y lo dispuesto en el art. 231.4 de la Ley Orgánica del Poder Judicial y en el art. 80 LOTC, conceder un plazo de diez días a los recurrentes para que aportaran traducción oficial en castellano de la resolución dictada por la Mesa del Parlamento de Galicia, que en su día se presentó en lengua gallega.</w:t>
      </w:r>
    </w:p>
    <w:p w:rsidR="00B01F4A" w:rsidRDefault="00B01F4A" w:rsidP="00B01F4A">
      <w:pPr>
        <w:pStyle w:val="TextoNormal"/>
      </w:pPr>
    </w:p>
    <w:p w:rsidR="00B01F4A" w:rsidRDefault="00B01F4A" w:rsidP="00B01F4A">
      <w:pPr>
        <w:pStyle w:val="TextoNormal"/>
      </w:pPr>
      <w:r w:rsidRPr="00B01F4A">
        <w:rPr>
          <w:rStyle w:val="NumeroAFNegritaCaracter"/>
        </w:rPr>
        <w:t>8</w:t>
      </w:r>
      <w:r>
        <w:t>. Los demandantes de amparo presentaron la documentación interesada mediante escrito registrado en este Tribunal el 21 de noviembre de 1996.</w:t>
      </w:r>
    </w:p>
    <w:p w:rsidR="00B01F4A" w:rsidRDefault="00B01F4A" w:rsidP="00B01F4A">
      <w:pPr>
        <w:pStyle w:val="TextoNormal"/>
      </w:pPr>
    </w:p>
    <w:p w:rsidR="00B01F4A" w:rsidRDefault="00B01F4A" w:rsidP="00B01F4A">
      <w:pPr>
        <w:pStyle w:val="TextoNormal"/>
      </w:pPr>
      <w:r w:rsidRPr="00B01F4A">
        <w:rPr>
          <w:rStyle w:val="NumeroAFNegritaCaracter"/>
        </w:rPr>
        <w:t>9</w:t>
      </w:r>
      <w:r>
        <w:t>. Por providencia de 2 de diciembre de 1996, la Sección acordó no tener por recibidos los documentos interesados en su anterior proveído y conceder un plazo de diez días para que el Ministerio Fiscal presentara su escrito de alegaciones.</w:t>
      </w:r>
    </w:p>
    <w:p w:rsidR="00B01F4A" w:rsidRDefault="00B01F4A" w:rsidP="00B01F4A">
      <w:pPr>
        <w:pStyle w:val="TextoNormal"/>
      </w:pPr>
    </w:p>
    <w:p w:rsidR="00B01F4A" w:rsidRDefault="00B01F4A" w:rsidP="00B01F4A">
      <w:pPr>
        <w:pStyle w:val="TextoNormal"/>
      </w:pPr>
      <w:r w:rsidRPr="00B01F4A">
        <w:rPr>
          <w:rStyle w:val="NumeroAFNegritaCaracter"/>
        </w:rPr>
        <w:t>10</w:t>
      </w:r>
      <w:r>
        <w:t xml:space="preserve">. El escrito de alegaciones del Ministerio Público se registró en este Tribunal el 17 de enero de 1997. En él se señala que existe un elemento nuclear que es preciso esclarecer a la hora de decidir acerca de la admisión a trámite del presente recurso. Se trata del elemento temporal de la resolución impugnada. Recuerda el Ministerio Fiscal que en la demanda se afirma que «la negativa del derecho a la convocatoria es total, absoluta y categórica» (folio 21). Si se admite ese carácter de «rechazo definitivo e incondicional» (folio 26), posiblemente el recurso debería ser admitido a trámite. Ahora bien, sostiene el Ministerio Público que ni del tenor literal de la resolución ni de los propios argumentos de la demanda parece deducirse tal negativa a la celebración del Pleno Extraordinario, ni en toda la legislatura ni siquiera en el período de sesiones correspondiente a la fecha del Acuerdo. </w:t>
      </w:r>
    </w:p>
    <w:p w:rsidR="00B01F4A" w:rsidRDefault="00B01F4A" w:rsidP="00B01F4A">
      <w:pPr>
        <w:pStyle w:val="TextoNormal"/>
      </w:pPr>
      <w:r>
        <w:t xml:space="preserve">En opinión del Ministerio Fiscal, si bien en la traducción de la resolución se resuelve «no convocar el Pleno Extraordinario», de su fundamentación se deduce sin lugar a dudas que tal negativa es meramente temporal, en tanto no se respeten los «trámites reglamentarios», debido a que el acuerdo favorable de la Junta de Portavoces «hasta ahora no se produjo», y que «el acuerdo favorable de la Mesa aún no existe». </w:t>
      </w:r>
    </w:p>
    <w:p w:rsidR="00B01F4A" w:rsidRDefault="00B01F4A" w:rsidP="00B01F4A">
      <w:pPr>
        <w:pStyle w:val="TextoNormal"/>
      </w:pPr>
      <w:r>
        <w:t xml:space="preserve">A ello abona la propia interpretación de la demanda, que en su folio 6 afirma que «queda claro que lo que pretende el Portavoz es maximizar los efectos de su iniciativa política de </w:t>
      </w:r>
      <w:r>
        <w:lastRenderedPageBreak/>
        <w:t xml:space="preserve">forma que se proceda a la convocatoria inmediata del Pleno solicitado, modulando, en su caso, la confección del orden del día del próximo Pleno que estaba previsto». </w:t>
      </w:r>
    </w:p>
    <w:p w:rsidR="00B01F4A" w:rsidRDefault="00B01F4A" w:rsidP="00B01F4A">
      <w:pPr>
        <w:pStyle w:val="TextoNormal"/>
      </w:pPr>
      <w:r>
        <w:t xml:space="preserve">Así las cosas -continúa el Ministerio Fiscal-, es el incumplimiento hasta ese momento de los requisitos exigidos por el art. 72 del Reglamento del Parlamento de Galicia lo que motiva la negativa a la convocatoria del Pleno solicitado. Deducir que tal negativa es «total, absoluta y categórica» carece de toda apoyatura. Más bien parece que se trata de una negativa coyuntural, como se desprende de los argumentos del Portavoz del Grupo Parlamentario mayoritario, que habla de «aplazamiento», de «esperar a que el Gobierno esté en condiciones de responder», y concluye que «el Pleno Extraordinario tendrá que celebrarse en su día, esto es, en el momento en que el Gobierno esté en condiciones de responder». Tal planteamiento no parece responder, para el Ministerio Fiscal, a la idea mantenida por los recurrentes de que se «pretender zanjar definitivamente la cuestión sin dar satisfacción a los derechos ejercitados por razones puramente formales.» </w:t>
      </w:r>
    </w:p>
    <w:p w:rsidR="00B01F4A" w:rsidRDefault="00B01F4A" w:rsidP="00B01F4A">
      <w:pPr>
        <w:pStyle w:val="TextoNormal"/>
      </w:pPr>
      <w:r>
        <w:t>Desde esta óptica, nada impide que los miembros del Grupo Parlamentario solicitante del Pleno Extraordinario reiteren su propuesta en un momento en que los obstáculos formales sean subsanados. Ninguna quiebra del art. 23.2 de la Constitución se aprecia, pues, en la resolución impugnada, por lo que, a juicio del Ministerio Fiscal, la demanda carece de contenido que justifique una decisión en forma de sentencia. Por lo expuesto, se interesa la inadmisión del presente recurso de amparo.</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Procede confirmar la concurrencia de la causa de inadmisión puesta de manifiesto en nuestra providencia del pasado 14 de octubre, por carecer la demanda manifiestamente de contenido que justifique una decisión sobre el fondo por parte de este Tribunal.</w:t>
      </w:r>
    </w:p>
    <w:p w:rsidR="00B01F4A" w:rsidRDefault="00B01F4A" w:rsidP="00B01F4A">
      <w:pPr>
        <w:pStyle w:val="TextoNormal"/>
      </w:pPr>
      <w:r>
        <w:t>El núcleo del problema suscitado en el presente recurso se contrae a determinar si el Presidente del Parlamento de Galicia está obligado a convocar un Pleno Extraordinario cuando así lo interese, al menos, una quinta parte de los Diputados de la Cámara (art. 53 del Reglamento) o si la convocatoria sólo es obligada una vez que el Presidente, de acuerdo con la Mesa y la Junta de Portavoces, haya fijado el correspondiente orden del día (art. 72), siendo así que, en el primer caso, la resolución ahora impugnada habría incurrido en la infracción del art. 23.2 C.E. alegada por los actores.</w:t>
      </w:r>
    </w:p>
    <w:p w:rsidR="00B01F4A" w:rsidRDefault="00B01F4A" w:rsidP="00B01F4A">
      <w:pPr>
        <w:pStyle w:val="TextoNormal"/>
      </w:pPr>
      <w:r>
        <w:t>Los demandantes de amparo sostienen que el tenor literal del art. 53 del Reglamento no ofrece lugar a dudas y, en consecuencia, la convocatoria del Pleno ha de ser quasi automática, por más que, en aplicación de cuanto previene el art. 72, las dificultades que puedan surgir en punto a la confección del orden del día hayan de suponer, en su caso, el retraso de la celebración del Pleno, nunca, sin embargo, el decaimiento de la iniciativa de convocatoria.</w:t>
      </w:r>
    </w:p>
    <w:p w:rsidR="00B01F4A" w:rsidRDefault="00B01F4A" w:rsidP="00B01F4A">
      <w:pPr>
        <w:pStyle w:val="TextoNormal"/>
      </w:pPr>
      <w:r>
        <w:t>La Presidencia del Parlamento, por el contrario, ha entendido que la convocatoria de un Pleno es cuestión que precisa de la concurrencia de una serie de requisitos añadidos al de la sola solicitud ex art. 53.  Concretamente, es necesario, además de la admisión a trámite de la solicitud, el acuerdo de la Junta de Portavoces -ratificado por la Mesa- en relación con el orden del día. Y así, en la Resolución ahora impugnada se afirma que la Mesa estimó en su momento que la solicitud de convocatoria pecaba de indefinición y que ni en la Junta de Portavoces ni en la propia Mesa hubo acuerdo sobre la fijación del orden del día, lo que debía conducir al rechazo de la solicitud.</w:t>
      </w:r>
    </w:p>
    <w:p w:rsidR="00B01F4A" w:rsidRDefault="00B01F4A" w:rsidP="00B01F4A">
      <w:pPr>
        <w:pStyle w:val="TextoNormal"/>
      </w:pPr>
    </w:p>
    <w:p w:rsidR="00B01F4A" w:rsidRDefault="00B01F4A" w:rsidP="00B01F4A">
      <w:pPr>
        <w:pStyle w:val="TextoNormal"/>
      </w:pPr>
      <w:r w:rsidRPr="00B01F4A">
        <w:rPr>
          <w:rStyle w:val="NumeroAFNegritaCaracter"/>
        </w:rPr>
        <w:lastRenderedPageBreak/>
        <w:t>2</w:t>
      </w:r>
      <w:r>
        <w:t>. En principio, podrían llevar razón los actores al sostener que el art. 53 del Reglamento impone de suyo la convocatoria cuando ésta es solicitada por, al menos, la quinta parte de los Diputados. Ciertamente, la convocatoria precisa, para su concreción en el tiempo, del acuerdo de la Junta y la Mesa respecto del orden del día, siendo así que las dificultades en este punto no podrían redundar en el decaimiento de la convocatoria. La Presidencia del Parlamento entiende, sin embargo, que la admisión a trámite de la solicitud de convocatoria por parte de la Mesa sólo puede verificarse una vez que ésta y la Junta de Portavoces hayan fijado el orden del día del Pleno que pretende convocarse. Esto es, la admisión a trámite de la iniciativa no se llevaría a cabo, como es común, tras el examen de su corrección formal, sino una vez comprobado que es posible que el Pleno pueda celebrarse por existir acuerdo en punto a su orden del día.</w:t>
      </w:r>
    </w:p>
    <w:p w:rsidR="00B01F4A" w:rsidRDefault="00B01F4A" w:rsidP="00B01F4A">
      <w:pPr>
        <w:pStyle w:val="TextoNormal"/>
      </w:pPr>
      <w:r>
        <w:t>Se trata, según puede apreciarse, de una interpretación esta última que no cabe tachar de irrazonable, por cuanto se conhonesta con los términos que resultan de una interpretación sistemática de los arts. 53 y 72 del Reglamento y que parece encaminada a evitar las disfunciones que resultarían de la convocatoria de Plenos que no pueden llegar a celebrarse por falta de acuerdo sobre su correspondiente orden del día. Además, y como bien señala el Ministerio Fiscal en su escrito de alegaciones, la resolución recurrida no hace imposible, con carácter definitivo, la celebración del Pleno solicitado por el Grupo Parlamentario, sino que únicamente pospone su posible convocatoria al momento en el que se hayan satisfecho los requisitos de procedimientos que resultan de la interpretación sistemática de los arts. 53 y 72 auspiciada por la Presidencia del Parlamento.</w:t>
      </w:r>
    </w:p>
    <w:p w:rsidR="00B01F4A" w:rsidRDefault="00B01F4A" w:rsidP="00B01F4A">
      <w:pPr>
        <w:pStyle w:val="TextoNormal"/>
      </w:pPr>
      <w:r>
        <w:t>Sentada, pues, la razonabilidad de esa interpretación, no puede olvidarse que lo que aquí se plantea es una cuestión íntimamente relacionada con el ámbito de lo estrictamente parlamentario, en el que, al menos por vía de principio, la intervención jurisdiccional ha de reducirse al mínimo imprescindible, de suerte que, atendidas las circunstancias del caso (razonabilidad de la interpretación de las normas en presencia y posibilidad de una eventual convocatoria del Pleno extraordinario en el futuro), resultaría claramente excesivo un pronunciamiento de este Tribunal contrario al criterio de los órganos rectores de la Cámara.</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lo expuesto, la Sección acuerda la inadmisión del presente recurso de amparo y el archivo de las actuaciones.</w:t>
      </w:r>
    </w:p>
    <w:p w:rsidR="00B01F4A" w:rsidRDefault="00B01F4A" w:rsidP="00B01F4A">
      <w:pPr>
        <w:pStyle w:val="TextoNormal"/>
      </w:pPr>
    </w:p>
    <w:p w:rsidR="00B01F4A" w:rsidRDefault="00B01F4A" w:rsidP="00B01F4A">
      <w:pPr>
        <w:pStyle w:val="TextoNormal"/>
      </w:pPr>
      <w:r>
        <w:t>Madrid, a diez de febrero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33" w:name="AUTO_1997_43"/>
      <w:r>
        <w:lastRenderedPageBreak/>
        <w:t>AUTO 43/1997, de 10 de febrero de 1997</w:t>
      </w:r>
    </w:p>
    <w:bookmarkEnd w:id="133"/>
    <w:p w:rsidR="00B01F4A" w:rsidRDefault="00B01F4A" w:rsidP="00B01F4A">
      <w:pPr>
        <w:pStyle w:val="TtuloResolucin"/>
      </w:pPr>
      <w:r>
        <w:t>Sección Segunda</w:t>
      </w:r>
    </w:p>
    <w:p w:rsidR="00B01F4A" w:rsidRDefault="00B01F4A" w:rsidP="00B01F4A">
      <w:pPr>
        <w:pStyle w:val="TtuloResolucin"/>
      </w:pPr>
    </w:p>
    <w:p w:rsidR="00B01F4A" w:rsidRDefault="00B01F4A" w:rsidP="00B01F4A">
      <w:pPr>
        <w:pStyle w:val="SntesisDescriptiva"/>
      </w:pPr>
      <w:r>
        <w:t>ECLI:ES:TC:1997:43A</w:t>
      </w:r>
    </w:p>
    <w:p w:rsidR="00B01F4A" w:rsidRDefault="00B01F4A" w:rsidP="00B01F4A">
      <w:pPr>
        <w:pStyle w:val="SntesisDescriptiva"/>
      </w:pPr>
    </w:p>
    <w:p w:rsidR="00B01F4A" w:rsidRDefault="00B01F4A" w:rsidP="00B01F4A">
      <w:pPr>
        <w:pStyle w:val="SntesisDescriptiva"/>
      </w:pPr>
      <w:r>
        <w:t>Excms. Srs. don José Vicente Gimeno Sendra, don Manuel Jiménez de Parga y Cabrera y don Pablo García Manzano.</w:t>
      </w:r>
    </w:p>
    <w:p w:rsidR="00B01F4A" w:rsidRDefault="00B01F4A" w:rsidP="00B01F4A">
      <w:pPr>
        <w:pStyle w:val="SntesisDescriptiva"/>
      </w:pPr>
    </w:p>
    <w:p w:rsidR="00B01F4A" w:rsidRDefault="00B01F4A" w:rsidP="00B01F4A">
      <w:pPr>
        <w:pStyle w:val="SntesisDescriptiva"/>
      </w:pPr>
      <w:r>
        <w:t>Acuerda el desistimiento en el recurso de amparo 3.605/1996, promovido en causa penal.</w:t>
      </w:r>
    </w:p>
    <w:p w:rsidR="00B01F4A" w:rsidRDefault="00B01F4A" w:rsidP="00B01F4A">
      <w:pPr>
        <w:pStyle w:val="SntesisDescriptiva"/>
      </w:pPr>
    </w:p>
    <w:p w:rsidR="00B01F4A" w:rsidRDefault="00B01F4A" w:rsidP="00B01F4A">
      <w:pPr>
        <w:pStyle w:val="SntesisAnaltica"/>
      </w:pPr>
      <w:r>
        <w:t>Desistimiento de recurso de amparo: procede.</w:t>
      </w:r>
    </w:p>
    <w:p w:rsidR="00B01F4A" w:rsidRDefault="00B01F4A" w:rsidP="00B01F4A">
      <w:pPr>
        <w:pStyle w:val="SntesisAnaltica"/>
      </w:pPr>
    </w:p>
    <w:p w:rsidR="00B01F4A" w:rsidRDefault="00B01F4A" w:rsidP="00B01F4A">
      <w:pPr>
        <w:pStyle w:val="SntesisAnaltica"/>
      </w:pPr>
    </w:p>
    <w:p w:rsidR="00B01F4A" w:rsidRDefault="00B01F4A" w:rsidP="00B01F4A">
      <w:pPr>
        <w:pStyle w:val="SntesisAnaltic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34" w:name="AUTO_1997_44"/>
      <w:r>
        <w:lastRenderedPageBreak/>
        <w:t>AUTO 44/1997, de 10 de febrero de 1997</w:t>
      </w:r>
    </w:p>
    <w:bookmarkEnd w:id="134"/>
    <w:p w:rsidR="00B01F4A" w:rsidRDefault="00B01F4A" w:rsidP="00B01F4A">
      <w:pPr>
        <w:pStyle w:val="TtuloResolucin"/>
      </w:pPr>
      <w:r>
        <w:t>Sección Primera</w:t>
      </w:r>
    </w:p>
    <w:p w:rsidR="00B01F4A" w:rsidRDefault="00B01F4A" w:rsidP="00B01F4A">
      <w:pPr>
        <w:pStyle w:val="TtuloResolucin"/>
      </w:pPr>
    </w:p>
    <w:p w:rsidR="00B01F4A" w:rsidRDefault="00B01F4A" w:rsidP="00B01F4A">
      <w:pPr>
        <w:pStyle w:val="SntesisDescriptiva"/>
      </w:pPr>
      <w:r>
        <w:t>ECLI:ES:TC:1997:44A</w:t>
      </w:r>
    </w:p>
    <w:p w:rsidR="00B01F4A" w:rsidRDefault="00B01F4A" w:rsidP="00B01F4A">
      <w:pPr>
        <w:pStyle w:val="SntesisDescriptiva"/>
      </w:pPr>
    </w:p>
    <w:p w:rsidR="00B01F4A" w:rsidRDefault="00B01F4A" w:rsidP="00B01F4A">
      <w:pPr>
        <w:pStyle w:val="SntesisDescriptiva"/>
      </w:pPr>
      <w:r>
        <w:t>Excms. Srs. don Álvaro Rodríguez Bereijo, don Pedro Cruz Villalón y don Enrique Ruiz Vadillo.</w:t>
      </w:r>
    </w:p>
    <w:p w:rsidR="00B01F4A" w:rsidRDefault="00B01F4A" w:rsidP="00B01F4A">
      <w:pPr>
        <w:pStyle w:val="SntesisDescriptiva"/>
      </w:pPr>
    </w:p>
    <w:p w:rsidR="00B01F4A" w:rsidRDefault="00B01F4A" w:rsidP="00B01F4A">
      <w:pPr>
        <w:pStyle w:val="SntesisDescriptiva"/>
      </w:pPr>
      <w:r>
        <w:t>Estimando recurso de súplica contra providencia de 13 de enero de 1997, dictada en el recurso de amparo 3.692/1996.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35" w:name="AUTO_1997_45"/>
      <w:r>
        <w:lastRenderedPageBreak/>
        <w:t>AUTO 45/1997, de 12 de febrero de 1997</w:t>
      </w:r>
    </w:p>
    <w:bookmarkEnd w:id="135"/>
    <w:p w:rsidR="00B01F4A" w:rsidRDefault="00B01F4A" w:rsidP="00B01F4A">
      <w:pPr>
        <w:pStyle w:val="TtuloResolucin"/>
      </w:pPr>
      <w:r>
        <w:t>Pleno</w:t>
      </w:r>
    </w:p>
    <w:p w:rsidR="00B01F4A" w:rsidRDefault="00B01F4A" w:rsidP="00B01F4A">
      <w:pPr>
        <w:pStyle w:val="TtuloResolucin"/>
      </w:pPr>
    </w:p>
    <w:p w:rsidR="00B01F4A" w:rsidRDefault="00B01F4A" w:rsidP="00B01F4A">
      <w:pPr>
        <w:pStyle w:val="SntesisDescriptiva"/>
      </w:pPr>
      <w:r>
        <w:t>ECLI:ES:TC:1997:45A</w:t>
      </w:r>
    </w:p>
    <w:p w:rsidR="00B01F4A" w:rsidRDefault="00B01F4A" w:rsidP="00B01F4A">
      <w:pPr>
        <w:pStyle w:val="SntesisDescriptiva"/>
      </w:pPr>
    </w:p>
    <w:p w:rsidR="00B01F4A" w:rsidRDefault="00B01F4A" w:rsidP="00B01F4A">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B01F4A" w:rsidRDefault="00B01F4A" w:rsidP="00B01F4A">
      <w:pPr>
        <w:pStyle w:val="SntesisDescriptiva"/>
      </w:pPr>
    </w:p>
    <w:p w:rsidR="00B01F4A" w:rsidRDefault="00B01F4A" w:rsidP="00B01F4A">
      <w:pPr>
        <w:pStyle w:val="SntesisDescriptiva"/>
      </w:pPr>
      <w:r>
        <w:t>Declarando la falta de jurisdicción del Tribunal Constitucional en el procedimiento de jura de cuentas relativa el recurso de amparo 885/1991. Voto particular.</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Con fecha 3 de octubre de 1996 tuvo entrada en el Registro General de este Tribunal escrito de la Procuradora de los Tribunales doña María Teresa de las Alas-Pumariño Larrañaga por que el promovía procedimiento de jura de cuentas frente a su representada en el recurso de amparo núm. 885/91, doña Carmen Sonsoles Melgar y Macías, en reclamación de honorarios profesionales por valor de 67.722 pesetas.</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Los antecedentes que fundamentan la reclamación son los siguientes: </w:t>
      </w:r>
    </w:p>
    <w:p w:rsidR="00B01F4A" w:rsidRDefault="00B01F4A" w:rsidP="00B01F4A">
      <w:pPr>
        <w:pStyle w:val="TextoNormal"/>
      </w:pPr>
      <w:r>
        <w:t xml:space="preserve">a) El recurso de amparo núm. 885/91 fue promovido por don Nicolás Cotoner Cotoner frente a la Sentencia de 22 de marzo de 1991 de la Sala Primera del Tribunal Supremo, relativa al orden sucesorio derivado de la Real Carta de Concesión del Título de Marqués de Agrópolis. Se resolvió por Sentencia del Pleno de este Tribunal 114/1995, que decidió desestimarlo. </w:t>
      </w:r>
    </w:p>
    <w:p w:rsidR="00B01F4A" w:rsidRDefault="00B01F4A" w:rsidP="00B01F4A">
      <w:pPr>
        <w:pStyle w:val="TextoNormal"/>
      </w:pPr>
      <w:r>
        <w:t>b) En dicho recurso de amparo compareció doña Carmen Sonsoles Melgar y Macías, quien se opuso al otorgamiento del amparo, actuando representada por la Procuradora doña María Teresa de las Alas-Pumariño Larrañaga, en virtud de poder general para pleitos otorgado ante el Notario de Madrid don Manuel Rodríguez García el día 21 de enero de 1987.</w:t>
      </w:r>
    </w:p>
    <w:p w:rsidR="00B01F4A" w:rsidRDefault="00B01F4A" w:rsidP="00B01F4A">
      <w:pPr>
        <w:pStyle w:val="TextoNormal"/>
      </w:pPr>
    </w:p>
    <w:p w:rsidR="00B01F4A" w:rsidRDefault="00B01F4A" w:rsidP="00B01F4A">
      <w:pPr>
        <w:pStyle w:val="TextoNormal"/>
      </w:pPr>
      <w:r w:rsidRPr="00B01F4A">
        <w:rPr>
          <w:rStyle w:val="NumeroAFNegritaCaracter"/>
        </w:rPr>
        <w:t>3</w:t>
      </w:r>
      <w:r>
        <w:t>. En el escrito por el que se promueve el presente procedimiento se invoca el art. 8 de la Ley de Enjuiciamiento Civil, jurando que le son debidas 67.722 pesetas, correspondientes al importe de sus honorarios y suplidos, que no le han sido satisfechas a pesar de los requerimientos efectuados al efecto. Acompaña cuenta detallada en la que se especifican las distintas partidas que integran esa cantidad. Se suplica que se tenga por formulado expediente de jura de cuentas, se requiera el pago de la cantidad debida más 15.000 pesetas para costas de este expediente y, en caso de que no lo verifique, se proceda al embargo de bienes.</w:t>
      </w:r>
    </w:p>
    <w:p w:rsidR="00B01F4A" w:rsidRDefault="00B01F4A" w:rsidP="00B01F4A">
      <w:pPr>
        <w:pStyle w:val="TextoNormal"/>
      </w:pPr>
    </w:p>
    <w:p w:rsidR="00B01F4A" w:rsidRDefault="00B01F4A" w:rsidP="00B01F4A">
      <w:pPr>
        <w:pStyle w:val="TextoNormal"/>
      </w:pPr>
      <w:r w:rsidRPr="00B01F4A">
        <w:rPr>
          <w:rStyle w:val="NumeroAFNegritaCaracter"/>
        </w:rPr>
        <w:lastRenderedPageBreak/>
        <w:t>4</w:t>
      </w:r>
      <w:r>
        <w:t>. Mediante providencia de 3 de diciembre de 1996, la Sección Primera acordó tener por presentado el escrito referido promoviendo incidente de jura de cuentas y otorgar al Ministerio Fiscal un plazo de diez días para que alegue lo que estime conveniente respecto a la posible falta de jurisdicción de este Tribunal para conocer de los procedimientos de jura de cuentas regulados en los arts. 8 y 12 L.E.C.</w:t>
      </w:r>
    </w:p>
    <w:p w:rsidR="00B01F4A" w:rsidRDefault="00B01F4A" w:rsidP="00B01F4A">
      <w:pPr>
        <w:pStyle w:val="TextoNormal"/>
      </w:pPr>
    </w:p>
    <w:p w:rsidR="00B01F4A" w:rsidRDefault="00B01F4A" w:rsidP="00B01F4A">
      <w:pPr>
        <w:pStyle w:val="TextoNormal"/>
      </w:pPr>
      <w:r w:rsidRPr="00B01F4A">
        <w:rPr>
          <w:rStyle w:val="NumeroAFNegritaCaracter"/>
        </w:rPr>
        <w:t>5</w:t>
      </w:r>
      <w:r>
        <w:t>. Por escrito presentado el 13 de enero de 1997, el Fiscal evacuó el trámite conferido, alegando que el procedimiento de jura de cuentas no puede ser resuelto por el Tribunal Constitucional porque su contenido no está directamente relacionado ni tiene relación directa alguna con la materia constitucional de la que conoce este Tribunal. La jura de cuentas entiende tiene por objeto únicamente la satisfacción de la relación obligacional económica existente entre el Procurador y el cliente, siendo su materia ajena a la propia de este Tribunal. En su criterio se trata de hacer efectiva una obligación de contenido económico cuyo origen es un contrato de arrendamiento de servicios sin relación alguna con la pretensión constitucional deducida en el proceso constitucional.</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Con arreglo a lo dispuesto en el art. 4.2 LOTC, de conformidad con lo interesado por el Ministerio Fiscal y siguiendo la doctrina sentada en los AATC 218/1996 y 17/1997, procede declarar la falta de jurisdicción de este Tribunal en relación con la reclamación deducida por la Procuradora doña María Teresa de las Alas-Pumariño Larrañaga formulando expediente de jura de cuentas.</w:t>
      </w:r>
    </w:p>
    <w:p w:rsidR="00B01F4A" w:rsidRDefault="00B01F4A" w:rsidP="00B01F4A">
      <w:pPr>
        <w:pStyle w:val="TextoNormal"/>
      </w:pPr>
    </w:p>
    <w:p w:rsidR="00B01F4A" w:rsidRDefault="00B01F4A" w:rsidP="00B01F4A">
      <w:pPr>
        <w:pStyle w:val="TextoNormal"/>
      </w:pPr>
      <w:r w:rsidRPr="00B01F4A">
        <w:rPr>
          <w:rStyle w:val="NumeroAFNegritaCaracter"/>
        </w:rPr>
        <w:t>2</w:t>
      </w:r>
      <w:r>
        <w:t>. Dispone, en efecto, el art. 117.3 C. E. que el ejercicio de la potestad jurisdiccional en todo tipo de procesos, juzgando y haciendo ejecutar lo juzgado, corresponde exclusivamente a los Juzgados y Tribunales determinados por las leyes, especificando el art. 123.1 C.E. que el Tribunal Supremo es el órgano jurisdiccional superior en todos los órdenes «salvo lo dispuesto en materia de garantías constitucionales». Por su parte, y en desarrollo de lo anterior, el art. 161.1 C.E. atribuye al Tribunal Constitucional el conocimiento de los recursos de inconstitucionalidad, del recurso de amparo, de los conflictos de competencia y de las materias atribuidas por la Constitución (arts. 95.2, 161.2 y 163 C.E.)  o las leyes orgánicas.</w:t>
      </w:r>
    </w:p>
    <w:p w:rsidR="00B01F4A" w:rsidRDefault="00B01F4A" w:rsidP="00B01F4A">
      <w:pPr>
        <w:pStyle w:val="TextoNormal"/>
      </w:pPr>
      <w:r>
        <w:t>A su vez, la competencia jurisdiccional de este Tribunal se encuentra subsiguientemente especificada en el art. 2.1 LOTC, añadiendo únicamente el art. 3 que dicha competencia «se extiende al conocimiento y decisión de las cuestiones prejudiciales e incidentales no pertenecientes al orden constitucional, directamente relacionadas con la materia de que conoce, a los solos efectos del enjuiciamiento constitucional de ésta».</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Sobre el procedimiento de jura de cuentas hubo de pronunciarse este Tribunal en la STC 110/1993, desestimando dos cuestiones de inconstitucionalidad acumuladas, relativas a los arts. 8 y 12 L.E.C.  contrastados con los arts. 14 y 24 C.E. Tras recoger en el fundamento jurídico 3.º de dicha Sentencia el origen histórico de estos preceptos, lo caracterizábamos en el fundamento jurídico 4.º como «un procedimiento, ciertamente no desarrollado, de naturaleza ejecutiva para hacer efectivos de forma sumaria y expeditiva los créditos derivados de la actuación profesional en un determinado proceso», y más adelante como «un procedimiento especial en virtud del cual y de forma rápida y sencilla puedan resarcirse de </w:t>
      </w:r>
      <w:r>
        <w:lastRenderedPageBreak/>
        <w:t>los gastos anticipados y de los trabados realizados dentro del proceso» los Procuradores y Abogados. Concluíamos entonces que «es razonable que pueda el legislador establecer mecanismos de reclamación distintos del juicio declarado ordinario cuando sea diferente la situación en que se encuentran los acreedores de sus deudores», como ocurre «con los procedimientos ejecutivos especiales que para Abogados y Procuradores establecen los arts. 12 y 8 de la L.E.C.».</w:t>
      </w:r>
    </w:p>
    <w:p w:rsidR="00B01F4A" w:rsidRDefault="00B01F4A" w:rsidP="00B01F4A">
      <w:pPr>
        <w:pStyle w:val="TextoNormal"/>
      </w:pPr>
    </w:p>
    <w:p w:rsidR="00B01F4A" w:rsidRDefault="00B01F4A" w:rsidP="00B01F4A">
      <w:pPr>
        <w:pStyle w:val="TextoNormal"/>
      </w:pPr>
      <w:r w:rsidRPr="00B01F4A">
        <w:rPr>
          <w:rStyle w:val="NumeroAFNegritaCaracter"/>
        </w:rPr>
        <w:t>4</w:t>
      </w:r>
      <w:r>
        <w:t>. Ante todo, es evidente que ni la Constitución, ni la LOTC, ni ninguna otra Ley Orgánica atribuye al Tribunal Constitucional el conocimiento de este procedimiento ejecutivo especial., Esto sentado, es cierto que el art. 3 LOTC, como hemos señalado, atribuye de forma genérica a este Tribunal el conocimiento y decisión de las cuestiones prejudiciales e incidentales que, si bien no pertenecen al orden constitucional, sin embargo, se encuentran «directamente relacionadas con la materia de que conoce», añadiendo que ello sólo tendrá lugar «a los solos efectos del enjuiciamiento constitucional de ésta».</w:t>
      </w:r>
    </w:p>
    <w:p w:rsidR="00B01F4A" w:rsidRDefault="00B01F4A" w:rsidP="00B01F4A">
      <w:pPr>
        <w:pStyle w:val="TextoNormal"/>
      </w:pPr>
      <w:r>
        <w:t>De la dicción de este precepto se desprende sin mayor esfuerzo que esta ampliación de la jurisdicción del Tribunal se encuentra en una relación instrumental con el enjuiciamiento constitucional que en cada caso se nos demanda, de tal manera que debe tratarse de cuestiones, ya sea prejudiciales, ya sea incidentales, cuya resolución resulta imprescindible a los mencionados efectos (STC 100/1984, fundamento jurídico 4.º; ATC 167/1983, fundamento jurídico 2.º). Proyectado el precepto sobre el procedimiento que nos ocupa, es claro que con la jura de cuentas no se pretende resolver la cuestión incidental alguna directamente relacionada con la demanda de amparo en su día planteada, a los efectos del correspondiente enjuiciamiento constitucional, en su día resuelto. Como dijimos en el ATC 218/1996, el art. 3 LOTC «no comprende la jura de cuentas, procedimiento dirigido a resolver determinadas cuestiones económicas entre el Procurador y su cliente, relacionadas con la prestación profesional de éste, que en modo alguno cabe entender como incidentales de las materias de que conoce este Tribunal, dándose además la circunstancias de que no guardan relación alguna con el enjuiciamiento constitucional de tales materias» (fundamento jurídico 2.º). Debe, por tanto, darse razón al Ministerio Fiscal cuando concluye que «mal puede ser considerado el cobro de un crédito nacido de una relación profesional -arrendamiento de servicios- como una materia directamente relacionada con materia constitucional alguna».</w:t>
      </w:r>
    </w:p>
    <w:p w:rsidR="00B01F4A" w:rsidRDefault="00B01F4A" w:rsidP="00B01F4A">
      <w:pPr>
        <w:pStyle w:val="TextoNormal"/>
      </w:pPr>
      <w:r>
        <w:t>Conviene, finalmente, añadir que los preceptos reguladores de la jura de cuentas no se hallan entre los incluidos como de aplicación supletoria en el art. 80 LOTC.</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lo expuesto, el Pleno de este Tribunal Constitucional acuerda declarar su falta de jurisdicción para conocer de la pretensión de la Procuradora doña María Teresa de las Alas-Pumariño Larrañaga.</w:t>
      </w:r>
    </w:p>
    <w:p w:rsidR="00B01F4A" w:rsidRDefault="00B01F4A" w:rsidP="00B01F4A">
      <w:pPr>
        <w:pStyle w:val="TextoNormal"/>
      </w:pPr>
    </w:p>
    <w:p w:rsidR="00B01F4A" w:rsidRDefault="00B01F4A" w:rsidP="00B01F4A">
      <w:pPr>
        <w:pStyle w:val="TextoNormal"/>
      </w:pPr>
      <w:r>
        <w:t>Madrid, a doce de febrero de mil novecientos noventa y siete.</w:t>
      </w:r>
    </w:p>
    <w:p w:rsidR="00B01F4A" w:rsidRDefault="00B01F4A" w:rsidP="00B01F4A">
      <w:pPr>
        <w:pStyle w:val="ParrafoNormal"/>
      </w:pPr>
    </w:p>
    <w:p w:rsidR="00B01F4A" w:rsidRDefault="00B01F4A" w:rsidP="00B01F4A">
      <w:pPr>
        <w:pStyle w:val="TextoNormalNegritaCentrado"/>
        <w:keepNext/>
      </w:pPr>
      <w:r>
        <w:lastRenderedPageBreak/>
        <w:t>Voto particular discrepante que formula el Magistrado don Enrique Ruiz Vadillo, en el expediente de jura de cuenta correspondiente al recurso de amparo avocado al Pleno de este Tribunal número 885/91, al que se adhiere el Magistrado don José Vicente Gimeno Sendra</w:t>
      </w:r>
    </w:p>
    <w:p w:rsidR="00B01F4A" w:rsidRDefault="00B01F4A" w:rsidP="00B01F4A">
      <w:pPr>
        <w:pStyle w:val="TextoNormalNegritaCentrado"/>
        <w:keepNext/>
      </w:pPr>
    </w:p>
    <w:p w:rsidR="00B01F4A" w:rsidRDefault="00B01F4A" w:rsidP="00B01F4A">
      <w:pPr>
        <w:pStyle w:val="TextoNormal"/>
      </w:pPr>
      <w:r>
        <w:t>Discrepo, muy respetuosamente, de la doctrina contenida en el presente Auto, que, a mi entender, debió ser otra que condujera a una resolución estimatoria del recurso de amparo.</w:t>
      </w:r>
    </w:p>
    <w:p w:rsidR="00B01F4A" w:rsidRDefault="00B01F4A" w:rsidP="00B01F4A">
      <w:pPr>
        <w:pStyle w:val="TextoNormal"/>
      </w:pPr>
      <w:r>
        <w:t>En estas breves consideraciones previas a la exposición de mi punto de vista, he de tomar como punto de partida la doctrina de este Tribunal contenida en la STC 110/1993, en la que se vino a declarar que la llamada «jura de cuentas» del artículo 8 de la L.E.C., al que se remite el art. 12 de dicha Ley procesal, contiene un procedimiento de naturaleza ejecutiva para hacer efectivos de manera sumaria y expeditiva los créditos derivados de la actuación profesional en un determinado proceso, y dentro del mismo, de Procuradores y Abogados.</w:t>
      </w:r>
    </w:p>
    <w:p w:rsidR="00B01F4A" w:rsidRDefault="00B01F4A" w:rsidP="00B01F4A">
      <w:pPr>
        <w:pStyle w:val="TextoNormal"/>
      </w:pPr>
      <w:r>
        <w:t>Tal procedimiento, se dijo, no vulnera el principio de igualdad consagrado en el art. 14 de la Constitución, porque no se establece en favor de unas determinadas profesiones, aunque una y otra, añadimos nosotros, ofrezcan unas características especialmente, relevantes en cuanto coadyuvantes directos de la realización de la justicia, como son las de Abogado y Procurador (cfr. art.  24.2 C.E.), sino que, por el contrario, la razón de ser de esta especialidad radica en algo tan objetivo como lo es el dato importante de que los créditos devengados durante la sustanciación de un litigio tienen constancia expresa y escrita en el mismo, lo que permite, sin duda, abreviar la tramitación para obtener el correspondiente reintegro contribuyendo así, sin hacer uso de ningún privilegio que si lo fuera sería inconstitucional, a la realización de la justicia en una de sus facetas más importantes, como es la propia finalización de los litigios.</w:t>
      </w:r>
    </w:p>
    <w:p w:rsidR="00B01F4A" w:rsidRDefault="00B01F4A" w:rsidP="00B01F4A">
      <w:pPr>
        <w:pStyle w:val="TextoNormal"/>
      </w:pPr>
      <w:r>
        <w:t>Es evidente que el legislador, en el uso de la facultad de ordenación de los procesos y, en general, de la vida jurídica en todas sus proyecciones, dentro siempre, ello es obvio, de la acomodación a las inexcusables exigencias constitucionales, pudo haber establecido o puede establecer en el futuro un auténtico proceso civil monitorio en el que, como se dice en el Voto Particular a la STC 110/1993 del Magistrado don Vicente Gimeno Sendra, se satisfacieran tanto el derecho a la rápida tutela efectiva de estos profesionales, como el de defensa del ciudadano particular, pero hasta ahora no se ha construido este derecho y deseable proceso civil monitorio, tan generalizado en otros sistemas en Derecho comparado, y por ello fue tan importante la citada STC 110/1993 al declarar, como ya se anticipó, que los arts. 8 y 12 L.E.C. no vulneran el principio de igualdad consagrado en el artículo 14 C.E.</w:t>
      </w:r>
    </w:p>
    <w:p w:rsidR="00B01F4A" w:rsidRDefault="00B01F4A" w:rsidP="00B01F4A">
      <w:pPr>
        <w:pStyle w:val="TextoNormal"/>
      </w:pPr>
      <w:r>
        <w:t>Desigualar lo que las normas jurídicas tratan improcedente o injustamente se trata como igual, es contribuir al equilibrio de las relaciones jurídicas.</w:t>
      </w:r>
    </w:p>
    <w:p w:rsidR="00B01F4A" w:rsidRDefault="00B01F4A" w:rsidP="00B01F4A">
      <w:pPr>
        <w:pStyle w:val="TextoNormal"/>
      </w:pPr>
      <w:r>
        <w:t xml:space="preserve">Pues bien, partiendo de esta realidad, no comparto la tesis del Auto al que se refiere este Voto Particular en el sentido de que para conocer de este procedimiento, cuando la cuenta del Procurador o la minuta del Abogado, se refieran única y exclusivamente a su actuación profesional en un proceso desarrollado ante este Tribunal, no será competente el mismo, lo que digo con el mayor de los respetos. Tal solución no me parece coherente con la estructura procesal descrita, porque, desde la perspectiva en que el Juez o Tribunal tiene que situarse para resolver una jura de cuentas, que de acuerdo con la STC 110/1993 citada, hace compatible, de acuerdo con la técnica que utiliza, la realización de un proceso de ejecución, con las garantías del art.  24 C.E., reduciendo los perfiles que la doctrina procesal suele dar a este tipo de procesos, es obvio que sólo el propio Tribunal que conoció de la cuestión principal, está en condiciones, desde el limitado campo de actuación que la L.E.C. adecuadamente interpretada por la doctrina jurisprudencial de este Tribunal, de fijar la determinación </w:t>
      </w:r>
      <w:r>
        <w:lastRenderedPageBreak/>
        <w:t>exacta y precisa de las cuentas o de las minutas, no sólo cuando éstas se califiquen de indebidas, sino especialmente de excesivas.</w:t>
      </w:r>
    </w:p>
    <w:p w:rsidR="00B01F4A" w:rsidRDefault="00B01F4A" w:rsidP="00B01F4A">
      <w:pPr>
        <w:pStyle w:val="TextoNormal"/>
      </w:pPr>
      <w:r>
        <w:t>En mi opinión, para que esta solución se aceptara no era indispensable que la LOTC lo dijera expresamente. El contenido de su art. 3, dicho sea con especial consideración a cualquier otra opinión, no se opone, eso al menos creemos, a esta conclusión. Establecidos los principios generales por los que una institución se gobierna, existen, cuando llega el momento de su aplicación al caso concreto, infinidad de problemas y cuestiones que no tiene por qué prever el legislador y que han de resolverse en función precisamente de aquellos principios, como aquí acontece.</w:t>
      </w:r>
    </w:p>
    <w:p w:rsidR="00B01F4A" w:rsidRDefault="00B01F4A" w:rsidP="00B01F4A">
      <w:pPr>
        <w:pStyle w:val="TextoNormal"/>
      </w:pPr>
      <w:r>
        <w:t>A mi juicio dicho sea, insisto en ello con el mayor respeto, va de suyo que de este proceso de ejecución cuando sea incidente de otro principal, ha de conocer quien conoció de éste.</w:t>
      </w:r>
    </w:p>
    <w:p w:rsidR="00B01F4A" w:rsidRDefault="00B01F4A" w:rsidP="00B01F4A">
      <w:pPr>
        <w:pStyle w:val="TextoNormal"/>
      </w:pPr>
      <w:r>
        <w:t>Baste pues con esta exposición para explicar mi voto en contra del mayoritario en el sentido de que se debió dar lugar al amparo solicitado, teniendo en cuenta que al negárseles dicho amparo se ven privados estos profesionales de un cauce específico de reclamación de gastos y honorarios que a su vez, representa una modalidad de tutela judicial efectiva.</w:t>
      </w:r>
    </w:p>
    <w:p w:rsidR="00B01F4A" w:rsidRDefault="00B01F4A" w:rsidP="00B01F4A">
      <w:pPr>
        <w:pStyle w:val="TextoNormal"/>
      </w:pPr>
      <w:r>
        <w:t>Madrid, a trece de febrero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36" w:name="AUTO_1997_46"/>
      <w:r>
        <w:lastRenderedPageBreak/>
        <w:t>AUTO 46/1997, de 21 de febrero de 1997</w:t>
      </w:r>
    </w:p>
    <w:bookmarkEnd w:id="136"/>
    <w:p w:rsidR="00B01F4A" w:rsidRDefault="00B01F4A" w:rsidP="00B01F4A">
      <w:pPr>
        <w:pStyle w:val="TtuloResolucin"/>
      </w:pPr>
      <w:r>
        <w:t>Sección Primera</w:t>
      </w:r>
    </w:p>
    <w:p w:rsidR="00B01F4A" w:rsidRDefault="00B01F4A" w:rsidP="00B01F4A">
      <w:pPr>
        <w:pStyle w:val="TtuloResolucin"/>
      </w:pPr>
    </w:p>
    <w:p w:rsidR="00B01F4A" w:rsidRDefault="00B01F4A" w:rsidP="00B01F4A">
      <w:pPr>
        <w:pStyle w:val="SntesisDescriptiva"/>
      </w:pPr>
      <w:r>
        <w:t>ECLI:ES:TC:1997:46A</w:t>
      </w:r>
    </w:p>
    <w:p w:rsidR="00B01F4A" w:rsidRDefault="00B01F4A" w:rsidP="00B01F4A">
      <w:pPr>
        <w:pStyle w:val="SntesisDescriptiva"/>
      </w:pPr>
    </w:p>
    <w:p w:rsidR="00B01F4A" w:rsidRDefault="00B01F4A" w:rsidP="00B01F4A">
      <w:pPr>
        <w:pStyle w:val="SntesisDescriptiva"/>
      </w:pPr>
      <w:r>
        <w:t>Excms. Srs. don Álvaro Rodríguez Bereijo, don Pedro Cruz Villalón y don Enrique Ruiz Vadillo.</w:t>
      </w:r>
    </w:p>
    <w:p w:rsidR="00B01F4A" w:rsidRDefault="00B01F4A" w:rsidP="00B01F4A">
      <w:pPr>
        <w:pStyle w:val="SntesisDescriptiva"/>
      </w:pPr>
    </w:p>
    <w:p w:rsidR="00B01F4A" w:rsidRDefault="00B01F4A" w:rsidP="00B01F4A">
      <w:pPr>
        <w:pStyle w:val="SntesisDescriptiva"/>
      </w:pPr>
      <w:r>
        <w:t>Aclarando ATC 44/1997 recaído en el en el recurso de amparo 3.692/1996.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37" w:name="AUTO_1997_47"/>
      <w:r>
        <w:lastRenderedPageBreak/>
        <w:t>AUTO 47/1997, de 24 de febrero de 1997</w:t>
      </w:r>
    </w:p>
    <w:bookmarkEnd w:id="137"/>
    <w:p w:rsidR="00B01F4A" w:rsidRDefault="00B01F4A" w:rsidP="00B01F4A">
      <w:pPr>
        <w:pStyle w:val="TtuloResolucin"/>
      </w:pPr>
      <w:r>
        <w:t>Sala Segunda</w:t>
      </w:r>
    </w:p>
    <w:p w:rsidR="00B01F4A" w:rsidRDefault="00B01F4A" w:rsidP="00B01F4A">
      <w:pPr>
        <w:pStyle w:val="TtuloResolucin"/>
      </w:pPr>
    </w:p>
    <w:p w:rsidR="00B01F4A" w:rsidRDefault="00B01F4A" w:rsidP="00B01F4A">
      <w:pPr>
        <w:pStyle w:val="SntesisDescriptiva"/>
      </w:pPr>
      <w:r>
        <w:t>ECLI:ES:TC:1997:47A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don Rafael de Mendizábal Allende, don Julio D. González Campos y don Tomás Salvador Vives Antón.</w:t>
      </w:r>
    </w:p>
    <w:p w:rsidR="00B01F4A" w:rsidRDefault="00B01F4A" w:rsidP="00B01F4A">
      <w:pPr>
        <w:pStyle w:val="SntesisDescriptiva"/>
      </w:pPr>
    </w:p>
    <w:p w:rsidR="00B01F4A" w:rsidRDefault="00B01F4A" w:rsidP="00B01F4A">
      <w:pPr>
        <w:pStyle w:val="SntesisDescriptiva"/>
      </w:pPr>
      <w:r>
        <w:t>Acordando la suspensión de la ejecución del acto que origina el recurso de amparo 2.462/1995.</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Procurador de los Tribunales don Ángel Sánchez-Jáuregui Alcaide y de don Antonio Mansilla Álvarez, mediante escrito presentado en este Tribunal el día 30 de junio de 1995 interpone recurso de amparo contra Auto de la Sección Cuarta de la Audiencia Provincial de Granada, de 25 de mayo de 1994, sobre rehabilitación de contrato de arrendamiento rústico en juicio de desahucio por falta de pago.</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La demanda se fundamenta, en síntesis, en los siguientes hechos: </w:t>
      </w:r>
    </w:p>
    <w:p w:rsidR="00B01F4A" w:rsidRDefault="00B01F4A" w:rsidP="00B01F4A">
      <w:pPr>
        <w:pStyle w:val="TextoNormal"/>
      </w:pPr>
      <w:r>
        <w:t xml:space="preserve">a) El solicitante de amparo fue demandado de desahucio por falta de pago del contrato de arrendamiento rústico del que es titular. Consignó las rentas y, en Auto de 24 de julio de 1992, el Juez de Primera Instancia e Instrucción de Santa Fe (Granada) tuvo por rehabilitado y vigente el contrato. </w:t>
      </w:r>
    </w:p>
    <w:p w:rsidR="00B01F4A" w:rsidRDefault="00B01F4A" w:rsidP="00B01F4A">
      <w:pPr>
        <w:pStyle w:val="TextoNormal"/>
      </w:pPr>
      <w:r>
        <w:t xml:space="preserve">b) La arrendadora interpuso recurso de apelación contra el anterior Auto, siendo emplazadas las partes ante la Audiencia Provincial de Granada en providencia de 9 de septiembre de 1992. El demandante de amparo se personó en alzada en fecha 23 de julio de 1993 como «apelante» (probablemente por error no lo hizo como «apelado»), precisando que lo era en el desahucio núm. 39/89 del Juzgado de Santa Fe. </w:t>
      </w:r>
    </w:p>
    <w:p w:rsidR="00B01F4A" w:rsidRDefault="00B01F4A" w:rsidP="00B01F4A">
      <w:pPr>
        <w:pStyle w:val="TextoNormal"/>
      </w:pPr>
      <w:r>
        <w:t>c) El 8 de junio de 1995 le fue notificado al demandante en amparo un Auto de 25 de mayo de 1994, por el que se estimaba el recurso y se declaraba no haber lugar a rehabilitar el contrato. En el encabezamiento de este Auto, y en su antecedente de hecho segundo se afirma que el señor Mansilla no se personó en el recurso. Sin embargo, éste afirma que a partir de su personación ante la Audiencia Provincial no volvió a tener noticia del curso del recurso de apelación hasta ese 8 de junio de 1995.</w:t>
      </w:r>
    </w:p>
    <w:p w:rsidR="00B01F4A" w:rsidRDefault="00B01F4A" w:rsidP="00B01F4A">
      <w:pPr>
        <w:pStyle w:val="TextoNormal"/>
      </w:pPr>
    </w:p>
    <w:p w:rsidR="00B01F4A" w:rsidRDefault="00B01F4A" w:rsidP="00B01F4A">
      <w:pPr>
        <w:pStyle w:val="TextoNormal"/>
      </w:pPr>
      <w:r w:rsidRPr="00B01F4A">
        <w:rPr>
          <w:rStyle w:val="NumeroAFNegritaCaracter"/>
        </w:rPr>
        <w:t>3</w:t>
      </w:r>
      <w:r>
        <w:t>. El demandante de amparo invoca la vulneración del art. 24.1 C.E. y solicita que, con otorgamiento de amparo, se dicte sentencia por la que se declare la nulidad de todo lo actuado en el rollo de apelación desde el momento de su personación ante la Audiencia Provincial, mandando retrotraer las actuaciones a dicho momento, dándose vista de lo actuado y teniéndole por personado y parte en el recurso de apelación.</w:t>
      </w:r>
    </w:p>
    <w:p w:rsidR="00B01F4A" w:rsidRDefault="00B01F4A" w:rsidP="00B01F4A">
      <w:pPr>
        <w:pStyle w:val="TextoNormal"/>
      </w:pPr>
    </w:p>
    <w:p w:rsidR="00B01F4A" w:rsidRDefault="00B01F4A" w:rsidP="00B01F4A">
      <w:pPr>
        <w:pStyle w:val="TextoNormal"/>
      </w:pPr>
      <w:r w:rsidRPr="00B01F4A">
        <w:rPr>
          <w:rStyle w:val="NumeroAFNegritaCaracter"/>
        </w:rPr>
        <w:lastRenderedPageBreak/>
        <w:t>4</w:t>
      </w:r>
      <w:r>
        <w:t>. Por providencia de 27 de noviembre de 1995, la Sección Cuarta acordó admitir a trámite la demanda de amparo.</w:t>
      </w:r>
    </w:p>
    <w:p w:rsidR="00B01F4A" w:rsidRDefault="00B01F4A" w:rsidP="00B01F4A">
      <w:pPr>
        <w:pStyle w:val="TextoNormal"/>
      </w:pPr>
    </w:p>
    <w:p w:rsidR="00B01F4A" w:rsidRDefault="00B01F4A" w:rsidP="00B01F4A">
      <w:pPr>
        <w:pStyle w:val="TextoNormal"/>
      </w:pPr>
      <w:r w:rsidRPr="00B01F4A">
        <w:rPr>
          <w:rStyle w:val="NumeroAFNegritaCaracter"/>
        </w:rPr>
        <w:t>5</w:t>
      </w:r>
      <w:r>
        <w:t xml:space="preserve">. Por escrito registrado en este Tribunal el 8 de enero de 1997, el recurrente solicita la suspensión del Auto dictado por la Audiencia Provincial de Granada el 25 de mayo de 1994. </w:t>
      </w:r>
    </w:p>
    <w:p w:rsidR="00B01F4A" w:rsidRDefault="00B01F4A" w:rsidP="00B01F4A">
      <w:pPr>
        <w:pStyle w:val="TextoNormal"/>
      </w:pPr>
      <w:r>
        <w:t>Alega que ejecutar la Sentencia de la Audiencia Provincial de Granada que obliga al arrendatario a abandonar la finca causaría un grave e irreparable perjuicio, pues supone dejar una producción próxima a su recolección.</w:t>
      </w:r>
    </w:p>
    <w:p w:rsidR="00B01F4A" w:rsidRDefault="00B01F4A" w:rsidP="00B01F4A">
      <w:pPr>
        <w:pStyle w:val="TextoNormal"/>
      </w:pPr>
    </w:p>
    <w:p w:rsidR="00B01F4A" w:rsidRDefault="00B01F4A" w:rsidP="00B01F4A">
      <w:pPr>
        <w:pStyle w:val="TextoNormal"/>
      </w:pPr>
      <w:r w:rsidRPr="00B01F4A">
        <w:rPr>
          <w:rStyle w:val="NumeroAFNegritaCaracter"/>
        </w:rPr>
        <w:t>6</w:t>
      </w:r>
      <w:r>
        <w:t>. La Sección Tercera, por providencia de 13 de enero de 1997, acordó formar la oportuna pieza para la tramitación del incidente sobre la suspensión, y conforme determina el art. 56 de la Ley Orgánica de este Tribunal, conceder un plazo común de tres días al recurrente, a las partes y al Ministerio Fiscal para que aleguen lo que estimen pertinente sobre dicha suspensión.</w:t>
      </w:r>
    </w:p>
    <w:p w:rsidR="00B01F4A" w:rsidRDefault="00B01F4A" w:rsidP="00B01F4A">
      <w:pPr>
        <w:pStyle w:val="TextoNormal"/>
      </w:pPr>
    </w:p>
    <w:p w:rsidR="00B01F4A" w:rsidRDefault="00B01F4A" w:rsidP="00B01F4A">
      <w:pPr>
        <w:pStyle w:val="TextoNormal"/>
      </w:pPr>
      <w:r w:rsidRPr="00B01F4A">
        <w:rPr>
          <w:rStyle w:val="NumeroAFNegritaCaracter"/>
        </w:rPr>
        <w:t>7</w:t>
      </w:r>
      <w:r>
        <w:t>. Por escrito presentado en los Juzgados de Guardia de Madrid el 27 de enero de 1997 y en este Tribunal el 29 de enero siguiente, el recurrente se ratifica en su escrito de suspensión.</w:t>
      </w:r>
    </w:p>
    <w:p w:rsidR="00B01F4A" w:rsidRDefault="00B01F4A" w:rsidP="00B01F4A">
      <w:pPr>
        <w:pStyle w:val="TextoNormal"/>
      </w:pPr>
    </w:p>
    <w:p w:rsidR="00B01F4A" w:rsidRDefault="00B01F4A" w:rsidP="00B01F4A">
      <w:pPr>
        <w:pStyle w:val="TextoNormal"/>
      </w:pPr>
      <w:r w:rsidRPr="00B01F4A">
        <w:rPr>
          <w:rStyle w:val="NumeroAFNegritaCaracter"/>
        </w:rPr>
        <w:t>8</w:t>
      </w:r>
      <w:r>
        <w:t>. Por escrito registrado en este Tribunal el 25 de enero de 1997 don Luis Pulgar Arroyo, Procurador de los Tribunales, y de doña Margarita Angustias Zárate Diez de Rivera, se opone a la suspensión solicitada por cuanto conforme al art. 56 se podrá denegar la misma cuando de ella pueda seguirse perturbación grave de los derechos fundamentales de un tercero, como entiende ocurre en este caso. Además, afirma, tampoco se da la circunstancia de que la ejecución ocasione un perjuicio al recurrente que hiciera perder al amparo su finalidad.</w:t>
      </w:r>
    </w:p>
    <w:p w:rsidR="00B01F4A" w:rsidRDefault="00B01F4A" w:rsidP="00B01F4A">
      <w:pPr>
        <w:pStyle w:val="TextoNormal"/>
      </w:pPr>
    </w:p>
    <w:p w:rsidR="00B01F4A" w:rsidRDefault="00B01F4A" w:rsidP="00B01F4A">
      <w:pPr>
        <w:pStyle w:val="TextoNormal"/>
      </w:pPr>
      <w:r w:rsidRPr="00B01F4A">
        <w:rPr>
          <w:rStyle w:val="NumeroAFNegritaCaracter"/>
        </w:rPr>
        <w:t>9</w:t>
      </w:r>
      <w:r>
        <w:t xml:space="preserve">. El Ministerio Fiscal, por escrito presentado en este Tribunal el 31 de enero de 1997, interesa se acceda a la suspensión solicitada. </w:t>
      </w:r>
    </w:p>
    <w:p w:rsidR="00B01F4A" w:rsidRDefault="00B01F4A" w:rsidP="00B01F4A">
      <w:pPr>
        <w:pStyle w:val="TextoNormal"/>
      </w:pPr>
      <w:r>
        <w:t>Manifiesta que existe un precedente próximo en el Auto de suspensión que se dio en el recurso de amparo 3.929/95, pues vistas las similitudes entre ese y este recurso en lo relativo a la entrega de la posesión, finca rústica y próxima recolección son trasladables los motivos allí esgrimidos para la suspensión que, en síntesis, son evitar la pérdida de la posesión y el detrimento económico.</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xml:space="preserve">. El art. 56.1 de la Ley Orgánica de este Tribunal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 Este Tribunal ha venido manteniendo, en aplicación de la anterior disposición que cuando el recurso de dirige contra resoluciones judiciales, aquel interés general consiste </w:t>
      </w:r>
      <w:r>
        <w:lastRenderedPageBreak/>
        <w:t>precisamente en su ejecución, por lo que, en tales casos, será necesario que se acredite la concurrencia que un perjuicio irreparable o que haría perder al amparo su finalidad en caso de llevarse a efecto la resolución impugnada, para que la medida cautelar que se interesa pueda prosperar».</w:t>
      </w:r>
    </w:p>
    <w:p w:rsidR="00B01F4A" w:rsidRDefault="00B01F4A" w:rsidP="00B01F4A">
      <w:pPr>
        <w:pStyle w:val="TextoNormal"/>
      </w:pPr>
    </w:p>
    <w:p w:rsidR="00B01F4A" w:rsidRDefault="00B01F4A" w:rsidP="00B01F4A">
      <w:pPr>
        <w:pStyle w:val="TextoNormal"/>
      </w:pPr>
      <w:r w:rsidRPr="00B01F4A">
        <w:rPr>
          <w:rStyle w:val="NumeroAFNegritaCaracter"/>
        </w:rPr>
        <w:t>2</w:t>
      </w:r>
      <w:r>
        <w:t>. En los supuestos de resoluciones con efectos meramente económicos, la doctrina general de este Tribunal es que la ejecución de las mismas no causa perjuicio irreparable, puesto que su reparación ulterior, en caso de ser estimado el recurso de amparo, no será dificultosa. Sólo en aquellos supuestos en que el pago acarrea perjuicios patrimoniales de carácter irreparable o difícilmente reparable, de tal manera que los fines del recurso de amparo quedarían comprometidos, por excepción es procedente adoptar las medidas cautelares que eviten tal consecuencia. Así ocurre entre otros supuestos cuando se lleva a cabo la transmisión irrecuperable de un bien determinado (AATC 565/1986 y 52/1989, entre otros), como ocurre en el presente caso en el que la ejecución que se pretende suspender es la del Auto de la Audiencia Provincial de Granada de 25 de mayo de 1994, que ordena que el Juzgado de Primera Instancia señale día y hora para el lanzamiento del arrendatario de la finca arrendada, la cual contiene árboles de nueve años cuyo ciclo de producción es de diez a once años y que, por tanto, están próximos a su recolección. Y haciendo abstracción de lo relativo a esta cosecha, la ejecución del desahucio y consiguiente liberación de la finca es susceptible de causar los perjuicios no reparables, que en su caso derivarían de una posible transmisión de dominio.</w:t>
      </w:r>
    </w:p>
    <w:p w:rsidR="00B01F4A" w:rsidRDefault="00B01F4A" w:rsidP="00B01F4A">
      <w:pPr>
        <w:pStyle w:val="TextoNormal"/>
      </w:pPr>
    </w:p>
    <w:p w:rsidR="00B01F4A" w:rsidRDefault="00B01F4A" w:rsidP="00B01F4A">
      <w:pPr>
        <w:pStyle w:val="TextoNormal"/>
      </w:pPr>
      <w:r w:rsidRPr="00B01F4A">
        <w:rPr>
          <w:rStyle w:val="NumeroAFNegritaCaracter"/>
        </w:rPr>
        <w:t>3</w:t>
      </w:r>
      <w:r>
        <w:t>. En aplicación de la doctrina expuesta de este Tribunal debemos considerar, pues, procedente la suspensión solicitada.</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virtud de lo expuesto, la Sala acuerda suspender el Auto de la Audiencia Provincial de Granada, de 25 de mayo de 1994.</w:t>
      </w:r>
    </w:p>
    <w:p w:rsidR="00B01F4A" w:rsidRDefault="00B01F4A" w:rsidP="00B01F4A">
      <w:pPr>
        <w:pStyle w:val="TextoNormal"/>
      </w:pPr>
    </w:p>
    <w:p w:rsidR="00B01F4A" w:rsidRDefault="00B01F4A" w:rsidP="00B01F4A">
      <w:pPr>
        <w:pStyle w:val="TextoNormal"/>
      </w:pPr>
      <w:r>
        <w:t>Madrid, a veinticuatro de febrero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38" w:name="AUTO_1997_48"/>
      <w:r>
        <w:lastRenderedPageBreak/>
        <w:t>AUTO 48/1997, de 24 de febrero de 1997</w:t>
      </w:r>
    </w:p>
    <w:bookmarkEnd w:id="138"/>
    <w:p w:rsidR="00B01F4A" w:rsidRDefault="00B01F4A" w:rsidP="00B01F4A">
      <w:pPr>
        <w:pStyle w:val="TtuloResolucin"/>
      </w:pPr>
      <w:r>
        <w:t>Sección Primera</w:t>
      </w:r>
    </w:p>
    <w:p w:rsidR="00B01F4A" w:rsidRDefault="00B01F4A" w:rsidP="00B01F4A">
      <w:pPr>
        <w:pStyle w:val="TtuloResolucin"/>
      </w:pPr>
    </w:p>
    <w:p w:rsidR="00B01F4A" w:rsidRDefault="00B01F4A" w:rsidP="00B01F4A">
      <w:pPr>
        <w:pStyle w:val="SntesisDescriptiva"/>
      </w:pPr>
      <w:r>
        <w:t>ECLI:ES:TC:1997:48A</w:t>
      </w:r>
    </w:p>
    <w:p w:rsidR="00B01F4A" w:rsidRDefault="00B01F4A" w:rsidP="00B01F4A">
      <w:pPr>
        <w:pStyle w:val="SntesisDescriptiva"/>
      </w:pPr>
    </w:p>
    <w:p w:rsidR="00B01F4A" w:rsidRDefault="00B01F4A" w:rsidP="00B01F4A">
      <w:pPr>
        <w:pStyle w:val="SntesisDescriptiva"/>
      </w:pPr>
      <w:r>
        <w:t>Excms. Srs. don Álvaro Rodríguez Bereijo, don Pedro Cruz Villalón y don Enrique Ruiz Vadillo.</w:t>
      </w:r>
    </w:p>
    <w:p w:rsidR="00B01F4A" w:rsidRDefault="00B01F4A" w:rsidP="00B01F4A">
      <w:pPr>
        <w:pStyle w:val="SntesisDescriptiva"/>
      </w:pPr>
    </w:p>
    <w:p w:rsidR="00B01F4A" w:rsidRDefault="00B01F4A" w:rsidP="00B01F4A">
      <w:pPr>
        <w:pStyle w:val="SntesisDescriptiva"/>
      </w:pPr>
      <w:r>
        <w:t>Acuerda el desistimiento en el recurso de amparo 2.013/1996, promovido en proceso contencioso-administrativo..</w:t>
      </w:r>
    </w:p>
    <w:p w:rsidR="00B01F4A" w:rsidRDefault="00B01F4A" w:rsidP="00B01F4A">
      <w:pPr>
        <w:pStyle w:val="SntesisDescriptiva"/>
      </w:pPr>
    </w:p>
    <w:p w:rsidR="00B01F4A" w:rsidRDefault="00B01F4A" w:rsidP="00B01F4A">
      <w:pPr>
        <w:pStyle w:val="SntesisAnaltica"/>
      </w:pPr>
      <w:r>
        <w:t>Desistimiento de recurso de amparo: procede.</w:t>
      </w:r>
    </w:p>
    <w:p w:rsidR="00B01F4A" w:rsidRDefault="00B01F4A" w:rsidP="00B01F4A">
      <w:pPr>
        <w:pStyle w:val="SntesisAnaltica"/>
      </w:pPr>
    </w:p>
    <w:p w:rsidR="00B01F4A" w:rsidRDefault="00B01F4A" w:rsidP="00B01F4A">
      <w:pPr>
        <w:pStyle w:val="SntesisAnaltica"/>
      </w:pPr>
    </w:p>
    <w:p w:rsidR="00B01F4A" w:rsidRDefault="00B01F4A" w:rsidP="00B01F4A">
      <w:pPr>
        <w:pStyle w:val="SntesisAnaltic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39" w:name="AUTO_1997_49"/>
      <w:r>
        <w:lastRenderedPageBreak/>
        <w:t>AUTO 49/1997, de 24 de febrero de 1997</w:t>
      </w:r>
    </w:p>
    <w:bookmarkEnd w:id="139"/>
    <w:p w:rsidR="00B01F4A" w:rsidRDefault="00B01F4A" w:rsidP="00B01F4A">
      <w:pPr>
        <w:pStyle w:val="TtuloResolucin"/>
      </w:pPr>
      <w:r>
        <w:t>Sala Segunda</w:t>
      </w:r>
    </w:p>
    <w:p w:rsidR="00B01F4A" w:rsidRDefault="00B01F4A" w:rsidP="00B01F4A">
      <w:pPr>
        <w:pStyle w:val="TtuloResolucin"/>
      </w:pPr>
    </w:p>
    <w:p w:rsidR="00B01F4A" w:rsidRDefault="00B01F4A" w:rsidP="00B01F4A">
      <w:pPr>
        <w:pStyle w:val="SntesisDescriptiva"/>
      </w:pPr>
      <w:r>
        <w:t>ECLI:ES:TC:1997:49A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don Rafael de Mendizábal Allende, don Julio D. González Campos y don Tomás Salvador Vives Antón.</w:t>
      </w:r>
    </w:p>
    <w:p w:rsidR="00B01F4A" w:rsidRDefault="00B01F4A" w:rsidP="00B01F4A">
      <w:pPr>
        <w:pStyle w:val="SntesisDescriptiva"/>
      </w:pPr>
    </w:p>
    <w:p w:rsidR="00B01F4A" w:rsidRDefault="00B01F4A" w:rsidP="00B01F4A">
      <w:pPr>
        <w:pStyle w:val="SntesisDescriptiva"/>
      </w:pPr>
      <w:r>
        <w:t>Denegando la suspensión de la ejecución del acto que origina el recurso de amparo 2.026/1996.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en el Juzgado de Guardia el día 16 de mayo de 1996, y en este Tribunal el día 17 de mayo, doña Gracia López Fernández, Procuradora de los Tribunales, interpone recurso de amparo en nombre de don Rómulo Gutiérrez Fernández contra Auto de la Audiencia Provincial de Santa Cruz de Tenerife, de 30 de abril de 1996, confirmatorio en súplica del de 8 de abril, denegatorio de libertad provisional.</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Los hechos relevantes para el examen de la pretensión de amparo son, en síntesis, los siguientes: </w:t>
      </w:r>
    </w:p>
    <w:p w:rsidR="00B01F4A" w:rsidRDefault="00B01F4A" w:rsidP="00B01F4A">
      <w:pPr>
        <w:pStyle w:val="TextoNormal"/>
      </w:pPr>
      <w:r>
        <w:t xml:space="preserve">a) El recurrente, de nacionalidad venezolana, se encuentra provisionalmente privado de libertad desde finales de 1995 por decisión tomada en el sumario 29/86, en el que se investigan unos hechos que podrían ser constitutivos de delitos de contrabando y contra la salud pública. Junto a la nulidad de un Auto de intervención telefónica solicitó su libertad a la Audiencia Provincial de Santa Cruz de Tenerife, que era el órgano jurisdiccional que conocía ya de la causa. Mediante Auto de 8 de abril de 1996 le fue denegada con la siguiente fundamentación: «En cuanto a la solicitud de libertad de procesado, no ha lugar a modificar, por ahora, la situación de prisión en la que se encuentra, teniendo en cuenta la gravedad del delito y la pena que en su día pudiera corresponderle». </w:t>
      </w:r>
    </w:p>
    <w:p w:rsidR="00B01F4A" w:rsidRDefault="00B01F4A" w:rsidP="00B01F4A">
      <w:pPr>
        <w:pStyle w:val="TextoNormal"/>
      </w:pPr>
      <w:r>
        <w:t>b) La decisión denegatoria fue confirmada en súplica por Auto de 30 de abril, con el siguiente razonamiento: «El recurso de súplica debe ser desestimado, pues sus alegaciones en nada desvirtúan los razonamientos tenidos en cuenta por esta Sala para dictar el Auto recurrido, que es compartido plenamente por el Ministerio Fiscal en su informa de 26 de abril del corriente.»</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El recurrente en amparo articula cuatro motivos. El primero de ellos se refiere a la vulneración del derecho a la presunción de inocencia en relación con su actual permanencia en prisión, pues, por una parte, la prueba de cargo existente en autos, «nimia o indiciaria», sería nula conforme a la jurisprudencia y, por otra, la privación de libertad imposibilita al recurrente la obtención de medios de prueba de descargo. La segunda invocación lo es del derecho a un proceso sin dilaciones indebidas. El tercer motivo el derecho a la libertad, pues </w:t>
      </w:r>
      <w:r>
        <w:lastRenderedPageBreak/>
        <w:t>de cara al mantenimiento de la prisión, no existiría ni fumus boni iuris, ni alarma social, ni siquiera la alegada gravedad de las penas amenazantes. Estima además el recurrente que su actividad de comercio con Europa descarta el riesgo de fuga por las negativas consecuencias profesionales que esto supondría y que, en todo caso, el aseguramiento de su presencia en juicio se podría conseguir con la mera confiscación del pasaporte y la comparecencia diaria ante la Sala. La última alegación es la falta de motivación de los Autos impugnados, que son de carácter estereotipado y que no hacen referencia alguna al cambio de circunstancias que supone el transcurso de ocho meses desde que se decretó la prisión.</w:t>
      </w:r>
    </w:p>
    <w:p w:rsidR="00B01F4A" w:rsidRDefault="00B01F4A" w:rsidP="00B01F4A">
      <w:pPr>
        <w:pStyle w:val="TextoNormal"/>
      </w:pPr>
    </w:p>
    <w:p w:rsidR="00B01F4A" w:rsidRDefault="00B01F4A" w:rsidP="00B01F4A">
      <w:pPr>
        <w:pStyle w:val="TextoNormal"/>
      </w:pPr>
      <w:r w:rsidRPr="00B01F4A">
        <w:rPr>
          <w:rStyle w:val="NumeroAFNegritaCaracter"/>
        </w:rPr>
        <w:t>4</w:t>
      </w:r>
      <w:r>
        <w:t>. La Sección Cuarta, por providencia de 21 de octubre de 1996, acordó admitir a trámite la demanda de amparo. Por providencia de la misma fecha acordó formar pieza para la tramitación del incidente sobre suspensión y conforme determina el art. 56 de la Ley Orgánica de este Tribunal conceder un plazo común de tres días a la parte recurrente y al Ministerio Fiscal para que alegasen lo que estimasen pertinente sobre dicha suspensión.</w:t>
      </w:r>
    </w:p>
    <w:p w:rsidR="00B01F4A" w:rsidRDefault="00B01F4A" w:rsidP="00B01F4A">
      <w:pPr>
        <w:pStyle w:val="TextoNormal"/>
      </w:pPr>
    </w:p>
    <w:p w:rsidR="00B01F4A" w:rsidRDefault="00B01F4A" w:rsidP="00B01F4A">
      <w:pPr>
        <w:pStyle w:val="TextoNormal"/>
      </w:pPr>
      <w:r w:rsidRPr="00B01F4A">
        <w:rPr>
          <w:rStyle w:val="NumeroAFNegritaCaracter"/>
        </w:rPr>
        <w:t>5</w:t>
      </w:r>
      <w:r>
        <w:t>. Por escrito registrado en los Juzgados de Guardia de Madrid el 28 de octubre de 1996 y el 30 de octubre siguiente en este Tribunal, el recurrente en amparo reitera lo manifestado en su demanda y, en consecuencia, solicita se suspendan los Autos de 8 y 30 de abril de 1996, por entender que son contrarios al art. 24 C.E., por haber otros medios de asegurar la no elusión de la justicia y por la inconsistencia probatoria de la acusación planteada.</w:t>
      </w:r>
    </w:p>
    <w:p w:rsidR="00B01F4A" w:rsidRDefault="00B01F4A" w:rsidP="00B01F4A">
      <w:pPr>
        <w:pStyle w:val="TextoNormal"/>
      </w:pPr>
    </w:p>
    <w:p w:rsidR="00B01F4A" w:rsidRDefault="00B01F4A" w:rsidP="00B01F4A">
      <w:pPr>
        <w:pStyle w:val="TextoNormal"/>
      </w:pPr>
      <w:r w:rsidRPr="00B01F4A">
        <w:rPr>
          <w:rStyle w:val="NumeroAFNegritaCaracter"/>
        </w:rPr>
        <w:t>6</w:t>
      </w:r>
      <w:r>
        <w:t xml:space="preserve">. El Ministerio Fiscal, por escrito presentado el 4 de noviembre de 1996 en este Tribunal, interesa la no suspensión de la prisión provisional. </w:t>
      </w:r>
    </w:p>
    <w:p w:rsidR="00B01F4A" w:rsidRDefault="00B01F4A" w:rsidP="00B01F4A">
      <w:pPr>
        <w:pStyle w:val="TextoNormal"/>
      </w:pPr>
      <w:r>
        <w:t>Manifiesta que en el presente caso no cabe duda de que concurre el interés general que siempre se proyecta sobre el mantenimiento de las resoluciones judiciales, especialmente cuando afectan a hechos que determinan una señalada alarma social. Y, si bien la resolución impugnada no funda el mantenimiento de la prisión en el riesgo de que quien la sufre se sustraiga a la acción de la justicia, sí se argumenta la gravedad del delito, su atribución al recurrente y la gravedad de la pena, extremos cuya valoración no es posible en este trámite, por falta de los elementos de juicio de los que habremos de disponer al formular las alegaciones de fondo.</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Objeto del presente Auto es resolver acerca de la solicitada suspensión de los Autos de la Audiencia Provincial de Santa Cruz de Tenerife, de 8 y 30 de abril de 1996, que deniegan la libertad provisional del recurrente en amparo.</w:t>
      </w:r>
    </w:p>
    <w:p w:rsidR="00B01F4A" w:rsidRDefault="00B01F4A" w:rsidP="00B01F4A">
      <w:pPr>
        <w:pStyle w:val="TextoNormal"/>
      </w:pPr>
    </w:p>
    <w:p w:rsidR="00B01F4A" w:rsidRDefault="00B01F4A" w:rsidP="00B01F4A">
      <w:pPr>
        <w:pStyle w:val="TextoNormal"/>
      </w:pPr>
      <w:r w:rsidRPr="00B01F4A">
        <w:rPr>
          <w:rStyle w:val="NumeroAFNegritaCaracter"/>
        </w:rPr>
        <w:t>2</w:t>
      </w:r>
      <w:r>
        <w:t>. Para resolver tal cuestión es preciso tener en cuenta lo dispuesto en el art. 56.1 de la LOTC que establece, como regla general, que «la Sala que conozca de un recurso de amparo suspenderá, de oficio o a instancia del recurrente, la ejecución del acto de los poderes públicos por razón del cual reclame el amparo constitucional, cuando la ejecución hubiere de ocasionar un perjuicio que haría perder al amparo su finalidad».</w:t>
      </w:r>
    </w:p>
    <w:p w:rsidR="00B01F4A" w:rsidRDefault="00B01F4A" w:rsidP="00B01F4A">
      <w:pPr>
        <w:pStyle w:val="TextoNormal"/>
      </w:pPr>
      <w:r>
        <w:t xml:space="preserve">No obstante y con fundamento en el inciso segundo del citado art. 56.1 LOTC, que faculta a la Sala para denegar la suspensión «cuando de ésta pueda seguirse perturbación grave </w:t>
      </w:r>
      <w:r>
        <w:lastRenderedPageBreak/>
        <w:t>de los intereses generales o de los derechos fundamentales o libertades públicas de un tercero», este Tribunal viene entendiendo con reiteración que, cuando se trata de resoluciones judiciales, lo más acorde con el interés general es su cumplimiento que dota de efectividad la tutela judicial consagrada por el art. 24 C.E.</w:t>
      </w:r>
    </w:p>
    <w:p w:rsidR="00B01F4A" w:rsidRDefault="00B01F4A" w:rsidP="00B01F4A">
      <w:pPr>
        <w:pStyle w:val="TextoNormal"/>
      </w:pPr>
      <w:r>
        <w:t>De ahí que en esta materia el criterio del Tribunal venga distinguiendo entre resoluciones judiciales con efectos meramente económicos y resoluciones judiciales privativas de libertad. En el primer caso el criterio general viene siendo el de la no suspensión, no sólo por el interés general en el cumplimiento de las resoluciones judiciales sino, además, porque en tal supuesto los perjuicios no serían de imposible reparación; mientras que en el segundo -privación de libertad-, por ser irreparable el perjuicio, la regla general es la suspensión de la condena hasta que se resuelva el recurso de amparo, salvo en los supuestos en los que la gravedad de los hechos y la duración de la pena aconsejen lo contrario.</w:t>
      </w:r>
    </w:p>
    <w:p w:rsidR="00B01F4A" w:rsidRDefault="00B01F4A" w:rsidP="00B01F4A">
      <w:pPr>
        <w:pStyle w:val="TextoNormal"/>
      </w:pPr>
    </w:p>
    <w:p w:rsidR="00B01F4A" w:rsidRDefault="00B01F4A" w:rsidP="00B01F4A">
      <w:pPr>
        <w:pStyle w:val="TextoNormal"/>
      </w:pPr>
      <w:r w:rsidRPr="00B01F4A">
        <w:rPr>
          <w:rStyle w:val="NumeroAFNegritaCaracter"/>
        </w:rPr>
        <w:t>3</w:t>
      </w:r>
      <w:r>
        <w:t>. Aplicada la doctrina expuesta al presente caso, la gravedad del delito y la duración de la pena no permiten acceder a la suspensión solicitada por el recurrente. Resulta concluyente en este sentido el escrito de conclusiones provisionales del Ministerio Fiscal, pues entiende que el recurrente ha cometido, en concepto de autor, un delito de contrabando de los arts. 1.1, núm. 4, y 3.1 y art. 2 de la L.O. 7/1982, de 13 de julio, y un delito contra la salud pública del art. 344, párrafos primero y segundo, del Código Penal vigente en el momento de cometerse el delito a penar conforme el art. 71 de ese Código. A mayor abundamiento, los Autos impugnados deniegan precisamente la libertad provisional del recurrente con fundamento en la gravedad del delito y de la pena, motivación que debe valorarse únicamente en las alegaciones de fondo de la Sentencia que resuelva el amparo. En efecto, si atendiéramos la solicitud de suspensión de los Autos estaríamos pronunciándonos sobre algunas de las pretensiones ejercitadas en este amparo, con lo que nos anticiparíamos indebidamente a la Sentencia.</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virtud de lo expuesto, la Sala acuerda no suspender la ejecución de los Autos de 8 y 30 de abril de 1996.</w:t>
      </w:r>
    </w:p>
    <w:p w:rsidR="00B01F4A" w:rsidRDefault="00B01F4A" w:rsidP="00B01F4A">
      <w:pPr>
        <w:pStyle w:val="TextoNormal"/>
      </w:pPr>
    </w:p>
    <w:p w:rsidR="00B01F4A" w:rsidRDefault="00B01F4A" w:rsidP="00B01F4A">
      <w:pPr>
        <w:pStyle w:val="TextoNormal"/>
      </w:pPr>
      <w:r>
        <w:t>Madrid, a veinticuatro de febrero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40" w:name="AUTO_1997_50"/>
      <w:r>
        <w:lastRenderedPageBreak/>
        <w:t>AUTO 50/1997, de 24 de febrero de 1997</w:t>
      </w:r>
    </w:p>
    <w:bookmarkEnd w:id="140"/>
    <w:p w:rsidR="00B01F4A" w:rsidRDefault="00B01F4A" w:rsidP="00B01F4A">
      <w:pPr>
        <w:pStyle w:val="TtuloResolucin"/>
      </w:pPr>
      <w:r>
        <w:t>Sección Primera</w:t>
      </w:r>
    </w:p>
    <w:p w:rsidR="00B01F4A" w:rsidRDefault="00B01F4A" w:rsidP="00B01F4A">
      <w:pPr>
        <w:pStyle w:val="TtuloResolucin"/>
      </w:pPr>
    </w:p>
    <w:p w:rsidR="00B01F4A" w:rsidRDefault="00B01F4A" w:rsidP="00B01F4A">
      <w:pPr>
        <w:pStyle w:val="SntesisDescriptiva"/>
      </w:pPr>
      <w:r>
        <w:t>ECLI:ES:TC:1997:50A</w:t>
      </w:r>
    </w:p>
    <w:p w:rsidR="00B01F4A" w:rsidRDefault="00B01F4A" w:rsidP="00B01F4A">
      <w:pPr>
        <w:pStyle w:val="SntesisDescriptiva"/>
      </w:pPr>
    </w:p>
    <w:p w:rsidR="00B01F4A" w:rsidRDefault="00B01F4A" w:rsidP="00B01F4A">
      <w:pPr>
        <w:pStyle w:val="SntesisDescriptiva"/>
      </w:pPr>
      <w:r>
        <w:t>Excms. Srs. don Álvaro Rodríguez Bereijo, don Pedro Cruz Villalón y don Enrique Ruiz Vadillo.</w:t>
      </w:r>
    </w:p>
    <w:p w:rsidR="00B01F4A" w:rsidRDefault="00B01F4A" w:rsidP="00B01F4A">
      <w:pPr>
        <w:pStyle w:val="SntesisDescriptiva"/>
      </w:pPr>
    </w:p>
    <w:p w:rsidR="00B01F4A" w:rsidRDefault="00B01F4A" w:rsidP="00B01F4A">
      <w:pPr>
        <w:pStyle w:val="SntesisDescriptiva"/>
      </w:pPr>
      <w:r>
        <w:t>Acuerda el desistimiento en el recurso de amparo 2.060/1996, promovido en causa penal.</w:t>
      </w:r>
    </w:p>
    <w:p w:rsidR="00B01F4A" w:rsidRDefault="00B01F4A" w:rsidP="00B01F4A">
      <w:pPr>
        <w:pStyle w:val="SntesisDescriptiva"/>
      </w:pPr>
    </w:p>
    <w:p w:rsidR="00B01F4A" w:rsidRDefault="00B01F4A" w:rsidP="00B01F4A">
      <w:pPr>
        <w:pStyle w:val="SntesisAnaltica"/>
      </w:pPr>
      <w:r>
        <w:t>Desistimiento en el recurso de amparo: procede.</w:t>
      </w:r>
    </w:p>
    <w:p w:rsidR="00B01F4A" w:rsidRDefault="00B01F4A" w:rsidP="00B01F4A">
      <w:pPr>
        <w:pStyle w:val="SntesisAnaltica"/>
      </w:pPr>
    </w:p>
    <w:p w:rsidR="00B01F4A" w:rsidRDefault="00B01F4A" w:rsidP="00B01F4A">
      <w:pPr>
        <w:pStyle w:val="SntesisAnaltica"/>
      </w:pPr>
    </w:p>
    <w:p w:rsidR="00B01F4A" w:rsidRDefault="00B01F4A" w:rsidP="00B01F4A">
      <w:pPr>
        <w:pStyle w:val="SntesisAnaltic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41" w:name="AUTO_1997_51"/>
      <w:r>
        <w:lastRenderedPageBreak/>
        <w:t>AUTO 51/1997, de 24 de febrero de 1997</w:t>
      </w:r>
    </w:p>
    <w:bookmarkEnd w:id="141"/>
    <w:p w:rsidR="00B01F4A" w:rsidRDefault="00B01F4A" w:rsidP="00B01F4A">
      <w:pPr>
        <w:pStyle w:val="TtuloResolucin"/>
      </w:pPr>
      <w:r>
        <w:t>Sala Segunda</w:t>
      </w:r>
    </w:p>
    <w:p w:rsidR="00B01F4A" w:rsidRDefault="00B01F4A" w:rsidP="00B01F4A">
      <w:pPr>
        <w:pStyle w:val="TtuloResolucin"/>
      </w:pPr>
    </w:p>
    <w:p w:rsidR="00B01F4A" w:rsidRDefault="00B01F4A" w:rsidP="00B01F4A">
      <w:pPr>
        <w:pStyle w:val="SntesisDescriptiva"/>
      </w:pPr>
      <w:r>
        <w:t>ECLI:ES:TC:1997:51A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don Rafael de Mendizábal Allende, don Julio D. González Campos y don Tomás Salvador Vives Antón.</w:t>
      </w:r>
    </w:p>
    <w:p w:rsidR="00B01F4A" w:rsidRDefault="00B01F4A" w:rsidP="00B01F4A">
      <w:pPr>
        <w:pStyle w:val="SntesisDescriptiva"/>
      </w:pPr>
    </w:p>
    <w:p w:rsidR="00B01F4A" w:rsidRDefault="00B01F4A" w:rsidP="00B01F4A">
      <w:pPr>
        <w:pStyle w:val="SntesisDescriptiva"/>
      </w:pPr>
      <w:r>
        <w:t>Acordando la suspensión parcial de la ejecución del acto que origina el recurso de amparo 2.305/1996.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Por escrito presentado en el Juzgado de Guardia el 3 de junio de 1996 y registrado en este Tribunal el 5 de junio de 1996, «Tenebros, Sociedad Limitada representada por el Procurador de los Tribunales don Javier Soto Fernández, interpone recurso de amparo contra los autos del Juzgado de lo Social núm. 25 de Madrid, de 3 de mayo y de 6 de mayo de 1996, en procedimiento por despido.</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Constituyen la base fáctica de la demanda los siguientes antecedentes: </w:t>
      </w:r>
    </w:p>
    <w:p w:rsidR="00B01F4A" w:rsidRDefault="00B01F4A" w:rsidP="00B01F4A">
      <w:pPr>
        <w:pStyle w:val="TextoNormal"/>
      </w:pPr>
      <w:r>
        <w:t xml:space="preserve">a) Con fecha 21 de diciembre de 1993 se dicta Sentencia por el Juzgado de lo Social núm. 25 de Madrid, por la que se estima la demanda sobre despido interpuesta contra la empresa recurrente, declarando la nulidad del despido y condenando a la empresa a la readmisión del trabajador, así como al abono de los salarios de tramitación. </w:t>
      </w:r>
    </w:p>
    <w:p w:rsidR="00B01F4A" w:rsidRDefault="00B01F4A" w:rsidP="00B01F4A">
      <w:pPr>
        <w:pStyle w:val="TextoNormal"/>
      </w:pPr>
      <w:r>
        <w:t xml:space="preserve">b) Recurrida en suplicación la anterior Sentencia por parte de la empresa, el trabajador solicita la ejecución provisional de la misma. Mediante Auto de 14 de abril de 1994, el Juzgado de lo Social núm. 25 de Madrid resuelve requerir a la empresa para que satisfaga al trabajador la retribución que viniera recibiendo con anterioridad al despido, en tanto dure la tramitación del recurso de suplicación. Ante la falta de abono de los salarios al trabajador, el órgano judicial procedió a despachar ejecución y embargo de bienes. </w:t>
      </w:r>
    </w:p>
    <w:p w:rsidR="00B01F4A" w:rsidRDefault="00B01F4A" w:rsidP="00B01F4A">
      <w:pPr>
        <w:pStyle w:val="TextoNormal"/>
      </w:pPr>
      <w:r>
        <w:t xml:space="preserve">c) Con fecha 16 de septiembre de 1994 se dicta Sentencia por el Juzgado de lo Social núm. 25 de Madrid, en un procedimiento sobre reclamación por cantidad entre las mismas partes, y por la que se estima la demanda interpuesta por el trabajador. Incumplido por la empresa el pago de la cantidad a la que le condenaba la anterior Sentencia, se despacha ejecución y nuevo embargo de bienes, mediante providencia de 3 de abril de 1995. </w:t>
      </w:r>
    </w:p>
    <w:p w:rsidR="00B01F4A" w:rsidRDefault="00B01F4A" w:rsidP="00B01F4A">
      <w:pPr>
        <w:pStyle w:val="TextoNormal"/>
      </w:pPr>
      <w:r>
        <w:t xml:space="preserve">d) Con fecha 21 de noviembre de 1995 se dicta Sentencia por la Sala de lo Social del T.S.J. de Madrid, estimatoria del recurso de suplicación interpuesto por la empresa «Tenebros, Sociedad Limitada», anulando la Sentencia de instancia dictada en el procedimiento núm. 937/93 sobre despido, así como todo lo actuado a partir del acto del juicio, inclusive, reponiendo las actuaciones al momento anterior a la celebración de dicho acto. </w:t>
      </w:r>
    </w:p>
    <w:p w:rsidR="00B01F4A" w:rsidRDefault="00B01F4A" w:rsidP="00B01F4A">
      <w:pPr>
        <w:pStyle w:val="TextoNormal"/>
      </w:pPr>
      <w:r>
        <w:t xml:space="preserve">e) Con fecha 15 de enero de 1996, la empresa recurrente presenta escrito solicitando a devolución de los depósitos realizados y la anulación de todas las actuaciones, tanto del </w:t>
      </w:r>
      <w:r>
        <w:lastRenderedPageBreak/>
        <w:t xml:space="preserve">procedimiento por despido (autos 979/93 y pieza separada de ejecución), como del procedimiento sobre reclamación de cantidad (autos 361/94 y ejecución núm. 37/95). Mediante providencia de 30 de enero de 1996, el Juzgado de lo Social núm. 25 de Madrid declaró no haber lugar a lo solicitado. Interpuesto recurso de reposición por la empresa, el mismo fue desestimado mediante Auto de 6 de mayo de 1996, hoy objeto de este recurso de amparo. </w:t>
      </w:r>
    </w:p>
    <w:p w:rsidR="00B01F4A" w:rsidRDefault="00B01F4A" w:rsidP="00B01F4A">
      <w:pPr>
        <w:pStyle w:val="TextoNormal"/>
      </w:pPr>
      <w:r>
        <w:t xml:space="preserve">f) Celebrado de nuevo juicio en el procedimiento por despido, y tras la declaración de nulidad de lo actuado desde el momento de la presentación de la demanda, y la apertura de un plazo de cuatro días para subsanación de defectos en la demanda, éste concluyó mediante Auto de 3 de mayo de 1996, que ordena el archivo de la demanda. </w:t>
      </w:r>
    </w:p>
    <w:p w:rsidR="00B01F4A" w:rsidRDefault="00B01F4A" w:rsidP="00B01F4A">
      <w:pPr>
        <w:pStyle w:val="TextoNormal"/>
      </w:pPr>
      <w:r>
        <w:t>Durante la tramitación de este nuevo procedimiento sobre despido, la empresa recurrente reiteró la petición descrita en el apartado anterior, finalmente denegada por Auto de 3 de mayo de 1996, también objeto de este recurso de amparo, y cuyo contenido es idéntico al ya mencionado Auto de 6 de mayo de 1996.</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Entiende la empresa recurrente que los autos impugnados han vulnerado su derecho a la tutela judicial efectiva, pues contienen una decisión judicial de no dejar sin efecto la ejecución provisional de una Sentencia, dictada en un procedimiento por despido, cuya nulidad fue declarada primero, y que ha concluido mediante el archivo de la demanda. En su opinión, todo ello entraña incongruencia y altera los términos del debate procesal. </w:t>
      </w:r>
    </w:p>
    <w:p w:rsidR="00B01F4A" w:rsidRDefault="00B01F4A" w:rsidP="00B01F4A">
      <w:pPr>
        <w:pStyle w:val="TextoNormal"/>
      </w:pPr>
      <w:r>
        <w:t>La empresa recurrente alega además que el órgano judicial vulneró su derecho de defensa al no pronunciarse sobre la excepción de falta de legitimación por ella planteada, en el segundo procedimiento por despido, y que determinó la nulidad de las actuaciones y el archivo final de la demanda.</w:t>
      </w:r>
    </w:p>
    <w:p w:rsidR="00B01F4A" w:rsidRDefault="00B01F4A" w:rsidP="00B01F4A">
      <w:pPr>
        <w:pStyle w:val="TextoNormal"/>
      </w:pPr>
    </w:p>
    <w:p w:rsidR="00B01F4A" w:rsidRDefault="00B01F4A" w:rsidP="00B01F4A">
      <w:pPr>
        <w:pStyle w:val="TextoNormal"/>
      </w:pPr>
      <w:r w:rsidRPr="00B01F4A">
        <w:rPr>
          <w:rStyle w:val="NumeroAFNegritaCaracter"/>
        </w:rPr>
        <w:t>4</w:t>
      </w:r>
      <w:r>
        <w:t>. La Sección Tercera de este Tribunal, mediante providencia de 14 de octubre de 1996, acordó abrir el trámite previsto en el art. 50.3 de la LOTC, concediendo al demandante de amparo y al Ministerio Fiscal el plazo común de diez días para que formulen la alegaciones que estimen pertinentes, en relación con la carencia manifiesta de contenido constitucional de la demanda -art. 50.1 c) LOTC-, debiendo el Procurador don Javier Soto Fernández acreditar, en igual plazo, la representación de la recurrente con poder notarial otorgado por la misma.</w:t>
      </w:r>
    </w:p>
    <w:p w:rsidR="00B01F4A" w:rsidRDefault="00B01F4A" w:rsidP="00B01F4A">
      <w:pPr>
        <w:pStyle w:val="TextoNormal"/>
      </w:pPr>
    </w:p>
    <w:p w:rsidR="00B01F4A" w:rsidRDefault="00B01F4A" w:rsidP="00B01F4A">
      <w:pPr>
        <w:pStyle w:val="TextoNormal"/>
      </w:pPr>
      <w:r w:rsidRPr="00B01F4A">
        <w:rPr>
          <w:rStyle w:val="NumeroAFNegritaCaracter"/>
        </w:rPr>
        <w:t>5</w:t>
      </w:r>
      <w:r>
        <w:t xml:space="preserve">. Por escrito registrado en este Tribunal el 20 de octubre de 1996, don Javier Soto Fernández, Procurador de los Tribunales, da cumplimiento al anterior proveído y reitera las alegaciones de la demanda de amparo. </w:t>
      </w:r>
    </w:p>
    <w:p w:rsidR="00B01F4A" w:rsidRDefault="00B01F4A" w:rsidP="00B01F4A">
      <w:pPr>
        <w:pStyle w:val="TextoNormal"/>
      </w:pPr>
      <w:r>
        <w:t>El Ministerio Fiscal evacuó el trámite mediante escrito registrado el 4 de noviembre de 1996, solicitando la inadmisión del recurso.</w:t>
      </w:r>
    </w:p>
    <w:p w:rsidR="00B01F4A" w:rsidRDefault="00B01F4A" w:rsidP="00B01F4A">
      <w:pPr>
        <w:pStyle w:val="TextoNormal"/>
      </w:pPr>
    </w:p>
    <w:p w:rsidR="00B01F4A" w:rsidRDefault="00B01F4A" w:rsidP="00B01F4A">
      <w:pPr>
        <w:pStyle w:val="TextoNormal"/>
      </w:pPr>
      <w:r w:rsidRPr="00B01F4A">
        <w:rPr>
          <w:rStyle w:val="NumeroAFNegritaCaracter"/>
        </w:rPr>
        <w:t>6</w:t>
      </w:r>
      <w:r>
        <w:t xml:space="preserve">. Por sendas providencias de fecha 9 de diciembre de 1996, la Sección Tercera de este Tribunal acordó, en la primera, admitir a trámite la demanda de amparo, recabar del Juzgado de lo Social núm. 25 de Madrid la remisión de las actuaciones, en plazo que no exceda de diez días, debiendo previamente emplazarse, para que en el plazo de diez días puedan comparecer, si lo desean, en el recurso de amparo y defender sus derechos, a quienes hubieran sido parte en el procedimiento, excepto la parte recurrente en amparo; y, en la segunda, formar pieza separada para la tramitación del incidente de suspensión, de conformidad con el art. 56 LOTC, concediendo al efecto un plazo común de tres días al Ministerio Fiscal y </w:t>
      </w:r>
      <w:r>
        <w:lastRenderedPageBreak/>
        <w:t>al solicitante de amparo, para que formulen las alegaciones que estimen pertinentes sobre la suspensión solicitada.</w:t>
      </w:r>
    </w:p>
    <w:p w:rsidR="00B01F4A" w:rsidRDefault="00B01F4A" w:rsidP="00B01F4A">
      <w:pPr>
        <w:pStyle w:val="TextoNormal"/>
      </w:pPr>
    </w:p>
    <w:p w:rsidR="00B01F4A" w:rsidRDefault="00B01F4A" w:rsidP="00B01F4A">
      <w:pPr>
        <w:pStyle w:val="TextoNormal"/>
      </w:pPr>
      <w:r w:rsidRPr="00B01F4A">
        <w:rPr>
          <w:rStyle w:val="NumeroAFNegritaCaracter"/>
        </w:rPr>
        <w:t>7</w:t>
      </w:r>
      <w:r>
        <w:t>. Mediante escrito registrado en este Tribunal el 16 de diciembre de 1996, la representación procesal de la recurrente reiteró su solicitud de suspensión de la ejecución de las resoluciones impugnadas, reiterando las alegaciones contenidas en su escrito inicial de demanda.</w:t>
      </w:r>
    </w:p>
    <w:p w:rsidR="00B01F4A" w:rsidRDefault="00B01F4A" w:rsidP="00B01F4A">
      <w:pPr>
        <w:pStyle w:val="TextoNormal"/>
      </w:pPr>
    </w:p>
    <w:p w:rsidR="00B01F4A" w:rsidRDefault="00B01F4A" w:rsidP="00B01F4A">
      <w:pPr>
        <w:pStyle w:val="TextoNormal"/>
      </w:pPr>
      <w:r w:rsidRPr="00B01F4A">
        <w:rPr>
          <w:rStyle w:val="NumeroAFNegritaCaracter"/>
        </w:rPr>
        <w:t>8</w:t>
      </w:r>
      <w:r>
        <w:t>. El Ministerio Fiscal, por escrito presentado el 18 de diciembre de 1996, indicó, por el contrario, la improcedencia de la suspensión solicitada.</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art. 56 LOTC permite al Tribunal Constitucional suspender la ejecución del acto o resolución por razón del cual se reclame el amparo cuando la ejecución hubiera de ocasionar un perjuicio que haría perder al amparo su finalidad, a menos que de la suspensión se siga perturbación grave de los intereses generales o de los derechos fundamentales o libertades públicas de un tercero.</w:t>
      </w:r>
    </w:p>
    <w:p w:rsidR="00B01F4A" w:rsidRDefault="00B01F4A" w:rsidP="00B01F4A">
      <w:pPr>
        <w:pStyle w:val="TextoNormal"/>
      </w:pPr>
      <w:r>
        <w:t>Tratándose de resoluciones judiciales, el criterio general es el de la no suspensión, habida cuenta del interés general que se desprende de su ejecución (AATC 125/1989, 306/1991, 197/1995, 214/1995 y 35/1996, entre otros muchos).  Criterio general que, por lo demás, ofrece como excepción el supuesto de que la ejecución de la resolución impugnada haga perder al amparo su finalidad o cause daños o perjuicios de imposible o difícil reparación.</w:t>
      </w:r>
    </w:p>
    <w:p w:rsidR="00B01F4A" w:rsidRDefault="00B01F4A" w:rsidP="00B01F4A">
      <w:pPr>
        <w:pStyle w:val="TextoNormal"/>
      </w:pPr>
    </w:p>
    <w:p w:rsidR="00B01F4A" w:rsidRDefault="00B01F4A" w:rsidP="00B01F4A">
      <w:pPr>
        <w:pStyle w:val="TextoNormal"/>
      </w:pPr>
      <w:r w:rsidRPr="00B01F4A">
        <w:rPr>
          <w:rStyle w:val="NumeroAFNegritaCaracter"/>
        </w:rPr>
        <w:t>2</w:t>
      </w:r>
      <w:r>
        <w:t>. En el presente caso, tal y como se afirma en el fundamento jurídico 3.º de los Autos impugnados, en el mismo Juzgado de lo Social núm. 25 de Madrid se ha seguido otro procedimiento sobre reclamación de cantidad totalmente independiente del seguido sobre nulidad de despido. El de reclamación de cantidad terminó por Sentencia firme de 16 de septiembre de 1994, que condenó a la recurrente en amparo al pago de 238.156 pesetas de principal, más intereses y costas, «por lo que -dicen los Autos impugnados- en último caso tales cantidades (se refiere a las embargadas en el procedimiento de nulidad de despido por depósito y consignaciones) habrían de ser imputadas a dicho procedimiento» (el de reclamación de cantidad).</w:t>
      </w:r>
    </w:p>
    <w:p w:rsidR="00B01F4A" w:rsidRDefault="00B01F4A" w:rsidP="00B01F4A">
      <w:pPr>
        <w:pStyle w:val="TextoNormal"/>
      </w:pPr>
      <w:r>
        <w:t>Después de numerosas vicisitudes que se recogen en el antecedente primero de esta resolución, el procedimiento sobre nulidad de despido terminó por Auto de 3 de mayo de 1996 que ordenó el archivo de la demanda por no haber subsanado el trabajador demandante, dentro del plazo concedido al efecto, el defecto de no haber ampliado la demanda contra don Jesús Aragón García.</w:t>
      </w:r>
    </w:p>
    <w:p w:rsidR="00B01F4A" w:rsidRDefault="00B01F4A" w:rsidP="00B01F4A">
      <w:pPr>
        <w:pStyle w:val="TextoNormal"/>
      </w:pPr>
      <w:r>
        <w:t xml:space="preserve">Con base en la resolución que ordenó el archivo de la demanda sobre nulidad de despido, se impugnan los Autos de 3 de mayo de 1996 y de 6 de mayo de 1996 siguiente que, desestimando los recursos de reposición interpuestos por el demandante de amparo, ordenaron continuar la ejecución y la no devolución a la sociedad recurrente de los depósitos y consignaciones por ella efectuados para interponer el recurso de suplicación ante la Sala de lo Social del Tribunal Superior de Justicia de Madrid, que, en su Sentencia de 21 de noviembre de 1995, anuló la Sentencia recurrida sobre la nulidad de despido, anuló las actuaciones a partir del momento anterior a la celebración del juicio y ordenó la devolución a la recurrente </w:t>
      </w:r>
      <w:r>
        <w:lastRenderedPageBreak/>
        <w:t>de los depósitos y consignaciones, pronunciamiento este último sobre devolución que, según el recurrente, pese a lo ordenado en la Sentencia de suplicación, no ha sido cumplido por el Juzgado.</w:t>
      </w:r>
    </w:p>
    <w:p w:rsidR="00B01F4A" w:rsidRDefault="00B01F4A" w:rsidP="00B01F4A">
      <w:pPr>
        <w:pStyle w:val="TextoNormal"/>
      </w:pPr>
    </w:p>
    <w:p w:rsidR="00B01F4A" w:rsidRDefault="00B01F4A" w:rsidP="00B01F4A">
      <w:pPr>
        <w:pStyle w:val="TextoNormal"/>
      </w:pPr>
      <w:r w:rsidRPr="00B01F4A">
        <w:rPr>
          <w:rStyle w:val="NumeroAFNegritaCaracter"/>
        </w:rPr>
        <w:t>3</w:t>
      </w:r>
      <w:r>
        <w:t>. Sin prejuzgar en este trámite de suspensión la cuestión de fondo planteada, y pese al contenido económico que tiene el recurso de amparo en cuanto a las consecuencias que deriven de su resolución, no procede en este caso hacer aplicación de la doctrina general de este Tribunal expuesta en el fundamento 1.º, sino que es necesario distinguir, a efectos de la ejecución que está llevando a cabo el Juzgado de lo Social núm. 25 de Madrid, los dos supuestos distintos e independientes a que se refieren los Autos impugnados en su fundamento jurídico 3.º.</w:t>
      </w:r>
    </w:p>
    <w:p w:rsidR="00B01F4A" w:rsidRDefault="00B01F4A" w:rsidP="00B01F4A">
      <w:pPr>
        <w:pStyle w:val="TextoNormal"/>
      </w:pPr>
      <w:r>
        <w:t>Es claro que no procede la suspensión de la ejecución de la Sentencia firme de 16 de septiembre de 1994 dictada en el procedimiento de reclamación de cantidad y en ejecución de la cual se han embargado el depósito y las condiciones efectuadas por la sociedad recurrente en el mismo Juzgado para la interposición del recurso de suplicación en el procedimiento de despido, puesto que el recurso de amparo, en lo esencial, no afecta a esa ejecución de Sentencia firme, sino a la que simultáneamente se sigue en el procedimiento de despido que terminó por el Auto de 3 de mayo de 1996 que ordenó, previa la nulidad de actuaciones acordada en dicho procedimiento, el archivo de la demanda.</w:t>
      </w:r>
    </w:p>
    <w:p w:rsidR="00B01F4A" w:rsidRDefault="00B01F4A" w:rsidP="00B01F4A">
      <w:pPr>
        <w:pStyle w:val="TextoNormal"/>
      </w:pPr>
      <w:r>
        <w:t>Referida la demanda de amparo a la improcedencia de esa ejecución, sin prejuzgar ahora el problema de fondo planteado, la ponderación de intereses que ha de hacerse para acordar o no la suspensión, aconseja, por la difícil reparación, en su caso, de los efectos de nuestra Sentencia en el supuesto de que fuera estimatoria del amparo, suspender la ejecución en el estado en que se encuentra y, por tanto, sin levantar los embargos efectuados, hasta tanto recaiga Sentencia en este proceso constitucional Con ello, se mantiene la garantía del ejecutante en orden al percibo de la cantidad objeto de la ejecución sin más perjuicio que el retraso en su percepción; y no se causa a la recurrente en amparo, caso de estimarse el recurso, el perjuicio de muy difícil reparación que haría perder al amparo su finalidad, dada la acusada dificultad que representaría para el ejecutante la devolución de la cantidad objeto de la ejecución 2.296.437 pesetas, más intereses y costas.</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lo expuesto, la Sección acuerda:</w:t>
      </w:r>
    </w:p>
    <w:p w:rsidR="00B01F4A" w:rsidRDefault="00B01F4A" w:rsidP="00B01F4A">
      <w:pPr>
        <w:pStyle w:val="TextoNormal"/>
      </w:pPr>
      <w:r>
        <w:t>1.º Denegar la suspensión de la ejecución de la Sentencia firme dictada por el Juzgado de lo Social núm. 25 de Madrid el 16 de septiembre de 1994 en el procedimiento seguido sobre reclamación de cantidad.</w:t>
      </w:r>
    </w:p>
    <w:p w:rsidR="00B01F4A" w:rsidRDefault="00B01F4A" w:rsidP="00B01F4A">
      <w:pPr>
        <w:pStyle w:val="TextoNormal"/>
      </w:pPr>
      <w:r>
        <w:t>2.º Acordar la suspensión en el estado en que se encuentre y, por tanto, sin levantar los embargos trabados de la ejecución seguida por el citado Juzgado en el procedimiento sobre nulidad de despido, hasta tanto se dicte Sentencia en este recurso de</w:t>
      </w:r>
    </w:p>
    <w:p w:rsidR="00B01F4A" w:rsidRDefault="00B01F4A" w:rsidP="00B01F4A">
      <w:pPr>
        <w:pStyle w:val="TextoNormal"/>
      </w:pPr>
      <w:r>
        <w:t>amparo.</w:t>
      </w:r>
    </w:p>
    <w:p w:rsidR="00B01F4A" w:rsidRDefault="00B01F4A" w:rsidP="00B01F4A">
      <w:pPr>
        <w:pStyle w:val="TextoNormal"/>
      </w:pPr>
    </w:p>
    <w:p w:rsidR="00B01F4A" w:rsidRDefault="00B01F4A" w:rsidP="00B01F4A">
      <w:pPr>
        <w:pStyle w:val="TextoNormal"/>
      </w:pPr>
      <w:r>
        <w:t>Madrid, a veinticuatro de febrero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42" w:name="AUTO_1997_52"/>
      <w:r>
        <w:lastRenderedPageBreak/>
        <w:t>AUTO 52/1997, de 24 de febrero de 1997</w:t>
      </w:r>
    </w:p>
    <w:bookmarkEnd w:id="142"/>
    <w:p w:rsidR="00B01F4A" w:rsidRDefault="00B01F4A" w:rsidP="00B01F4A">
      <w:pPr>
        <w:pStyle w:val="TtuloResolucin"/>
      </w:pPr>
      <w:r>
        <w:t>Sala Segunda</w:t>
      </w:r>
    </w:p>
    <w:p w:rsidR="00B01F4A" w:rsidRDefault="00B01F4A" w:rsidP="00B01F4A">
      <w:pPr>
        <w:pStyle w:val="TtuloResolucin"/>
      </w:pPr>
    </w:p>
    <w:p w:rsidR="00B01F4A" w:rsidRDefault="00B01F4A" w:rsidP="00B01F4A">
      <w:pPr>
        <w:pStyle w:val="SntesisDescriptiva"/>
      </w:pPr>
      <w:r>
        <w:t>ECLI:ES:TC:1997:52A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don Rafael de Mendizábal Allende, don Julio D. González Campos y don Tomás Salvador Vives Antón.</w:t>
      </w:r>
    </w:p>
    <w:p w:rsidR="00B01F4A" w:rsidRDefault="00B01F4A" w:rsidP="00B01F4A">
      <w:pPr>
        <w:pStyle w:val="SntesisDescriptiva"/>
      </w:pPr>
    </w:p>
    <w:p w:rsidR="00B01F4A" w:rsidRDefault="00B01F4A" w:rsidP="00B01F4A">
      <w:pPr>
        <w:pStyle w:val="SntesisDescriptiva"/>
      </w:pPr>
      <w:r>
        <w:t>Acordando la suspensión de la ejecución del acto que origina el recurso de amparo 4.289/1996.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con fecha 26 de noviembre de 1996, la representación procesal de los demandantes ha interpuesto recurso de amparo contra la Sentencia del Juzgado de Primera Instancia núm. 16 de los de Madrid, de 18 de junio de 1991, recaída en autos 849/90 de juicio ejecutivo.</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Los hechos de que trae causa la presente demanda de amparo y que son relevantes para la resolución sobre la petición de suspensión son, en síntesis, los siguientes: </w:t>
      </w:r>
    </w:p>
    <w:p w:rsidR="00B01F4A" w:rsidRDefault="00B01F4A" w:rsidP="00B01F4A">
      <w:pPr>
        <w:pStyle w:val="TextoNormal"/>
      </w:pPr>
      <w:r>
        <w:t xml:space="preserve">a) Los demandantes tuvieron conocimiento a través del «Diario Oficial de Castilla-La Mancha» del anuncio de pública subasta de dos viviendas de su propiedad, acordada en ejecución de la Sentencia recurrida. La ejecución trae causa de ser los demandantes fiadores en un contrato de arrendamiento financiero, cuyo incumplimiento dio lugar al proceso ejecutivo citado del que los demandantes alegan no haber tenido conocimiento alguno, pese a que su domicilio aparecía en el título ejecutivo. </w:t>
      </w:r>
    </w:p>
    <w:p w:rsidR="00B01F4A" w:rsidRDefault="00B01F4A" w:rsidP="00B01F4A">
      <w:pPr>
        <w:pStyle w:val="TextoNormal"/>
      </w:pPr>
      <w:r>
        <w:t>b) Según se alega, las notificaciones se hicieron en domicilio distinto del que aparecía en el contrato citado, ya que éste fue el que ofreció el demandante en el juicio ejecutivo.</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La demanda de amparo, que articula su queja en virtud del art. 44 LOTC, imputa a la resolución judicial recurrida vulneración del art. 24 C.E., al haberse producido indefensión en el proceso ejecutivo citado por haberse desarrollado sin darles oportunidad de intervenir en él debido a una defectuosa notificación. Solicitan se declare la nulidad de la Sentencia recurrida en amparo y añaden que la primera subasta de los inmuebles, uno de los cuales constituye su domicilio familiar, se señaló para el día 12 de diciembre de 1996. </w:t>
      </w:r>
    </w:p>
    <w:p w:rsidR="00B01F4A" w:rsidRDefault="00B01F4A" w:rsidP="00B01F4A">
      <w:pPr>
        <w:pStyle w:val="TextoNormal"/>
      </w:pPr>
      <w:r>
        <w:t>Asimismo, y por otrosí, solicita la suspensión de la ejecución de la resolución recurrida.</w:t>
      </w:r>
    </w:p>
    <w:p w:rsidR="00B01F4A" w:rsidRDefault="00B01F4A" w:rsidP="00B01F4A">
      <w:pPr>
        <w:pStyle w:val="TextoNormal"/>
      </w:pPr>
    </w:p>
    <w:p w:rsidR="00B01F4A" w:rsidRDefault="00B01F4A" w:rsidP="00B01F4A">
      <w:pPr>
        <w:pStyle w:val="TextoNormal"/>
      </w:pPr>
      <w:r w:rsidRPr="00B01F4A">
        <w:rPr>
          <w:rStyle w:val="NumeroAFNegritaCaracter"/>
        </w:rPr>
        <w:t>4</w:t>
      </w:r>
      <w:r>
        <w:t>. La Sección Tercera (Sala segunda) mediante providencia de fecha 11 de diciembre de 1996, acordó admitir a trámite el recurso de amparo y dirigir comunicación al órgano judicial a fin de que, en el plazo de diez días, emplazara a quienes hubieran sido parte en el proceso de que trae causa la presente litis.</w:t>
      </w:r>
    </w:p>
    <w:p w:rsidR="00B01F4A" w:rsidRDefault="00B01F4A" w:rsidP="00B01F4A">
      <w:pPr>
        <w:pStyle w:val="TextoNormal"/>
      </w:pPr>
    </w:p>
    <w:p w:rsidR="00B01F4A" w:rsidRDefault="00B01F4A" w:rsidP="00B01F4A">
      <w:pPr>
        <w:pStyle w:val="TextoNormal"/>
      </w:pPr>
      <w:r w:rsidRPr="00B01F4A">
        <w:rPr>
          <w:rStyle w:val="NumeroAFNegritaCaracter"/>
        </w:rPr>
        <w:lastRenderedPageBreak/>
        <w:t>5</w:t>
      </w:r>
      <w:r>
        <w:t>. Por providencia de la misma fecha, la Sección acordó formar la oportuna pieza de suspensión y, conforme a lo dispuesto en el art. 56 LOTC, conceder un plazo común de tres días a la parte recurrente y al Ministerio Fiscal para que alegaran lo que estimasen pertinente acerca de dicho extremo.</w:t>
      </w:r>
    </w:p>
    <w:p w:rsidR="00B01F4A" w:rsidRDefault="00B01F4A" w:rsidP="00B01F4A">
      <w:pPr>
        <w:pStyle w:val="TextoNormal"/>
      </w:pPr>
    </w:p>
    <w:p w:rsidR="00B01F4A" w:rsidRDefault="00B01F4A" w:rsidP="00B01F4A">
      <w:pPr>
        <w:pStyle w:val="TextoNormal"/>
      </w:pPr>
      <w:r w:rsidRPr="00B01F4A">
        <w:rPr>
          <w:rStyle w:val="NumeroAFNegritaCaracter"/>
        </w:rPr>
        <w:t>6</w:t>
      </w:r>
      <w:r>
        <w:t>. Mediante sendos escritos de fechas 16 y 23 de diciembre de 1996, los recurrentes en amparo y el Ministerio Fiscal han presentado sus alegaciones en el incidente de suspensión. Los demandantes reiteran lo expuesto en su escrito de demanda y exponen que la no suspensión de la resolución recurrida les produciría un perjuicio irreparable ya que supondría la posibilidad de adquisición por un tercero de buena fe de las viviendas subastadas, una de las cuales constituye el domicilio familiar, siendo tal adquisición jurídicamente inatacable. Alegan asimismo que no hay perjuicio para los intereses generales sino el mero aplazamiento de la ejecución de la resolución citada. El Ministerio Fiscal ha manifestado su no oposición al otorgamiento de la suspensión instada de la resolución impugnada en esta sede al considerar que de no suspenderse la resolución recurrida se podría ocasionar un perjuicio que haría perder al amparo su finalidad ya que la venta en pública subasta del inmueble transfiere el dominio a tercera persona, lo que significa la posibilidad de que sea imposible recuperar el dominio si éste se transmitiese a otros terceros distintos del adjudicatario.</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la suspensión, no obstante, podrá denegarse cuando de aquélla «pueda seguirse perturbación grave de los intereses generales o de los derechos fundamentales o intereses públicos de un tercero».</w:t>
      </w:r>
    </w:p>
    <w:p w:rsidR="00B01F4A" w:rsidRDefault="00B01F4A" w:rsidP="00B01F4A">
      <w:pPr>
        <w:pStyle w:val="TextoNormal"/>
      </w:pPr>
      <w:r>
        <w:t>De acuerdo con la doctrina mantenida por este Tribunal (AATC 17/1980, 57/1980, 257/1986, 249/1989, 141/1990 o 35/1996),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La premisa de partida es que la interposición del recurso de amparo, como regla general, no suspende la ejecución de los actos recurridos, salvo en el supuesto expresamente previsto en la LOTC -pérdida de la finalidad del amparo- y aun en este caso siempre que la suspensión no produzca las perturbaciones aludidas en el art. 56 antes citado.</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Debe entenderse que sólo hay perjuicio irreparable cuando la no suspensión del acto recurrido provoque que el posterior y eventual restablecimiento del recurrente en el derecho </w:t>
      </w:r>
      <w:r>
        <w:lastRenderedPageBreak/>
        <w:t>constitucional vulnerado, en el supuesto de que el amparo sea otorgado, sea tardío e impida definitivamente que tal restauración sea efectiva. En general se ha entendido que las resoluciones judiciales con efectos meramente patrimoniales o económicos, en principio no causan perjuicios irreparables, por lo que no procede su suspensión (AATC 573/1985, 574/1985 o 275/1990). Sin embargo, en este supuesto, tal y como entiende el Ministerio Fiscal, la adquisición en subasta pública del dominio del inmueble subastado posibilita su transmisión a tercero distinto del propio adjudicatario, consolidando así una posición jurídicamente inatacable que haría imposible recuperar la propiedad del inmueble aunque el amparo fuese otorgado.</w:t>
      </w:r>
    </w:p>
    <w:p w:rsidR="00B01F4A" w:rsidRDefault="00B01F4A" w:rsidP="00B01F4A">
      <w:pPr>
        <w:pStyle w:val="TextoNormal"/>
      </w:pPr>
      <w:r>
        <w:t>Frente a ello no se vislumbra que la suspensión solicitada pueda producir grave perturbación de los intereses generales o de los derechos fundamentales o libertades públicas de un tercero, pues el aplazamiento que se produce no alcanza aquel calificativo por más que suponga la inejecución temporal de una resolución judicial firme, ni puede subsumirse en el segundo supuesto la afectación a los intereses económicos que se ventilan en el proceso ejecutivo en cuyo seno se ha dictado la resolución cuestionada por esta sede.</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lo expuesto, la Sala acuerda la suspensión de la ejecución de la Sentencia del Juzgado de Primera Instancia núm. 16 de los de Madrid, de 18 de junio de 1991, recaída en autos 849/90, de juicio ejecutivo.</w:t>
      </w:r>
    </w:p>
    <w:p w:rsidR="00B01F4A" w:rsidRDefault="00B01F4A" w:rsidP="00B01F4A">
      <w:pPr>
        <w:pStyle w:val="TextoNormal"/>
      </w:pPr>
    </w:p>
    <w:p w:rsidR="00B01F4A" w:rsidRDefault="00B01F4A" w:rsidP="00B01F4A">
      <w:pPr>
        <w:pStyle w:val="TextoNormal"/>
      </w:pPr>
      <w:r>
        <w:t>Madrid, a veinticuatro de febrero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43" w:name="AUTO_1997_53"/>
      <w:r>
        <w:lastRenderedPageBreak/>
        <w:t>AUTO 53/1997, de 24 de febrero de 1997</w:t>
      </w:r>
    </w:p>
    <w:bookmarkEnd w:id="143"/>
    <w:p w:rsidR="00B01F4A" w:rsidRDefault="00B01F4A" w:rsidP="00B01F4A">
      <w:pPr>
        <w:pStyle w:val="TtuloResolucin"/>
      </w:pPr>
      <w:r>
        <w:t>Sección Primera</w:t>
      </w:r>
    </w:p>
    <w:p w:rsidR="00B01F4A" w:rsidRDefault="00B01F4A" w:rsidP="00B01F4A">
      <w:pPr>
        <w:pStyle w:val="TtuloResolucin"/>
      </w:pPr>
    </w:p>
    <w:p w:rsidR="00B01F4A" w:rsidRDefault="00B01F4A" w:rsidP="00B01F4A">
      <w:pPr>
        <w:pStyle w:val="SntesisDescriptiva"/>
      </w:pPr>
      <w:r>
        <w:t>ECLI:ES:TC:1997:53A</w:t>
      </w:r>
    </w:p>
    <w:p w:rsidR="00B01F4A" w:rsidRDefault="00B01F4A" w:rsidP="00B01F4A">
      <w:pPr>
        <w:pStyle w:val="SntesisDescriptiva"/>
      </w:pPr>
    </w:p>
    <w:p w:rsidR="00B01F4A" w:rsidRDefault="00B01F4A" w:rsidP="00B01F4A">
      <w:pPr>
        <w:pStyle w:val="SntesisDescriptiva"/>
      </w:pPr>
      <w:r>
        <w:t>Excms. Srs. don Álvaro Rodríguez Bereijo, don Pedro Cruz Villalón y don Enrique Ruiz Vadillo.</w:t>
      </w:r>
    </w:p>
    <w:p w:rsidR="00B01F4A" w:rsidRDefault="00B01F4A" w:rsidP="00B01F4A">
      <w:pPr>
        <w:pStyle w:val="SntesisDescriptiva"/>
      </w:pPr>
    </w:p>
    <w:p w:rsidR="00B01F4A" w:rsidRDefault="00B01F4A" w:rsidP="00B01F4A">
      <w:pPr>
        <w:pStyle w:val="SntesisDescriptiva"/>
      </w:pPr>
      <w:r>
        <w:t>Acordando haber lugar al desistimiento del actor en el recurso de amparo 4.396/1996.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44" w:name="AUTO_1997_54"/>
      <w:r>
        <w:lastRenderedPageBreak/>
        <w:t>AUTO 54/1997, de 25 de febrero de 1997</w:t>
      </w:r>
    </w:p>
    <w:bookmarkEnd w:id="144"/>
    <w:p w:rsidR="00B01F4A" w:rsidRDefault="00B01F4A" w:rsidP="00B01F4A">
      <w:pPr>
        <w:pStyle w:val="TtuloResolucin"/>
      </w:pPr>
      <w:r>
        <w:t>Pleno</w:t>
      </w:r>
    </w:p>
    <w:p w:rsidR="00B01F4A" w:rsidRDefault="00B01F4A" w:rsidP="00B01F4A">
      <w:pPr>
        <w:pStyle w:val="TtuloResolucin"/>
      </w:pPr>
    </w:p>
    <w:p w:rsidR="00B01F4A" w:rsidRDefault="00B01F4A" w:rsidP="00B01F4A">
      <w:pPr>
        <w:pStyle w:val="SntesisDescriptiva"/>
      </w:pPr>
      <w:r>
        <w:t>ECLI:ES:TC:1997:54A</w:t>
      </w:r>
    </w:p>
    <w:p w:rsidR="00B01F4A" w:rsidRDefault="00B01F4A" w:rsidP="00B01F4A">
      <w:pPr>
        <w:pStyle w:val="SntesisDescriptiva"/>
      </w:pPr>
    </w:p>
    <w:p w:rsidR="00B01F4A" w:rsidRDefault="00B01F4A" w:rsidP="00B01F4A">
      <w:pPr>
        <w:pStyle w:val="SntesisDescriptiva"/>
      </w:pPr>
      <w:r>
        <w:t>Excms. Srs. don Álvaro Rodríguez Bereijo, don José Gabaldón López, don Fernando García-Mon y González-Regueral, don Julio D. González Campos, don Pedro Cruz Villalón, don Carles Viver Pi-Sunyer, don Enrique Ruiz Vadillo, don Manuel Jiménez de Parga y Cabrera, don Tomás Salvador Vives Antón y don Pablo García Manzano.</w:t>
      </w:r>
    </w:p>
    <w:p w:rsidR="00B01F4A" w:rsidRDefault="00B01F4A" w:rsidP="00B01F4A">
      <w:pPr>
        <w:pStyle w:val="SntesisDescriptiva"/>
      </w:pPr>
    </w:p>
    <w:p w:rsidR="00B01F4A" w:rsidRDefault="00B01F4A" w:rsidP="00B01F4A">
      <w:pPr>
        <w:pStyle w:val="SntesisDescriptiva"/>
      </w:pPr>
      <w:r>
        <w:t>Acordando haber lugar al desistimiento del actor en el conflicto positivo de competencia 1.519/1988.</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14 de septiembre de 1988 fue presentado en el Registro de este Tribunal escrito y documentación adjunta por el que el gobierno de Canarias, bajo la representación que ostenta el Letrado de los Servicios Jurídicos don Javier Varona Gómez-Acedo, interponía conflicto constitucional positivo de competencia frente al Gobierno de la Nación en relación con la Orden de 20 de mayo de 1998, del Ministerio de Industria y Energía, por la que se modifican los precios de venta al público de diversos productos petrolíferos en la Comunidad Autónoma de Canarias. solicitando que, en su día, dicte el Tribunal Sentencia por la que se declare que la titularidad de la competencia controvertida corresponde a la Comunidad Autónoma.</w:t>
      </w:r>
    </w:p>
    <w:p w:rsidR="00B01F4A" w:rsidRDefault="00B01F4A" w:rsidP="00B01F4A">
      <w:pPr>
        <w:pStyle w:val="TextoNormal"/>
      </w:pPr>
    </w:p>
    <w:p w:rsidR="00B01F4A" w:rsidRDefault="00B01F4A" w:rsidP="00B01F4A">
      <w:pPr>
        <w:pStyle w:val="TextoNormal"/>
      </w:pPr>
      <w:r w:rsidRPr="00B01F4A">
        <w:rPr>
          <w:rStyle w:val="NumeroAFNegritaCaracter"/>
        </w:rPr>
        <w:t>2</w:t>
      </w:r>
      <w:r>
        <w:t>. Mediante providencia de 26 de septiembre de 1988 la Sección Cuarta del Pleno acordó la admisión a trámite del conflicto de competencia planteado y el correspondiente traslado de la demanda al Gobierno a los efectos previstos en el art. 64.1 LOCT, y se publicó la incoación del proceso en el «Boletín Oficial del Estado» y en el de la Comunidad Autónoma para general conocimiento.</w:t>
      </w:r>
    </w:p>
    <w:p w:rsidR="00B01F4A" w:rsidRDefault="00B01F4A" w:rsidP="00B01F4A">
      <w:pPr>
        <w:pStyle w:val="TextoNormal"/>
      </w:pPr>
    </w:p>
    <w:p w:rsidR="00B01F4A" w:rsidRDefault="00B01F4A" w:rsidP="00B01F4A">
      <w:pPr>
        <w:pStyle w:val="TextoNormal"/>
      </w:pPr>
      <w:r w:rsidRPr="00B01F4A">
        <w:rPr>
          <w:rStyle w:val="NumeroAFNegritaCaracter"/>
        </w:rPr>
        <w:t>3</w:t>
      </w:r>
      <w:r>
        <w:t>. Personado el Abogado del Estado en representación del Gobierno, solicitó en su escrito de alegaciones de 21 de octubre de 1988 que al Tribunal, previos los trámites legales procedentes, dicte Sentencia por la que se declare la titularidad del Estado sobre la competencia controvertida en el presente conflicto.</w:t>
      </w:r>
    </w:p>
    <w:p w:rsidR="00B01F4A" w:rsidRDefault="00B01F4A" w:rsidP="00B01F4A">
      <w:pPr>
        <w:pStyle w:val="TextoNormal"/>
      </w:pPr>
    </w:p>
    <w:p w:rsidR="00B01F4A" w:rsidRDefault="00B01F4A" w:rsidP="00B01F4A">
      <w:pPr>
        <w:pStyle w:val="TextoNormal"/>
      </w:pPr>
      <w:r w:rsidRPr="00B01F4A">
        <w:rPr>
          <w:rStyle w:val="NumeroAFNegritaCaracter"/>
        </w:rPr>
        <w:t>4</w:t>
      </w:r>
      <w:r>
        <w:t xml:space="preserve">. Por providencia de 17 de diciembre de 1997 se acordó oír a las partes para que, según establece el art. 84 LOCT, alegaran sobre la incidencia que en la materia del presente conflicto, con la consiguiente pérdida sobrevenida de su objeto, haya podido tener la legislación sobrevenida. </w:t>
      </w:r>
    </w:p>
    <w:p w:rsidR="00B01F4A" w:rsidRDefault="00B01F4A" w:rsidP="00B01F4A">
      <w:pPr>
        <w:pStyle w:val="TextoNormal"/>
      </w:pPr>
      <w:r>
        <w:t xml:space="preserve">El Abogado del Estado cumplimentó la audiencia conferida manifestando que la regulación de la materia a que se refiere el conflicto ha sufrido modificaciones importantes, así como que la competencia sigue instituida a favor del Estado, siendo las normas posteriores </w:t>
      </w:r>
      <w:r>
        <w:lastRenderedPageBreak/>
        <w:t xml:space="preserve">liberalizadoras del régimen de precios expresivas de esa específica competencia que se ha ejercido de acuerdo con otras orientaciones. </w:t>
      </w:r>
    </w:p>
    <w:p w:rsidR="00B01F4A" w:rsidRDefault="00B01F4A" w:rsidP="00B01F4A">
      <w:pPr>
        <w:pStyle w:val="TextoNormal"/>
      </w:pPr>
      <w:r>
        <w:t>Por su parte, el Gobierno de Canarias, en escrito de 13 de enero de 1997, formula alegaciones en solicitud de que se acuerde la continuación del proceso.</w:t>
      </w:r>
    </w:p>
    <w:p w:rsidR="00B01F4A" w:rsidRDefault="00B01F4A" w:rsidP="00B01F4A">
      <w:pPr>
        <w:pStyle w:val="TextoNormal"/>
      </w:pPr>
    </w:p>
    <w:p w:rsidR="00B01F4A" w:rsidRDefault="00B01F4A" w:rsidP="00B01F4A">
      <w:pPr>
        <w:pStyle w:val="TextoNormal"/>
      </w:pPr>
      <w:r w:rsidRPr="00B01F4A">
        <w:rPr>
          <w:rStyle w:val="NumeroAFNegritaCaracter"/>
        </w:rPr>
        <w:t>5</w:t>
      </w:r>
      <w:r>
        <w:t>. El Director general del Servicio Jurídico del Gobierno de Canarias, en escrito de 6 de febrero de 1997, dice que por el Gobierno de Canarias, en sesión celebrada el 31 de enero de 1997 -cuya certificación se adjunta-, se adoptó el acuerdo de desistimiento en el conflicto de competencias 1.519/88, planteado por el Gobierno de Canarias en relación a la Orden de 20 de mayo de 1998, del Ministerio de Industria y Energía, por la que se modifican los precios de venta a público de diversos productos petrolíferos». Y que en ejecución del referido acuerdo, y al amparo de lo dispuesto en los arts. 80 y 86 de la Ley Orgánica del Tribunal Constitucional, viene a formalizar procesalmente el indicado desistimiento, al efecto de que previa audiencia del Abogado del Estado se declare terminado el proceso.</w:t>
      </w:r>
    </w:p>
    <w:p w:rsidR="00B01F4A" w:rsidRDefault="00B01F4A" w:rsidP="00B01F4A">
      <w:pPr>
        <w:pStyle w:val="TextoNormal"/>
      </w:pPr>
    </w:p>
    <w:p w:rsidR="00B01F4A" w:rsidRDefault="00B01F4A" w:rsidP="00B01F4A">
      <w:pPr>
        <w:pStyle w:val="TextoNormal"/>
      </w:pPr>
      <w:r w:rsidRPr="00B01F4A">
        <w:rPr>
          <w:rStyle w:val="NumeroAFNegritaCaracter"/>
        </w:rPr>
        <w:t>6</w:t>
      </w:r>
      <w:r>
        <w:t>. El Abogado del Estado, a quien se le dio traslado del desistimiento por providencia de 7 de febrero, en escrito de 11 siguiente manifiesta que, habiendo desaparecido las pretensiones que promovieron el conflicto, procede el archivo de las actuaciones.</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EB5FD0">
        <w:rPr>
          <w:rStyle w:val="NumeroAFNegritaCaracter"/>
        </w:rPr>
        <w:t>Único.</w:t>
      </w:r>
      <w:r>
        <w:t xml:space="preserve">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conflicto de competencia la manifestación de la voluntad de desistir, según nuestra reiterada jurisprudencia, siempre que no se opongan las demás partes a través de algún motivo declarado válido por el Tribunal ni se advierta un interés constitucional que aconseje la prosecución del proceso hasta su finalización mediante Sentencia.</w:t>
      </w:r>
    </w:p>
    <w:p w:rsidR="00B01F4A" w:rsidRDefault="00B01F4A" w:rsidP="00B01F4A">
      <w:pPr>
        <w:pStyle w:val="TextoNormal"/>
      </w:pPr>
      <w:r>
        <w:t>En el presente conflicto, la representación procesal del Gobierno de Canarias, debidamente autorizada según certificación del acuerdo adoptado al efecto por dicho Gobierno, pide que se le tenga por desistida del conflicto, no planteando el Abogado del Estado objeción alguna al desistimiento formulado y la consiguiente terminación del proceso, y sin que, finalmente, se advierta interés constitucional alguno que aconseje la prosecución del mismo hasta su finalización por Sentencia.</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lo expuesto, el Pleno acuerda tener por desistido al Gobierno de Canarias del conflicto positivo de competencia núm. 1.519/88 promovido por el mismo en relación con una Orden del Ministerio de Industria y Energía de 20 de mayo de 1988 por la que se</w:t>
      </w:r>
    </w:p>
    <w:p w:rsidR="00B01F4A" w:rsidRDefault="00B01F4A" w:rsidP="00B01F4A">
      <w:pPr>
        <w:pStyle w:val="TextoNormal"/>
      </w:pPr>
      <w:r>
        <w:t>modifican los precios de venta al público de diversos productos petrolíferos en la Comunidad Autónoma de Canarias, y declarar terminado el proceso.</w:t>
      </w:r>
    </w:p>
    <w:p w:rsidR="00B01F4A" w:rsidRDefault="00B01F4A" w:rsidP="00B01F4A">
      <w:pPr>
        <w:pStyle w:val="TextoNormal"/>
      </w:pPr>
    </w:p>
    <w:p w:rsidR="00B01F4A" w:rsidRDefault="00B01F4A" w:rsidP="00B01F4A">
      <w:pPr>
        <w:pStyle w:val="TextoNormal"/>
      </w:pPr>
      <w:r>
        <w:lastRenderedPageBreak/>
        <w:t>Publíquese en el «Boletín Oficial del Estado» y en el de la Comunidad Autónoma de Canarias.</w:t>
      </w:r>
    </w:p>
    <w:p w:rsidR="00B01F4A" w:rsidRDefault="00B01F4A" w:rsidP="00B01F4A">
      <w:pPr>
        <w:pStyle w:val="TextoNormal"/>
      </w:pPr>
      <w:r>
        <w:t>Madrid, a veinticinco de febrero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45" w:name="AUTO_1997_55"/>
      <w:r>
        <w:lastRenderedPageBreak/>
        <w:t>AUTO 55/1997, de 25 de febrero de 1997</w:t>
      </w:r>
    </w:p>
    <w:bookmarkEnd w:id="145"/>
    <w:p w:rsidR="00B01F4A" w:rsidRDefault="00B01F4A" w:rsidP="00B01F4A">
      <w:pPr>
        <w:pStyle w:val="TtuloResolucin"/>
      </w:pPr>
      <w:r>
        <w:t>Pleno</w:t>
      </w:r>
    </w:p>
    <w:p w:rsidR="00B01F4A" w:rsidRDefault="00B01F4A" w:rsidP="00B01F4A">
      <w:pPr>
        <w:pStyle w:val="TtuloResolucin"/>
      </w:pPr>
    </w:p>
    <w:p w:rsidR="00B01F4A" w:rsidRDefault="00B01F4A" w:rsidP="00B01F4A">
      <w:pPr>
        <w:pStyle w:val="SntesisDescriptiva"/>
      </w:pPr>
      <w:r>
        <w:t>ECLI:ES:TC:1997:55A</w:t>
      </w:r>
    </w:p>
    <w:p w:rsidR="00B01F4A" w:rsidRDefault="00B01F4A" w:rsidP="00B01F4A">
      <w:pPr>
        <w:pStyle w:val="SntesisDescriptiva"/>
      </w:pPr>
    </w:p>
    <w:p w:rsidR="00B01F4A" w:rsidRDefault="00B01F4A" w:rsidP="00B01F4A">
      <w:pPr>
        <w:pStyle w:val="SntesisDescriptiva"/>
      </w:pPr>
      <w:r>
        <w:t>Excms. Srs. don Álvaro Rodríguez Bereijo, don José Gabaldón López, don Fernando García-Mon y González-Regueral, don Julio D. González Campos, don Pedro Cruz Villalón, don Carles Viver Pi-Sunyer, don Enrique Ruiz Vadillo, don Manuel Jiménez de Parga y Cabrera, don Tomás Salvador Vives Antón y don Pablo García Manzano.</w:t>
      </w:r>
    </w:p>
    <w:p w:rsidR="00B01F4A" w:rsidRDefault="00B01F4A" w:rsidP="00B01F4A">
      <w:pPr>
        <w:pStyle w:val="SntesisDescriptiva"/>
      </w:pPr>
    </w:p>
    <w:p w:rsidR="00B01F4A" w:rsidRDefault="00B01F4A" w:rsidP="00B01F4A">
      <w:pPr>
        <w:pStyle w:val="SntesisDescriptiva"/>
      </w:pPr>
      <w:r>
        <w:t>Acordando la inadmisión a trámite de la cuestión de inconstitucionalidad 3.563/1996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46" w:name="AUTO_1997_56"/>
      <w:r>
        <w:lastRenderedPageBreak/>
        <w:t>AUTO 56/1997, de 25 de febrero de 1997</w:t>
      </w:r>
    </w:p>
    <w:bookmarkEnd w:id="146"/>
    <w:p w:rsidR="00B01F4A" w:rsidRDefault="00B01F4A" w:rsidP="00B01F4A">
      <w:pPr>
        <w:pStyle w:val="TtuloResolucin"/>
      </w:pPr>
      <w:r>
        <w:t>Pleno</w:t>
      </w:r>
    </w:p>
    <w:p w:rsidR="00B01F4A" w:rsidRDefault="00B01F4A" w:rsidP="00B01F4A">
      <w:pPr>
        <w:pStyle w:val="TtuloResolucin"/>
      </w:pPr>
    </w:p>
    <w:p w:rsidR="00B01F4A" w:rsidRDefault="00B01F4A" w:rsidP="00B01F4A">
      <w:pPr>
        <w:pStyle w:val="SntesisDescriptiva"/>
      </w:pPr>
      <w:r>
        <w:t>ECLI:ES:TC:1997:56A</w:t>
      </w:r>
    </w:p>
    <w:p w:rsidR="00B01F4A" w:rsidRDefault="00B01F4A" w:rsidP="00B01F4A">
      <w:pPr>
        <w:pStyle w:val="SntesisDescriptiva"/>
      </w:pPr>
    </w:p>
    <w:p w:rsidR="00B01F4A" w:rsidRDefault="00B01F4A" w:rsidP="00B01F4A">
      <w:pPr>
        <w:pStyle w:val="SntesisDescriptiva"/>
      </w:pPr>
      <w:r>
        <w:t>Excms. Srs. don Álvaro Rodríguez Bereijo, don José Gabaldón López, don Fernando García-Mon y González-Regueral, don Julio D. González Campos, don Pedro Cruz Villalón, don Carles Viver Pi-Sunyer, don Enrique Ruiz Vadillo, don Manuel Jiménez de Parga y Cabrera, don Tomás Salvador Vives Antón y don Pablo García Manzano.</w:t>
      </w:r>
    </w:p>
    <w:p w:rsidR="00B01F4A" w:rsidRDefault="00B01F4A" w:rsidP="00B01F4A">
      <w:pPr>
        <w:pStyle w:val="SntesisDescriptiva"/>
      </w:pPr>
    </w:p>
    <w:p w:rsidR="00B01F4A" w:rsidRDefault="00B01F4A" w:rsidP="00B01F4A">
      <w:pPr>
        <w:pStyle w:val="SntesisDescriptiva"/>
      </w:pPr>
      <w:r>
        <w:t>Acordando la inadmisión a trámite de la cuestión de inconstitucionalidad 4.200/1996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19 de noviembre de 1996 tuvo entrada en el Registro de este Tribunal escrito de la Secretaría del Juzgado de lo Social núm. 28 de Barcelona, al que se adjuntaba testimonio de las actuaciones correspondientes a los autos núm. 500/96, y Auto de 23 de octubre de 1995 por el que se acordaba plantear cuestión de inconstitucionalidad en relación con el art. 1.3 g) de la Ley 8/1980, en la redacción dada por la Ley 11/1994, reguladora del Estatuto de los Trabajadores, por infracción de los arts. 14, 35.2 y 1491.7.ª de la Constitución.</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B01F4A" w:rsidRDefault="00B01F4A" w:rsidP="00B01F4A">
      <w:pPr>
        <w:pStyle w:val="TextoNormal"/>
      </w:pPr>
      <w:r>
        <w:t xml:space="preserve">a) Don Antonio Moya Gómez formuló en su día demanda en oposición a despido nulo o, subsidiariamente, improcedente, contra la empresa «Leche Pascual, Sociedad Anónima», ante el Juzgado de lo Social núm. 28 de Barcelona. La demanda dio lugar a los autos núm. 500/96. </w:t>
      </w:r>
    </w:p>
    <w:p w:rsidR="00B01F4A" w:rsidRDefault="00B01F4A" w:rsidP="00B01F4A">
      <w:pPr>
        <w:pStyle w:val="TextoNormal"/>
      </w:pPr>
      <w:r>
        <w:t xml:space="preserve">b) Seguido el procedimiento por sus trámites, el Juzgado de lo Social acordó, por providencia de 28 de junio de 1996 y de conformidad con lo dispuesto en el art. 35.2 LOTC, requerir a las partes para que alegaran lo que estimasen pertinente en relación con «la posibilidad de elevar o no cuestión de inconstitucionalidad respecto a la nueva redacción del art. 1.3 g) de la Ley 8/1980, según queda redactado tras la entrada en vigor de la Ley 11/1994. No se especificaban los preceptos constitucionales supuestamente conculcados. </w:t>
      </w:r>
    </w:p>
    <w:p w:rsidR="00B01F4A" w:rsidRDefault="00B01F4A" w:rsidP="00B01F4A">
      <w:pPr>
        <w:pStyle w:val="TextoNormal"/>
      </w:pPr>
      <w:r>
        <w:t>c) En el escrito de alegaciones presentado por el Ministerio Fiscal se sostuvo que el art. 1.3 g), párrafo segundo, del Estatuto de los Trabajadores, establece una presunción iuris et de iure de no laboralidad de la prestación de determinados transportistas que puede ser contraria al art. 14 de la Constitución por cuanto impide probar siquiera que la prestación reúne las condiciones exigidas con carácter general por el Estatuto para su calificación como relación laboral. En su opinión no existe fundamento razonable que justifique esa diferencia, con la que, además, se contraría también lo preceptuado en el art. 35.2 C.E. También, a su juicio, podría existir una infracción del art. 149.1.7.ª C.E., pues la calificación de una rela</w:t>
      </w:r>
      <w:r>
        <w:lastRenderedPageBreak/>
        <w:t xml:space="preserve">ción como laboral o no laboral viene a depender de una serie de circunstancias administrativas que son definidas por las Comunidades Autónomas en virtud de sus competencias en materia de transportes, de manera que la competencia del Estado en materia de legislación laboral se ve afectada por la actuación autonómica, de la que depende, en último término, que la relación sea laboral o mercantil. El Ministerio Público concluyó que, a su juicio, procedía plantear cuestión de inconstitucionalidad. </w:t>
      </w:r>
    </w:p>
    <w:p w:rsidR="00B01F4A" w:rsidRDefault="00B01F4A" w:rsidP="00B01F4A">
      <w:pPr>
        <w:pStyle w:val="TextoNormal"/>
      </w:pPr>
      <w:r>
        <w:t xml:space="preserve">d) El demandante en el proceso a quo presentó escrito de alegaciones en el que sostenía que no era preciso elevar cuestión de inconstitucionalidad, toda vez que el art. 1.3 g) del Estatuto de los Trabajadores no era aplicable al caso, toda vez que, al no poseer autorización administrativa para realizar servicios de transporte, no se cumplía el segundo de los requisitos exigidos en aquel precepto para que la relación fuera calificada como no laboral. No obstante, subsidiariamente, interesaba el planteamiento de la cuestión de inconstitucionalidad. </w:t>
      </w:r>
    </w:p>
    <w:p w:rsidR="00B01F4A" w:rsidRDefault="00B01F4A" w:rsidP="00B01F4A">
      <w:pPr>
        <w:pStyle w:val="TextoNormal"/>
      </w:pPr>
      <w:r>
        <w:t xml:space="preserve">e) La parte demandada en el proceso judicial alegó, en primer lugar, que se había incumplido lo preceptuado en el art. 35 LOTC, ya que en la providencia por la que se dio traslado para alegaciones no se indicaban cuáles eran los preceptos del Estatuto de los Trabajadores. Además, a su juicio, no procedía plantear cuestión de inconstitucionalidad por cuanto la resolución del litigio no dependía de la validez del art. 1.3 g) del Estatuto de los Trabajadores. Y ello porque, declarada en Sentencia firme la naturaleza mercantil de la relación de servicio prestada por el actor era claro que no podría revisarse ahora esa declaración, sino que, partiendo de lo ya decidido con fuerza de cosa juzgada, la demanda por despido nulo debía ser rechazada habida cuenta de la incompetencia de la jurisdicción social para conocer de la rescisión de una relación ya calificada como mercantil. En consecuencia, se concluía que no procedía elevar cuestión. </w:t>
      </w:r>
    </w:p>
    <w:p w:rsidR="00B01F4A" w:rsidRDefault="00B01F4A" w:rsidP="00B01F4A">
      <w:pPr>
        <w:pStyle w:val="TextoNormal"/>
      </w:pPr>
      <w:r>
        <w:t>f) Evacuadas las alegaciones de la partes, la Sala, por Auto de 23 de octubre de 1996, acuerda al planteamiento de la presente cuestión de inconstitucionalidad.</w:t>
      </w:r>
    </w:p>
    <w:p w:rsidR="00B01F4A" w:rsidRDefault="00B01F4A" w:rsidP="00B01F4A">
      <w:pPr>
        <w:pStyle w:val="TextoNormal"/>
      </w:pPr>
    </w:p>
    <w:p w:rsidR="00B01F4A" w:rsidRDefault="00B01F4A" w:rsidP="00B01F4A">
      <w:pPr>
        <w:pStyle w:val="TextoNormal"/>
      </w:pPr>
      <w:r w:rsidRPr="00B01F4A">
        <w:rPr>
          <w:rStyle w:val="NumeroAFNegritaCaracter"/>
        </w:rPr>
        <w:t>3</w:t>
      </w:r>
      <w:r>
        <w:t>. En opinión del órgano judicial proponente, el art. 1.3 g), párrafo segundo, del Estatuto de los Trabajadores, infringe el art. 35.2 de la Constitución, conforme al cual la ley regulará un Estatuto de los Trabajadores. En su parecer, si los transportistas propietarios de su vehículos prestan sus servicios en condiciones equiparables a las de los trabajadores dependientes, la ley no puede excluirlos el Estatuto. De otro lado, la exclusión de estos transportistas carece de base razonable suficiente, lo que convierte en discriminatorio el trato diferente que se les dispensa por relación a otros trabajadores. Para el Juzgado de lo Social, si la norma cuestionada es inconstitucional será de su competencia el examen del hecho del despido; caso contrario debería declarar su incompetencia. Por esta razón entiende que la duda de constitucionalidad se suscita en relación con una norma de cuya validez depende el fallo.</w:t>
      </w:r>
    </w:p>
    <w:p w:rsidR="00B01F4A" w:rsidRDefault="00B01F4A" w:rsidP="00B01F4A">
      <w:pPr>
        <w:pStyle w:val="TextoNormal"/>
      </w:pPr>
    </w:p>
    <w:p w:rsidR="00B01F4A" w:rsidRDefault="00B01F4A" w:rsidP="00B01F4A">
      <w:pPr>
        <w:pStyle w:val="TextoNormal"/>
      </w:pPr>
      <w:r w:rsidRPr="00B01F4A">
        <w:rPr>
          <w:rStyle w:val="NumeroAFNegritaCaracter"/>
        </w:rPr>
        <w:t>4</w:t>
      </w:r>
      <w:r>
        <w:t>. Por providencia de 26 de noviembre de 1996, la Sección Cuarta de este Tribunal, de conformidad con lo dispuesto en el art. 37.1 LOTC, acordó oír al Fiscal General del Estado para que, en el plazo de quince días, alegara lo que estimase oportuno en relación con la posible concurrencia de la causas de inadmisión de la presente cuestión consistentes en la indebida sustanciación del trámite de audiencia previsto en el art. 35 LOTC y en la irrelevancia del precepto cuestionado para la resolución del proceso a quo.</w:t>
      </w:r>
    </w:p>
    <w:p w:rsidR="00B01F4A" w:rsidRDefault="00B01F4A" w:rsidP="00B01F4A">
      <w:pPr>
        <w:pStyle w:val="TextoNormal"/>
      </w:pPr>
    </w:p>
    <w:p w:rsidR="00B01F4A" w:rsidRDefault="00B01F4A" w:rsidP="00B01F4A">
      <w:pPr>
        <w:pStyle w:val="TextoNormal"/>
      </w:pPr>
      <w:r w:rsidRPr="00B01F4A">
        <w:rPr>
          <w:rStyle w:val="NumeroAFNegritaCaracter"/>
        </w:rPr>
        <w:lastRenderedPageBreak/>
        <w:t>5</w:t>
      </w:r>
      <w:r>
        <w:t xml:space="preserve">. El escrito de alegaciones del Ministerio Fiscal se registró en este Tribunal el 14 de enero de 1997. En relación con la posible concurrencia de la primera de las causas de inadmisión señaladas en el anterior proveído, alega el Fiscal General del Estado, tras referirse a la lógica procesal del trámite de audiencia, que en el supuesto de autos se ha omitido el requisito de precisar cuanto exige el art. 35.2 LOTC. Sin embargo, los informes evacuados por las partes -salvo el de la representación de «Leche Pascual, Sociedad Anónima»-, se abstuvieron de denunciar ese defecto, probablemente porque conocían el Auto de planteamiento elevado por la Sala de lo Social del Tribunal Superior de Justicia de Castilla y León el 14 de noviembre de 1995 y que dio origen a la cuestión de inconstitucionalidad núm. 67/96, actualmente pendiente de resolución por Sentencia. Ello dio lugar a que en sus informes pudieran argumentar sobre el problema planteado. </w:t>
      </w:r>
    </w:p>
    <w:p w:rsidR="00B01F4A" w:rsidRDefault="00B01F4A" w:rsidP="00B01F4A">
      <w:pPr>
        <w:pStyle w:val="TextoNormal"/>
      </w:pPr>
      <w:r>
        <w:t xml:space="preserve">Llegados a este punto -continúa el escrito de alegaciones-, se puede concluir que, aun cuando, abstractamente, es detectable una indebida sustanciación del trámite de audiencia al no darse oportunidad a la parte para hacer valer sus argumentos en cuanto al fondo de la cuestión (sí, no obstante, sobre el juicio de relevancia), ello no ha provocado una grave distorsión del planteamiento en este concreto caso, en el que las demás partes pudieron pronunciarse, si bien en sentido contrario a como lo hizo la empresa demandada. No faltan, además, pronunciamientos de este Tribunal en los que se ha flexibilizado el trámite de audiencia, tales como la STC 166/1986 (fundamento jurídico 4.º). En consecuencia, para el Fiscal General del Estado, la interpretación no rigorista del precepto de la LOTC y el cumplimiento de su finalidad, aunque sea de modo parcial, deben llevar a la admisión de la cuestión. </w:t>
      </w:r>
    </w:p>
    <w:p w:rsidR="00B01F4A" w:rsidRDefault="00B01F4A" w:rsidP="00B01F4A">
      <w:pPr>
        <w:pStyle w:val="TextoNormal"/>
      </w:pPr>
      <w:r>
        <w:t xml:space="preserve">Por lo que hace a la segunda de la causas de inadmisión señaladas por la Sección Cuarta, alega el Fiscal General del Estado que el propio órgano judicial ha puesto expresamente de manifiesto la conexión existente entre la constitucionalidad del precepto cuestionado y la resolución del proceso a quo. Añade el Fiscal General que ha de pensarse en la naturaleza de la acción emprendida, en la que se reclama la nulidad de un despido por vulneración de derechos fundamentales. Abstracción hecha de otras consideraciones, como problemas derivados de la cosa juzgada, es lo cierto que el despido como causa extintiva de una relación laboral supone la existencia de ésta, con lo que el prius de la decisión viene constituido por la alternativa entre relación laboral o relación mercantil. Si el precepto es declarado constitucional en su día ello puede ser determinante de la absolución de la empresa por la concurrencia de la excepción de incompetencia de jurisdicción, apreciable de oficio; en el caso contrario, quedará la vía libre al Juez para entrar a considerar si ha concurrido causa para declarar el despido nulo o, en su caso, improcedente, toda vez que se impondrá la calificación laboral de la relación que une a las partes. </w:t>
      </w:r>
    </w:p>
    <w:p w:rsidR="00B01F4A" w:rsidRDefault="00B01F4A" w:rsidP="00B01F4A">
      <w:pPr>
        <w:pStyle w:val="TextoNormal"/>
      </w:pPr>
      <w:r>
        <w:t>Por lo expuesto, el Fiscal General del Estado interesa que se dicte resolución por la que se admita a trámite la presente cuestión de inconstitucionalidad.</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xml:space="preserve">. Tal y como admite el Fiscal General del Estado en su escrito de alegaciones, el trámite de audiencia previsto en el art. 35 LOTC no se ha llevado a cabo en los términos reiteradamente exigidos por este Tribunal, toda vez que en la providencia por la que se acordó dar traslado para alegaciones no se especificaron en absoluto los preceptos constitucionales que, en el parecer del Juzgado, podían resultar contradichos por el precepto legal en cuestión. El </w:t>
      </w:r>
      <w:r>
        <w:lastRenderedPageBreak/>
        <w:t>órgano judicial se limitó a requerir de la partes su opinión acerca de la posibilidad de plantear cuestión de inconstitucionalidad, pero ni siquiera mencionó precepto constitucional alguno. En estas circunstancias es evidente que, como alegó una de las partes en el proceso a quo, resultaba imposible determinar cuál era el debate suscitado.</w:t>
      </w:r>
    </w:p>
    <w:p w:rsidR="00B01F4A" w:rsidRDefault="00B01F4A" w:rsidP="00B01F4A">
      <w:pPr>
        <w:pStyle w:val="TextoNormal"/>
      </w:pPr>
      <w:r>
        <w:t>Ciertamente, y como también señala el Fiscal General del Estado, no faltan pronunciamientos de este Tribunal en los que se ha flexibilizado la exigencia del requisito procesal ahora examinado, aunque ello sólo ha sido así -como demuestra la propia STC 166/1986, invocada por el Fiscal General- cuando ha podido concluirse que la deficiente sustanciación del trámite de audiencia no ha hecho imposible el cumplimiento del fin que lo justifica, esto es, la intervención de las partes en el proceso de formación del criterio judicial a propósito de la necesidad de cuestionar ante este Tribunal una norma con valor de ley. En el presente caso, aquella finalidad podría darse por alcanzada en relación con aquellas partes que pudieron, extraprocesalmente, hacerse una idea del posible contenido de la duda de constitucionalidad albergada por el órgano proponente de la cuestión. Sin embargo, y como también reconoce el Fiscal General del Estado, una de las partes en el proceso a quo (la empresa demandada) no ha tenido posibilidad alguna de tener conocimiento del planteamiento de otras cuestiones similares; conocimiento que, desde luego, no podía exigírseles en absoluto. Con ello se le ha impedido también su participación mediata en el proceso constitucional, pues es sabido que una de las funciones del trámite de audiencia es, precisamente, hacer posible la intervención (indirecta) de las partes el proceso a quo en el procedimiento que ha de sustanciarse ante este Tribunal (STC 106/1986 y AATC 108/1993 y 145/1993). Por esta sola razón procedería la inadmisión de la presente cuestión de inconstitucionalidad.</w:t>
      </w:r>
    </w:p>
    <w:p w:rsidR="00B01F4A" w:rsidRDefault="00B01F4A" w:rsidP="00B01F4A">
      <w:pPr>
        <w:pStyle w:val="TextoNormal"/>
      </w:pPr>
    </w:p>
    <w:p w:rsidR="00B01F4A" w:rsidRDefault="00B01F4A" w:rsidP="00B01F4A">
      <w:pPr>
        <w:pStyle w:val="TextoNormal"/>
      </w:pPr>
      <w:r w:rsidRPr="00B01F4A">
        <w:rPr>
          <w:rStyle w:val="NumeroAFNegritaCaracter"/>
        </w:rPr>
        <w:t>2</w:t>
      </w:r>
      <w:r>
        <w:t>. De otro lado, y coincidiendo también con lo alegado por la contraparte en el proceso laboral, el fallo que ha de dictar el Juzgado no puede depender de la constitucionalidad o inconstitucionalidad del precepto cuestionado, por lo que no concurre el presupuesto exigido en los arts. 163 C.E y 35 LOTC (SSTC 17/1981 y 26/1984; ATC 250/1982).</w:t>
      </w:r>
    </w:p>
    <w:p w:rsidR="00B01F4A" w:rsidRDefault="00B01F4A" w:rsidP="00B01F4A">
      <w:pPr>
        <w:pStyle w:val="TextoNormal"/>
      </w:pPr>
      <w:r>
        <w:t>En efecto, los servicios prestados por el actor han sido ya calificados como mercantiles mediante Sentencia firme. La resolución de la relación que vinculaba al actor con la empresa no puede dar lugar, por tanto, a una demanda por despido nulo o improcedente, pues ello sólo sería viable si la relación fuera laboral. Al existir un pronunciamiento judicial firme en contrario es clara la incompetencia del orden social para conocer de la resolución de la relación, ya calificada, irremisiblemente, como no laboral.</w:t>
      </w:r>
    </w:p>
    <w:p w:rsidR="00B01F4A" w:rsidRDefault="00B01F4A" w:rsidP="00B01F4A">
      <w:pPr>
        <w:pStyle w:val="TextoNormal"/>
      </w:pPr>
      <w:r>
        <w:t xml:space="preserve">En efecto, el art. 1.3 g) E.T. ha sido la norma aplicada en la Sentencia firme para calificar la relación como no laboral. El Juez de lo Social no puede desconocer ese pronunciamiento y cuestionar aquel precepto con motivo de una controversia que necesariamente ha de resolverse a partir de lo decidido en aquel fallo definitivo. Otra cosa será que se combata dicha Sentencia por medio de un recurso de amparo (como así ha sucedido, pues contra la Sentencia que califica de no laboral a la relación de servicios se ha interpuesto el recurso de amparo núm. 2.082/96, admitido a trámite), pues es ella la que, en su caso, habría dado aplicación a una ley inconstitucional. Pero en tanto no se destruyan los efectos de la cosa juzgada a través de una eventual Sentencia estimatoria de la demanda de amparo, el fallo vincula al Juzgado de lo Social y, en consecuencia, éste no puede revisar aquel pronunciamiento mediante el cuestionamiento de la norma que ya fue aplicada en el proceso previo. De lo contrario, el cuestionamiento de una norma ya aplicada a un supuesto de hecho por medio de Sentencia firme haría posible una suerte de revisión de la cosa juzgada que sólo parece viable si se articula a través de un recurso de amparo dirigido contra aquella Sentencia. Si ésta no se impugna por esa vía, los efectos de la calificación de los servicios prestados </w:t>
      </w:r>
      <w:r>
        <w:lastRenderedPageBreak/>
        <w:t>por el actor no pueden ser revisados con ocasión del enjuiciamiento de los concretos efectos desplegados por causa de esa calificación.</w:t>
      </w:r>
    </w:p>
    <w:p w:rsidR="00B01F4A" w:rsidRDefault="00B01F4A" w:rsidP="00B01F4A">
      <w:pPr>
        <w:pStyle w:val="TextoNormal"/>
      </w:pPr>
      <w:r>
        <w:t>En otras palabras, el Juez no puede ignorar que la relación examinada es no laboral por decisión firme. En consecuencia, sólo le cabe declararse incompetente; no tanto en razón de lo que dispone el art. 1.3 g) E.T. como porque así lo ha resuelto una Sentencia firme. La validez del fallo que ha de dictar no depende, pues, del art. 1.3 g), sino de la firmeza de la Sentencia previa. Firmeza que sólo podría revocarse si en su día se estima el recurso de amparo contra ella interpuesto. En ese caso, la relación de servicios deberá ser tenida por laboral y entonces sí podrá resolverse si ha habido o no despido nulo o improcedente. Por lo demás, para evitar ahora la ejecución de una Sentencia impugnada en amparo siempre le cabe al actor interesar su suspensión ex art. 56 LOTC, lo que no ha sido el caso en el recurso de amparo núm. 2.082/96.</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lo expuesto, el Pleno del Tribunal Constitucional, de conformidad con el art. 37.1 LOTC, acuerda que no ha lugar a admitir a trámite la cuestión de inconstitucionalidad núm. 4.200/96, planteada por el Juzgado de lo Social núm.  28 de Barcelona</w:t>
      </w:r>
    </w:p>
    <w:p w:rsidR="00B01F4A" w:rsidRDefault="00B01F4A" w:rsidP="00B01F4A">
      <w:pPr>
        <w:pStyle w:val="TextoNormal"/>
      </w:pPr>
      <w:r>
        <w:t>en autos núm. 500/96.</w:t>
      </w:r>
    </w:p>
    <w:p w:rsidR="00B01F4A" w:rsidRDefault="00B01F4A" w:rsidP="00B01F4A">
      <w:pPr>
        <w:pStyle w:val="TextoNormal"/>
      </w:pPr>
    </w:p>
    <w:p w:rsidR="00B01F4A" w:rsidRDefault="00B01F4A" w:rsidP="00B01F4A">
      <w:pPr>
        <w:pStyle w:val="TextoNormal"/>
      </w:pPr>
      <w:r>
        <w:t>Madrid, a veinticinco de febrero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47" w:name="AUTO_1997_57"/>
      <w:r>
        <w:lastRenderedPageBreak/>
        <w:t>AUTO 57/1997, de 25 de febrero de 1997</w:t>
      </w:r>
    </w:p>
    <w:bookmarkEnd w:id="147"/>
    <w:p w:rsidR="00B01F4A" w:rsidRDefault="00B01F4A" w:rsidP="00B01F4A">
      <w:pPr>
        <w:pStyle w:val="TtuloResolucin"/>
      </w:pPr>
      <w:r>
        <w:t>Pleno</w:t>
      </w:r>
    </w:p>
    <w:p w:rsidR="00B01F4A" w:rsidRDefault="00B01F4A" w:rsidP="00B01F4A">
      <w:pPr>
        <w:pStyle w:val="TtuloResolucin"/>
      </w:pPr>
    </w:p>
    <w:p w:rsidR="00B01F4A" w:rsidRDefault="00B01F4A" w:rsidP="00B01F4A">
      <w:pPr>
        <w:pStyle w:val="SntesisDescriptiva"/>
      </w:pPr>
      <w:r>
        <w:t>ECLI:ES:TC:1997:57A</w:t>
      </w:r>
    </w:p>
    <w:p w:rsidR="00B01F4A" w:rsidRDefault="00B01F4A" w:rsidP="00B01F4A">
      <w:pPr>
        <w:pStyle w:val="SntesisDescriptiva"/>
      </w:pPr>
    </w:p>
    <w:p w:rsidR="00B01F4A" w:rsidRDefault="00B01F4A" w:rsidP="00B01F4A">
      <w:pPr>
        <w:pStyle w:val="SntesisDescriptiva"/>
      </w:pPr>
      <w:r>
        <w:t>Excms. Srs. don Álvaro Rodríguez Bereijo, don José Gabaldón López, don Fernando García-Mon y González-Regueral, don Julio D. González Campos, don Pedro Cruz Villalón, don Carles Viver Pi-Sunyer, don Enrique Ruiz Vadillo, don Manuel Jiménez de Parga y Cabrera, don Tomás Salvador Vives Antón y don Pablo García Manzano.</w:t>
      </w:r>
    </w:p>
    <w:p w:rsidR="00B01F4A" w:rsidRDefault="00B01F4A" w:rsidP="00B01F4A">
      <w:pPr>
        <w:pStyle w:val="SntesisDescriptiva"/>
      </w:pPr>
    </w:p>
    <w:p w:rsidR="00B01F4A" w:rsidRDefault="00B01F4A" w:rsidP="00B01F4A">
      <w:pPr>
        <w:pStyle w:val="SntesisDescriptiva"/>
      </w:pPr>
      <w:r>
        <w:t>Acordando la inadmisión a trámite de la cuestión de inconstitucionalidad 4.321/1996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48" w:name="AUTO_1997_58"/>
      <w:r>
        <w:lastRenderedPageBreak/>
        <w:t>AUTO 58/1997, de 26 de febrero de 1997</w:t>
      </w:r>
    </w:p>
    <w:bookmarkEnd w:id="148"/>
    <w:p w:rsidR="00B01F4A" w:rsidRDefault="00B01F4A" w:rsidP="00B01F4A">
      <w:pPr>
        <w:pStyle w:val="TtuloResolucin"/>
      </w:pPr>
      <w:r>
        <w:t>Sala Primera</w:t>
      </w:r>
    </w:p>
    <w:p w:rsidR="00B01F4A" w:rsidRDefault="00B01F4A" w:rsidP="00B01F4A">
      <w:pPr>
        <w:pStyle w:val="TtuloResolucin"/>
      </w:pPr>
    </w:p>
    <w:p w:rsidR="00B01F4A" w:rsidRDefault="00B01F4A" w:rsidP="00B01F4A">
      <w:pPr>
        <w:pStyle w:val="SntesisDescriptiva"/>
      </w:pPr>
      <w:r>
        <w:t>ECLI:ES:TC:1997:58A</w:t>
      </w:r>
    </w:p>
    <w:p w:rsidR="00B01F4A" w:rsidRDefault="00B01F4A" w:rsidP="00B01F4A">
      <w:pPr>
        <w:pStyle w:val="SntesisDescriptiva"/>
      </w:pPr>
    </w:p>
    <w:p w:rsidR="00B01F4A" w:rsidRDefault="00B01F4A" w:rsidP="00B01F4A">
      <w:pPr>
        <w:pStyle w:val="SntesisDescriptiva"/>
      </w:pPr>
      <w:r>
        <w:t>Excms. Srs. don Álvaro Rodríguez Bereijo, don José Vicente Gimeno Sendra, don Pedro Cruz Villalón, don Enrique Ruiz Vadillo y don Manuel Jiménez de Parga y Cabrera.</w:t>
      </w:r>
    </w:p>
    <w:p w:rsidR="00B01F4A" w:rsidRDefault="00B01F4A" w:rsidP="00B01F4A">
      <w:pPr>
        <w:pStyle w:val="SntesisDescriptiva"/>
      </w:pPr>
    </w:p>
    <w:p w:rsidR="00B01F4A" w:rsidRDefault="00B01F4A" w:rsidP="00B01F4A">
      <w:pPr>
        <w:pStyle w:val="SntesisDescriptiva"/>
      </w:pPr>
      <w:r>
        <w:t>Denegando la suspensión de la ejecución del acto que origina el recurso de amparo 1.429/1996.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de entrada en este Tribunal Constitucional el día 8 de abril de 1996, don José, Manuel Villasante García, Procurador de los Tribunales, y de «Repsol Butano, S. A.», interpone recurso de amparo contra la Sentencia de 24 de octubre de 1994 de la Sala Tercera de lo Contencioso-Administrativo del Tribunal Supremo.</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Los hechos en que se basa la demanda de amparo son, sucintamente relatados, los siguientes: </w:t>
      </w:r>
    </w:p>
    <w:p w:rsidR="00B01F4A" w:rsidRDefault="00B01F4A" w:rsidP="00B01F4A">
      <w:pPr>
        <w:pStyle w:val="TextoNormal"/>
      </w:pPr>
      <w:r>
        <w:t xml:space="preserve">a) La sociedad demandante «Repsol Butano, S. A.», interpuso el 21 de enero de 1993 recurso contencioso-administrativo (núm. 105/93) ante la Sala del referido orden jurisdiccional del Tribunal Superior de Justicia de las Islas Baleares, contra el Decreto 81/1992, de 5 de noviembre, del Gobierno Balear, que aprobó el Reglamento que desarrolla la Ley 12/1991, de 20 de diciembre, sobre el Impuesto sobre Instalaciones que Incidan en el Medio Ambiente, y contra la Orden de la Consejería de Economía y Hacienda de la Comunidad Autónoma Balear, de 23 de noviembre de 1992, por la que se desarrolla parcialmente dicho Reglamento. El recurso finalizada solicitando la suspensión del Decreto y la Orden cuestionados. </w:t>
      </w:r>
    </w:p>
    <w:p w:rsidR="00B01F4A" w:rsidRDefault="00B01F4A" w:rsidP="00B01F4A">
      <w:pPr>
        <w:pStyle w:val="TextoNormal"/>
      </w:pPr>
      <w:r>
        <w:t xml:space="preserve">b) No habiéndose accedido a la suspensión solicitada, el 12 de febrero de 1993 se notificó a «Repsol Butano, S. A.», la liquidación provisional del citado Impuesto sobre Instalaciones que inciden en el Medio Ambiente, practicada por el Director General de Hacienda de la Comunidad Autónoma de las Islas Baleares, de la que resultaba una cuota a ingresar de 94.391.439 pesetas. </w:t>
      </w:r>
    </w:p>
    <w:p w:rsidR="00B01F4A" w:rsidRDefault="00B01F4A" w:rsidP="00B01F4A">
      <w:pPr>
        <w:pStyle w:val="TextoNormal"/>
      </w:pPr>
      <w:r>
        <w:t xml:space="preserve">c) Contra dicha liquidación se interpuso el 22 de febrero de 1993 reclamación económico-administrativa ante la Junta Superior de Hacienda de la Comunidad Autónoma de Baleares, que fue desestimada mediante Resolución de 27 de septiembre de 1993. </w:t>
      </w:r>
    </w:p>
    <w:p w:rsidR="00B01F4A" w:rsidRDefault="00B01F4A" w:rsidP="00B01F4A">
      <w:pPr>
        <w:pStyle w:val="TextoNormal"/>
      </w:pPr>
      <w:r>
        <w:t xml:space="preserve">d) Contra la mencionada Resolución, «Repsol Butano, S. A.», interpuso recurso contencioso-administrativo (núm. 1.055/93), ante la Sala de dicho orden jurisdiccional del Tribunal Superior de Justicia de las Islas Baleares. </w:t>
      </w:r>
    </w:p>
    <w:p w:rsidR="00B01F4A" w:rsidRDefault="00B01F4A" w:rsidP="00B01F4A">
      <w:pPr>
        <w:pStyle w:val="TextoNormal"/>
      </w:pPr>
      <w:r>
        <w:t xml:space="preserve">e) En Sentencia de 4 de febrero de 1994, el Tribunal Superior de Justicia de las Islas Baleares desestimó el recurso contencioso-administrativo núm. 105/93, declarando la adecuación a Derecho del Decreto y la Orden impugnados. </w:t>
      </w:r>
    </w:p>
    <w:p w:rsidR="00B01F4A" w:rsidRDefault="00B01F4A" w:rsidP="00B01F4A">
      <w:pPr>
        <w:pStyle w:val="TextoNormal"/>
      </w:pPr>
      <w:r>
        <w:lastRenderedPageBreak/>
        <w:t xml:space="preserve">f) El mismo Tribunal, en Sentencia de 24 de octubre de 1994, desestimó el recurso contencioso-administrativo núm. 1.055/93, declarando conformes a Derecho los actos administrativos impugnados. </w:t>
      </w:r>
    </w:p>
    <w:p w:rsidR="00B01F4A" w:rsidRDefault="00B01F4A" w:rsidP="00B01F4A">
      <w:pPr>
        <w:pStyle w:val="TextoNormal"/>
      </w:pPr>
      <w:r>
        <w:t xml:space="preserve">g) Contra la Sentencia de 24 de octubre de 1994, «Repsol Butano, S. A.», preparó primero e interpuso más tarde recurso de casación ante la Sala Tercera del Tribunal Supremo fundamentado en la presunta infracción por dicha Sentencia de los arts. 31 y 133 de la C.E., el art. 6.2 de la L.O.F.C.A. y lo dispuesto en el R.D. 1.085/1992, de 11 de noviembre, en relación con las normas que han regulado la adaptación y posterior supresión del monopolio de petróleos. La representación procesal de la Comunidad Autónoma, por su parte, se opuso al recurso de casación planteado, suplicando a esta Sala que dictare auto de inadmisión en virtud del art. 93.4 L.J.C.A. o, subsidiariamente, lo desestimare en su integridad. </w:t>
      </w:r>
    </w:p>
    <w:p w:rsidR="00B01F4A" w:rsidRDefault="00B01F4A" w:rsidP="00B01F4A">
      <w:pPr>
        <w:pStyle w:val="TextoNormal"/>
      </w:pPr>
      <w:r>
        <w:t>h) El 24 de enero de 1996, la Sala Tercera del Tribunal Supremo dictó Sentencia en la que se declaraba no haber lugar al recurso de casación instado por la representación procesal de «Repsol Butano, S. A.», contra la Sentencia pronunciada el 24 de octubre de 1996 por la Sala de lo Contencioso-Administrativo del Tribunal Superior de Justicia de las Islas Baleares. La Sentencia recurrida ahora en amparo fue notificada a la actora el 13 de marzo de 1996, junto con tres votos particulares (a uno de los cuales se adhieren nueve Magistrados) que postulan la admisibilídad del recurso.</w:t>
      </w:r>
    </w:p>
    <w:p w:rsidR="00B01F4A" w:rsidRDefault="00B01F4A" w:rsidP="00B01F4A">
      <w:pPr>
        <w:pStyle w:val="TextoNormal"/>
      </w:pPr>
    </w:p>
    <w:p w:rsidR="00B01F4A" w:rsidRDefault="00B01F4A" w:rsidP="00B01F4A">
      <w:pPr>
        <w:pStyle w:val="TextoNormal"/>
      </w:pPr>
      <w:r w:rsidRPr="00B01F4A">
        <w:rPr>
          <w:rStyle w:val="NumeroAFNegritaCaracter"/>
        </w:rPr>
        <w:t>3</w:t>
      </w:r>
      <w:r>
        <w:t>. La recurrente estima que la Sentencia del Tribunal Supremo recurrida en amparo vulnera el art. 24.1 C.E. Dicha violación se habría producido, en esencia, por las siguientes razones: a) el Alto Tribunal le ha negado el acceso al recurso de casación instado con una base en una interpretación «reduccionista» del art. 93.4 L.J.C.A.; b) el Tribunal Supremo hace una interpretación arbitraria tanto del petitum de la demanda presentada ante el Tribunal Superior de Justicia Balear como de la ratio decidendi de la Sentencia emanada de dicho Tribunal; c) la resolución impugnada incurre también en incongruencia extra petita al apreciar un vicio de incongruencia de la Sentencia de instancia no denunciado en vía de recurso; d) en fin, también habría vulnerado el Alto Tribunal el art. 24.1 C.E. al no haber aceptado, sin motivación alguna, plantear la cuestión de inconstitucionalidad solicitada.</w:t>
      </w:r>
    </w:p>
    <w:p w:rsidR="00B01F4A" w:rsidRDefault="00B01F4A" w:rsidP="00B01F4A">
      <w:pPr>
        <w:pStyle w:val="TextoNormal"/>
      </w:pPr>
    </w:p>
    <w:p w:rsidR="00B01F4A" w:rsidRDefault="00B01F4A" w:rsidP="00B01F4A">
      <w:pPr>
        <w:pStyle w:val="TextoNormal"/>
      </w:pPr>
      <w:r w:rsidRPr="00B01F4A">
        <w:rPr>
          <w:rStyle w:val="NumeroAFNegritaCaracter"/>
        </w:rPr>
        <w:t>4</w:t>
      </w:r>
      <w:r>
        <w:t>. Por providencia de 19 de diciembre de 1996, la Sección Segunda de la Sala Primera de este Tribunal acordó admitir a trámite el recurso de amparo y dirigir comunicación al Tribunal Supremo y al Tribunal Superior de Justicia de Baleares para que, en el plazo de diez días, remitieran, respectivamente, testimonio del recurso de casación núm. 8.106/94 y del recurso núm. 1.055/93, interesándose al mismo tiempo se emplazara a quienes hubieran sido parte en el proceso de que trae causa la presente litis.</w:t>
      </w:r>
    </w:p>
    <w:p w:rsidR="00B01F4A" w:rsidRDefault="00B01F4A" w:rsidP="00B01F4A">
      <w:pPr>
        <w:pStyle w:val="TextoNormal"/>
      </w:pPr>
    </w:p>
    <w:p w:rsidR="00B01F4A" w:rsidRDefault="00B01F4A" w:rsidP="00B01F4A">
      <w:pPr>
        <w:pStyle w:val="TextoNormal"/>
      </w:pPr>
      <w:r w:rsidRPr="00B01F4A">
        <w:rPr>
          <w:rStyle w:val="NumeroAFNegritaCaracter"/>
        </w:rPr>
        <w:t>5</w:t>
      </w:r>
      <w:r>
        <w:t>. Mediante providencia de la misma fecha, la Sección Segunda acordó formar la oportuna pieza separada de suspensión y, conforme a lo dispuesto en el art. 56 LOTC, conceder un plazo común de tres días al Ministerio Fiscal y al solicitante de amparo para que dentro de dicho término alegaran lo que estimasen pertinente en relación con la petición de suspensión interesada.</w:t>
      </w:r>
    </w:p>
    <w:p w:rsidR="00B01F4A" w:rsidRDefault="00B01F4A" w:rsidP="00B01F4A">
      <w:pPr>
        <w:pStyle w:val="TextoNormal"/>
      </w:pPr>
    </w:p>
    <w:p w:rsidR="00B01F4A" w:rsidRDefault="00B01F4A" w:rsidP="00B01F4A">
      <w:pPr>
        <w:pStyle w:val="TextoNormal"/>
      </w:pPr>
      <w:r w:rsidRPr="00B01F4A">
        <w:rPr>
          <w:rStyle w:val="NumeroAFNegritaCaracter"/>
        </w:rPr>
        <w:t>6</w:t>
      </w:r>
      <w:r>
        <w:t xml:space="preserve">. Mediante escrito de 27 de diciembre de 1996, la demandante en amparo presentó sus alegaciones en el incidente de suspensión. Además de reiterar lo expuesto en su escrito de demanda, pone de manifiesto el grave perjuicio que se derivaría de la no suspensión de la ejecución de la resolución impugnada y, por ende, de la liquidación tributaría que da lugar </w:t>
      </w:r>
      <w:r>
        <w:lastRenderedPageBreak/>
        <w:t>al proceso contencioso-administrativo, al existir la imposibilidad legal de repercusión tanto económica como tributaría del impuesto liquidado, lo que determinaría una ruptura artificial del mercado español de gases licuados del petróleo, sometiéndolo a costes y condiciones económicas distintas en una parte del territorio nacional.</w:t>
      </w:r>
    </w:p>
    <w:p w:rsidR="00B01F4A" w:rsidRDefault="00B01F4A" w:rsidP="00B01F4A">
      <w:pPr>
        <w:pStyle w:val="TextoNormal"/>
      </w:pPr>
    </w:p>
    <w:p w:rsidR="00B01F4A" w:rsidRDefault="00B01F4A" w:rsidP="00B01F4A">
      <w:pPr>
        <w:pStyle w:val="TextoNormal"/>
      </w:pPr>
      <w:r w:rsidRPr="00B01F4A">
        <w:rPr>
          <w:rStyle w:val="NumeroAFNegritaCaracter"/>
        </w:rPr>
        <w:t>7</w:t>
      </w:r>
      <w:r>
        <w:t>. El Ministerio Fiscal, en escrito de 10 de enero de 1997, manifiesta su oposición al otorgamiento de la suspensión solicitada dado que, de accederse a la misma, tratándose de una resolución del Tribunal Supremo que inadmite un recurso de casación, estaría anticipando provisionalmente el amparo.</w:t>
      </w:r>
    </w:p>
    <w:p w:rsidR="00B01F4A" w:rsidRDefault="00B01F4A" w:rsidP="00B01F4A">
      <w:pPr>
        <w:pStyle w:val="TextoNormal"/>
      </w:pPr>
    </w:p>
    <w:p w:rsidR="00B01F4A" w:rsidRDefault="00B01F4A" w:rsidP="00B01F4A">
      <w:pPr>
        <w:pStyle w:val="TextoNormal"/>
      </w:pPr>
      <w:r w:rsidRPr="00B01F4A">
        <w:rPr>
          <w:rStyle w:val="NumeroAFNegritaCaracter"/>
        </w:rPr>
        <w:t>8</w:t>
      </w:r>
      <w:r>
        <w:t>. También la representación procesal de la Comunidad Autónoma de las Islas Baleares, mediante escrito registrado de entrada en este Tribunal el día 6 de febrero de 1997, solicita que se deniegue la suspensión. A su juicio, conforme al art. 56 LOTC, no es posible solicitar la suspensión de la ejecución de la liquidación tributaría impugnada en vía contencioso-administrativa, contra la que no se dirige el amparo, sino de la Sentencia que declara no haber lugar a la casación; pero otorgar dicha suspensión supondría anticipar los efectos de un hipotético fallo favorable al demandante de amparo. Recuerda, además, la doctrina de este Tribunal según la cual cuando la ejecución tiene efectos patrimoniales no se causa perjuicio irreparable al demandante de amparo ni éste pierde su finalidad.</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pudiéndose, no obstante, denegar la suspensión cuando de ésta «pueda seguirse perturbación grave de los intereses generales, o de los derechos fundamentales o intereses públicos de un tercero».</w:t>
      </w:r>
    </w:p>
    <w:p w:rsidR="00B01F4A" w:rsidRDefault="00B01F4A" w:rsidP="00B01F4A">
      <w:pPr>
        <w:pStyle w:val="TextoNormal"/>
      </w:pPr>
      <w:r>
        <w:t>De acuerdo con la doctrina mantenida por este Tribunal (AATC 17/1980, 57/1980, 257/1986, 249/1989, 141/1990, 212/1994, 35/1996 y 76/1996, entre otros), la suspensión se configura como una medida provisional de carácter excepcional y de aplicación restrictiva, dado el interés general en la efectividad de las decisiones de los poderes públicos, y, en particular, en la ejecución de las resoluciones judiciales. En efecto, como dijimos en el ATC 143/1992, la aplicación del art. 56.1 LOTC «está presidida por la regla general de la no suspensión, pues así lo impone la protección que merece el interés general que conlleva la ejecución y efectividad de legalidad y veracidad», interés general que «posee especial relieve cuando se trata de resoluciones dictadas por Jueces y Tribunales en el ejercicio de la potestad jurisdiccional que les confiere el art. 117.3 de la Constitución». El punto de partida es, por consiguiente, que la interposición del recurso de amparo, como regla general, no suspende la ejecución de los actos recurridos, salvo en el supuesto expresamente previsto en la LOTC -la pérdida de la finalidad del amparo- y aún en este caso siempre que la suspensión no produzca las perturbaciones aludidas en el art. 56 antes citado.</w:t>
      </w:r>
    </w:p>
    <w:p w:rsidR="00B01F4A" w:rsidRDefault="00B01F4A" w:rsidP="00B01F4A">
      <w:pPr>
        <w:pStyle w:val="TextoNormal"/>
      </w:pPr>
      <w:r>
        <w:t>Por otro lado, debe entenderse que sólo hay perjuicio irreparable cuando la no suspensión del acto recurrido provoque que el posterior y eventual restablecimiento del recurrente en el derecho constitucional vulnerado, en el supuesto de que el amparo sea otorgado, sea tardío e impida definitivamente que tal restauración sea efectiva.</w:t>
      </w:r>
    </w:p>
    <w:p w:rsidR="00B01F4A" w:rsidRDefault="00B01F4A" w:rsidP="00B01F4A">
      <w:pPr>
        <w:pStyle w:val="TextoNormal"/>
      </w:pPr>
    </w:p>
    <w:p w:rsidR="00B01F4A" w:rsidRDefault="00B01F4A" w:rsidP="00B01F4A">
      <w:pPr>
        <w:pStyle w:val="TextoNormal"/>
      </w:pPr>
      <w:r w:rsidRPr="00B01F4A">
        <w:rPr>
          <w:rStyle w:val="NumeroAFNegritaCaracter"/>
        </w:rPr>
        <w:lastRenderedPageBreak/>
        <w:t>2</w:t>
      </w:r>
      <w:r>
        <w:t>. Pues bien, en el presente caso no se da esta circunstancia, toda vez que la finalidad del recurso de amparo consiste, precisamente, en determinar si ha de continuar o no la tramitación del procedimiento contencioso-administrativo núm. 8.106/94, seguido por la recurrente ante la Sala Tercera del Tribunal Supremo, que declaró no haber lugar al recurso de casación interpuesto contra la Sentencia de 24 de octubre de 1994 del Tribunal Superior de Justicia de Baleares, de modo que, como ya dijimos respecto de un caso similar en el ATC 330/1996, de acordarse ahora la suspensión solicitada, se estaría otorgando anticipadamente, aunque con carácter provisional, lo que es objeto del recurso. Así, pues, conforme a las alegaciones formuladas por el Ministerio Fiscal, no es procedente acceder a la suspensión.</w:t>
      </w:r>
    </w:p>
    <w:p w:rsidR="00B01F4A" w:rsidRDefault="00B01F4A" w:rsidP="00B01F4A">
      <w:pPr>
        <w:pStyle w:val="TextoNormal"/>
      </w:pPr>
      <w:r>
        <w:t>A mayor abundamiento debe recordarse que las resoluciones judiciales con efectos meramente patrimoniales o económicos, en principio, no causan perjuicios irreparables, por lo que no procede su suspensión (AATC 573/1985, 574/1985 ó 275/1990). Y es evidente, como reconoce la propia recurrente en amparo, que la ejecución de la Sentencia de inadmisión impugnada sólo conlleva la obligación de hacer efectivo el pago del Impuesto sobre Instalaciones que Inciden en el Medio Ambiente en la cuantía derivada de la liquidación girada por el Director general de Hacienda de la Consejería de Hacienda de la Comunidad Autónoma de las Islas Baleares, de suerte que, en atención a su naturaleza puramente patrimonial o económica, dicha ejecución no puede entrañar un perjuicio irreparable para «Repsol Butano, S. A», ya que el pago es siempre resarcible.</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lo expuesto, la Sala acuerda denegar la suspensión solicitada.</w:t>
      </w:r>
    </w:p>
    <w:p w:rsidR="00B01F4A" w:rsidRDefault="00B01F4A" w:rsidP="00B01F4A">
      <w:pPr>
        <w:pStyle w:val="TextoNormal"/>
      </w:pPr>
    </w:p>
    <w:p w:rsidR="00B01F4A" w:rsidRDefault="00B01F4A" w:rsidP="00B01F4A">
      <w:pPr>
        <w:pStyle w:val="TextoNormal"/>
      </w:pPr>
      <w:r>
        <w:t>Madrid, a veintiséis de febrero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49" w:name="AUTO_1997_59"/>
      <w:r>
        <w:lastRenderedPageBreak/>
        <w:t>AUTO 59/1997, de 26 de febrero de 1997</w:t>
      </w:r>
    </w:p>
    <w:bookmarkEnd w:id="149"/>
    <w:p w:rsidR="00B01F4A" w:rsidRDefault="00B01F4A" w:rsidP="00B01F4A">
      <w:pPr>
        <w:pStyle w:val="TtuloResolucin"/>
      </w:pPr>
      <w:r>
        <w:t>Sección Cuarta</w:t>
      </w:r>
    </w:p>
    <w:p w:rsidR="00B01F4A" w:rsidRDefault="00B01F4A" w:rsidP="00B01F4A">
      <w:pPr>
        <w:pStyle w:val="TtuloResolucin"/>
      </w:pPr>
    </w:p>
    <w:p w:rsidR="00B01F4A" w:rsidRDefault="00B01F4A" w:rsidP="00B01F4A">
      <w:pPr>
        <w:pStyle w:val="SntesisDescriptiva"/>
      </w:pPr>
      <w:r>
        <w:t>ECLI:ES:TC:1997:59A</w:t>
      </w:r>
    </w:p>
    <w:p w:rsidR="00B01F4A" w:rsidRDefault="00B01F4A" w:rsidP="00B01F4A">
      <w:pPr>
        <w:pStyle w:val="SntesisDescriptiva"/>
      </w:pPr>
    </w:p>
    <w:p w:rsidR="00B01F4A" w:rsidRDefault="00B01F4A" w:rsidP="00B01F4A">
      <w:pPr>
        <w:pStyle w:val="SntesisDescriptiva"/>
      </w:pPr>
      <w:r>
        <w:t>Excms. Srs. don Rafael de Mendizábal Allende, don Carles Viver Pi-Sunyer y don Tomás Salvador Vives Antón.</w:t>
      </w:r>
    </w:p>
    <w:p w:rsidR="00B01F4A" w:rsidRDefault="00B01F4A" w:rsidP="00B01F4A">
      <w:pPr>
        <w:pStyle w:val="SntesisDescriptiva"/>
      </w:pPr>
    </w:p>
    <w:p w:rsidR="00B01F4A" w:rsidRDefault="00B01F4A" w:rsidP="00B01F4A">
      <w:pPr>
        <w:pStyle w:val="SntesisDescriptiva"/>
      </w:pPr>
      <w:r>
        <w:t>Acordando la inadmisión a trámite del recurso de amparo 1.934/1996.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10 de mayo de 1996 se registra en este Tribunal escrito firmado por la representación de don Germán Cortés Cuesta por el que se interpone recurso de amparo contra la Sentencia de la Sección Sexta de la Audiencia Provincial de Madrid, que ratifica en apelación la dictada por el Juzgado de lo Penal núm. 13, en procedimiento abreviado 355/95, que le condenó como autor de un delito de falsedad en documento privado.</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El recurso tiene su origen en los siguientes antecedentes de hecho que se resumen en lo que concierne al objeto de recurso: </w:t>
      </w:r>
    </w:p>
    <w:p w:rsidR="00B01F4A" w:rsidRDefault="00B01F4A" w:rsidP="00B01F4A">
      <w:pPr>
        <w:pStyle w:val="TextoNormal"/>
      </w:pPr>
      <w:r>
        <w:t xml:space="preserve">a) El recurrente fue condenado por el Juzgado de lo Penal como autor de un delito de falsedad en documento privado, previsto y penado en el art. 306 del C.P. 1973, cuando la acusación formulada en el acto del juicio oral lo fue por un delito de falsedad en documento oficial de los arts. 1 y 4 y por una falta de estafa de las previstas en el art. 587.2, en relación con el 528, del mismo texto legal. </w:t>
      </w:r>
    </w:p>
    <w:p w:rsidR="00B01F4A" w:rsidRDefault="00B01F4A" w:rsidP="00B01F4A">
      <w:pPr>
        <w:pStyle w:val="TextoNormal"/>
      </w:pPr>
      <w:r>
        <w:t xml:space="preserve">b) Recurrida en apelación, la sentencia fue confirmada al entender que no existía vulneración del derecho a ser informado de la acusación al tratarse de delitos homogéneos los que integraban la calificación del Ministerio Fiscal y el fallo de la sentencia de instancia. </w:t>
      </w:r>
    </w:p>
    <w:p w:rsidR="00B01F4A" w:rsidRDefault="00B01F4A" w:rsidP="00B01F4A">
      <w:pPr>
        <w:pStyle w:val="TextoNormal"/>
      </w:pPr>
      <w:r>
        <w:t>c) La conducta sometida a enjuiciamiento se refería a la simulación de firma en un documento interno de la Dirección General de la Policía, llevada a cabo por un agente del Cuerpo Nacional de Policía, con el fin de justificar que su vehículo particular, retirado por la grúa municipal, se hallaba en esos instantes prestando servicio oficial, con lo que consiguió recuperarlo del depósito municipal de vehículos sin pagar la tasa y sanción correspondientes.</w:t>
      </w:r>
    </w:p>
    <w:p w:rsidR="00B01F4A" w:rsidRDefault="00B01F4A" w:rsidP="00B01F4A">
      <w:pPr>
        <w:pStyle w:val="TextoNormal"/>
      </w:pPr>
    </w:p>
    <w:p w:rsidR="00B01F4A" w:rsidRDefault="00B01F4A" w:rsidP="00B01F4A">
      <w:pPr>
        <w:pStyle w:val="TextoNormal"/>
      </w:pPr>
      <w:r w:rsidRPr="00B01F4A">
        <w:rPr>
          <w:rStyle w:val="NumeroAFNegritaCaracter"/>
        </w:rPr>
        <w:t>3</w:t>
      </w:r>
      <w:r>
        <w:t>. El pasado 13 de noviembre de 1996 la Sección Cuarta (Sala Segunda) de este Tribunal acordó, de conformidad con lo previsto en el núm. 3 del art. 50 de la Ley Orgánica del Tribunal Constitucional, conceder al demandante y al Ministerio Fiscal un plazo común de diez días para formular las alegaciones que estimen pertinentes en relación con la posible carencia manifiesta de contenido constitucional de la demanda [art. 50.1 c) de la LOTC].</w:t>
      </w:r>
    </w:p>
    <w:p w:rsidR="00B01F4A" w:rsidRDefault="00B01F4A" w:rsidP="00B01F4A">
      <w:pPr>
        <w:pStyle w:val="TextoNormal"/>
      </w:pPr>
    </w:p>
    <w:p w:rsidR="00B01F4A" w:rsidRDefault="00B01F4A" w:rsidP="00B01F4A">
      <w:pPr>
        <w:pStyle w:val="TextoNormal"/>
      </w:pPr>
      <w:r w:rsidRPr="00B01F4A">
        <w:rPr>
          <w:rStyle w:val="NumeroAFNegritaCaracter"/>
        </w:rPr>
        <w:t>4</w:t>
      </w:r>
      <w:r>
        <w:t xml:space="preserve">. Por escrito presentado el 3 de diciembre de 1996, el recurrente reitera lo manifestado en la demanda de amparo y considera que las sentencias impugnadas vulneran el art. 24 de </w:t>
      </w:r>
      <w:r>
        <w:lastRenderedPageBreak/>
        <w:t>la C.E., ya que el demandante ha sido condenado por delito distinto del que fue acusado y, por tanto, no ha tenido oportunidad de defenderse. Considera por ello que se ha vulnerado el denominado «principio acusatorio» que exige la debida correlación entre la acusación y el fallo de la sentencia. Reitera la falta de homogeneidad entre el delito de falsedad de que fue acusado y aquel otro por el que fue condenado, lo cual impide condenar por delito distinto al que se imputaba.</w:t>
      </w:r>
    </w:p>
    <w:p w:rsidR="00B01F4A" w:rsidRDefault="00B01F4A" w:rsidP="00B01F4A">
      <w:pPr>
        <w:pStyle w:val="TextoNormal"/>
      </w:pPr>
    </w:p>
    <w:p w:rsidR="00B01F4A" w:rsidRDefault="00B01F4A" w:rsidP="00B01F4A">
      <w:pPr>
        <w:pStyle w:val="TextoNormal"/>
      </w:pPr>
      <w:r w:rsidRPr="00B01F4A">
        <w:rPr>
          <w:rStyle w:val="NumeroAFNegritaCaracter"/>
        </w:rPr>
        <w:t>5</w:t>
      </w:r>
      <w:r>
        <w:t>. El Ministerio Fiscal, en escrito que tuvo entrada en este Tribunal el 12 de diciembre de 1996, interesó la inadmisión a trámite de la demanda por carecer de contenido constitucional al señalar que en el caso concreto analizado no puede olvidarse que la pretensión de condena se extendió a una falta de estafa, de la que después fue absuelto el recurrente, por lo que la presencia en su conducta del ánimo de causar un perjuicio -factor diferencial entre los delitos de falsedad en documento público u oficial y privado- sí fue objeto del debate procesal. Por ello ninguna indefensión se ha causado al hoy recurrente, pues los hechos y presupuestos fácticos que sirvieron de base a la acusación no han variado e incluso la pena impuesta es inferior a la solicitada por la acusación.</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La pretensión de amparo se dirige contra la sentencia de 8 de enero de 1996, dictada por el Juzgado de lo Penal núm. 13 de Madrid, en procedimiento abreviado 355/95 que le condenó como autor de un delito de falsedad en documento privado, y la Sentencia de 28 de marzo del mismo año de la Sección Sexta de la Audiencia Provincial de Madrid, que la ratifica en apelación confirmándola íntegramente.</w:t>
      </w:r>
    </w:p>
    <w:p w:rsidR="00B01F4A" w:rsidRDefault="00B01F4A" w:rsidP="00B01F4A">
      <w:pPr>
        <w:pStyle w:val="TextoNormal"/>
      </w:pPr>
      <w:r>
        <w:t>La demanda de amparo invoca la violación del art. 24 de la Constitución, con cita expresa del derecho a no sufrir indefensión, el derecho a ser informado de la acusación formulada y el derecho de defensa, derivada del hecho de que el demandante ha sido condenado por delito distinto del que fue acusado y, por tanto, no ha tenido oportunidad de defenderse. Considera que se ha vulnerado el que denomina «principio acusatorio» del cual deriva la exigencia de la precisa correlación entre la acusación y el fallo de la Sentencia. En apoyo de tal tesis aduce que no existe homogeneidad entre el delito de falsedad en documento oficial por el que fue acusado y el de falsedad en documento privado por el que fue condenado, lo cual hace imposible, sin vulnerar las garantías constitucionales, condenar por delito distinto al que se imputaba.</w:t>
      </w:r>
    </w:p>
    <w:p w:rsidR="00B01F4A" w:rsidRDefault="00B01F4A" w:rsidP="00B01F4A">
      <w:pPr>
        <w:pStyle w:val="TextoNormal"/>
      </w:pPr>
    </w:p>
    <w:p w:rsidR="00B01F4A" w:rsidRDefault="00B01F4A" w:rsidP="00B01F4A">
      <w:pPr>
        <w:pStyle w:val="TextoNormal"/>
      </w:pPr>
      <w:r w:rsidRPr="00B01F4A">
        <w:rPr>
          <w:rStyle w:val="NumeroAFNegritaCaracter"/>
        </w:rPr>
        <w:t>2</w:t>
      </w:r>
      <w:r>
        <w:t>. La cuestión sometida a enjuiciamiento consiste en determinar si la condena por un delito de falsedad en documento privado -art. 306 C.P. 1973- que ha sido precedida de la doble acusación por un delito de falsedad en documento oficial -art. 302 del mismo texto legal- y por una falta de estafa -art.  587.2, en relación con el 528-, ha vulnerado los derechos a la tutela judicial efectiva, a la interdicción de la indefensión y a ser informado de la acusación, por no haberse producido la debida correlación entre la pretensión acusatoria, el debate procesal y el fallo condenatorio.</w:t>
      </w:r>
    </w:p>
    <w:p w:rsidR="00B01F4A" w:rsidRDefault="00B01F4A" w:rsidP="00B01F4A">
      <w:pPr>
        <w:pStyle w:val="TextoNormal"/>
      </w:pPr>
      <w:r>
        <w:t xml:space="preserve">La doctrina de este Tribunal al respecto aparece recogida ya en la STC 17/1988, en cuyo fundamento jurídico 5.º se expresó que el conjunto de derechos alegados hoy en la demanda suponen, considerados conjuntamente, «no sólo que el acusado ha de conocer la acusación contra él formulada en el curso de proceso penal, y que ha de tener oportunidad de defenderse frente a ella, sino que además (y para que la tutela sea efectiva) el pronunciamiento </w:t>
      </w:r>
      <w:r>
        <w:lastRenderedPageBreak/>
        <w:t>del Tribunal ha de efectuarse precisamente sobre los términos del debate, tal como han sido formulados en las pretensiones de la acusación y la correspondiente defensa. Ello significa que ha de existir una correlación entre la acusación y el fallo de la Sentencia, puesto que el juzgador penal queda vinculado, en su decisión, por la pretensión penal de la acusación. Sobre los términos de ésta habrán de versar, pues, tanto los alegatos de la defensa como el fallo de la Sentencia correspondiente». Y se precisó que la acusación y el debate procesal han de versar sobre los hechos considerados punibles que se imputan al acusado y sobre la calificación jurídica de esos hechos, de manera que el acusado tenga la oportunidad de defenderse, pronunciándose, no sólo sobre la realidad de los hechos aducidos por la acusación, sino también sobre su ilicitud y punibilidad. Por último se señaló que «el debate procesal, de este modo, vincula al juzgador penal ( ... ) salvo que se utilice la vía que prevé el art. 733 de la L.E.Crim., de forma que la acusación y la defensa puedan pronunciarse sobre otras calificaciones jurídicas alternativas. Salvo este supuesto, no podrá el Juez penal calificar los hechos de manera que integren un delito penado más gravemente ni condenar por delito distinto, excepto que en este último supuesto (y como este Tribunal ha indicado en sus SSTC 12/1981, fundamento jurídico 4.º, y 105/1983, fundamento jurídico 3.º, entre otras), se respete la identidad del hecho y se trate de tipos penales homogéneos». Esta misma doctrina ha sido reiterada posteriormente en las SSTC 189/1988, fundamento jurídico 3.º; 205/1989, fundamento jurídico 2.º; 153/1990, fundamento jurídico 4.º; y 11/1992, fundamento jurídico 3.º</w:t>
      </w:r>
    </w:p>
    <w:p w:rsidR="00B01F4A" w:rsidRDefault="00B01F4A" w:rsidP="00B01F4A">
      <w:pPr>
        <w:pStyle w:val="TextoNormal"/>
      </w:pPr>
    </w:p>
    <w:p w:rsidR="00B01F4A" w:rsidRDefault="00B01F4A" w:rsidP="00B01F4A">
      <w:pPr>
        <w:pStyle w:val="TextoNormal"/>
      </w:pPr>
      <w:r w:rsidRPr="00B01F4A">
        <w:rPr>
          <w:rStyle w:val="NumeroAFNegritaCaracter"/>
        </w:rPr>
        <w:t>3</w:t>
      </w:r>
      <w:r>
        <w:t>. De lo expuesto se deduce que la condena por delito distinto de aquel o aquellos que se formularon en la pretensión acusatoria sólo es constitucionalmente posible si se dan dos circunstancias: una es la identidad del hecho punible, de forma que el mismo hecho señalado por la acusación, que se debatió en el juicio contradictorio y que se declaró probado en la Sentencia de instancia, constituya el supuesto fáctico de la nueva calificación declarada en la sentencia condenatoria. La segunda condición es que ambos delitos, el que sustentó la acusación y el considerado como más correcto por el Tribunal sentenciador en la Sentencia sean homogéneo es decir, tengan la misma naturaleza, porque el hecho que configura los tipos correspondientes sea sustancialmente el mismo o, en palabras de la STC 134/1986, porque exista «identidad del bien o interés protegido en cuanto hay una porción del acaecer concreto o histórico común en la calificación de la acusación y en la de la sentencia».</w:t>
      </w:r>
    </w:p>
    <w:p w:rsidR="00B01F4A" w:rsidRDefault="00B01F4A" w:rsidP="00B01F4A">
      <w:pPr>
        <w:pStyle w:val="TextoNormal"/>
      </w:pPr>
    </w:p>
    <w:p w:rsidR="00B01F4A" w:rsidRDefault="00B01F4A" w:rsidP="00B01F4A">
      <w:pPr>
        <w:pStyle w:val="TextoNormal"/>
      </w:pPr>
      <w:r w:rsidRPr="00B01F4A">
        <w:rPr>
          <w:rStyle w:val="NumeroAFNegritaCaracter"/>
        </w:rPr>
        <w:t>4</w:t>
      </w:r>
      <w:r>
        <w:t xml:space="preserve">. Expuesta la cuestión que se somete a litigio, y los parámetros desde los que, en aplicación de la propia doctrina de este Tribunal, ha de resolverse, corresponde analizar el supuesto sometido a consideración, y en relación con el mismo debe destacarse, como hace el Ministerio Fiscal en sus alegaciones, el hecho de que la acusación formulada en el acto del juicio oral contenía una doble pretensión de condena: por delito de falsedad en documento público u oficial, y por una falta de estafa. No falta la razón al demandante cuando afirma que los delitos de falsedad en documento público u oficial -art. 302 C.P. 1973- y de falsedad en documento privado -art. 306 del mismo texto legal- no son «homogéneos» en el sentido antes expresado, y la razón de esta falta de homogeneidad se halla en el elemento subjetivo del injusto que el segundo de ellos incorpora en su descripción típica, al exigir «perjuicio a tercero o ánimo de causárselo». Mas la existencia o no de tal ánimo en la conducta del hoy demandante no estuvo ausente en el debate procesal que precedió a la condena al haberse formulado la acusación por una falta de estafa, que exige igualmente, en su definición típica, el ánimo de causar perjuicio a un tercero. El elemento del perjuicio patrimonial, y desde </w:t>
      </w:r>
      <w:r>
        <w:lastRenderedPageBreak/>
        <w:t>luego ánimo de causarlo, fue objeto de debate en el juicio oral y hubo, por tanto, oportunidad de defenderse acerca de este elemento.</w:t>
      </w:r>
    </w:p>
    <w:p w:rsidR="00B01F4A" w:rsidRDefault="00B01F4A" w:rsidP="00B01F4A">
      <w:pPr>
        <w:pStyle w:val="TextoNormal"/>
      </w:pPr>
      <w:r>
        <w:t>En definitiva, la demandada carece de contenido que justifique una decisión sobre el fondo por parte de este Tribunal, ya que no existe indefensión ni vulneración del derecho a ser informado de la acusación ni limitación de las garantías de defensa, pues el condenado tuvo ocasión, en este supuesto, de defenderse de todos y cada uno de los elementos que componen el tipo señalado en la Sentencia porque ningún elemento nuevo sirvió de base a la calificación jurídica que de los hechos consideró correcta el Juez sentenciador.</w:t>
      </w:r>
    </w:p>
    <w:p w:rsidR="00B01F4A" w:rsidRDefault="00B01F4A" w:rsidP="00B01F4A">
      <w:pPr>
        <w:pStyle w:val="TextoNormal"/>
      </w:pPr>
      <w:r>
        <w:t>En la medida en que se inadmite a trámite la demanda de amparo no ha lugar a pronunciarse sobre la petición de suspensión planteada.</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consecuencia, por todo lo expuesto, y de conformidad con el art. 50.1 c) de la Ley Orgánica del Tribunal Constitucional, la Sección acuerda la inadmisión de la demanda de amparo y el archivo de las actuaciones.</w:t>
      </w:r>
    </w:p>
    <w:p w:rsidR="00B01F4A" w:rsidRDefault="00B01F4A" w:rsidP="00B01F4A">
      <w:pPr>
        <w:pStyle w:val="TextoNormal"/>
      </w:pPr>
    </w:p>
    <w:p w:rsidR="00B01F4A" w:rsidRDefault="00B01F4A" w:rsidP="00B01F4A">
      <w:pPr>
        <w:pStyle w:val="TextoNormal"/>
      </w:pPr>
      <w:r>
        <w:t>Madrid, a veintiséis de febrero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50" w:name="AUTO_1997_60"/>
      <w:r>
        <w:lastRenderedPageBreak/>
        <w:t>AUTO 60/1997, de 26 de febrero de 1997</w:t>
      </w:r>
    </w:p>
    <w:bookmarkEnd w:id="150"/>
    <w:p w:rsidR="00B01F4A" w:rsidRDefault="00B01F4A" w:rsidP="00B01F4A">
      <w:pPr>
        <w:pStyle w:val="TtuloResolucin"/>
      </w:pPr>
      <w:r>
        <w:t>Sección Segunda</w:t>
      </w:r>
    </w:p>
    <w:p w:rsidR="00B01F4A" w:rsidRDefault="00B01F4A" w:rsidP="00B01F4A">
      <w:pPr>
        <w:pStyle w:val="TtuloResolucin"/>
      </w:pPr>
    </w:p>
    <w:p w:rsidR="00B01F4A" w:rsidRDefault="00B01F4A" w:rsidP="00B01F4A">
      <w:pPr>
        <w:pStyle w:val="SntesisDescriptiva"/>
      </w:pPr>
      <w:r>
        <w:t>ECLI:ES:TC:1997:60A</w:t>
      </w:r>
    </w:p>
    <w:p w:rsidR="00B01F4A" w:rsidRDefault="00B01F4A" w:rsidP="00B01F4A">
      <w:pPr>
        <w:pStyle w:val="SntesisDescriptiva"/>
      </w:pPr>
    </w:p>
    <w:p w:rsidR="00B01F4A" w:rsidRDefault="00B01F4A" w:rsidP="00B01F4A">
      <w:pPr>
        <w:pStyle w:val="SntesisDescriptiva"/>
      </w:pPr>
      <w:r>
        <w:t>Excms. Srs. don José Vicente Gimeno Sendra, don Manuel Jiménez de Parga y Cabrera y don Pablo García Manzano.</w:t>
      </w:r>
    </w:p>
    <w:p w:rsidR="00B01F4A" w:rsidRDefault="00B01F4A" w:rsidP="00B01F4A">
      <w:pPr>
        <w:pStyle w:val="SntesisDescriptiva"/>
      </w:pPr>
    </w:p>
    <w:p w:rsidR="00B01F4A" w:rsidRDefault="00B01F4A" w:rsidP="00B01F4A">
      <w:pPr>
        <w:pStyle w:val="SntesisDescriptiva"/>
      </w:pPr>
      <w:r>
        <w:t>Acordando la inadmisión a trámite del recurso de amparo 2.332/1996.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Por escrito registrado en este Tribunal el 5 de junio de 1996, don Manuel Luis Pacher, representado por el Procurador de los Tribunales don José Luis Pérez-Sirera y Bosch Labrús, interpone recurso de amparo contra los Autos del Juzgado de lo Social núm. 6 de Alicante, de 20 de abril y de 6 de mayo de 1996.</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Constituyen la base fáctica de la demanda los siguientes antecedentes: </w:t>
      </w:r>
    </w:p>
    <w:p w:rsidR="00B01F4A" w:rsidRDefault="00B01F4A" w:rsidP="00B01F4A">
      <w:pPr>
        <w:pStyle w:val="TextoNormal"/>
      </w:pPr>
      <w:r>
        <w:t xml:space="preserve">a) En el procedimiento sobre despido 766/95, instado por don Giovani Roca, contra el recurrente en amparo, se dictó Sentencia por el Juzgado de lo Social núm. 6 de Alicante, estimando la demanda. </w:t>
      </w:r>
    </w:p>
    <w:p w:rsidR="00B01F4A" w:rsidRDefault="00B01F4A" w:rsidP="00B01F4A">
      <w:pPr>
        <w:pStyle w:val="TextoNormal"/>
      </w:pPr>
      <w:r>
        <w:t xml:space="preserve">b) El recurrente presentó escrito de anuncio del recurso de suplicación contra la anterior Sentencia, que fue inadmitido por Auto del Juzgado de lo Social núm. 6 de Alicante, de 21 de marzo de 1996. La inadmisión se fundó en la total inexistencia de consignación, dentro del plazo legal, del importe de la condena impuesta en la resolución, cuya impugnación se pretendía. Asimismo, el citado Auto indicaba que contra el mismo era posible la interposición de recurso de queja. </w:t>
      </w:r>
    </w:p>
    <w:p w:rsidR="00B01F4A" w:rsidRDefault="00B01F4A" w:rsidP="00B01F4A">
      <w:pPr>
        <w:pStyle w:val="TextoNormal"/>
      </w:pPr>
      <w:r>
        <w:t xml:space="preserve">c) Con fechas de 20 y 29 de marzo de 1996, el recurrente presentó ante el Juzgado de lo Social dos escritos, uno, de ampliación del anterior escrito de anuncio del recurso de suplicación, y otro, solicitando que se librara oficio de la Tesorería General de la Seguridad Social, a fin de acreditar determinados extremos. </w:t>
      </w:r>
    </w:p>
    <w:p w:rsidR="00B01F4A" w:rsidRDefault="00B01F4A" w:rsidP="00B01F4A">
      <w:pPr>
        <w:pStyle w:val="TextoNormal"/>
      </w:pPr>
      <w:r>
        <w:t xml:space="preserve">d) Mediante providencias de 21 y 29 de marzo de 1996, el Juzgado de lo Social declaró, en contestación a los escritos anteriores, que «en cuanto al suplico del referido escrito estése a lo acordado por Auto de 21 de marzo de 1996». </w:t>
      </w:r>
    </w:p>
    <w:p w:rsidR="00B01F4A" w:rsidRDefault="00B01F4A" w:rsidP="00B01F4A">
      <w:pPr>
        <w:pStyle w:val="TextoNormal"/>
      </w:pPr>
      <w:r>
        <w:t xml:space="preserve">e) El recurrente interpuso recurso de reposición contra las anteriores resoluciones judiciales (contra el Auto de 21 de marzo de 1996 y las providencias de 21 y 29 de marzo de 1996). Mediante Auto de 20 de abril de 1996, el Juzgado de lo Social núm. 6 de Alicante declaró «no haber lugar a admitir el recurso de reposición contra el Auto de 21 de marzo de 1996 por ser el mismo recurrible en queja»; y «no haber lugar a proveer en relación con los recursos de reposición cuya interposición se pretende, contra las providencias de 21 de marzo de 1996 y 29 de marzo de 1996, al no citarse la disposición legal que hubiere sido infringida por las mismas». </w:t>
      </w:r>
    </w:p>
    <w:p w:rsidR="00B01F4A" w:rsidRDefault="00B01F4A" w:rsidP="00B01F4A">
      <w:pPr>
        <w:pStyle w:val="TextoNormal"/>
      </w:pPr>
      <w:r>
        <w:lastRenderedPageBreak/>
        <w:t>f) Frente al anterior Auto el recurrente interpuso recurso de aclaración, que fue denegado por el Auto de 6 de mayo de 1996.</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Se interpone recurso de amparo contra los Autos del Juzgado de lo Social núm. 6 de Alicante, de 6 de mayo y de 20 de abril de 1996, interesando la nulidad de los mismos, al entender el demandante que han infringido su derecho a la tutela judicial efectiva (art. 24.1 de la C.E.), en su vertiente de acceso a los recursos legalmente establecidos. </w:t>
      </w:r>
    </w:p>
    <w:p w:rsidR="00B01F4A" w:rsidRDefault="00B01F4A" w:rsidP="00B01F4A">
      <w:pPr>
        <w:pStyle w:val="TextoNormal"/>
      </w:pPr>
      <w:r>
        <w:t>El recurrente afirma que las resoluciones impugnadas inadmitieron el recurso de reposición interpuesto, en relación con las providencias de 21 y 29 de marzo de 1996, al no citarse la disposición legal infringida, lo que no obedece a la realidad, pues se invocó como lesionado el art. 192.1 de la L.P.L. (donde se establece la existencia de un plazo de cinco días desde la fecha de notificación de la Sentencia, para anunciar el recurso de suplicación), además de preceptos sustantivos constitucionales, los arts. 24 y 14 C.E. También se alega en la demanda de amparo que la inadmisión del recurso de reposición, en relación con el Auto de 21 de marzo de 1996, por ser el mismo recurrible en queja, es contrario a la interpretación que el recurrente realiza de la normativa procesal aplicable, los arts. 184 y 193.2, ambos de la L.P.L., y que no excluye la existencia de recurso de reposición en este supuesto.</w:t>
      </w:r>
    </w:p>
    <w:p w:rsidR="00B01F4A" w:rsidRDefault="00B01F4A" w:rsidP="00B01F4A">
      <w:pPr>
        <w:pStyle w:val="TextoNormal"/>
      </w:pPr>
    </w:p>
    <w:p w:rsidR="00B01F4A" w:rsidRDefault="00B01F4A" w:rsidP="00B01F4A">
      <w:pPr>
        <w:pStyle w:val="TextoNormal"/>
      </w:pPr>
      <w:r w:rsidRPr="00B01F4A">
        <w:rPr>
          <w:rStyle w:val="NumeroAFNegritaCaracter"/>
        </w:rPr>
        <w:t>4</w:t>
      </w:r>
      <w:r>
        <w:t>. La Sección Segunda de este Tribunal, mediante providencia de 4 de noviembre de 1996, acordó abrir el trámite previsto en el art. 50.3 de la LOTC, concediendo al demandante de amparo y al Ministerio Fiscal el plazo común de diez días para que formulen las alegaciones que estimen pertinentes, en relación con la carencia manifiesta de contenido constitucional de la demanda art. 50.1 c) LOTC.</w:t>
      </w:r>
    </w:p>
    <w:p w:rsidR="00B01F4A" w:rsidRDefault="00B01F4A" w:rsidP="00B01F4A">
      <w:pPr>
        <w:pStyle w:val="TextoNormal"/>
      </w:pPr>
    </w:p>
    <w:p w:rsidR="00B01F4A" w:rsidRDefault="00B01F4A" w:rsidP="00B01F4A">
      <w:pPr>
        <w:pStyle w:val="TextoNormal"/>
      </w:pPr>
      <w:r w:rsidRPr="00B01F4A">
        <w:rPr>
          <w:rStyle w:val="NumeroAFNegritaCaracter"/>
        </w:rPr>
        <w:t>5</w:t>
      </w:r>
      <w:r>
        <w:t xml:space="preserve">. El Ministerio Fiscal, en el escrito presentado el 19 de noviembre de 1996, interesa la inadmisión a trámite de la demanda de amparo. Partiendo de la doctrina de este Tribunal sobre el acceso a los recursos tras la STC 37/1995, señala el Ministerio Público que la inadmisión del recurso de reposición intentado frente al Auto es constitucionalmente correcta, pues el recurso legalmente procedente era el de queja, como se desprende de la simple lectura de la Ley (art. 193.2, último inciso), y se instruyó al respecto en la resolución que se pretendía recurrir. </w:t>
      </w:r>
    </w:p>
    <w:p w:rsidR="00B01F4A" w:rsidRDefault="00B01F4A" w:rsidP="00B01F4A">
      <w:pPr>
        <w:pStyle w:val="TextoNormal"/>
      </w:pPr>
      <w:r>
        <w:t>En lo relacionado con la inadmisión del recurso de reposición por no haber sido citadas las disposiciones legales infringidas (art. 377 L.E.C.), prosigue el escrito de alegaciones, la razón de la inadmisión no carece en absoluto de sentido, pues las providencias que se pretenden recurrir son trasunto del Auto que tuvo por no anunciado el recurso de suplicación, por insuficiencia de consignación, por lo que la cita de los arts. 24 y 14 de la C.E., o del art. 192.1 de la L.P.L., relativo al plazo, no debería bastar, ya que no guardan correlación con el defecto advertido. Como colofón, concluye el Ministerio Fiscal que, a su juicio, no se ha producido en este caso indefensión alguna al recurrente, que ha recibido numerosas respuestas judiciales a sus pretensiones, sin que en ninguna de ellas se revele inmotivación o falta de contestación puntual a lo solicitado.</w:t>
      </w:r>
    </w:p>
    <w:p w:rsidR="00B01F4A" w:rsidRDefault="00B01F4A" w:rsidP="00B01F4A">
      <w:pPr>
        <w:pStyle w:val="TextoNormal"/>
      </w:pPr>
    </w:p>
    <w:p w:rsidR="00B01F4A" w:rsidRDefault="00B01F4A" w:rsidP="00B01F4A">
      <w:pPr>
        <w:pStyle w:val="TextoNormal"/>
      </w:pPr>
      <w:r w:rsidRPr="00B01F4A">
        <w:rPr>
          <w:rStyle w:val="NumeroAFNegritaCaracter"/>
        </w:rPr>
        <w:t>6</w:t>
      </w:r>
      <w:r>
        <w:t xml:space="preserve">. Mediante escrito presentado en el Juzgado de Guardia el 20 de noviembre y registrado en el Tribunal el 22 de noviembre de 1996, el recurrente en amparo se ratifica en su escrito de demanda, reiterando la argumentación allí contenida en apoyo de su pretensión de amparo. Además, el recurrente informa que frente al Auto de 21 de marzo de 1996, que tuvo por no anunciado el recurso de suplicación, también interpuso recurso de queja que ha sido </w:t>
      </w:r>
      <w:r>
        <w:lastRenderedPageBreak/>
        <w:t>desestimado por la Sentencia de la Sala de lo Social del T.S.J. de la Comunidad Valenciana el 19 de junio de 1996, y que frente a la misma ha interpuesto nuevo recurso de amparo, registrado en este Tribunal el 2 de agosto de 1996.</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Procede confirmar la concurrencia de la causa de inadmisión puesta ya de manifiesto en nuestro proveído de 4 de noviembre de 1996, por carecer la demanda manifiestamente de contenido que justifique una resolución sobre el fondo.</w:t>
      </w:r>
    </w:p>
    <w:p w:rsidR="00B01F4A" w:rsidRDefault="00B01F4A" w:rsidP="00B01F4A">
      <w:pPr>
        <w:pStyle w:val="TextoNormal"/>
      </w:pPr>
      <w:r>
        <w:t>Alega el recurrente que el Auto del Juzgado de lo Social núm. 6 de Alicante, de 20 de abril de 1996, vulneró su derecho a la tutela judicial efectiva garantizado por el art. 24.1 de la C.E., en su vertiente de acceso al recurso, toda vez que el órgano judicial fundamentó su decisión de inadmisión del recurso de reposición, frente a las providencias de 21 y 29 de marzo de 1996, en una causa, en opinión del demandante, inexistente, como es la falta de cita de las disposiciones legales infringidas (art. 377 L.E.C.), cuando en el recurso se citaron, además de los arts. 14 y 24 de la C.E., el art. 192.1 de la L.P.L. También se aduce por el demandante que la inadmisión del citado recurso de reposición, frente al Auto de 21 de marzo de 1996, se basó en ser el mismo, tal y como se le había indicado en esta resolución, recurrible en queja, cuando, a su juicio, y según la normativa procesal aplicable, los arts.  184 y 193.2, ambos de la L.P.L., era procedente el recurso de reposición.</w:t>
      </w:r>
    </w:p>
    <w:p w:rsidR="00B01F4A" w:rsidRDefault="00B01F4A" w:rsidP="00B01F4A">
      <w:pPr>
        <w:pStyle w:val="TextoNormal"/>
      </w:pPr>
    </w:p>
    <w:p w:rsidR="00B01F4A" w:rsidRDefault="00B01F4A" w:rsidP="00B01F4A">
      <w:pPr>
        <w:pStyle w:val="TextoNormal"/>
      </w:pPr>
      <w:r w:rsidRPr="00B01F4A">
        <w:rPr>
          <w:rStyle w:val="NumeroAFNegritaCaracter"/>
        </w:rPr>
        <w:t>2</w:t>
      </w:r>
      <w:r>
        <w:t>. Constituye jurisprudencia consolidada de este Tribunal que el derecho a los recursos no se integra en la tutela judicial efectiva del art. 24.1 de la C.E.  -excepto en materia penal-, de modo que el legislador no viene obligado a crear un sistema determinado de recursos, pero una vez establecido tal sistema, como también se ha dicho, el mencionado derecho comprende el de utilizarlos de acuerdo con la Ley y el de obtener una resolución fundada en Derecho en el recurso correspondiente (SSTC 3/1983, 19/1983, 171/1991 y 172/1995, entre otras muchas); si bien debe considerarse como una materia de legalidad ordinaria la decisión concreta sobre si un determinado recurso reúne o no los necesarios requisitos de admisibilidad a su trasmite. De este modo, satisface el derecho a la tutela judicial efectiva una decisión de inadmisión de un recurso debidamente motivada, siempre que no se fundamente en la mera arbitrariedad o en un error patente (SSTC 312/1994 y 37/1995, por todas).</w:t>
      </w:r>
    </w:p>
    <w:p w:rsidR="00B01F4A" w:rsidRDefault="00B01F4A" w:rsidP="00B01F4A">
      <w:pPr>
        <w:pStyle w:val="TextoNormal"/>
      </w:pPr>
      <w:r>
        <w:t>Ahora bien, la jurisprudencia de este Tribunal también ha establecido una distinción fundamental entre el acceso a la justicia, como elemento esencial del contenido de la tutela jurisdiccional, y el derecho al recurso, de forma que el principio hermenéutico pro actione no opera con igual intensidad en la fase inicial del proceso que en la fase de recurso (por todas, STC 37/1995).</w:t>
      </w:r>
    </w:p>
    <w:p w:rsidR="00B01F4A" w:rsidRDefault="00B01F4A" w:rsidP="00B01F4A">
      <w:pPr>
        <w:pStyle w:val="TextoNormal"/>
      </w:pPr>
      <w:r>
        <w:t>Más concretamente, la jurisprudencia constitucional se ha pronunciado en numerosas ocasiones en relación con la exigencia de citar los preceptos procesales infringidos para acceder al recurso de reposición (art. 377 de la L.E.C.)  (SSTC 69/1987, 113/1988, 162/1990, 213/1993, 218/1993, 172/1995, 51/1996), reaccionando frente aquellos casos en los que la exigencia de su cita no es razonable ni lógica, y supone más bien un formalismo riguroso contrario al art. 21 de la C.E. Y también este Tribunal ha vedado, por ser contrarias al art. 24.1 C.E., las decisiones judiciales de inadmisión de recursos fundadas en razones puramente formales así las basadas en un mero error en el nomen iuris del recurso que se pretendía interponer (SSTC 169/1992 y 255/1993).</w:t>
      </w:r>
    </w:p>
    <w:p w:rsidR="00B01F4A" w:rsidRDefault="00B01F4A" w:rsidP="00B01F4A">
      <w:pPr>
        <w:pStyle w:val="TextoNormal"/>
      </w:pPr>
    </w:p>
    <w:p w:rsidR="00B01F4A" w:rsidRDefault="00B01F4A" w:rsidP="00B01F4A">
      <w:pPr>
        <w:pStyle w:val="TextoNormal"/>
      </w:pPr>
      <w:r w:rsidRPr="00B01F4A">
        <w:rPr>
          <w:rStyle w:val="NumeroAFNegritaCaracter"/>
        </w:rPr>
        <w:lastRenderedPageBreak/>
        <w:t>3</w:t>
      </w:r>
      <w:r>
        <w:t>. En el caso que examinamos no puede entenderse que la resolución judicial que inadmitió el recurso de reposición interpuesto por el recurrente vulnere su derecho fundamental a la tutela judicial efectiva. En definitiva, el recurrente denuncia haber sido privado, mediante una interpretación judicial errónea de la normativa legal aplicable, de su derecho a una revisión judicial de la resolución que inadmitió el recurso de suplicación por el anunciado. Sin embargo, la resolución judicial impugnada no incurrió en el error que se le imputa ni en modo alguno se basó en una interpretación arbitraria de la normativa procesal aplicable, por lo que en atención a la doctrina constitucional anterior ninguna imputación puede merecer desde la perspectiva del art. 24 de la C.E.</w:t>
      </w:r>
    </w:p>
    <w:p w:rsidR="00B01F4A" w:rsidRDefault="00B01F4A" w:rsidP="00B01F4A">
      <w:pPr>
        <w:pStyle w:val="TextoNormal"/>
      </w:pPr>
      <w:r>
        <w:t>En efecto, en el presente supuesto, el Auto del Juzgado de lo Social de 21 de marzo de 1996, que tuvo por no anunciado el recurso de suplicación, indicó que contra el mismo cabía interponer recurso de queja ante el T.S.J. de la Comunidad Valenciana, conforme a lo prevenido en el art. 193.2 de la L.P.L. El recurrente, asistido de Letrado, interpuso, contraviniendo tal indicación, recurso de reposición ante un órgano judicial distinto, el Juzgado de lo Social núm. 6 de Alicante, al entender, como se ha argumentado en esta demanda de amparo, que, según la normativa procesal aplicable, este recurso era posible. El Juzgado, realizando una interpretación correcta de la normativa legal, confirmó que el único recurso posible era el de queja.</w:t>
      </w:r>
    </w:p>
    <w:p w:rsidR="00B01F4A" w:rsidRDefault="00B01F4A" w:rsidP="00B01F4A">
      <w:pPr>
        <w:pStyle w:val="TextoNormal"/>
      </w:pPr>
      <w:r>
        <w:t>De otra parte, y como ya fue destacado por el Ministerio Fiscal, hemos de señalar que las providencias del Juzgado de lo Social núm. 6 de Alicante recurridas no eran sino un trasunto del Auto del mismo Juzgado, que tuvo por no anunciado el recurso de suplicación, por falta de consignación, y a cuyo contenido remiten; por lo que el recurso contra las mismas también perseguía la revisión judicial de la decisión que inadmitió el recurso de suplicación pretendido por el recurrente, y que, como hemos señalado, sólo era posible a través del recurso de queja ante la Sala de lo Social del T.S.J. de la Comunidad Valenciana.</w:t>
      </w:r>
    </w:p>
    <w:p w:rsidR="00B01F4A" w:rsidRDefault="00B01F4A" w:rsidP="00B01F4A">
      <w:pPr>
        <w:pStyle w:val="TextoNormal"/>
      </w:pPr>
      <w:r>
        <w:t>A mayor abundamiento, hemos de señalar que el recurrente, como alega ante este Tribunal en su escrito de 22 de noviembre de 1996, también interpuso el recurso correcto, es decir, el recurso de queja, y ha obtenido una respuesta judicial de la Sala de lo Social del T.S.J. de la Comunidad Valenciana, a través de la Sentencia de 19 de junio de 1996, que, aunque ha confirmado la inicial decisión de inadmisión del recurso de suplicación, supone una revisión judicial de tal decisión de inadmisión, por lo que el objeto del presente recurso de amparo ha quedado además privado del contenido material (STC 220/1994).</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lo expuesto, la Sección acuerda la inadmisión del presente recurso de amparo.</w:t>
      </w:r>
    </w:p>
    <w:p w:rsidR="00B01F4A" w:rsidRDefault="00B01F4A" w:rsidP="00B01F4A">
      <w:pPr>
        <w:pStyle w:val="TextoNormal"/>
      </w:pPr>
    </w:p>
    <w:p w:rsidR="00B01F4A" w:rsidRDefault="00B01F4A" w:rsidP="00B01F4A">
      <w:pPr>
        <w:pStyle w:val="TextoNormal"/>
      </w:pPr>
      <w:r>
        <w:t>Madrid, a veintiséis de febrero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51" w:name="AUTO_1997_61"/>
      <w:r>
        <w:lastRenderedPageBreak/>
        <w:t>AUTO 61/1997, de 26 de febrero de 1997</w:t>
      </w:r>
    </w:p>
    <w:bookmarkEnd w:id="151"/>
    <w:p w:rsidR="00B01F4A" w:rsidRDefault="00B01F4A" w:rsidP="00B01F4A">
      <w:pPr>
        <w:pStyle w:val="TtuloResolucin"/>
      </w:pPr>
      <w:r>
        <w:t>Sala Primera</w:t>
      </w:r>
    </w:p>
    <w:p w:rsidR="00B01F4A" w:rsidRDefault="00B01F4A" w:rsidP="00B01F4A">
      <w:pPr>
        <w:pStyle w:val="TtuloResolucin"/>
      </w:pPr>
    </w:p>
    <w:p w:rsidR="00B01F4A" w:rsidRDefault="00B01F4A" w:rsidP="00B01F4A">
      <w:pPr>
        <w:pStyle w:val="SntesisDescriptiva"/>
      </w:pPr>
      <w:r>
        <w:t>ECLI:ES:TC:1997:61A</w:t>
      </w:r>
    </w:p>
    <w:p w:rsidR="00B01F4A" w:rsidRDefault="00B01F4A" w:rsidP="00B01F4A">
      <w:pPr>
        <w:pStyle w:val="SntesisDescriptiva"/>
      </w:pPr>
    </w:p>
    <w:p w:rsidR="00B01F4A" w:rsidRDefault="00B01F4A" w:rsidP="00B01F4A">
      <w:pPr>
        <w:pStyle w:val="SntesisDescriptiva"/>
      </w:pPr>
      <w:r>
        <w:t>Excms. Srs. don Álvaro Rodríguez Bereijo, don José Vicente Gimeno Sendra, don Pedro Cruz Villalón, don Enrique Ruiz Vadillo, don Manuel Jiménez de Parga y Cabrera y don Pablo García Manzano.</w:t>
      </w:r>
    </w:p>
    <w:p w:rsidR="00B01F4A" w:rsidRDefault="00B01F4A" w:rsidP="00B01F4A">
      <w:pPr>
        <w:pStyle w:val="SntesisDescriptiva"/>
      </w:pPr>
    </w:p>
    <w:p w:rsidR="00B01F4A" w:rsidRDefault="00B01F4A" w:rsidP="00B01F4A">
      <w:pPr>
        <w:pStyle w:val="SntesisDescriptiva"/>
      </w:pPr>
      <w:r>
        <w:t>Acordando la suspensión parcial de la ejecución del acto que origina el recurso de amparo 3.775/1996.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en este Tribunal el día 21 de octubre de 1996, la Procuradora de los Tribunales doña Paloma Ortiz-Cañavate Levenfeld, en nombre y representación de doña Blanca Nieves Peñafiel Martínez, interpuso recurso de amparo contra la Sentencia núm. 647/96, de 12 de septiembre de 1996, dictada por la Audiencia Provincial de Alicante, que estimaba recurso de apelación interpuesto contra Sentencia del Juzgado de lo Penal núm. 4 de esa misma capital, revocando la misma y condenando a la recurrente en amparo por un delito de estafa.</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La demanda de amparo se basaba, en síntesis, en los siguientes hechos: </w:t>
      </w:r>
    </w:p>
    <w:p w:rsidR="00B01F4A" w:rsidRDefault="00B01F4A" w:rsidP="00B01F4A">
      <w:pPr>
        <w:pStyle w:val="TextoNormal"/>
      </w:pPr>
      <w:r>
        <w:t xml:space="preserve">a) La recurrente fue absuelta en primera instancia de un delito de estafa. El Fiscal interpuso recurso de apelación contra la Sentencia absolutoria. </w:t>
      </w:r>
    </w:p>
    <w:p w:rsidR="00B01F4A" w:rsidRDefault="00B01F4A" w:rsidP="00B01F4A">
      <w:pPr>
        <w:pStyle w:val="TextoNormal"/>
      </w:pPr>
      <w:r>
        <w:t>b) La Audiencia Provincial de Alicante, manteniendo el relato de hechos probados de la Sentencia de primera instancia, hace una distinta valoración de los mismos, justificando que son subsumibles en el tipo de la estafa. Revocando la Sentencia de instancia, el Tribunal condena a la recurrente a la pena de un año de prisión menor, aunque sobre la determinación de esa pena no contiene ningún fundamento jurídico la Sentencia de apelación.</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Invoca la recurrente, como fundamento de su queja de amparo, la lesión de los siguientes derechos fundamentales: a la tutela judicial efectiva (art. 24.1 C.E.) por la insuficiente motivación de la Sentencia, tanto en lo que respecta a la condena en sí como a la concreta pena impuesta; y a la presunción de inocencia (art. 24.2 C.E.), toda vez que la resolución no expresa qué hechos pueden considerarse suficientemente probados ni que integren el tipo penal que se imputa a la demandante. En virtud de todo ello suplica a este Tribunal que, estimando el amparo pedido, declare la nulidad de la Sentencia de la Audiencia Provincial de Alicante impugnada, ordene retrotraer las actuaciones al momento procesal inmediatamente anterior, a fin de que el órgano judicial dicte nueva Sentencia que respete los derechos fundamentales invocados; y por medio de otrosí solicita la suspensión de la ejecución de la Sentencia impugnada, pues condena a pena privativa de libertad, así como </w:t>
      </w:r>
      <w:r>
        <w:lastRenderedPageBreak/>
        <w:t>al pago de indemnizaciones, pronunciamientos ambos que, de llevarse a efecto, harían perder al recurso de amparo su finalidad para el caso de ser estimado (art. 56 LOTC).</w:t>
      </w:r>
    </w:p>
    <w:p w:rsidR="00B01F4A" w:rsidRDefault="00B01F4A" w:rsidP="00B01F4A">
      <w:pPr>
        <w:pStyle w:val="TextoNormal"/>
      </w:pPr>
    </w:p>
    <w:p w:rsidR="00B01F4A" w:rsidRDefault="00B01F4A" w:rsidP="00B01F4A">
      <w:pPr>
        <w:pStyle w:val="TextoNormal"/>
      </w:pPr>
      <w:r w:rsidRPr="00B01F4A">
        <w:rPr>
          <w:rStyle w:val="NumeroAFNegritaCaracter"/>
        </w:rPr>
        <w:t>4</w:t>
      </w:r>
      <w:r>
        <w:t>. Por providencia de fecha 27 de enero de 1997, la Sección Primera acordó admitir a trámite el presente recurso de amparo y formar la correspondiente pieza separada de suspensión; asimismo, de conformidad con lo prevenido en el art. 56 LOTC, conceder al Ministerio Fiscal y a la demandante de amparo un plazo de tres días para que formularan a ese respecto cuantas alegaciones estimasen convenientes.</w:t>
      </w:r>
    </w:p>
    <w:p w:rsidR="00B01F4A" w:rsidRDefault="00B01F4A" w:rsidP="00B01F4A">
      <w:pPr>
        <w:pStyle w:val="TextoNormal"/>
      </w:pPr>
    </w:p>
    <w:p w:rsidR="00B01F4A" w:rsidRDefault="00B01F4A" w:rsidP="00B01F4A">
      <w:pPr>
        <w:pStyle w:val="TextoNormal"/>
      </w:pPr>
      <w:r w:rsidRPr="00B01F4A">
        <w:rPr>
          <w:rStyle w:val="NumeroAFNegritaCaracter"/>
        </w:rPr>
        <w:t>5</w:t>
      </w:r>
      <w:r>
        <w:t>. En fecha 5 de febrero de 1997 se recibe el escrito de alegaciones de la representación de la demandante de amparo. En ellas reitera su petición de suspensión de la ejecución de la resolución impugnada, dando por reproducidos los argumentos que fundamentaban su petición de amparo, y añadiendo que de la misma se desprende la gravedad de las vulneraciones constitucionales invocadas, lo que, junto a la inicial absolución de la demandante, conlleva a que necesariamente deba suspenderse la ejecución de la Sentencia condenatoria hasta tanto no resuelva el Tribunal sobre las infracciones constitucionales denunciadas; y ello por cuanto, si se llevan a cumplido efecto las mismas, se producirá un perjuicio de carácter irreparable.</w:t>
      </w:r>
    </w:p>
    <w:p w:rsidR="00B01F4A" w:rsidRDefault="00B01F4A" w:rsidP="00B01F4A">
      <w:pPr>
        <w:pStyle w:val="TextoNormal"/>
      </w:pPr>
    </w:p>
    <w:p w:rsidR="00B01F4A" w:rsidRDefault="00B01F4A" w:rsidP="00B01F4A">
      <w:pPr>
        <w:pStyle w:val="TextoNormal"/>
      </w:pPr>
      <w:r w:rsidRPr="00B01F4A">
        <w:rPr>
          <w:rStyle w:val="NumeroAFNegritaCaracter"/>
        </w:rPr>
        <w:t>6</w:t>
      </w:r>
      <w:r>
        <w:t>. En fecha 11 de febrero de 1997 se recibe el escrito de alegaciones del Ministerio Fiscal. En ellas, tras hacer referencia el Ministerio Público a la doctrina general de este Tribunal en materia de suspensión, alega que, tratándose de condenas penales, se suele seguir el criterio de la no suspensión de las Sentencias recurridas en los pronunciamientos que contienen una condena de carácter meramente pecuniario o económico, dada la fácil reparación de la misma para el supuesto de estimarse el amparo; y, por el contrario, es usual la suspensión de las penas privativas de libertad, especialmente cuando no son de muy larga duración, ya que la no suspensión y, en consecuencia, la ejecución de las mismas, haría perder al recurso de amparo su finalidad. De acuerdo con tal criterio, el Ministerio Fiscal considera que, en este caso, procede la suspensión de la pena de un año de prisión menor, pero no la de la condena al pago de la indemnización de 6.800.000 pesetas ni de las costas judiciales, dado su carácter pecuniario.</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art. 56 LOTC dispone, en su primer apartado, que sólo procede la suspensión de los actos de los poderes públicos a los que se impute la vulneración de derechos fundamentales cuando la ejecución hubiere de ocasionar un perjuicio que hiciera perder al amparo su finalidad. No obstante, el citado precepto permite, en su segundo apartado, denegar la suspensión cuando de ésta pueda seguirse perturbación grave de los intereses generales o de los derechos fundamentales de un tercero.</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Cuando se trata de la impugnación de resoluciones judiciales, en aplicación del anterior precepto, el criterio general que ha venido siguiendo este Tribunal es el de la no suspensión, habida cuenta del interés general que existe en la ejecución de lo resuelto con carácter firme por los órganos judiciales. No obstante, también constituye reiterada doctrina al respecto que la ejecución de las penas privativas de libertad puede ocasionar un perjuicio </w:t>
      </w:r>
      <w:r>
        <w:lastRenderedPageBreak/>
        <w:t>de imposible reparación ulterior en caso de estimación del recurso de amparo.  Mientras que, cuando se trata de condenas a indemnizaciones de carácter económico, resulta posible la reparación ulterior del perjuicio que pudiera seguirse de su ejecución.</w:t>
      </w:r>
    </w:p>
    <w:p w:rsidR="00B01F4A" w:rsidRDefault="00B01F4A" w:rsidP="00B01F4A">
      <w:pPr>
        <w:pStyle w:val="TextoNormal"/>
      </w:pPr>
    </w:p>
    <w:p w:rsidR="00B01F4A" w:rsidRDefault="00B01F4A" w:rsidP="00B01F4A">
      <w:pPr>
        <w:pStyle w:val="TextoNormal"/>
      </w:pPr>
      <w:r w:rsidRPr="00B01F4A">
        <w:rPr>
          <w:rStyle w:val="NumeroAFNegritaCaracter"/>
        </w:rPr>
        <w:t>3</w:t>
      </w:r>
      <w:r>
        <w:t>. En aplicación de los anteriores criterios al supuesto que ahora se examina, resulta procedente acordar la suspensión de la condena a pena privativa de libertad (un año de prisión menor) impuesta a la recurrente en amparo por la Sentencia objeto del presente recurso. Sin embargo, no resulta procedente acordar la suspensión del resto de los pronunciamientos que se contienen en la parte dispositiva de la mencionada resolución, esto es, el abono de la indemnización por importe de 6.800.000 pesetas, así como el pago de las costas del juicio, pues ambas condenas, de carácter eminentemente económico, podrán ser objeto de ulterior reparación en caso de que la eventual estimación del amparo determinase en un futuro su nulidad.</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lo expuesto, la Sala acuerda suspender la ejecución de la Sentencia dictada por la Audiencia Provincial de Alicante con fecha 12 de septiembre de 1996 (rollo de apelación 294/96), exclusivamente en lo relativo a la pena de un año de prisión</w:t>
      </w:r>
    </w:p>
    <w:p w:rsidR="00B01F4A" w:rsidRDefault="00B01F4A" w:rsidP="00B01F4A">
      <w:pPr>
        <w:pStyle w:val="TextoNormal"/>
      </w:pPr>
      <w:r>
        <w:t>menor impuesta a doña Blanca Nieves Peñafiel Martínez, y no haber lugar a la suspensión del pronunciamiento relativo a la indemnización establecida en materia de responsabilidad civil (abono de 6.800.000 pesetas) y al pago de las costas procesales.</w:t>
      </w:r>
    </w:p>
    <w:p w:rsidR="00B01F4A" w:rsidRDefault="00B01F4A" w:rsidP="00B01F4A">
      <w:pPr>
        <w:pStyle w:val="TextoNormal"/>
      </w:pPr>
    </w:p>
    <w:p w:rsidR="00B01F4A" w:rsidRDefault="00B01F4A" w:rsidP="00B01F4A">
      <w:pPr>
        <w:pStyle w:val="TextoNormal"/>
      </w:pPr>
      <w:r>
        <w:t>Madrid, a veintiséis de febrero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52" w:name="AUTO_1997_62"/>
      <w:r>
        <w:lastRenderedPageBreak/>
        <w:t>AUTO 62/1997, de 26 de febrero de 1997</w:t>
      </w:r>
    </w:p>
    <w:bookmarkEnd w:id="152"/>
    <w:p w:rsidR="00B01F4A" w:rsidRDefault="00B01F4A" w:rsidP="00B01F4A">
      <w:pPr>
        <w:pStyle w:val="TtuloResolucin"/>
      </w:pPr>
      <w:r>
        <w:t>Pleno</w:t>
      </w:r>
    </w:p>
    <w:p w:rsidR="00B01F4A" w:rsidRDefault="00B01F4A" w:rsidP="00B01F4A">
      <w:pPr>
        <w:pStyle w:val="TtuloResolucin"/>
      </w:pPr>
    </w:p>
    <w:p w:rsidR="00B01F4A" w:rsidRDefault="00B01F4A" w:rsidP="00B01F4A">
      <w:pPr>
        <w:pStyle w:val="SntesisDescriptiva"/>
      </w:pPr>
      <w:r>
        <w:t>ECLI:ES:TC:1997:62A</w:t>
      </w:r>
    </w:p>
    <w:p w:rsidR="00B01F4A" w:rsidRDefault="00B01F4A" w:rsidP="00B01F4A">
      <w:pPr>
        <w:pStyle w:val="SntesisDescriptiva"/>
      </w:pPr>
    </w:p>
    <w:p w:rsidR="00B01F4A" w:rsidRDefault="00B01F4A" w:rsidP="00B01F4A">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B01F4A" w:rsidRDefault="00B01F4A" w:rsidP="00B01F4A">
      <w:pPr>
        <w:pStyle w:val="SntesisDescriptiva"/>
      </w:pPr>
    </w:p>
    <w:p w:rsidR="00B01F4A" w:rsidRDefault="00B01F4A" w:rsidP="00B01F4A">
      <w:pPr>
        <w:pStyle w:val="SntesisDescriptiva"/>
      </w:pPr>
      <w:r>
        <w:t>Acordando la inadmisión a trámite de la cuestión de inconstitucionalidad 4.747/1996.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27 de diciembre de 1996 tuvo entrada en el Registro de este Tribunal escrito del Juzgado de Primera Instancia núm. 14 de Barcelona, al que se adjuntaba testimonio de las actuaciones correspondientes a los autos núm. 773/85 y Auto de 26 de noviembre de 1996, por el que se acordaba plantear cuestión de inconstitucionalidad en relación con la remisión de las normas procesales de la Ley 30/1981 a las normas de ejecución general de la Ley de Enjuiciamiento Civil, y, en concreto, con la aplicación en materia de familia del párrafo primero del art. 921 L.E.C.</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B01F4A" w:rsidRDefault="00B01F4A" w:rsidP="00B01F4A">
      <w:pPr>
        <w:pStyle w:val="TextoNormal"/>
      </w:pPr>
      <w:r>
        <w:t xml:space="preserve">a) Doña Inmaculada Nicoláu Fuster interesó, por escrito de 22 de noviembre de 1993, la ejecución forzosa de la Sentencia dictada el 7 de mayo de 1987 en autos de divorcio núm. 773/85, reclamando la cantidad de 3.220.000 (tres millones doscientas veinte mil) pesetas a que ascendían las pensiones dimanantes de la Sentencia respecto al período comprendido entre julio de 1991 y abril de 1993. Por providencia de 10 de diciembre de 1983, el Juzgado acordó requerir de pago al demandado, el cual alegó haber efectuado parte del pago exigido -la referida a la pensión compensatoria constituida a favor de la actora- y opuso la inexigibilidad de la obligación respecto al resto de la deuda -la concerniente a la pensión de alimentos a favor de la hija común-; en relación con este último extremo alegaba que la hija había convivido con él desde los quince años. Por Auto de 1 de septiembre de 1994 se estimó la oposición. </w:t>
      </w:r>
    </w:p>
    <w:p w:rsidR="00B01F4A" w:rsidRDefault="00B01F4A" w:rsidP="00B01F4A">
      <w:pPr>
        <w:pStyle w:val="TextoNormal"/>
      </w:pPr>
      <w:r>
        <w:t xml:space="preserve">b) Interpuesto recurso de apelación por la actora ante la Audiencia Provincial de Barcelona, se dictó Auto de 10 de mayo de 1996 por el que se anuló el del Juzgado de 1 de septiembre de 1994 y se mandó seguir adelante la ejecución de la Sentencia de divorcio por la cantidad reclamada. Para la Audiencia, la obligación dimanante de la Sentencia ha de ser cumplida en sus propios términos, sin que sea posible, en trámite de ejecución, realizar pronunciamientos propios de un proceso declarativo. </w:t>
      </w:r>
    </w:p>
    <w:p w:rsidR="00B01F4A" w:rsidRDefault="00B01F4A" w:rsidP="00B01F4A">
      <w:pPr>
        <w:pStyle w:val="TextoNormal"/>
      </w:pPr>
      <w:r>
        <w:lastRenderedPageBreak/>
        <w:t xml:space="preserve">c) En consecuencia con lo anterior, la actora reiteró la pretensión ejecutoria ante el Juzgado, el cual, por providencia de 29 de julio de 1996, acordó el requerimiento de pago. El demandado interpuso recurso de reposición contra el anterior proveído, del que se dio traslado a la actora, que lo impugnó. Quedando las autos conclusos para su resolución, el Juzgado, por providencia de 4 de noviembre de 1996, abrió el trámite de alegaciones previsto en el art. 35.2 LOTC. El Juzgado requirió a las partes y al Ministerio Fiscal para que alegaran lo que estimasen pertinente en relación con «la pertinencia de plantear cuestión de inconstitucionalidad sobre el primer párrafo del art. 921 de la Ley de Enjuiciamiento Civil, y específicamente sobre el mandato explícito de que -se procederá siempre, y sin necesidad de previa requerimiento personal al condenado, al embargo de sus bienes-, por ser dicha norma contraria al art. 24 de la Constitución, en cuanto que garantiza el derecho de audiencia y de defensa». </w:t>
      </w:r>
    </w:p>
    <w:p w:rsidR="00B01F4A" w:rsidRDefault="00B01F4A" w:rsidP="00B01F4A">
      <w:pPr>
        <w:pStyle w:val="TextoNormal"/>
      </w:pPr>
      <w:r>
        <w:t xml:space="preserve">d) El Ministerio Fiscal se opuso al planteamiento de la cuestión por entender que el art. 921 L.E.C. en ningún caso produce indefensión al condenado al pago de una cantidad determinada y líquida por cuanto ha sido oído en el procedimiento principal, así como en el incidente de ejecución y en la apelación posterior; además, el condenado cuenta con otros procedimientos para hacer las alegaciones que estime pertinentes. De otro lado, alegó el Ministerio Público que, de plantearse la cuestión, se provocaría indefensión a la otra parte en la medida en que se suspendería la ejecución de la Sentencia firme. </w:t>
      </w:r>
    </w:p>
    <w:p w:rsidR="00B01F4A" w:rsidRDefault="00B01F4A" w:rsidP="00B01F4A">
      <w:pPr>
        <w:pStyle w:val="TextoNormal"/>
      </w:pPr>
      <w:r>
        <w:t xml:space="preserve">e) La demandante en el proceso a quo presentó escrito de alegaciones en el que sostenía, en primer lugar, que el planteamiento de la cuestión era extemporáneo, pues la misma debió elevarse, en su caso, dentro del plazo para dictar Sentencia, no en la fase de su ejecución. Alegaba, en segundo término, que los principios de audiencia y contradicción se habían respetado en el caso con excesivo celo, pues el condenado ha tenido oportunidad de defenderse sobradamente en los distintos incidentes que jalonaron el proceso. En tercer lugar, se sostenía que el art. 921 L.E.C. es plenamente conforme con la Constitución, pues la audiencia debe garantizarse en todo caso durante el juicio, no necesariamente en el momento de ejecutar lo sentenciado. La Sentencia es título de ejecución, no título ejecutivo, único supuesto, este último, en el que procede el requerimiento de pago (art. 1.429 L.E.C.). Alega, igualmente la actora que la providencia dictada ex art. 35.2 LOTC infringía el principio de seguridad jurídica y el art. 118 de la C.E., pues con ella simplemente se dificulta la ejecución de lo definitivamente decidido por la Audiencia Provincial. </w:t>
      </w:r>
    </w:p>
    <w:p w:rsidR="00B01F4A" w:rsidRDefault="00B01F4A" w:rsidP="00B01F4A">
      <w:pPr>
        <w:pStyle w:val="TextoNormal"/>
      </w:pPr>
      <w:r>
        <w:t xml:space="preserve">f) La parte demandada en el proceso judicial sostuvo en su escrito de alegaciones que procedía plantear cuestión de inconstitucionalidad. A su juicio, «dada la especial naturaleza de las obligaciones impuestas en los pleitos de familia, en donde la realidad se modifica con mucha más rapidez que las resoluciones judiciales que pueden adecuar la situación legal a la real, y justamente a efectos de evitar la indefensión del ejecutado, la doctrina especializada ha entendido que, a pesar de la innecesariedad del previo requerimiento personal ( ... ) debe realizarse dicho requerimiento». </w:t>
      </w:r>
    </w:p>
    <w:p w:rsidR="00B01F4A" w:rsidRDefault="00B01F4A" w:rsidP="00B01F4A">
      <w:pPr>
        <w:pStyle w:val="TextoNormal"/>
      </w:pPr>
      <w:r>
        <w:t>g) Evacuadas las alegaciones de las partes, el Juzgado, por Auto de 26 de noviembre de 1996, acuerda el planteamiento de la presente cuestión de inconstitucionalidad.</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El órgano judicial identifica como norma cuestionada el párrafo primero, art. 921 L.E.C., de acuerdo con el cual </w:t>
      </w:r>
    </w:p>
    <w:p w:rsidR="00B01F4A" w:rsidRDefault="00B01F4A" w:rsidP="00B01F4A">
      <w:pPr>
        <w:pStyle w:val="TextoNormal"/>
      </w:pPr>
      <w:r>
        <w:t xml:space="preserve">«Si la Sentencia condenase al pago de cantidad determinada y líquida, se procederá siempre, y sin necesidad de previo requerimiento personal al condenado, al embargo de sus bienes en la forma y por el orden prevenido para el juicio ejecutivo.» </w:t>
      </w:r>
    </w:p>
    <w:p w:rsidR="00B01F4A" w:rsidRDefault="00B01F4A" w:rsidP="00B01F4A">
      <w:pPr>
        <w:pStyle w:val="TextoNormal"/>
      </w:pPr>
      <w:r>
        <w:lastRenderedPageBreak/>
        <w:t xml:space="preserve">Se especifica en el Auto de planteamiento que «el punto de este precepto que se considera contrario a la Constitución es ( ... ) la imposibilidad de formular oposición a la ejecución en ningún caso, en los procesos de familia y, especialmente, en las obligaciones de pago de alimentos y prestaciones periódicas compensatorias que se derivan de las mismas» (fundamento jurídico l.º). </w:t>
      </w:r>
    </w:p>
    <w:p w:rsidR="00B01F4A" w:rsidRDefault="00B01F4A" w:rsidP="00B01F4A">
      <w:pPr>
        <w:pStyle w:val="TextoNormal"/>
      </w:pPr>
      <w:r>
        <w:t xml:space="preserve">En relación con el denominado juicio de relevancia, se señala en el Auto de planteamiento que «la norma aplicable en el proceso de ejecución, en ausencia de preceptos específicos de carácter procesal que regulen la ejecución de las obligaciones dimanantes de procesos de familia, es el art. 921 de la Ley de Enjuiciamiento Civil» (fundamento jurídico 2.º). </w:t>
      </w:r>
    </w:p>
    <w:p w:rsidR="00B01F4A" w:rsidRDefault="00B01F4A" w:rsidP="00B01F4A">
      <w:pPr>
        <w:pStyle w:val="TextoNormal"/>
      </w:pPr>
      <w:r>
        <w:t xml:space="preserve">En opinión del Juzgado, «la remisión de las normas procesales de las Disposiciones adicionales de la Ley 30/1981 a las normas generales sobre ejecución de sentencias de la Ley de Enjuiciamiento Civil puede resultar contraria a la Constitución» por las siguientes razones: </w:t>
      </w:r>
    </w:p>
    <w:p w:rsidR="00B01F4A" w:rsidRDefault="00B01F4A" w:rsidP="00B01F4A">
      <w:pPr>
        <w:pStyle w:val="TextoNormal"/>
      </w:pPr>
      <w:r>
        <w:t xml:space="preserve">a) Por vulneración del art. 24.1 C.E. (tutela judicial). En este punto el Juzgado se extiende en una serie de consideraciones relativas a la especificidad de los procesos de familia y a la consiguiente inadecuación del régimen general del art. 921 L.E.C. En sus palabras, «la exigencia de tutela efectiva del art. 24.1 de la Constitución debiera determinar la restricción del término «se procederá siempre» del art. 921 L.E.C., introduciendo la posibilidad de que en determinados casos fuera admisible la oposición a la ejecución, por la vía incidental, cuando las circunstancias previstas en la Sentencia se hubieren alterado sustancialmente, aun cuando por su naturaleza extraordinaria pudiera restringirse el ejercicio de la oposición con la exigencia de un principio de prueba como requisito de admisibilidad de la demanda de oposición, y la constitución de fianza» (fundamento jurídico 3.º). </w:t>
      </w:r>
    </w:p>
    <w:p w:rsidR="00B01F4A" w:rsidRDefault="00B01F4A" w:rsidP="00B01F4A">
      <w:pPr>
        <w:pStyle w:val="TextoNormal"/>
      </w:pPr>
      <w:r>
        <w:t xml:space="preserve">b) Por vulneración del art. 24.1 C.E. (indefensión). Sostiene el órgano judicial que no son infrecuentes «situaciones como la de autos, en las que una modificación en el régimen de guarda pactada verbalmente por los progenitores, en base al principio de buena fe o asentida como acto propio de singular relevancia durante un largo período de tiempo (como ocurre en el caso de autos, en el que la ejecución no es solicitada hasta después de que hubieran transcurrido más de dos años desde que la hija se instaló a vivir con el padre), coloca en absoluta indefensión a quien, confiado en tal pacto tácito, no ha instado un nuevo proceso de modificación de los efectos de la sentencia. Al igual ocurre en repetidos casos en los que un hijo mayor de edad accede al mundo laboral, con sueldo suficiente, y oculta tal circunstancia al progenitor con el que no convive, impidiendo con ello toda posibilidad de que éste inste la acción declarativa correspondiente hasta que ha transcurrido un largo lapso de tiempo, propiciando con ello actuaciones inspiradas en la mala fe, y con notorio ejercicio abusivo de derecho, que el ejecutado se ve impedido de argumentar y probar ante los tribunales, por el impedimento establecido en el art. 921 de la L.E.C.» (fundamento jurídico 3.º). </w:t>
      </w:r>
    </w:p>
    <w:p w:rsidR="00B01F4A" w:rsidRDefault="00B01F4A" w:rsidP="00B01F4A">
      <w:pPr>
        <w:pStyle w:val="TextoNormal"/>
      </w:pPr>
      <w:r>
        <w:t xml:space="preserve">El Auto de planteamiento se centra a continuación en el examen de posibles vías de interpretación del precepto cuestionado que pudieran hacer posible su conformidad con la Constitución, concluyendo que, dada la literalidad de la norma, sólo cabe la interpretación que, excluyendo toda posibilidad de oposición a la ejecución, hace del precepto una norma contraria al art. 24.1 C.E. </w:t>
      </w:r>
    </w:p>
    <w:p w:rsidR="00B01F4A" w:rsidRDefault="00B01F4A" w:rsidP="00B01F4A">
      <w:pPr>
        <w:pStyle w:val="TextoNormal"/>
      </w:pPr>
      <w:r>
        <w:t xml:space="preserve">Examina seguidamente el Juzgado la posible existencia de otras vías de tutela del derecho del ejecutado. En su opinión, no puede argumentarse que el derecho a la tutela judicial del ejecutado se ha visto realizado y satisfecho en el proceso principal, pues entonces sólo pudieron tenerse en cuenta las circunstancias entonces existentes y de lo que se trata ahora, </w:t>
      </w:r>
      <w:r>
        <w:lastRenderedPageBreak/>
        <w:t xml:space="preserve">justamente, es de hacer posible el examen de las circunstancias vigentes al tiempo de interesarse la ejecución de la Sentencia. </w:t>
      </w:r>
    </w:p>
    <w:p w:rsidR="00B01F4A" w:rsidRDefault="00B01F4A" w:rsidP="00B01F4A">
      <w:pPr>
        <w:pStyle w:val="TextoNormal"/>
      </w:pPr>
      <w:r>
        <w:t xml:space="preserve">Tampoco considera afortunada la referencia del Ministerio Fiscal a la posibilidad de ejercitar una acción de modificación de las medidas reguladoras de los efectos de la separación reconocidos por Sentencia firme. Esa acción no parece adecuada cuando las circunstancias alteradas son consecuencia de pactos entre las partes o de situaciones de hecho tácitamente asentidas, pues «ningún precepto legal determina que necesariamente deban ser ( ... ) objeto de un nuevo litigio ante los tribunales puesto que los principios básicos del derecho de obligaciones ( ... ), de libertad de pactos y contratación y de fuerza legal de los mismos, no están excluidos del derecho de familia, y aun cuando su eficacia pueda quedar limitada en aquellas materias de orden público que han de someterse, en todo caso, a aprobación judicial, negar absolutamente ningún tipo de eficacia de los mismos pugnaría con los principios generales de la equidad y de la justicia». En el Auto se recuerda «la doctrina que admite unánimemente la posibilidad de satisfacción extraprocesal de las obligaciones dimanantes de sentencia firme, y el carácter dispositivo de los derechos derivados de las sentencias que se desprende del art. 919 de la L.E.C. para quien ha obtenido el reconocimiento del derecho. En tales casos, la innecesariedad de acudir al procedimiento judicial modificatorio es evidente, y práctica constante en el derecho de familia, pues lo contrario obligaría a los ciudadanos que han padecido una crisis matrimonial a estar continuamente litigando. En tales casos, el principio de validez de los pactos y de los actos propios necesita contar con una posibilidad procesal de formular oposición fundada a cualquier ejecución que, de forma impropia, y con ánimo lesivo, pueda ejercitarse después del trascurso del tiempo» (fundamento jurídico 5.º). Por otro lado, en el caso de que la vía a seguir fuera la propuesta por el Ministerio Fiscal, la nueva Sentencia sólo produciría efectos desde su firmeza y no tendría efectos extintivos de las obligaciones de la primera ejecutoria, lo que provocaría la injusta situación de mantener la vigencia de obligaciones que no tendrían fundamento en ningún derecho material. </w:t>
      </w:r>
    </w:p>
    <w:p w:rsidR="00B01F4A" w:rsidRDefault="00B01F4A" w:rsidP="00B01F4A">
      <w:pPr>
        <w:pStyle w:val="TextoNormal"/>
      </w:pPr>
      <w:r>
        <w:t xml:space="preserve">El Auto de planteamiento concluye con el examen de una posibilidad no invocada por ninguna de las partes. Se trataría de la acción de devolución del pago de lo indebido o del enriquecimiento injusto. Sin embargo, el hecho de que la primera sólo pueda prosperar una vez ha realizado el pago y siempre que éste no venga avalado por ningún título, ciega de raíz esta vía procesal, pues la Sentencia sería título suficiente. Por su parte, optar por un declarativo de resarcimiento por enriquecimiento injusto supondría restaurar el principio solve et repete. </w:t>
      </w:r>
    </w:p>
    <w:p w:rsidR="00B01F4A" w:rsidRDefault="00B01F4A" w:rsidP="00B01F4A">
      <w:pPr>
        <w:pStyle w:val="TextoNormal"/>
      </w:pPr>
      <w:r>
        <w:t>En definitiva, «la imposibilidad razonada de una interpretación correctiva de la rigidez del mandato legal del primer párrafo del art. 921 de la L.E.C., la inexistencia de ninguna otra vía de satisfacción del derecho a la tutela efectiva en los supuestos analizados, del ámbito del derecho de familia, y la realidad, derivada del caso de autos con toda nitidez, de una efectiva y rotunda denegación de acceso a la justicia, justifican ( ... ) el planteamiento de la presente cuestión de inconstitucionalidad» (fundamento jurídico 5.º, infine).</w:t>
      </w:r>
    </w:p>
    <w:p w:rsidR="00B01F4A" w:rsidRDefault="00B01F4A" w:rsidP="00B01F4A">
      <w:pPr>
        <w:pStyle w:val="TextoNormal"/>
      </w:pPr>
    </w:p>
    <w:p w:rsidR="00B01F4A" w:rsidRDefault="00B01F4A" w:rsidP="00B01F4A">
      <w:pPr>
        <w:pStyle w:val="TextoNormal"/>
      </w:pPr>
      <w:r w:rsidRPr="00B01F4A">
        <w:rPr>
          <w:rStyle w:val="NumeroAFNegritaCaracter"/>
        </w:rPr>
        <w:t>4</w:t>
      </w:r>
      <w:r>
        <w:t>. Por providencia de 14 de enero de 1997, la Sección Cuarta de este Tribunal, de conformidad con lo dispuesto en el art. 37.1 LOTC, acordó oír al Fiscal General del Estado para que, en el plazo de diez días, alegara lo que estimase oportuno en relación con la posible concurrencia de la causa de inadmisión consistente en el carácter notoriamente infundado de la cuestión planteada.</w:t>
      </w:r>
    </w:p>
    <w:p w:rsidR="00B01F4A" w:rsidRDefault="00B01F4A" w:rsidP="00B01F4A">
      <w:pPr>
        <w:pStyle w:val="TextoNormal"/>
      </w:pPr>
    </w:p>
    <w:p w:rsidR="00B01F4A" w:rsidRDefault="00B01F4A" w:rsidP="00B01F4A">
      <w:pPr>
        <w:pStyle w:val="TextoNormal"/>
      </w:pPr>
      <w:r w:rsidRPr="00B01F4A">
        <w:rPr>
          <w:rStyle w:val="NumeroAFNegritaCaracter"/>
        </w:rPr>
        <w:lastRenderedPageBreak/>
        <w:t>5</w:t>
      </w:r>
      <w:r>
        <w:t xml:space="preserve">. El Fiscal General del Estado presentó su escrito de alegaciones el 18 de febrero de 1997. Centrándose, en primer lugar, en el examen del precepto cuestionado desde la perspectiva del derecho a la tutela judicial efectiva, el Fiscal General del Estado sostiene que el estudio de los argumentos expuestos por el órgano judicial permite afirmar que la cuestión es notoriamente infundada. A su juicio, el embargo previsto en el art. 921 de la L.E.C. es consecuencia de una Sentencia firme que pone fin a un proceso en el que se han observado todas las garantías procesales. La ejecución subsiguiente de la Sentencia constituye el medio procesal de hacerla efectiva y, habiendo sido oídas las partes en el proceso, no cabe ya otra audiencia. Las partes sólo podrían ser oídas de nuevo cuando los términos de la Sentencia no estuvieran total y perfectamente delimitados, es decir, cuando su efectividad requiriese precisar tales términos mediante una operación material o intelectual, pero no cuando la Sentencia se concreta a una cantidad determinada y líquida, supuesto en el que se impone el embargo de los bienes del deudor sin necesidad de requerimiento previo o de audiencia. </w:t>
      </w:r>
    </w:p>
    <w:p w:rsidR="00B01F4A" w:rsidRDefault="00B01F4A" w:rsidP="00B01F4A">
      <w:pPr>
        <w:pStyle w:val="TextoNormal"/>
      </w:pPr>
      <w:r>
        <w:t xml:space="preserve">No cabe audiencia -continúa el escrito de alegaciones- sobre la determinación y liquidez de la condena, pero sí sobre la concurrencia de los presupuestos legales que exige la norma para proceder al embargo en el momento en que se solicita la ejecución. La norma procesal (art. 919 L.E.C.) exige para la ejecución forzosa de una Sentencia la solicitud de la parte y que se realice por el órgano judicial que conoció el asunto. Para satisfacer la voluntad de la parte que pide la ejecución se requiere al deudor para que cumpla la condena, y sólo cuando no lo haga se le embargan los bienes necesarios como garantía de cumplimiento. El art. 921 L.E.C. exige la realidad de la condena en el momento procesal de la ejecución y que sea determinada y líquida, suprimiendo entonces la necesidad de requerimiento personal al entender que, por tratarse de cantidad líquida y determinada, el condenado conoce su contenido y puede hacerla efectiva. </w:t>
      </w:r>
    </w:p>
    <w:p w:rsidR="00B01F4A" w:rsidRDefault="00B01F4A" w:rsidP="00B01F4A">
      <w:pPr>
        <w:pStyle w:val="TextoNormal"/>
      </w:pPr>
      <w:r>
        <w:t xml:space="preserve">El acto procesal simultáneo para iniciar la ejecución de la Sentencia consistente en notificarle al condenado la voluntad de la parte de hacer efectiva la Sentencia y el embargo de sus bienes no impiden (STC 110/1993) que esta normativa procesal -notificación y adopción de la medida cautelar- se interprete con las garantías derivadas del art. 24.1 C.E., interpretación a la que obligan los arts. 5.1 y 7.1 L.O.P.J., de tal modo que no se puede impedir al deudor hacer las alegaciones que estime pertinentes en relación con la concurrencia de las exigencias legales impuestas por el art. 921 L.E.C., es decir, que exista la voluntad de ejecutar la deuda y que ésta sea líquida y determinada. La ley no establece un procedimiento para hacer estas alegaciones, pero exige unos presupuestos legales para realizar el embargo que han de ser verificados de oficio por el órgano judicial y que, de no ser advertidos por éste, pueden ser puestos de manifiesto por el deudor, a quien en ningún caso se le puede producir indefensión. Esta situación se podría producir si se repelen hasta las más justas causas de oposición, como pueden ser el pago o el cumplimiento de la condena, con el pretexto del contenido de la norma procesal, lo que constituiría no una intimación judicial, sino una coacción arbitraria que en ningún caso podrá darse en una decisión judicial. En definitiva, el órgano judicial tiene que ordenar el embargo por prescripción legal, pero tiene que examinar si se dan las circunstancias exigidas por la ley para esta actividad procesal, teniendo siempre en cuenta la dimensión constitucional que impone la defensión de las partes. </w:t>
      </w:r>
    </w:p>
    <w:p w:rsidR="00B01F4A" w:rsidRDefault="00B01F4A" w:rsidP="00B01F4A">
      <w:pPr>
        <w:pStyle w:val="TextoNormal"/>
      </w:pPr>
      <w:r>
        <w:t xml:space="preserve">A juicio del Fiscal General del Estado, esta interpretación del precepto es aplicable al proceso familiar porque su naturaleza no impone excepcionar esta normativa. La normativa procesal del procedimiento en materia de familia contempla una especialidad respecto a la ejecución de la Sentencia a petición de parte, constituida por la demanda de modificación de las medidas adoptadas en la Sentencia. Las partes tienen que acudir a este procedimiento </w:t>
      </w:r>
      <w:r>
        <w:lastRenderedPageBreak/>
        <w:t xml:space="preserve">cuando entiendan que, por modificación de la situación fáctica, fundamento de la Sentencia, se hace precisa la adaptación de las medidas acordadas a la nueva situación, y no puede considerarse el art. 921 L.E.C. contrario al derecho a la tutela judicial efectiva cuando por la falta de diligencia o de actividad procesal de la parte no haya podido obtener la pretensión que corresponda, sin que los acuerdos particulares de las partes dirigidos a modificar los términos de una Sentencia puedan sustituir a la normativa procesal establecida para su ejecución. </w:t>
      </w:r>
    </w:p>
    <w:p w:rsidR="00B01F4A" w:rsidRDefault="00B01F4A" w:rsidP="00B01F4A">
      <w:pPr>
        <w:pStyle w:val="TextoNormal"/>
      </w:pPr>
      <w:r>
        <w:t xml:space="preserve">Para el Fiscal General, el órgano judicial plantea la cuestión sin tener en cuenta la doctrina constitucional relativa a la interpretación de la norma cuestionada de acuerdo con la jurisprudencia que confirma la plena constitucionalidad del art. 921 L.E.C., tanto si se aplica en general como si se aplica al procedimiento familiar, porque en ambos casos es obligado el examen de los presupuestos legales exigidos para hacer efectiva una condena líquida y determinada, no significando la falta de requerimiento nada más que una mayor rapidez en la constitución de una garantía por medio del embargo para el logro de la efectividad de la condena siempre que no esté ya extinguida. </w:t>
      </w:r>
    </w:p>
    <w:p w:rsidR="00B01F4A" w:rsidRDefault="00B01F4A" w:rsidP="00B01F4A">
      <w:pPr>
        <w:pStyle w:val="TextoNormal"/>
      </w:pPr>
      <w:r>
        <w:t>Por lo expuesto, se interesa la inadmisión de la presente cuestión de inconstitucionalidad.</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art. 921 L.E.C. dispone que «si la Sentencia condenase al pago de cantidad determinada y líquida, se procederá siempre, y sin necesidad de previo requerimiento personal al condenado, al embargo de sus bienes en la forma y por el orden prevenido para el juicio ejecutivo». El órgano judicial proponente considera que en los procesos de familia se impone permitir al condenado, en beneficio de su defensa, la posibilidad de oponerse a la ejecución cuando las circunstancias del momento difieran sustancialmente de las imperantes al tiempo de dictarse la Sentencia. De lo contrario -sostiene- se fomentarían prácticas abusivas como, a su juicio, la de autos. No siendo infrecuente que lo ordenado en Sentencia sea objeto de modificación por acuerdo de las partes, sería obligado permitir que la parte defraudada en su buena fe por la solicitud de ejecución de la Sentencia pueda oponer las «nuevas circunstancias en el momento de ser requerido para el pago. La Audiencia Provincial, por el contrario, al estimar el recurso promovido por la actora civil contra la decisión del Juzgado de abrir un incidente de ejecución, ha entendido que la Sentencia firme ha de ser ejecutada en sus propios términos y que, por tanto, no puede someterse a discusión en vía incidental lo ya resuelto en el proceso.</w:t>
      </w:r>
    </w:p>
    <w:p w:rsidR="00B01F4A" w:rsidRDefault="00B01F4A" w:rsidP="00B01F4A">
      <w:pPr>
        <w:pStyle w:val="TextoNormal"/>
      </w:pPr>
    </w:p>
    <w:p w:rsidR="00B01F4A" w:rsidRDefault="00B01F4A" w:rsidP="00B01F4A">
      <w:pPr>
        <w:pStyle w:val="TextoNormal"/>
      </w:pPr>
      <w:r w:rsidRPr="00B01F4A">
        <w:rPr>
          <w:rStyle w:val="NumeroAFNegritaCaracter"/>
        </w:rPr>
        <w:t>2</w:t>
      </w:r>
      <w:r>
        <w:t>. Los requisitos que la Constitución (art. 163) y la Ley Orgánica del Tribunal Constitucional (art. 35) imponen al planteamiento de las cuestiones de inconstitucionalidad tiene su evidente razón de ser, precisamente, en la necesidad de asegurar que aquéllos sirven estrictamente a su finalidad, y el control de admisibilidad que este Tribunal ha de ejercer es el medio indispensable para verificar la existencia de estos requisitos (STC 17/198l).</w:t>
      </w:r>
    </w:p>
    <w:p w:rsidR="00B01F4A" w:rsidRDefault="00B01F4A" w:rsidP="00B01F4A">
      <w:pPr>
        <w:pStyle w:val="TextoNormal"/>
      </w:pPr>
      <w:r>
        <w:t>La finalidad de la cuestión de inconstitucionalidad, ha declarado este Tribunal en doctrina reiterada (SSTC 157/1990, 222/1992, 238/1992 y 114/1994, por todas) no es en modo alguno resolver controversias interpretativas sobre la legalidad entre órganos jurisdiccionales o dudas sobre el alcance de determinado precepto legal, para lo cual el ordenamiento dispone de otros cauces, sino enjuiciar la conformidad a la Constitución de una norma con rango de Ley que sea aplicable al caso y de cuya validez dependa el fallo.</w:t>
      </w:r>
    </w:p>
    <w:p w:rsidR="00B01F4A" w:rsidRDefault="00B01F4A" w:rsidP="00B01F4A">
      <w:pPr>
        <w:pStyle w:val="TextoNormal"/>
      </w:pPr>
      <w:r>
        <w:lastRenderedPageBreak/>
        <w:t>Sentado cuanto antecede, debe concluirse que la presente cuestión no puede ser admitida a trámite, puesto que con su promoción el Juzgado se sirve de este procedimiento para desatender lo acordado por la Audiencia Provincial en su Auto de 10 de mayo de 1996. En esta resolución, según se ha hecho constar en los antecedentes de esta Sentencia, la Audiencia mandó seguir adelante la ejecución de la Sentencia de divorcio, ahora no parece sino que el Juzgado pretende eludir ese mandamiento cuestionando ante este Tribunal, en último término, la corrección del proceder de la Audiencia, siendo así que, en realidad, el Juzgado de Primera Instancia no se encuentra en posición de decidir acerca de la aplicabilidad al caso de una concreta norma legal, sino que, antes al contrario, viene obligado a ejecutar la Sentencia de divorcio en los términos decididos por la Audiencia Provincial al considerar de aplicación la norma que ahora pretende cuestionarse. En definitiva, el Juzgado no cuestiona la constitucionalidad de una norma aplicable al caso, sino la constitucionalidad de un precepto legal, ya aplicado por la Audiencia Provincial. En estas circunstancias, la admisión a trámite de la presente cuestión de inconstitucionalidad supondría tanto como hacer posible que este procedimiento, lejos de servir a los fines que le son propios, se erigiera en un instrumento para que, a instancia de un órgano judicial, se controlaran decisiones sobre la aplicación de normas adoptadas por órganos judiciales superiores y no, como es obligado, en un medio para la resolución de dudas de inconstitucionalidad suscitadas por los Jueces y Tribunales en relación con normas aplicables al caso, no con las ya aplicadas en una instancia superior.</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consecuencia, el Pleno del Tribunal acuerda la inadmisión de la presente cuestión de inconstitucionalidad y el archivo de las actuaciones.</w:t>
      </w:r>
    </w:p>
    <w:p w:rsidR="00B01F4A" w:rsidRDefault="00B01F4A" w:rsidP="00B01F4A">
      <w:pPr>
        <w:pStyle w:val="TextoNormal"/>
      </w:pPr>
    </w:p>
    <w:p w:rsidR="00B01F4A" w:rsidRDefault="00B01F4A" w:rsidP="00B01F4A">
      <w:pPr>
        <w:pStyle w:val="TextoNormal"/>
      </w:pPr>
      <w:r>
        <w:t>Madrid, a veintiséis de febrero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53" w:name="AUTO_1997_63"/>
      <w:r>
        <w:lastRenderedPageBreak/>
        <w:t>AUTO 63/1997, de 6 de marzo de 1997</w:t>
      </w:r>
    </w:p>
    <w:bookmarkEnd w:id="153"/>
    <w:p w:rsidR="00B01F4A" w:rsidRDefault="00B01F4A" w:rsidP="00B01F4A">
      <w:pPr>
        <w:pStyle w:val="TtuloResolucin"/>
      </w:pPr>
      <w:r>
        <w:t>Sección Segunda</w:t>
      </w:r>
    </w:p>
    <w:p w:rsidR="00B01F4A" w:rsidRDefault="00B01F4A" w:rsidP="00B01F4A">
      <w:pPr>
        <w:pStyle w:val="TtuloResolucin"/>
      </w:pPr>
    </w:p>
    <w:p w:rsidR="00B01F4A" w:rsidRDefault="00B01F4A" w:rsidP="00B01F4A">
      <w:pPr>
        <w:pStyle w:val="SntesisDescriptiva"/>
      </w:pPr>
      <w:r>
        <w:t>ECLI:ES:TC:1997:63A</w:t>
      </w:r>
    </w:p>
    <w:p w:rsidR="00B01F4A" w:rsidRDefault="00B01F4A" w:rsidP="00B01F4A">
      <w:pPr>
        <w:pStyle w:val="SntesisDescriptiva"/>
      </w:pPr>
    </w:p>
    <w:p w:rsidR="00B01F4A" w:rsidRDefault="00B01F4A" w:rsidP="00B01F4A">
      <w:pPr>
        <w:pStyle w:val="SntesisDescriptiva"/>
      </w:pPr>
      <w:r>
        <w:t>Excms. Srs. don José Vicente Gimeno Sendra, don Pedro Cruz Villalón y don Pablo García Manzano.</w:t>
      </w:r>
    </w:p>
    <w:p w:rsidR="00B01F4A" w:rsidRDefault="00B01F4A" w:rsidP="00B01F4A">
      <w:pPr>
        <w:pStyle w:val="SntesisDescriptiva"/>
      </w:pPr>
    </w:p>
    <w:p w:rsidR="00B01F4A" w:rsidRDefault="00B01F4A" w:rsidP="00B01F4A">
      <w:pPr>
        <w:pStyle w:val="SntesisDescriptiva"/>
      </w:pPr>
      <w:r>
        <w:t>Acordando la inadmisión a trámite del recurso de amparo 212/1997. Voto particular.</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xml:space="preserve">. Mediante escrito de demanda registrado ante este Tribunal el 16 de enero de 1997, el Ministerio Fiscal interpuso recurso de amparo contra el Auto de la Sala Segunda del Tribunal Supremo, de 20 de diciembre de 1996, por el que se estiman, en parte, diversos recursos de apelación interpuestos contra el Auto dictado por el Magistrado Instructor de la causa especial núm. 880/91, de fecha 22 de diciembre de 1995. </w:t>
      </w:r>
    </w:p>
    <w:p w:rsidR="00B01F4A" w:rsidRDefault="00B01F4A" w:rsidP="00B01F4A">
      <w:pPr>
        <w:pStyle w:val="TextoNormal"/>
      </w:pPr>
      <w:r>
        <w:t>Esta última resolución acordó la apertura del juicio oral con relación a diversos imputados y el sobreseimiento libre respecto de otros, en tanto que el Auto cuestionado ahora en amparo, al revocar parcialmente el anterior, ha decretado la apertura del juicio oral para varios de los imputados respecto de los que el Instructor había dictado auto de sobreseimiento libre, ha confirmado la apertura del juicio oral decretada por aquél contra otros, y ha decidido, de forma definitiva y firme, el sobreseimiento libre respecto de otros varios imputados.</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El Ministerio Fiscal, promotor del recurso de amparo, estima, en síntesis, que el Auto dictado por la Sala Segunda del Tribunal Supremo vulnera el art. 24.1 C.E., exclusivamente en cuanto acuerda el sobreseimiento libre del art. 637.2 L.E.Crim. con respecto a dos de los imputados en el procedimiento, por haber apreciado «la concurrencia de una causa de extinción de la responsabilidad criminal -la prescripción-, sin haber dado a este Ministerio ni a las demás partes procesales oportunidad de alegar lo procedente acerca de su concurrencias». </w:t>
      </w:r>
    </w:p>
    <w:p w:rsidR="00B01F4A" w:rsidRDefault="00B01F4A" w:rsidP="00B01F4A">
      <w:pPr>
        <w:pStyle w:val="TextoNormal"/>
      </w:pPr>
      <w:r>
        <w:t>Puntualiza en este sentido el Ministerio Fiscal, además, que «no es el problema mismo de la prescripción lo que traemos a este recurso, pues se trata de una cuestión de legalidad ordinaria, sino la falta de audiencia sobre un extremo de absoluta relevancia a la hora de tomar la decisión de sobreseer libremente -dictando una resolución equiparable a una sentencia absolutoria-...».</w:t>
      </w:r>
    </w:p>
    <w:p w:rsidR="00B01F4A" w:rsidRDefault="00B01F4A" w:rsidP="00B01F4A">
      <w:pPr>
        <w:pStyle w:val="TextoNormal"/>
      </w:pPr>
    </w:p>
    <w:p w:rsidR="00B01F4A" w:rsidRDefault="00B01F4A" w:rsidP="00B01F4A">
      <w:pPr>
        <w:pStyle w:val="TextoNormal"/>
      </w:pPr>
      <w:r w:rsidRPr="00B01F4A">
        <w:rPr>
          <w:rStyle w:val="NumeroAFNegritaCaracter"/>
        </w:rPr>
        <w:t>3</w:t>
      </w:r>
      <w:r>
        <w:t>. La Sección, mediante providencia fechada el 31 de enero de 1997, acordó conceder al Ministerio Fiscal el plazo establecido en el art. 50.3 LOTC al objeto de que pudiese formular alegaciones sobre la concurrencia de las causas de inadmisibilidad consistentes en la «alta de legitimación activa» y en «carecer la demanda manifiestamente de contenido que justifique una decisión por parte de este Tribunal Constitucional».</w:t>
      </w:r>
    </w:p>
    <w:p w:rsidR="00B01F4A" w:rsidRDefault="00B01F4A" w:rsidP="00B01F4A">
      <w:pPr>
        <w:pStyle w:val="TextoNormal"/>
      </w:pPr>
    </w:p>
    <w:p w:rsidR="00B01F4A" w:rsidRDefault="00B01F4A" w:rsidP="00B01F4A">
      <w:pPr>
        <w:pStyle w:val="TextoNormal"/>
      </w:pPr>
      <w:r w:rsidRPr="00B01F4A">
        <w:rPr>
          <w:rStyle w:val="NumeroAFNegritaCaracter"/>
        </w:rPr>
        <w:t>4</w:t>
      </w:r>
      <w:r>
        <w:t xml:space="preserve">. El recurrente, a través de su escrito de alegaciones registrado el 12 de febrero de 1997, se manifiesta contrario a la concurrencia en la demanda de amparo de las referidas causas de inadmisibilidad. </w:t>
      </w:r>
    </w:p>
    <w:p w:rsidR="00B01F4A" w:rsidRDefault="00B01F4A" w:rsidP="00B01F4A">
      <w:pPr>
        <w:pStyle w:val="TextoNormal"/>
      </w:pPr>
      <w:r>
        <w:t xml:space="preserve">a) En cuanto a la supuesta «falta de legitimación» y tras hacerse eco del contenido de los arts. 162.1 b) C.E. y 46.1 b) LOTC y de la doctrina sentada en la STC 86/1985, afirma el Ministerio Fiscal ser titular de una «legitimación propia... no sólo por haberse constituido formalmente, en parte, en el proceso judicial, sino porque dicha constitución deriva de los fines que constitucionalmente tiene atribuidos ... », lo que, en resumidas cuentas y con postrera cita del ATC 191/1988, le conduce a estimar que «si todas las personas que tienen capacidad para ser parte en un proceso tienen derecho a obtener la tutela judicial efectiva sin indefensión, el Ministerio Fiscal debe poder ser considerado titular del mismo y de las varias garantías procesales elevadas a la categoría de derechos fundamentales consagradas en el art. 24.2 de la C.E.». </w:t>
      </w:r>
    </w:p>
    <w:p w:rsidR="00B01F4A" w:rsidRDefault="00B01F4A" w:rsidP="00B01F4A">
      <w:pPr>
        <w:pStyle w:val="TextoNormal"/>
      </w:pPr>
      <w:r>
        <w:t xml:space="preserve">b) En lo referente a la «carencia manifiesta de contenido constitucional de la demanda de amparo», el Ministerio Fiscal, tras extenderse acerca de la no concurrencia en el caso de la causa de inadmisibilidad consistente en la falta de agotamiento de todos los recursos utilizables dentro de la vía judicial, sostiene que el objeto de su queja no recae sobre la apreciación de la prescripción, en sí misma considerada, sino sobre la no concesión a las partes de un trámite que les hubiera posibilitado alegar lo que estimaran procedente acerca de dicha causa de extinción de la responsabilidad criminal. </w:t>
      </w:r>
    </w:p>
    <w:p w:rsidR="00B01F4A" w:rsidRDefault="00B01F4A" w:rsidP="00B01F4A">
      <w:pPr>
        <w:pStyle w:val="TextoNormal"/>
      </w:pPr>
      <w:r>
        <w:t>Finaliza su alegato el Fiscal afirmando que «de lo que se trata en este caso es de la infracción del derecho a la tutela judicial efectiva desde la doble perspectiva de la falta de audiencia a las partes acerca de la concurrencia de una causa de extinción de la responsabilidad criminal unida a la que se produce por una resolución judicial que, por dar lugar a un tratamiento desigual de situaciones idénticas, deja de ser una resolución realmente fundada, para convertirse en otra carente de fundamentación, y, en consecuencia, objetivamente arbitraria».</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Una vez cumplimentado el trámite de alegaciones a que se refiere el art.  50.3 LOTC, hemos de confirmar la concurrencia del motivo de inadmisibilidad inicialmente señalado en nuestra providencia de 31 de enero de 1997, consistente en la falta de legitimación del Ministerio Fiscal para promover el recurso de amparo de referencia [art. 50.1 a) en relación con el art. 46.1 b), ambos de la LOTC].</w:t>
      </w:r>
    </w:p>
    <w:p w:rsidR="00B01F4A" w:rsidRDefault="00B01F4A" w:rsidP="00B01F4A">
      <w:pPr>
        <w:pStyle w:val="TextoNormal"/>
      </w:pPr>
    </w:p>
    <w:p w:rsidR="00B01F4A" w:rsidRDefault="00B01F4A" w:rsidP="00B01F4A">
      <w:pPr>
        <w:pStyle w:val="TextoNormal"/>
      </w:pPr>
      <w:r w:rsidRPr="00B01F4A">
        <w:rPr>
          <w:rStyle w:val="NumeroAFNegritaCaracter"/>
        </w:rPr>
        <w:t>2</w:t>
      </w:r>
      <w:r>
        <w:t>. Afirma el Ministerio Fiscal, en su escrito de alegaciones, que se encuentra legitimado activamente en el presente recurso de amparo, con cita de los arts.  162.1 b) y 124 de la Constitución, y del art. 46.1 b) LOTC. Sin embargo, la legitimación que le otorgan esos preceptos no puede ser reconocida en un recurso como el presente.</w:t>
      </w:r>
    </w:p>
    <w:p w:rsidR="00B01F4A" w:rsidRDefault="00B01F4A" w:rsidP="00B01F4A">
      <w:pPr>
        <w:pStyle w:val="TextoNormal"/>
      </w:pPr>
      <w:r>
        <w:t>Se hace obligado determinar, con carácter previo, el derecho fundamental que funda el recurso de amparo, y la pretensión hecha valer para restablecerlo (art. 41.3 LOTC), a los efectos de dilucidar la relación jurídico material que vincula al Ministerio Público con el objeto de este amparo constitucional.</w:t>
      </w:r>
    </w:p>
    <w:p w:rsidR="00B01F4A" w:rsidRDefault="00B01F4A" w:rsidP="00B01F4A">
      <w:pPr>
        <w:pStyle w:val="TextoNormal"/>
      </w:pPr>
      <w:r>
        <w:t xml:space="preserve">En este sentido es necesario precisar que, no obstante la calificación legal efectuada en la demanda de amparo («infracción del derecho a la tutela judicial efectiva y a no sufrir </w:t>
      </w:r>
      <w:r>
        <w:lastRenderedPageBreak/>
        <w:t>indefensión»), en realidad, ninguna de las manifestaciones del derecho constitucional a la tutela judicial que reconoce el art. 24.1 C.E. se encuentra aquí comprometida. Lo que se impugna es un Auto de sobreseimiento libre que beneficia a dos de los acusados en la causa especial que se instruye ante la Sala de lo Penal del Tribunal Supremo. Lo que se pide es su anulación, que conlleva inevitablemente que los Sres. Larrazábal Urilasterra y Lorenzo Elvira vuelvan a quedar sometidos al proceso en calidad de acusados, del cual habían quedado apartados definitivamente en virtud del sobreseimiento (SSTC 34/1983, fundamentos jurídicos 3.º y 4.º, y 40/1988, fundamento jurídico 4.º). Y la razón para instar la anulación del sobreseimiento consiste en no haber prestado audiencia el Tribunal Supremo al Ministerio Fiscal, con carácter previo a dictar dicha resolución, todo ello, en orden a alegar sobre la no concurrencia de la prescripción del delito que la Sala ha apreciado de oficio.</w:t>
      </w:r>
    </w:p>
    <w:p w:rsidR="00B01F4A" w:rsidRDefault="00B01F4A" w:rsidP="00B01F4A">
      <w:pPr>
        <w:pStyle w:val="TextoNormal"/>
      </w:pPr>
      <w:r>
        <w:t>Delimitado en tales términos el acto o, mejor, la omisión del órgano judicial supuestamente lesiva del art. 24.1 C.E., se hace obligado afirmar que el derecho fundamental vulnerado no es el de tutela judicial efectiva, sino el de defensa: la negación de un supuesto derecho de audiencia con carácter previo a adoptar una resolución que, en última instancia, el Ministerio Fiscal considera lesiva para la actuación del ius puniendi del Estado.</w:t>
      </w:r>
    </w:p>
    <w:p w:rsidR="00B01F4A" w:rsidRDefault="00B01F4A" w:rsidP="00B01F4A">
      <w:pPr>
        <w:pStyle w:val="TextoNormal"/>
      </w:pPr>
      <w:r>
        <w:t>Así, pues, dada su cualidad de parte procesal imparcial, de auténtico amicus curiae de este Tribunal, hay que reconocer, en principio, legitimación activa al Ministerio Fiscal para interponer el recurso constitucional de amparo en defensa de los derechos fundamentales contenidos en el art. 24 de la C.E. que le hayan sido vulnerados en aquella condición de parte procesal y, muy singularmente para obtener el restablecimiento del derecho a la tutela judicial efectiva, tal y como, por lo demás, este Tribunal, desde siempre, ha declarado (SSTC 4/1987, 198/1987, 81/1990, 188/1992, 220/1993 y 256/1994, entre otras).</w:t>
      </w:r>
    </w:p>
    <w:p w:rsidR="00B01F4A" w:rsidRDefault="00B01F4A" w:rsidP="00B01F4A">
      <w:pPr>
        <w:pStyle w:val="TextoNormal"/>
      </w:pPr>
    </w:p>
    <w:p w:rsidR="00B01F4A" w:rsidRDefault="00B01F4A" w:rsidP="00B01F4A">
      <w:pPr>
        <w:pStyle w:val="TextoNormal"/>
      </w:pPr>
      <w:r w:rsidRPr="00B01F4A">
        <w:rPr>
          <w:rStyle w:val="NumeroAFNegritaCaracter"/>
        </w:rPr>
        <w:t>3</w:t>
      </w:r>
      <w:r>
        <w:t>. La anterior doctrina, sin embargo, no puede ser aplicada al presente caso, en el que, como se ha indicado, no está comprometido, en modo alguno, el derecho a la tutela.</w:t>
      </w:r>
    </w:p>
    <w:p w:rsidR="00B01F4A" w:rsidRDefault="00B01F4A" w:rsidP="00B01F4A">
      <w:pPr>
        <w:pStyle w:val="TextoNormal"/>
      </w:pPr>
      <w:r>
        <w:t>Pero nuestro examen no ha de finalizar aquí, pues debido a la circunstancia de que el Ministerio Fiscal ha invocado la vulneración del «derecho a la tutela judicial efectiva y a no sufrir indefensión», hemos de dar respuesta a una hipotética violación del derecho de defensa que, como proyección en el proceso de los antiguos brocardos audiatur et altera pars, ne absens dormetur, obliga al órgano jurisdiccional en el proceso penal a oír al imputado con anterioridad a la adopción de una resolución sancionatoria.</w:t>
      </w:r>
    </w:p>
    <w:p w:rsidR="00B01F4A" w:rsidRDefault="00B01F4A" w:rsidP="00B01F4A">
      <w:pPr>
        <w:pStyle w:val="TextoNormal"/>
      </w:pPr>
      <w:r>
        <w:t>Pues bien, una vez individualizado en tales términos el derecho fundamental vulnerado, hemos de declarar la falta de legitimación activa del M.F. para promover un recurso de amparo cuyo objeto se circunscribe al restablecimiento de un supuesto derecho de audiencia que, en su calidad de parte procesal acusadora no le asiste, ya que, en última instancia, dicho derecho de defensa no está destinado a proteger el derecho a la libertad del ciudadano, sino a promover la actuación del ius puniendi del Estado.</w:t>
      </w:r>
    </w:p>
    <w:p w:rsidR="00B01F4A" w:rsidRDefault="00B01F4A" w:rsidP="00B01F4A">
      <w:pPr>
        <w:pStyle w:val="TextoNormal"/>
      </w:pPr>
      <w:r>
        <w:t>En efecto, tal y como este Tribunal tiene declarado, no todos los derechos del art. 24 corresponden indiscriminadamente a cualesquiera partes en el proceso, pues, junto a la existencia de derechos procesales, que, por ser consustanciales a la misma idea de proceso (así, el derecho a la tutela, la «igualdad de armas», el derecho a la prueba, etc.), asisten a todas las partes procesales, permanecen otros que, para reequilibrar la desigualdad material entre el Estado y el imputado en la esfera del proceso, son de la exclusiva titularidad de la defensa. Así, hemos declarado que derechos tales como el derecho a un juez imparcial o al principio acusatorio (STC 136/1992), la presunción de inocencia y naturalmente el derecho penal de defensa asisten exclusivamente al imputado, por lo que no corresponde reclamar su protección constitucional a las partes acusadoras.</w:t>
      </w:r>
    </w:p>
    <w:p w:rsidR="00B01F4A" w:rsidRDefault="00B01F4A" w:rsidP="00B01F4A">
      <w:pPr>
        <w:pStyle w:val="TextoNormal"/>
      </w:pPr>
    </w:p>
    <w:p w:rsidR="00B01F4A" w:rsidRDefault="00B01F4A" w:rsidP="00B01F4A">
      <w:pPr>
        <w:pStyle w:val="TextoNormal"/>
      </w:pPr>
      <w:r w:rsidRPr="00B01F4A">
        <w:rPr>
          <w:rStyle w:val="NumeroAFNegritaCaracter"/>
        </w:rPr>
        <w:t>4</w:t>
      </w:r>
      <w:r>
        <w:t>. Por otro lado, y desde un punto de vista teleológico, se hace obligado recordar que el recurso de amparo es un instrumento de protección de los derechos y libertades fundamentales de los ciudadanos frente a los poderes públicos (art. 41.2 LOTC), por lo que no está destinado a tutelar el ius puniendi del Estado. Cuando el Fiscal se ha desviado de su función propia en sede de amparo constitucional, este Tribunal ha inadmitido su pretensión.</w:t>
      </w:r>
    </w:p>
    <w:p w:rsidR="00B01F4A" w:rsidRDefault="00B01F4A" w:rsidP="00B01F4A">
      <w:pPr>
        <w:pStyle w:val="TextoNormal"/>
      </w:pPr>
      <w:r>
        <w:t>En la STC 148/1994, que desestimó el amparo pedido contra la inejecución de condenas penales, declaramos que no cabía duda «que el órgano judicial, al margen de una motivación humanitaria comprensible, ha podido haber hecho uso de un arbitrio que legalmente no le corresponde, y que las Sentencias impugnadas han podido infringir preceptos legales sustantivos y procesales, al imponer la inejecución de la condena. Sin embargo, no corresponde al Tribunal Constitucional declarar la licitud o ilicitud de las inejecuciones de esas condenas sino sólo desde la perspectiva de la vulneración de algún derecho fundamental, que es lo que en este proceso constitucional puede postular el Ministerio Fiscal. El control de la licitud de lo decidido por los Tribunales penales es algo ajeno a la competencia de este Tribunal» (fundamento jurídico.  4.º, párrafos 4.º y 5º).</w:t>
      </w:r>
    </w:p>
    <w:p w:rsidR="00B01F4A" w:rsidRDefault="00B01F4A" w:rsidP="00B01F4A">
      <w:pPr>
        <w:pStyle w:val="TextoNormal"/>
      </w:pPr>
      <w:r>
        <w:t>Y en la STC 211/1994, que negó que procediera el amparo pedido por el Fiscal respecto de una absolución penal decretada por la Audiencia por entender que el cacheo policial que originó las actuaciones había sido ilícito, se declaró con rotundidad que «es importante recordar que el recurso de amparo no constituye una vía abierta a los poderes públicos para la defensa de sus actos y de las potestades en que éstos se basan, sino, justamente, un instrumento para la correcta limitación de tales potestades y para la eventual depuración de aquellos actos, en defensa de los derechos fundamentales y libertades públicas de los particulares (STC 257/1988). Y es lógico que sea así porque, de lo contrario, se invertirla el significado y función del recurso de amparo como medio de protección de los derechos fundamentales de los ciudadanos para convertirse en instrumento de los poderes públicos frente a los particulares» (STC 211/1994, fundamento jurídico. 2.º).</w:t>
      </w:r>
    </w:p>
    <w:p w:rsidR="00B01F4A" w:rsidRDefault="00B01F4A" w:rsidP="00B01F4A">
      <w:pPr>
        <w:pStyle w:val="TextoNormal"/>
      </w:pPr>
    </w:p>
    <w:p w:rsidR="00B01F4A" w:rsidRDefault="00B01F4A" w:rsidP="00B01F4A">
      <w:pPr>
        <w:pStyle w:val="TextoNormal"/>
      </w:pPr>
      <w:r w:rsidRPr="00B01F4A">
        <w:rPr>
          <w:rStyle w:val="NumeroAFNegritaCaracter"/>
        </w:rPr>
        <w:t>5</w:t>
      </w:r>
      <w:r>
        <w:t>. En la vital función de perseguir el delito que desempeña, promoviendo con imparcialidad la acción del ius puniendi del Estado, el Ministerio Fiscal dispone de todos los instrumentos que le brinda la ley. La ley debe configurar al Ministerio Público, tanto en su organización como en sus atribuciones, del modo que le permita cumplir más eficazmente su irremplazable función de preservar el interés público plasmado en la ley penal, respaldo último del Estado de Derecho.</w:t>
      </w:r>
    </w:p>
    <w:p w:rsidR="00B01F4A" w:rsidRDefault="00B01F4A" w:rsidP="00B01F4A">
      <w:pPr>
        <w:pStyle w:val="TextoNormal"/>
      </w:pPr>
      <w:r>
        <w:t>El art. 24. 1 C.E. declara el derecho a obtener la tutela judicial efectiva de «derechos e intereses legítimos», no del ius puniendi del Estado, ni de cualesquiera otras potestades o actos públicos (SSTC 19/1983, 257/1988 y 211/1996). En cuanto al apartado 2.º de ese mismo art. 24, nuestra jurisprudencia ha señalado que los derechos y garantías que en él se enumeran protegen especialmente al inculpado dentro del proceso penal, e incluso exclusivamente a él (SSTC 136/1992, 64/1994 y 199/1996). En el art. 24, en fin, la Constitución impone al Estado el deber de actuar su potestad más enérgica, que es la de castigar, a través de un proceso equitativo, respetuoso de la persona humana y de sus libertades fundamentales, y en último término de su dignidad como tal persona, fundamento del orden político y de la paz social (art. 10. 1 C.E.). Todo en él son, por consiguiente, límites a la actuación del Ministerio Fiscal como parte acusadora en el proceso penal.</w:t>
      </w:r>
    </w:p>
    <w:p w:rsidR="00B01F4A" w:rsidRDefault="00B01F4A" w:rsidP="00B01F4A">
      <w:pPr>
        <w:pStyle w:val="TextoNormal"/>
      </w:pPr>
      <w:r>
        <w:lastRenderedPageBreak/>
        <w:t>Así, pues, hemos de declarar, en el presente caso, la falta de legitimación activa del Ministerio público para promover el presente recurso de amparo, resultando de este modo innecesario el examen de la segunda causa de inadmisión, inicialmente señalada, relativa a la carencia manifiesta de contenido constitucional de la demanda.</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virtud de lo expuesto, la Sección acuerda la inadmisión del presente recurso de amparo.</w:t>
      </w:r>
    </w:p>
    <w:p w:rsidR="00B01F4A" w:rsidRDefault="00B01F4A" w:rsidP="00B01F4A">
      <w:pPr>
        <w:pStyle w:val="TextoNormal"/>
      </w:pPr>
    </w:p>
    <w:p w:rsidR="00B01F4A" w:rsidRDefault="00B01F4A" w:rsidP="00B01F4A">
      <w:pPr>
        <w:pStyle w:val="TextoNormal"/>
      </w:pPr>
      <w:r>
        <w:t>Madrid, a seis de marzo de mil novecientos noventa y siete.</w:t>
      </w:r>
    </w:p>
    <w:p w:rsidR="00B01F4A" w:rsidRDefault="00B01F4A" w:rsidP="00B01F4A">
      <w:pPr>
        <w:pStyle w:val="ParrafoNormal"/>
      </w:pPr>
    </w:p>
    <w:p w:rsidR="00B01F4A" w:rsidRDefault="00B01F4A" w:rsidP="00B01F4A">
      <w:pPr>
        <w:pStyle w:val="TextoNormalNegritaCentrado"/>
        <w:keepNext/>
      </w:pPr>
      <w:r>
        <w:t>Voto particular concurrente que formula el Magistrado don Pedro Cruz Villalón al Auto recaído en el recurso de amparo núm. 212/97</w:t>
      </w:r>
    </w:p>
    <w:p w:rsidR="00B01F4A" w:rsidRDefault="00B01F4A" w:rsidP="00B01F4A">
      <w:pPr>
        <w:pStyle w:val="TextoNormalNegritaCentrado"/>
        <w:keepNext/>
      </w:pPr>
    </w:p>
    <w:p w:rsidR="00B01F4A" w:rsidRDefault="00B01F4A" w:rsidP="00B01F4A">
      <w:pPr>
        <w:pStyle w:val="TextoNormal"/>
      </w:pPr>
      <w:r>
        <w:t>1. Con el mayor respeto a la opinión expresada en la resolución precedente, y aun coincidiendo con su parte dispositiva, entiendo que la cuestión a la que la misma da respuesta, la relativa a la legitimación del recurrente en amparo, debió haber sido tratada, en su fundamentación jurídica, a partir del preciso derecho fundamental invocado por aquél, el derecho de todas las personas «a la tutela efectiva de los Jueces y Tribunales en el ejercicio de sus derechos e intereses legítimos, sin que, en ningún caso, pueda producirse indefensión», reconocido en el art. 24.1 C.E.</w:t>
      </w:r>
    </w:p>
    <w:p w:rsidR="00B01F4A" w:rsidRDefault="00B01F4A" w:rsidP="00B01F4A">
      <w:pPr>
        <w:pStyle w:val="TextoNormal"/>
      </w:pPr>
      <w:r>
        <w:t>2. En contra de lo que pueda resultar de una interpretación literal del art.  46.1 b) LOTC [(«Están legitimados...b) ... quienes hayan sido parte en el proceso judicial correspondiente, el Defensor del Pueblo y el Ministerio Fiscal»), no se contiene en el mismo una legitimación genérica del órgano que ante nosotros acuden solicitud de amparo. Es de tener en cuenta, en este sentido, que el Ministerio Fiscall, con arreglo a dicho precepto puede estar legitimado bajo dos supuestos diferentes: De una parte, en virtud de lo ya previsto por la propia Constitución en su art. 162.1 b), in fine [(«Están legitimados ... b) Para interponer el recurso de amparo ... el Ministerio Fiscal»], y tal es el sentido de la referencia final contenida en el citado art. 46.1 b) LOTC, el cual no debe ser contemplado como un desarrollo ampliativo del precepto constitucional, como sugiere el Ministerio Fiscal; de otro lado, en cuanto parte que lo haya sido «en el proceso judicial correspondiente », como comienza diciendo este mismo artículo de la LOTC. La diferente trascendencia de ambos supuestos exige una primera precisión acerca del carácter bajo el que el Ministerio Fiscal en esta ocasión acude ante nosotros como demandante de amparo.</w:t>
      </w:r>
    </w:p>
    <w:p w:rsidR="00B01F4A" w:rsidRDefault="00B01F4A" w:rsidP="00B01F4A">
      <w:pPr>
        <w:pStyle w:val="TextoNormal"/>
      </w:pPr>
      <w:r>
        <w:t xml:space="preserve">3. El Ministerio Fiscal ha acudido en su preciso carácter de parte en el proceso judicial correspondiente, y no en el de defensor de los derechos fundamentales y libertades públicas de otros sujetos, es decir, de los ciudadanos. A pesar de que el texto de la demanda pueda resultar no del todo inequívoco en este punto, por cuanto se hace entender que no es sólo el Ministerio Fiscal quien ha podido ver vulnerado su derecho a la tutela judicial efectiva sin indefensión, sino también las restantes partes comparecidas en el proceso penal, es el caso que en el petitum de la demanda se solicita inequívocamente que se declare que el Auto objeto de impugnación «ha vulnerado el derecho a la tutela judicial del fiscal». Estamos, pues, sin duda, ante un amparo solicitado en defensa del derecho fundamental del Ministerio </w:t>
      </w:r>
      <w:r>
        <w:lastRenderedPageBreak/>
        <w:t>Fiscal a su propia tutela judicial efectiva como parte en el proceso judicial correspondiente, y no ante un amparo cuya legitimidad derive de la previsión de los referidos arts. 162.1 b), in fine, C.E. y 46.1 b), igualmente in fine, LOTC para la tutela de los diversos derechos fundamentales de los ciudadanos.</w:t>
      </w:r>
    </w:p>
    <w:p w:rsidR="00B01F4A" w:rsidRDefault="00B01F4A" w:rsidP="00B01F4A">
      <w:pPr>
        <w:pStyle w:val="TextoNormal"/>
      </w:pPr>
      <w:r>
        <w:t>4. Teniendo en cuenta lo anterior, y dado el carácter de poder público que, como no podía ser de otra manera, el propio Ministerio Fiscal recurrente en amparo viene a reconocerse a sí mismo, es de señalar inmediatamente que este Tribunal sólo de forma muy restringida ha admitido la titularidad de los derechos fundamentales por parte de los poderes públicos. Ello es importante por cuanto la titularidad del derecho es generalmente presupuesto de la legitimidad, de tal modo que el requisito de haber sido parte «es condición necesaria, pero no suficiente por sí sola, al margen de otra consideración sustantiva» (STC 25/1990, fundamento jurídico. 3.º). Los poderes públicos, sólo por excepción, han sido considerados titulares de algún derecho fundamental, de hecho, aparte algunas singularidades, del derecho a la tutela judicial efectiva, y aun ello con condiciones: «... el derecho fundamental ligado con la capacidad de ser parte en un proceso es el derecho a la prestación que por la genérica consideración de parte se puede reclamar del órgano jurisdiccional, pero no puede ser puesto al servicio de privilegios o prerrogativas» (STC 64/1988, fundamento jurídico. 2.º). Como tal se consideró en aquel caso la cuestión debatida, a saber, si el Estado se encontraba o no exento de una determinada consignación previa como requisito para interponer un determinado recurso.</w:t>
      </w:r>
    </w:p>
    <w:p w:rsidR="00B01F4A" w:rsidRDefault="00B01F4A" w:rsidP="00B01F4A">
      <w:pPr>
        <w:pStyle w:val="TextoNormal"/>
      </w:pPr>
      <w:r>
        <w:t>5. Con tales limitaciones no cabe sino reafirmar que el Ministerio Fiscal carece de legitimación para recurrir en amparo la resolución del Tribunal Supremo por la que, sin previa audiencia de las partes, se declaró el sobreseimiento libre de dos ciudadanos en la causa correspondiente al apreciar la prescripción del delito.</w:t>
      </w:r>
    </w:p>
    <w:p w:rsidR="00B01F4A" w:rsidRDefault="00B01F4A" w:rsidP="00B01F4A">
      <w:pPr>
        <w:pStyle w:val="TextoNormal"/>
      </w:pPr>
      <w:r>
        <w:t>Si el Ministerio Fiscal ciertamente puede ser considerado, en principio, titular del derecho fundamental a la tutela judicial efectiva con la consecuencia de admitir su legitimación en cuanto parte en el proceso judicial correspondiente, tal reconocimiento de principio, por la propia naturaleza de las cosas, encuentra una importante excepción en los supuestos en los que dicho Ministerio Fiscal ejercita «las acciones penales y civiles dimanantes de delitos y faltas» (art. 3.4 de su Estatuto Orgánico), en el ámbito, por tanto, del ius puniendi del Estado, con la igualmente lógica repercusión en su legitimación activa en el recurso de amparo. Ello debe ser así si realmente partimos de consideraciones como las que este Tribunal formuló con ocasión de otro recurso de amparo interpuesto por el Ministerio Fiscal, el que dio lugar a nuestra STC 211/1994, donde, con cita de la STC 257/1988, decíamos: «...es importante recordar que el recurso de amparo no constituye una vía abierta a los poderes públicos para la defensa de sus actos y de las potestades en que éstos se basan, sino justamente, un instrumento para la correcta limitación de tales potestades y para la eventual depuración de aquellos actos, en defensa de los derechos fundamentales y libertades públicas de los particulares (STC 257/1988). Y es lógico que así sea porque, de lo contrario, se invertiría el significado y función del recurso de amparo como medio de protección de los derechos fundamentales de los ciudadanos para convertirse en instrumento de los poderes públicos frente a los particulares» (fundamento jurídico 2.º).  Como se afirma en la propia resolución respecto de cuya fundamentación parcialmente he discrepado, el art. 24.1 C.E. «declara el derecho a obtener la tutela judicial efectiva de «derechos e intereses legítimos», no del ius puniendi del Estado ni de cualesquiera otras potestades o actos públicos (fundamento jurídico 5.º).</w:t>
      </w:r>
    </w:p>
    <w:p w:rsidR="00B01F4A" w:rsidRDefault="00B01F4A" w:rsidP="00B01F4A">
      <w:pPr>
        <w:pStyle w:val="TextoNormal"/>
      </w:pPr>
      <w:r>
        <w:t>Madrid, a siete de marzo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54" w:name="AUTO_1997_64"/>
      <w:r>
        <w:lastRenderedPageBreak/>
        <w:t>AUTO 64/1997, de 7 de marzo de 1997</w:t>
      </w:r>
    </w:p>
    <w:bookmarkEnd w:id="154"/>
    <w:p w:rsidR="00B01F4A" w:rsidRDefault="00B01F4A" w:rsidP="00B01F4A">
      <w:pPr>
        <w:pStyle w:val="TtuloResolucin"/>
      </w:pPr>
      <w:r>
        <w:t>Sección Segunda</w:t>
      </w:r>
    </w:p>
    <w:p w:rsidR="00B01F4A" w:rsidRDefault="00B01F4A" w:rsidP="00B01F4A">
      <w:pPr>
        <w:pStyle w:val="TtuloResolucin"/>
      </w:pPr>
    </w:p>
    <w:p w:rsidR="00B01F4A" w:rsidRDefault="00B01F4A" w:rsidP="00B01F4A">
      <w:pPr>
        <w:pStyle w:val="SntesisDescriptiva"/>
      </w:pPr>
      <w:r>
        <w:t>ECLI:ES:TC:1997:64A</w:t>
      </w:r>
    </w:p>
    <w:p w:rsidR="00B01F4A" w:rsidRDefault="00B01F4A" w:rsidP="00B01F4A">
      <w:pPr>
        <w:pStyle w:val="SntesisDescriptiva"/>
      </w:pPr>
    </w:p>
    <w:p w:rsidR="00B01F4A" w:rsidRDefault="00B01F4A" w:rsidP="00B01F4A">
      <w:pPr>
        <w:pStyle w:val="SntesisDescriptiva"/>
      </w:pPr>
      <w:r>
        <w:t>Excms. Srs. don José Vicente Gimeno Sendra, don Manuel Jiménez de Parga y Cabrera y don Pablo García Manzano.</w:t>
      </w:r>
    </w:p>
    <w:p w:rsidR="00B01F4A" w:rsidRDefault="00B01F4A" w:rsidP="00B01F4A">
      <w:pPr>
        <w:pStyle w:val="SntesisDescriptiva"/>
      </w:pPr>
    </w:p>
    <w:p w:rsidR="00B01F4A" w:rsidRDefault="00B01F4A" w:rsidP="00B01F4A">
      <w:pPr>
        <w:pStyle w:val="SntesisDescriptiva"/>
      </w:pPr>
      <w:r>
        <w:t>Acuerda el desistimiento en el recurso de amparo 1.644/1996, promovido en causa penal.</w:t>
      </w:r>
    </w:p>
    <w:p w:rsidR="00B01F4A" w:rsidRDefault="00B01F4A" w:rsidP="00B01F4A">
      <w:pPr>
        <w:pStyle w:val="SntesisDescriptiva"/>
      </w:pPr>
    </w:p>
    <w:p w:rsidR="00B01F4A" w:rsidRDefault="00B01F4A" w:rsidP="00B01F4A">
      <w:pPr>
        <w:pStyle w:val="SntesisAnaltica"/>
      </w:pPr>
      <w:r>
        <w:t>Desistimiento de recurso de amparo: procede.</w:t>
      </w:r>
    </w:p>
    <w:p w:rsidR="00B01F4A" w:rsidRDefault="00B01F4A" w:rsidP="00B01F4A">
      <w:pPr>
        <w:pStyle w:val="SntesisAnaltica"/>
      </w:pPr>
    </w:p>
    <w:p w:rsidR="00B01F4A" w:rsidRDefault="00B01F4A" w:rsidP="00B01F4A">
      <w:pPr>
        <w:pStyle w:val="SntesisAnaltica"/>
      </w:pPr>
    </w:p>
    <w:p w:rsidR="00B01F4A" w:rsidRDefault="00B01F4A" w:rsidP="00B01F4A">
      <w:pPr>
        <w:pStyle w:val="SntesisAnaltic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55" w:name="AUTO_1997_65"/>
      <w:r>
        <w:lastRenderedPageBreak/>
        <w:t>AUTO 65/1997, de 10 de marzo de 1997</w:t>
      </w:r>
    </w:p>
    <w:bookmarkEnd w:id="155"/>
    <w:p w:rsidR="00B01F4A" w:rsidRDefault="00B01F4A" w:rsidP="00B01F4A">
      <w:pPr>
        <w:pStyle w:val="TtuloResolucin"/>
      </w:pPr>
      <w:r>
        <w:t>Sala Primera</w:t>
      </w:r>
    </w:p>
    <w:p w:rsidR="00B01F4A" w:rsidRDefault="00B01F4A" w:rsidP="00B01F4A">
      <w:pPr>
        <w:pStyle w:val="TtuloResolucin"/>
      </w:pPr>
    </w:p>
    <w:p w:rsidR="00B01F4A" w:rsidRDefault="00B01F4A" w:rsidP="00B01F4A">
      <w:pPr>
        <w:pStyle w:val="SntesisDescriptiva"/>
      </w:pPr>
      <w:r>
        <w:t>ECLI:ES:TC:1997:65A</w:t>
      </w:r>
    </w:p>
    <w:p w:rsidR="00B01F4A" w:rsidRDefault="00B01F4A" w:rsidP="00B01F4A">
      <w:pPr>
        <w:pStyle w:val="SntesisDescriptiva"/>
      </w:pPr>
    </w:p>
    <w:p w:rsidR="00B01F4A" w:rsidRDefault="00B01F4A" w:rsidP="00B01F4A">
      <w:pPr>
        <w:pStyle w:val="SntesisDescriptiva"/>
      </w:pPr>
      <w:r>
        <w:t>Excms. Srs. don Álvaro Rodríguez Bereijo, don José Vicente Gimeno Sendra, don Pedro Cruz Villalón, don Enrique Ruiz Vadillo, don Manuel Jiménez de Parga y Cabrera y don Pablo García Manzano.</w:t>
      </w:r>
    </w:p>
    <w:p w:rsidR="00B01F4A" w:rsidRDefault="00B01F4A" w:rsidP="00B01F4A">
      <w:pPr>
        <w:pStyle w:val="SntesisDescriptiva"/>
      </w:pPr>
    </w:p>
    <w:p w:rsidR="00B01F4A" w:rsidRDefault="00B01F4A" w:rsidP="00B01F4A">
      <w:pPr>
        <w:pStyle w:val="SntesisDescriptiva"/>
      </w:pPr>
      <w:r>
        <w:t>Declarando la falta de jurisdicción del Tribunal Constitucional en el procedimiento de jura de cuentas relativo al recurso de amparo 488/1993.</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Por escrito presentado en este Tribunal el 15 de noviembre de 1996, el Procurador don César de Frías Benito, que lo fue del recurrente en este proceso de amparo, formula incidente de jura de cuentas contra su representado, para que le abone la cuenta de suplidos y derechos, cuyo importe asciende a 43.928 pesetas.</w:t>
      </w:r>
    </w:p>
    <w:p w:rsidR="00B01F4A" w:rsidRDefault="00B01F4A" w:rsidP="00B01F4A">
      <w:pPr>
        <w:pStyle w:val="TextoNormal"/>
      </w:pPr>
    </w:p>
    <w:p w:rsidR="00B01F4A" w:rsidRDefault="00B01F4A" w:rsidP="00B01F4A">
      <w:pPr>
        <w:pStyle w:val="TextoNormal"/>
      </w:pPr>
      <w:r w:rsidRPr="00B01F4A">
        <w:rPr>
          <w:rStyle w:val="NumeroAFNegritaCaracter"/>
        </w:rPr>
        <w:t>2</w:t>
      </w:r>
      <w:r>
        <w:t>. La Sección Primera, por providencia de 13 de enero de 1997, acordó tener por presentado dicho escrito formulando incidente de jura de cuentas y oír al Ministerio Fiscal para que, en el plazo de diez días, alegase lo que estimara conveniente respecto a la posible falta de jurisdicción de este Tribunal para conocer de los procedimientos de jura de cuentas regulados en los arts. 8 y 12 de la Ley de Enjuiciamiento Civil.</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El Ministerio Fiscal, por escrito presentado el 13 de febrero de 1997, interesa que se declare la falta de jurisdicción del Tribunal Constitucional para conocer del procedimiento de jura de cuentas. </w:t>
      </w:r>
    </w:p>
    <w:p w:rsidR="00B01F4A" w:rsidRDefault="00B01F4A" w:rsidP="00B01F4A">
      <w:pPr>
        <w:pStyle w:val="TextoNormal"/>
      </w:pPr>
      <w:r>
        <w:t xml:space="preserve">Alega que el procedimiento de jura de cuentas establecido en los arts. 8 y 12 de la L.E.C. no puede ser objeto de conocimiento jurisdiccional por el Tribunal Constitucional porque su contenido no está directamente relacionado con la materia propia del mismo. </w:t>
      </w:r>
    </w:p>
    <w:p w:rsidR="00B01F4A" w:rsidRDefault="00B01F4A" w:rsidP="00B01F4A">
      <w:pPr>
        <w:pStyle w:val="TextoNormal"/>
      </w:pPr>
      <w:r>
        <w:t xml:space="preserve">Para el Ministerio Fiscal la jura de cuentas tiene por objeto únicamente la satisfacción de la relación obligacional económica existente entre el Procurador y el cliente a quien ha representado, y esta satisfacción constituye una pretensión que puede hacerse efectiva en un procedimiento declarativo ordinario o mediante la constitución por el órgano judicial, mediante el cumplimiento de los requisitos establecidos en la Ley, de un título ejecutivo que es el regulado en el art. 8 de la L.E.C., y en ninguno de estos dos procedimientos puede intervenir el Tribunal Constitucional porque su materia -efectividad de un crédito- es ajena a la materia constitucional de la que conoce. </w:t>
      </w:r>
    </w:p>
    <w:p w:rsidR="00B01F4A" w:rsidRDefault="00B01F4A" w:rsidP="00B01F4A">
      <w:pPr>
        <w:pStyle w:val="TextoNormal"/>
      </w:pPr>
      <w:r>
        <w:t xml:space="preserve">En este sentido también manifiesta que el procedimiento establecido en el art. 8 de la L.E.C. es únicamente un procedimiento para hacer efectiva una obligación de contenido económico cuyo origen es un contrato de arrendamiento de servicios sin relación alguna con la pretensión deducida en el proceso constitucional, al tratarse únicamente de una obligación </w:t>
      </w:r>
      <w:r>
        <w:lastRenderedPageBreak/>
        <w:t>profesional que se hace efectiva en el recurso de amparo pero sin relación directa con la materia de éste. La interpretación del art. 3 de la LOTC conduce, según el Fiscal, directa y necesariamente a esta conclusión.</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Con arreglo a lo dispuesto en el art. 4.2 LOTC, de conformidad con lo interesado por el Ministerio Fiscal y siguiendo la doctrina sentada en los AATC 218/1996 y 17/1997 y, posteriormente, en el ATC 45/97, del Pleno de este Tribunal, procede declarar la falta de jurisdicción de este Tribunal en relación con la reclamación deducida por el Procurador don César de Frías Benito formulando expediente de jura de cuentas.</w:t>
      </w:r>
    </w:p>
    <w:p w:rsidR="00B01F4A" w:rsidRDefault="00B01F4A" w:rsidP="00B01F4A">
      <w:pPr>
        <w:pStyle w:val="TextoNormal"/>
      </w:pPr>
    </w:p>
    <w:p w:rsidR="00B01F4A" w:rsidRDefault="00B01F4A" w:rsidP="00B01F4A">
      <w:pPr>
        <w:pStyle w:val="TextoNormal"/>
      </w:pPr>
      <w:r w:rsidRPr="00B01F4A">
        <w:rPr>
          <w:rStyle w:val="NumeroAFNegritaCaracter"/>
        </w:rPr>
        <w:t>2</w:t>
      </w:r>
      <w:r>
        <w:t>. Como señalamos en el último de los citados Autos, el art. 117.3 C.E.  dispone que el ejercicio de la potestad jurisdiccional en todo tipo de procesos, juzgando y haciendo ejecutar lo juzgado, corresponde exclusivamente a los Juzgados y Tribunales determinados por las leyes, especificando el art.  123.1 C.E. que el Tribunal Supremo es el órgano jurisdiccional superior en todos los órdenes «salvo lo dispuesto en materia de garantías constitucionales». Por su parte, y en desarrollo de lo anterior, el art. 161.1 C.E. atribuye al Tribunal Constitucional el conocimiento de los recursos de inconstitucionalidad, del recurso de amparo, de los conflictos de competencia y de las materias atribuidas por la Constitución (arts. 95.2, 161.2 y 163 C.E.)  o las leyes orgánicas.</w:t>
      </w:r>
    </w:p>
    <w:p w:rsidR="00B01F4A" w:rsidRDefault="00B01F4A" w:rsidP="00B01F4A">
      <w:pPr>
        <w:pStyle w:val="TextoNormal"/>
      </w:pPr>
      <w:r>
        <w:t>A su vez, la competencia jurisdiccional de este Tribunal se encuentra subsiguientemente especificada en el art. 2.1 LOTC, añadiendo únicamente el art. 3 que dicha competencia ese extiende al conocimiento y decisión de las cuestiones prejudiciales e incidentales no pertenecientes al orden constitucional, directamente relacionadas con la materia de que conoce, a los solos efectos del enjuiciamiento constitucional de ésta».</w:t>
      </w:r>
    </w:p>
    <w:p w:rsidR="00B01F4A" w:rsidRDefault="00B01F4A" w:rsidP="00B01F4A">
      <w:pPr>
        <w:pStyle w:val="TextoNormal"/>
      </w:pPr>
    </w:p>
    <w:p w:rsidR="00B01F4A" w:rsidRDefault="00B01F4A" w:rsidP="00B01F4A">
      <w:pPr>
        <w:pStyle w:val="TextoNormal"/>
      </w:pPr>
      <w:r w:rsidRPr="00B01F4A">
        <w:rPr>
          <w:rStyle w:val="NumeroAFNegritaCaracter"/>
        </w:rPr>
        <w:t>3</w:t>
      </w:r>
      <w:r>
        <w:t>. Sobre el procedimiento de jura de cuentas hubo de pronunciarse este Tribunal en la STC 110/1993, desestimando dos cuestiones de inconstitucionalidad acumuladas, relativas a los arts. 8 y 12 L.E.C.  contrastados con los arts. 14 y 24 C.E. Tras recoger en el fundamento jurídico 3.º de dicha Sentencia el origen histórico de estos preceptos, lo caracterizábamos en el fundamento jurídico 4.º como «un procedimiento, ciertamente no desarrollado, de naturaleza ejecutiva para hacer efectivos de forma sumaria y expeditiva los créditos derivados de la actuación profesional en un determinado proceso» y más adelante como «un procedimiento especial en virtud del cual y de forma rápida y sencilla puedan resarcirse de los gastos anticipados y de los trabajos realizados dentro del proceso» los Procuradores y Abogados. Concluíamos entonces que «es razonable que pueda el legislador establecer mecanismos de reclamación distintos del juicio declarativo ordinario cuando sea diferente la situación en que se encuentran los acreedores respecto de sus deudores», como ocurre «con los procedimientos ejecutivos especiales que para Abogados y Procuradores establecen los arts. 12 y 8 de la L.E.C.».</w:t>
      </w:r>
    </w:p>
    <w:p w:rsidR="00B01F4A" w:rsidRDefault="00B01F4A" w:rsidP="00B01F4A">
      <w:pPr>
        <w:pStyle w:val="TextoNormal"/>
      </w:pPr>
    </w:p>
    <w:p w:rsidR="00B01F4A" w:rsidRDefault="00B01F4A" w:rsidP="00B01F4A">
      <w:pPr>
        <w:pStyle w:val="TextoNormal"/>
      </w:pPr>
      <w:r w:rsidRPr="00B01F4A">
        <w:rPr>
          <w:rStyle w:val="NumeroAFNegritaCaracter"/>
        </w:rPr>
        <w:t>4</w:t>
      </w:r>
      <w:r>
        <w:t xml:space="preserve">. Ante todo, es evidente que ni la Constitución ni la LOTC ni ninguna otra Ley Orgánica atribuye al Tribunal Constitucional el conocimiento de este procedimiento ejecutivo especial. Esto sentado, es cierto que el art. 3 LOTC, como hemos señalado, atribuye de forma </w:t>
      </w:r>
      <w:r>
        <w:lastRenderedPageBreak/>
        <w:t>genérica a este Tribunal el conocimiento y decisión de las cuestiones prejudiciales e incidentales que, si bien no pertenecen al orden constitucional, sin embargo, se encuentran «directamente relacionadas con la materia de que conoce, añadiendo que ello sólo tendrá lugar «a los solos efectos del enjuiciamiento constitucional de éstas.</w:t>
      </w:r>
    </w:p>
    <w:p w:rsidR="00B01F4A" w:rsidRDefault="00B01F4A" w:rsidP="00B01F4A">
      <w:pPr>
        <w:pStyle w:val="TextoNormal"/>
      </w:pPr>
      <w:r>
        <w:t>De la dicción de este precepto se desprende sin mayor esfuerzo que esta ampliación de la jurisdicción del Tribunal se encuentra en una relación instrumental con el enjuiciamiento constitucional que en cada caso se nos demanda, de tal manera que debe tratarse de cuestiones, ya sea prejudiciales, ya sea incidentales, cuya resolución resulta imprescindible a los mencionados efectos (STC 100/1984, fundamento jurídico 4.º; ATC 167/83, fundamento jurídico 2.º). Proyectado el precepto sobre el procedimiento que nos ocupa, es claro que con la jura de cuentas no se pretende resolver cuestión incidental alguna directamente relacionada con la demanda de amparo en su día planteada, a los efectos del correspondiente enjuiciamiento constitucional, en su día resuelto. Como dijimos en el ATC 218/1996, el art. 3 LOTC «no comprende la jura de cuentas, procedimiento dirigido a resolver determinadas cuestiones económicas entre el Procurador y su cliente, relacionadas con la prestación profesional de éste, que en modo alguno cabe entender como incidentales de las materias de que conoce este Tribunal, dándose además la circunstancia de que no guardan relación alguna con el enjuiciamiento constitucional de tales materias» (fundamento jurídico 2.º). Debe, por tanto, darse razón al Ministerio Fiscal cuando concluye que «mal puede ser considerado el cobro de un crédito nacido de una relación profesional -arrendamiento de servicios- como una materia directamente relacionada con materia constitucional alguna».</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virtud de lo expuesto, la Sala acuerda declarar la falta de jurisdicción de este Tribunal para conocer de la pretensión del Procurador don César de Frias Benito.</w:t>
      </w:r>
    </w:p>
    <w:p w:rsidR="00B01F4A" w:rsidRDefault="00B01F4A" w:rsidP="00B01F4A">
      <w:pPr>
        <w:pStyle w:val="TextoNormal"/>
      </w:pPr>
    </w:p>
    <w:p w:rsidR="00B01F4A" w:rsidRDefault="00B01F4A" w:rsidP="00B01F4A">
      <w:pPr>
        <w:pStyle w:val="TextoNormal"/>
      </w:pPr>
      <w:r>
        <w:t>Madrid, a diez de marzo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56" w:name="AUTO_1997_66"/>
      <w:r>
        <w:lastRenderedPageBreak/>
        <w:t>AUTO 66/1997, de 10 de marzo de 1997</w:t>
      </w:r>
    </w:p>
    <w:bookmarkEnd w:id="156"/>
    <w:p w:rsidR="00B01F4A" w:rsidRDefault="00B01F4A" w:rsidP="00B01F4A">
      <w:pPr>
        <w:pStyle w:val="TtuloResolucin"/>
      </w:pPr>
      <w:r>
        <w:t>Sala Segunda</w:t>
      </w:r>
    </w:p>
    <w:p w:rsidR="00B01F4A" w:rsidRDefault="00B01F4A" w:rsidP="00B01F4A">
      <w:pPr>
        <w:pStyle w:val="TtuloResolucin"/>
      </w:pPr>
    </w:p>
    <w:p w:rsidR="00B01F4A" w:rsidRDefault="00B01F4A" w:rsidP="00B01F4A">
      <w:pPr>
        <w:pStyle w:val="SntesisDescriptiva"/>
      </w:pPr>
      <w:r>
        <w:t>ECLI:ES:TC:1997:66A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don Rafael de Mendizábal Allende, don Julio D. González Campos, don Carles Viver Pi-Sunyer y don Tomás Salvador Vives Antón.</w:t>
      </w:r>
    </w:p>
    <w:p w:rsidR="00B01F4A" w:rsidRDefault="00B01F4A" w:rsidP="00B01F4A">
      <w:pPr>
        <w:pStyle w:val="SntesisDescriptiva"/>
      </w:pPr>
    </w:p>
    <w:p w:rsidR="00B01F4A" w:rsidRDefault="00B01F4A" w:rsidP="00B01F4A">
      <w:pPr>
        <w:pStyle w:val="SntesisDescriptiva"/>
      </w:pPr>
      <w:r>
        <w:t>Declarando la falta de jurisdicción del Tribunal Constitucional en el procedimiento de jura de cuentas relativo al recurso de amparo 4.120/1994.</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en este Tribunal el 14 de noviembre de 1996, el Procurador de los Tribunales don José Ramón Rego Rodríguez, que lo fue del recurrente en este proceso de amparo, reclamó los gastos, suplidos y derechos devengados, que ascienden a 37.363 pesetas, por el procedimiento de jura de cuentas previsto en el art. 8 de la L.E.C.</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La Sección Tercera, por providencia de 19 de diciembre de 1996, acordó tener por presentado el referido escrito y oír al Ministerio Fiscal para que en el plazo de diez días alegara lo que estime conveniente respecto de la posible falta de jurisdicción de este Tribunal para conocer de los procedimientos de jura de cuentas regulados en los arts. 8 y 12 de la L.E.C. </w:t>
      </w:r>
    </w:p>
    <w:p w:rsidR="00B01F4A" w:rsidRDefault="00B01F4A" w:rsidP="00B01F4A">
      <w:pPr>
        <w:pStyle w:val="TextoNormal"/>
      </w:pPr>
      <w:r>
        <w:t>Evacuando el trámite conferido, el Fiscal ante el Tribunal Constitucional, con cita del art. 3 de la LOTC, concluyó que tales procedimientos no pueden ser objeto de conocimiento jurisdiccional por parte del Tribunal. El debate sobre el cobro de un crédito nacido de la prestación de servicios profesionales, del arrendamiento de servicios existente entre el Procurador y el cliente es ajeno a la materia constitucional y ni siquiera es cuestión prejudicial o incidental directamente relacionada con ella.</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EB5FD0" w:rsidP="00B01F4A">
      <w:pPr>
        <w:pStyle w:val="TextoNormal"/>
      </w:pPr>
      <w:r>
        <w:rPr>
          <w:rStyle w:val="NumeroAFNegritaCaracter"/>
        </w:rPr>
        <w:t>Ú</w:t>
      </w:r>
      <w:r w:rsidR="00B01F4A" w:rsidRPr="00EB5FD0">
        <w:rPr>
          <w:rStyle w:val="NumeroAFNegritaCaracter"/>
        </w:rPr>
        <w:t>nico.</w:t>
      </w:r>
      <w:r w:rsidR="00B01F4A">
        <w:t xml:space="preserve"> El Pleno de este Tribunal, en Auto de 12 de febrero de 1997, recaído en el recurso de amparo núm. 885/91, y la propia Sala en AATC 218/1996 y 17/1997 ya han declarado que la competencia del Tribunal Constitucional sólo se extiende a las materias</w:t>
      </w:r>
    </w:p>
    <w:p w:rsidR="00B01F4A" w:rsidRDefault="00B01F4A" w:rsidP="00B01F4A">
      <w:pPr>
        <w:pStyle w:val="TextoNormal"/>
      </w:pPr>
      <w:r>
        <w:t>recogidas en el art. 3 de la LOTC, entre las que no se comprende la jura de cuentas. Se trata de un procedimiento dirigido a resolver determinadas cuestiones económicas entre el Procurador y su cliente derivadas de la prestación de servicios</w:t>
      </w:r>
    </w:p>
    <w:p w:rsidR="00B01F4A" w:rsidRDefault="00B01F4A" w:rsidP="00B01F4A">
      <w:pPr>
        <w:pStyle w:val="TextoNormal"/>
      </w:pPr>
      <w:r>
        <w:t>profesionales concertada, que en modo alguno cabe entender como incidentales de las materias de que conoce este Tribunal, ni guardan relación con el enjuiciamiento constitucional de tales materias. A mayor abundamiento, los preceptos reguladores de la</w:t>
      </w:r>
    </w:p>
    <w:p w:rsidR="00B01F4A" w:rsidRDefault="00B01F4A" w:rsidP="00B01F4A">
      <w:pPr>
        <w:pStyle w:val="TextoNormal"/>
      </w:pPr>
      <w:r>
        <w:lastRenderedPageBreak/>
        <w:t>jura de cuentas no se hallan entre los incluidos como de aplicación supletoria en el art. 80 de la LOTC.</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lo expuesto, la Sala acuerda declarar la falta de jurisdicción de este Tribunal para conocer del procedimiento planteado y archivar las presentes actuaciones.</w:t>
      </w:r>
    </w:p>
    <w:p w:rsidR="00B01F4A" w:rsidRDefault="00B01F4A" w:rsidP="00B01F4A">
      <w:pPr>
        <w:pStyle w:val="TextoNormal"/>
      </w:pPr>
    </w:p>
    <w:p w:rsidR="00B01F4A" w:rsidRDefault="00B01F4A" w:rsidP="00B01F4A">
      <w:pPr>
        <w:pStyle w:val="TextoNormal"/>
      </w:pPr>
      <w:r>
        <w:t>Madrid, a diez de marzo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57" w:name="AUTO_1997_67"/>
      <w:r>
        <w:lastRenderedPageBreak/>
        <w:t>AUTO 67/1997, de 10 de marzo de 1997</w:t>
      </w:r>
    </w:p>
    <w:bookmarkEnd w:id="157"/>
    <w:p w:rsidR="00B01F4A" w:rsidRDefault="00B01F4A" w:rsidP="00B01F4A">
      <w:pPr>
        <w:pStyle w:val="TtuloResolucin"/>
      </w:pPr>
      <w:r>
        <w:t>Sala Primera</w:t>
      </w:r>
    </w:p>
    <w:p w:rsidR="00B01F4A" w:rsidRDefault="00B01F4A" w:rsidP="00B01F4A">
      <w:pPr>
        <w:pStyle w:val="TtuloResolucin"/>
      </w:pPr>
    </w:p>
    <w:p w:rsidR="00B01F4A" w:rsidRDefault="00B01F4A" w:rsidP="00B01F4A">
      <w:pPr>
        <w:pStyle w:val="SntesisDescriptiva"/>
      </w:pPr>
      <w:r>
        <w:t>ECLI:ES:TC:1997:67A</w:t>
      </w:r>
    </w:p>
    <w:p w:rsidR="00B01F4A" w:rsidRDefault="00B01F4A" w:rsidP="00B01F4A">
      <w:pPr>
        <w:pStyle w:val="SntesisDescriptiva"/>
      </w:pPr>
    </w:p>
    <w:p w:rsidR="00B01F4A" w:rsidRDefault="00B01F4A" w:rsidP="00B01F4A">
      <w:pPr>
        <w:pStyle w:val="SntesisDescriptiva"/>
      </w:pPr>
      <w:r>
        <w:t>Excms. Srs. don Álvaro Rodríguez Bereijo, don José Vicente Gimeno Sendra, don Pedro Cruz Villalón, don Enrique Ruiz Vadillo, don Manuel Jiménez de Parga y Cabrera y don Pablo García Manzano.</w:t>
      </w:r>
    </w:p>
    <w:p w:rsidR="00B01F4A" w:rsidRDefault="00B01F4A" w:rsidP="00B01F4A">
      <w:pPr>
        <w:pStyle w:val="SntesisDescriptiva"/>
      </w:pPr>
    </w:p>
    <w:p w:rsidR="00B01F4A" w:rsidRDefault="00B01F4A" w:rsidP="00B01F4A">
      <w:pPr>
        <w:pStyle w:val="SntesisDescriptiva"/>
      </w:pPr>
      <w:r>
        <w:t>Declarando la falta de jurisdicción del Tribunal Constitucional en el procedimiento de jura de cuentas relativo al recurso de amparo 4.193/1994.</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58" w:name="AUTO_1997_68"/>
      <w:r>
        <w:lastRenderedPageBreak/>
        <w:t>AUTO 68/1997, de 10 de marzo de 1997</w:t>
      </w:r>
    </w:p>
    <w:bookmarkEnd w:id="158"/>
    <w:p w:rsidR="00B01F4A" w:rsidRDefault="00B01F4A" w:rsidP="00B01F4A">
      <w:pPr>
        <w:pStyle w:val="TtuloResolucin"/>
      </w:pPr>
      <w:r>
        <w:t>Sala Primera</w:t>
      </w:r>
    </w:p>
    <w:p w:rsidR="00B01F4A" w:rsidRDefault="00B01F4A" w:rsidP="00B01F4A">
      <w:pPr>
        <w:pStyle w:val="TtuloResolucin"/>
      </w:pPr>
    </w:p>
    <w:p w:rsidR="00B01F4A" w:rsidRDefault="00B01F4A" w:rsidP="00B01F4A">
      <w:pPr>
        <w:pStyle w:val="SntesisDescriptiva"/>
      </w:pPr>
      <w:r>
        <w:t>ECLI:ES:TC:1997:68A</w:t>
      </w:r>
    </w:p>
    <w:p w:rsidR="00B01F4A" w:rsidRDefault="00B01F4A" w:rsidP="00B01F4A">
      <w:pPr>
        <w:pStyle w:val="SntesisDescriptiva"/>
      </w:pPr>
    </w:p>
    <w:p w:rsidR="00B01F4A" w:rsidRDefault="00B01F4A" w:rsidP="00B01F4A">
      <w:pPr>
        <w:pStyle w:val="SntesisDescriptiva"/>
      </w:pPr>
      <w:r>
        <w:t>Excms. Srs. don Álvaro Rodríguez Bereijo, don José Vicente Gimeno Sendra, don Pedro Cruz Villalón, don Enrique Ruiz Vadillo, don Manuel Jiménez de Parga y Cabrera y don Pablo García Manzano.</w:t>
      </w:r>
    </w:p>
    <w:p w:rsidR="00B01F4A" w:rsidRDefault="00B01F4A" w:rsidP="00B01F4A">
      <w:pPr>
        <w:pStyle w:val="SntesisDescriptiva"/>
      </w:pPr>
    </w:p>
    <w:p w:rsidR="00B01F4A" w:rsidRDefault="00B01F4A" w:rsidP="00B01F4A">
      <w:pPr>
        <w:pStyle w:val="SntesisDescriptiva"/>
      </w:pPr>
      <w:r>
        <w:t>Declarando la falta de jurisdicción del Tribunal Constitucional en el procedimiento de jura de cuentas relativo al recurso de amparo 565/1995.</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59" w:name="AUTO_1997_69"/>
      <w:r>
        <w:lastRenderedPageBreak/>
        <w:t>AUTO 69/1997, de 10 de marzo de 1997</w:t>
      </w:r>
    </w:p>
    <w:bookmarkEnd w:id="159"/>
    <w:p w:rsidR="00B01F4A" w:rsidRDefault="00B01F4A" w:rsidP="00B01F4A">
      <w:pPr>
        <w:pStyle w:val="TtuloResolucin"/>
      </w:pPr>
      <w:r>
        <w:t>Sala Segunda</w:t>
      </w:r>
    </w:p>
    <w:p w:rsidR="00B01F4A" w:rsidRDefault="00B01F4A" w:rsidP="00B01F4A">
      <w:pPr>
        <w:pStyle w:val="TtuloResolucin"/>
      </w:pPr>
    </w:p>
    <w:p w:rsidR="00B01F4A" w:rsidRDefault="00B01F4A" w:rsidP="00B01F4A">
      <w:pPr>
        <w:pStyle w:val="SntesisDescriptiva"/>
      </w:pPr>
      <w:r>
        <w:t>ECLI:ES:TC:1997:69A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don Rafael de Mendizábal Allende, don Julio D. González Campos, don Carles Viver Pi-Sunyer y don Tomás Salvador Vives Antón.</w:t>
      </w:r>
    </w:p>
    <w:p w:rsidR="00B01F4A" w:rsidRDefault="00B01F4A" w:rsidP="00B01F4A">
      <w:pPr>
        <w:pStyle w:val="SntesisDescriptiva"/>
      </w:pPr>
    </w:p>
    <w:p w:rsidR="00B01F4A" w:rsidRDefault="00B01F4A" w:rsidP="00B01F4A">
      <w:pPr>
        <w:pStyle w:val="SntesisDescriptiva"/>
      </w:pPr>
      <w:r>
        <w:t>Denegando la suspensión de la ejecución del acto que origina el recurso de amparo 1.332/1996.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ante este Tribunal el día 11 de abril de 1995. la representación procesal de don Antonio Naranjo Hijos interpuso recurso de amparo frente al Auto dictado por la Sección Octava de la Audiencia Provincial de Barcelona, de fecha 14 de marzo de 1995, por el que se desestima el recurso de queja entablado contra el Auto del Juzgado de Instrucción núm. 4 de los de San Feliú de Llobregat, de 30 de noviembre de 1994, el cual, a su vez, desestimaba el recurso de reforma deducido contra la providencia dictada el día 8 del mismo mes y año.</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La demanda se fundamenta en los siguientes hechos: </w:t>
      </w:r>
    </w:p>
    <w:p w:rsidR="00B01F4A" w:rsidRDefault="00B01F4A" w:rsidP="00B01F4A">
      <w:pPr>
        <w:pStyle w:val="TextoNormal"/>
      </w:pPr>
      <w:r>
        <w:t xml:space="preserve">a) Durante el desarrollo del juicio de faltas núm. 131/93, el Ministerio Fiscal solicitó de la autoridad judicial que dedujese testimonio de particulares contra el ahora recurrente en amparo por la presunta comisión de un delito de omisión del deber de socorro. Librado dicho testimonio, el Juzgado de Instrucción núm. 4 de San Feliú de Llobregat, mediante Auto dictado el día 8 de noviembre de 1993, decretó la incoación de las correspondientes diligencias previas. </w:t>
      </w:r>
    </w:p>
    <w:p w:rsidR="00B01F4A" w:rsidRDefault="00B01F4A" w:rsidP="00B01F4A">
      <w:pPr>
        <w:pStyle w:val="TextoNormal"/>
      </w:pPr>
      <w:r>
        <w:t xml:space="preserve">b) En el trámite de calificación de dicho proceso penal, el Ministerio Fiscal solicitó el sobreseimiento provisional de la causa y la emisión por parte del Juez de un Auto en el que se reputaran los hechos como constitutivos de falta. El Juzgado, a través de Auto fechado el 20 de mayo de 1994, que devino firme, decretó el archivo de las diligencias y calificó los hechos como constitutivos de una falta. </w:t>
      </w:r>
    </w:p>
    <w:p w:rsidR="00B01F4A" w:rsidRDefault="00B01F4A" w:rsidP="00B01F4A">
      <w:pPr>
        <w:pStyle w:val="TextoNormal"/>
      </w:pPr>
      <w:r>
        <w:t xml:space="preserve">c) Días antes de la celebración del juicio de faltas, el recurrente presentó ante el Juzgado un escrito, fechado el 25 de octubre de 1994, en el que se alegaba la prescripción de la falta por paralización del procedimiento. El Ministerio Fiscal, por su parte, mediante escrito formulado el 8 de noviembre de 1994, solicitó del Juzgado la transformación del juicio de faltas en procedimiento abreviado al considerar ahora que los hechos objeto del procedimiento no constituían en realidad falta sino delito. El Juzgado, mediante providencia fechada el mismo día, acordó suspender el señalamiento del juicio de faltas que habla realizado con anterioridad y transformar dicho juicio de faltas en procedimiento abreviado. </w:t>
      </w:r>
    </w:p>
    <w:p w:rsidR="00B01F4A" w:rsidRDefault="00B01F4A" w:rsidP="00B01F4A">
      <w:pPr>
        <w:pStyle w:val="TextoNormal"/>
      </w:pPr>
      <w:r>
        <w:lastRenderedPageBreak/>
        <w:t xml:space="preserve">d) Frente a esta providencia el demandante de amparo formuló recurso de reforma siendo el mismo desestimado por Auto de 30 de noviembre de 1994, en el que, por toda fundamentación jurídica, literalmente se afirma: «Es cierto, como afirma la parte recurrente, que las irregularidades procesales que se han practicado, han provocado una grave indefensión al denunciado, pero en aras al principio de legalidad y de justicia material es necesario transformar el procedimiento conforme a la norma establecida en el art. 790 de la Ley de Enjuiciamiento Criminal, ya que los hechos enjuiciados no son constitutivos de una falta sino de un delito de omisión del deber de socorro». </w:t>
      </w:r>
    </w:p>
    <w:p w:rsidR="00B01F4A" w:rsidRDefault="00B01F4A" w:rsidP="00B01F4A">
      <w:pPr>
        <w:pStyle w:val="TextoNormal"/>
      </w:pPr>
      <w:r>
        <w:t>e) Interpuesto recurso de queja contra dicha decisión, la Sección Octava de la Audiencia Provincial de Barcelona desestimó el mismo por Auto dictado el 14 de marzo de 1995, en el que exclusivamente se pronuncia sobre el carácter presuntamente delictivo de los hechos objeto del proceso.</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Manifiesta la parte recurrente que dichas resoluciones judiciales han originado, sintéticamente expuesta, la lesión de los siguientes derechos fundamentales: </w:t>
      </w:r>
    </w:p>
    <w:p w:rsidR="00B01F4A" w:rsidRDefault="00B01F4A" w:rsidP="00B01F4A">
      <w:pPr>
        <w:pStyle w:val="TextoNormal"/>
      </w:pPr>
      <w:r>
        <w:t xml:space="preserve">a) En primer término, del derecho a la tutela judicial efectiva, por cuanto en ningún momento el demandante de amparo ha recibido una respuesta judicial a su alegación relativa a la prescripción de la falta. </w:t>
      </w:r>
    </w:p>
    <w:p w:rsidR="00B01F4A" w:rsidRDefault="00B01F4A" w:rsidP="00B01F4A">
      <w:pPr>
        <w:pStyle w:val="TextoNormal"/>
      </w:pPr>
      <w:r>
        <w:t xml:space="preserve">b) En segundo lugar, del derecho a la presunción de inocencia, considerando a este respecto que la autoridad judicial procedió a transformar el procedimiento de juicio de faltas a proceso abreviado, sin que desde que fuera decretado el sobreseimiento provisional del primer proceso penal se hubiera practicado ninguna nueva diligencia de investigación. </w:t>
      </w:r>
    </w:p>
    <w:p w:rsidR="00B01F4A" w:rsidRDefault="00B01F4A" w:rsidP="00B01F4A">
      <w:pPr>
        <w:pStyle w:val="TextoNormal"/>
      </w:pPr>
      <w:r>
        <w:t>c) Aduce, por último, la existencia de una indefensión lesiva del art. 24.1 C.E., que se dice originada porque la última transformación del procedimiento, amén de dejar sin respuesta la cuestión relativa a la prescripción de la falta, se llevó a cabo sin que mediara ninguna nueva diligencia de investigación.</w:t>
      </w:r>
    </w:p>
    <w:p w:rsidR="00B01F4A" w:rsidRDefault="00B01F4A" w:rsidP="00B01F4A">
      <w:pPr>
        <w:pStyle w:val="TextoNormal"/>
      </w:pPr>
    </w:p>
    <w:p w:rsidR="00B01F4A" w:rsidRDefault="00B01F4A" w:rsidP="00B01F4A">
      <w:pPr>
        <w:pStyle w:val="TextoNormal"/>
      </w:pPr>
      <w:r w:rsidRPr="00B01F4A">
        <w:rPr>
          <w:rStyle w:val="NumeroAFNegritaCaracter"/>
        </w:rPr>
        <w:t>4</w:t>
      </w:r>
      <w:r>
        <w:t>. La Sección, mediante providencia de 13 de mayo de 1996, acordó la admisión a trámite de la demanda de amparo, así como requerir a los órganos judiciales de procedencia la remisión de las actuaciones y el emplazamiento de quienes hubieran sido parte en el proceso de que trae causa el presente recurso de amparo.</w:t>
      </w:r>
    </w:p>
    <w:p w:rsidR="00B01F4A" w:rsidRDefault="00B01F4A" w:rsidP="00B01F4A">
      <w:pPr>
        <w:pStyle w:val="TextoNormal"/>
      </w:pPr>
    </w:p>
    <w:p w:rsidR="00B01F4A" w:rsidRDefault="00B01F4A" w:rsidP="00B01F4A">
      <w:pPr>
        <w:pStyle w:val="TextoNormal"/>
      </w:pPr>
      <w:r w:rsidRPr="00B01F4A">
        <w:rPr>
          <w:rStyle w:val="NumeroAFNegritaCaracter"/>
        </w:rPr>
        <w:t>5</w:t>
      </w:r>
      <w:r>
        <w:t xml:space="preserve">. A través de nueva providencia, de fecha 13 de enero de 1997, la Sección acordó la apertura del trámite de alegaciones previsto en el art. 52 LOTC, en el cual, y mediante escrito registrado el 7 de febrero de 1997, el demandante de amparo instó la suspensión de la ejecutividad de las resoluciones judiciales impugnadas, solicitud que ha dado origen a la apertura de la pieza separada de suspensión, acordada por providencia de 13 de febrero de 1997, en la que además se confirió a la parte recurrente y al Ministerio Fiscal el plazo para formular alegaciones previsto en el art. 56.2 LOTC. </w:t>
      </w:r>
    </w:p>
    <w:p w:rsidR="00B01F4A" w:rsidRDefault="00B01F4A" w:rsidP="00B01F4A">
      <w:pPr>
        <w:pStyle w:val="TextoNormal"/>
      </w:pPr>
      <w:r>
        <w:t xml:space="preserve">En dicho trámite, el demandante manifestó que la continuación del procedimiento abreviado que se ha operado tras la transformación procedimental llevada a cabo por las resoluciones impugnadas, amén de ocasionarle «perjuicios irreparables», hace que la futura Sentencia que dicte este Tribunal «sea ilusoria», sin que, desde la perspectiva contraria, el decretar la suspensión cautelar de tales resoluciones pejudique los derechos de quienes hayan sido parte en el procedimiento penal de que trae causa la demanda de amparo. </w:t>
      </w:r>
    </w:p>
    <w:p w:rsidR="00B01F4A" w:rsidRDefault="00B01F4A" w:rsidP="00B01F4A">
      <w:pPr>
        <w:pStyle w:val="TextoNormal"/>
      </w:pPr>
      <w:r>
        <w:t xml:space="preserve">El Ministerio Fiscal, por su parte, se mostró contrario a la adopción de la medida cautelar solicitada por el recurrente, al estimar que, tratándose de la impugnación de resoluciones </w:t>
      </w:r>
      <w:r>
        <w:lastRenderedPageBreak/>
        <w:t>judiciales, la regla general ha de ser la no suspensión. A su juicio, además, «la suspensión entrañaría un otorgamiento adelantado del amparo -cierto que temporal y provisional- que se orienta a la paralización de las diligencias previas incoadas contra el demandante. Por el contrario, la denegación de la suspensión no entrañaría ningún perjuicio para la parte que, en el proceso incoado, podrá ser absuelto del delito, condenado por falta o absuelto incluso de ésta, como pretende».</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Según dispone el art. 56.1 LOTC, la Sala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no obstante, la suspensión podrá denegarse cuando de ella pueda seguirse «perturbación grave de los intereses generales o de los derechos fundamentales o libertades públicas de un tercero».</w:t>
      </w:r>
    </w:p>
    <w:p w:rsidR="00B01F4A" w:rsidRDefault="00B01F4A" w:rsidP="00B01F4A">
      <w:pPr>
        <w:pStyle w:val="TextoNormal"/>
      </w:pPr>
      <w:r>
        <w:t>A la luz de dichas previsiones de nuestra Ley Orgánica, este Tribunal ha declarado reiteradamente que la suspensión de la ejecución entraña siempre una perturbación del ejercicio de la potestad jurisdiccional, dado que, tratándose de una resolución judicial, «existe un interés general en mantener su eficacia» (AATC 81/1981 y 36/1983). De tal manera que, en atención al interés general que toda ejecución comporta (AATC 365/1983 y 275/1986), habrá de acordarse, en principio, la no suspensión de la ejecución salvo que el demandante acredite suficientemente la irreparabilidad que para sus derechos fundamentales pudiera tener la ejecución, privando al amparo de su finalidad y, en tal caso, que la suspensión no produzca las perturbaciones graves a las que se refiere el mencionado precepto de nuestra Ley Orgánica. Debiendo entenderse por perjuicio irreparable aquel que provoque que el restablecimiento del recurrente en el derecho constitucional vulnerado sea tardía e impida definitivamente que tal restauración sea efectiva (AATC 51/1989 y 20/1992).</w:t>
      </w:r>
    </w:p>
    <w:p w:rsidR="00B01F4A" w:rsidRDefault="00B01F4A" w:rsidP="00B01F4A">
      <w:pPr>
        <w:pStyle w:val="TextoNormal"/>
      </w:pPr>
    </w:p>
    <w:p w:rsidR="00B01F4A" w:rsidRDefault="00B01F4A" w:rsidP="00B01F4A">
      <w:pPr>
        <w:pStyle w:val="TextoNormal"/>
      </w:pPr>
      <w:r w:rsidRPr="00B01F4A">
        <w:rPr>
          <w:rStyle w:val="NumeroAFNegritaCaracter"/>
        </w:rPr>
        <w:t>2</w:t>
      </w:r>
      <w:r>
        <w:t>. En el presente caso se nos solicita la suspensión de la ejecutividad de la resolución judicial por la que se acuerda la transformación de un juicio de faltas en procedimiento abreviado, estimando el demandante que la no suspensión de la tramitación de este último proceso le ocasionaría «perjuicios irreparables» y convertiría en «ilusoria» la decisión que este Tribunal dictara sobre el fondo del recurso de amparo.</w:t>
      </w:r>
    </w:p>
    <w:p w:rsidR="00B01F4A" w:rsidRDefault="00B01F4A" w:rsidP="00B01F4A">
      <w:pPr>
        <w:pStyle w:val="TextoNormal"/>
      </w:pPr>
      <w:r>
        <w:t>Sin embargo, la suspensión de la ejecutividad de las resoluciones judiciales impugnadas sólo procedería si el seguimiento del proceso penal cuya paralización cautelar se pretende fuera susceptible de hacer perder al amparo su finalidad, pérdida que no se advierte en el presente caso, pues la simple continuación de dicho procedimiento penal, en el que, como es obvio, también puede recaer una decisión judicial de contenido absolutorio, no puede ocasionar perjuicio irreparable alguno al demandante de amparo.</w:t>
      </w:r>
    </w:p>
    <w:p w:rsidR="00B01F4A" w:rsidRDefault="00B01F4A" w:rsidP="00B01F4A">
      <w:pPr>
        <w:pStyle w:val="TextoNormal"/>
      </w:pPr>
      <w:r>
        <w:t>De otra parte, y de conformidad con la postura mantenida por el Ministerio Fiscal en su escrito de alegaciones, siendo la resolución impugnada desestimatoria, la solicitada suspensión del proceso implicaría suspender también las anteriores que acordaron y mantuvieron seguir el procedimiento en cuestión, lo que parece desproporcionado.</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lastRenderedPageBreak/>
        <w:t>ACUERDA</w:t>
      </w:r>
    </w:p>
    <w:p w:rsidR="00B01F4A" w:rsidRDefault="00B01F4A" w:rsidP="00B01F4A">
      <w:pPr>
        <w:pStyle w:val="TextoNormalCentrado"/>
      </w:pPr>
    </w:p>
    <w:p w:rsidR="00B01F4A" w:rsidRDefault="00B01F4A" w:rsidP="00B01F4A">
      <w:pPr>
        <w:pStyle w:val="TextoNormal"/>
      </w:pPr>
      <w:r>
        <w:t>Por todo lo expuesto, la Sala acuerda desestimar la solicitud de suspensión formulada por don Antonio Naranjo Hijos.</w:t>
      </w:r>
    </w:p>
    <w:p w:rsidR="00B01F4A" w:rsidRDefault="00B01F4A" w:rsidP="00B01F4A">
      <w:pPr>
        <w:pStyle w:val="TextoNormal"/>
      </w:pPr>
    </w:p>
    <w:p w:rsidR="00B01F4A" w:rsidRDefault="00B01F4A" w:rsidP="00B01F4A">
      <w:pPr>
        <w:pStyle w:val="TextoNormal"/>
      </w:pPr>
      <w:r>
        <w:t>Madrid, a diez de marzo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60" w:name="AUTO_1997_70"/>
      <w:r>
        <w:lastRenderedPageBreak/>
        <w:t>AUTO 70/1997, de 10 de marzo de 1997</w:t>
      </w:r>
    </w:p>
    <w:bookmarkEnd w:id="160"/>
    <w:p w:rsidR="00B01F4A" w:rsidRDefault="00B01F4A" w:rsidP="00B01F4A">
      <w:pPr>
        <w:pStyle w:val="TtuloResolucin"/>
      </w:pPr>
      <w:r>
        <w:t>Sección Tercera</w:t>
      </w:r>
    </w:p>
    <w:p w:rsidR="00B01F4A" w:rsidRDefault="00B01F4A" w:rsidP="00B01F4A">
      <w:pPr>
        <w:pStyle w:val="TtuloResolucin"/>
      </w:pPr>
    </w:p>
    <w:p w:rsidR="00B01F4A" w:rsidRDefault="00B01F4A" w:rsidP="00B01F4A">
      <w:pPr>
        <w:pStyle w:val="SntesisDescriptiva"/>
      </w:pPr>
      <w:r>
        <w:t>ECLI:ES:TC:1997:70A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y don Julio D. González Campos.</w:t>
      </w:r>
    </w:p>
    <w:p w:rsidR="00B01F4A" w:rsidRDefault="00B01F4A" w:rsidP="00B01F4A">
      <w:pPr>
        <w:pStyle w:val="SntesisDescriptiva"/>
      </w:pPr>
    </w:p>
    <w:p w:rsidR="00B01F4A" w:rsidRDefault="00B01F4A" w:rsidP="00B01F4A">
      <w:pPr>
        <w:pStyle w:val="SntesisDescriptiva"/>
      </w:pPr>
      <w:r>
        <w:t>Acordando la inadmisión a trámite del recurso de amparo 2.174/1996.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Por escrito que tuvo entrada en este Tribunal el 27 de mayo de 1996, don Juan Canudas Vilardebo interpone recurso de amparo contra la Sentencia dictada el 2 de abril de 1996 por la Sección Octava de la Audiencia Provincial de Barcelona, recaída en el rollo de apelación núm. 9.575/95, dimanante del juicio verbal de faltas núm. 109/95, seguido ante el Juzgado de Instrucción núm. 3 de Vic (Barcelona), por una falta de imprudencia</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La petición de amparo se basa, en esencia, en los siguientes hechos: </w:t>
      </w:r>
    </w:p>
    <w:p w:rsidR="00B01F4A" w:rsidRDefault="00B01F4A" w:rsidP="00B01F4A">
      <w:pPr>
        <w:pStyle w:val="TextoNormal"/>
      </w:pPr>
      <w:r>
        <w:t xml:space="preserve">a) El 17 de julio de 1992 se produjo la muerte repentina de don Enrique Gálvez Morales cuando estaba realizando, a las órdenes del ahora recurrente en amparo, trabajos de soldadura para reparar una tolva en una cantera situada en la localidad de Manlléu (Barcelona). Instruido atestado por la Guardia Civil, se abrieron diligencias previas que, por Auto de la Audiencia Provincial de Barcelona de 24 de enero de 1995, pasaron a juicio de faltas, seguido con el núm. 109/95 en el Juzgado de Instrucción núm. 3 de Vic, donde se dictó Sentencia con fecha de 24 de mayo de 1995, en la que, tras estimarse que la empresa no había adoptado las medidas de seguridad en el trabajo apropiadas, por llevarse a cabo sin las manoplas de protección y las botas aislantes reglamentariamente exigidas, condenó al señor Canudas Vilardebo como responsable de una falta prevista en el art. 586 bis del Código Penal a la pena de un día de arresto menor y multa de 50.000 pesetas, y a indemnizar a los denunciantes, herederos del fallecido, en la cantidad de 10.833.000 pesetas, con responsabilidad civil subsidiaria de otras personas. </w:t>
      </w:r>
    </w:p>
    <w:p w:rsidR="00B01F4A" w:rsidRDefault="00B01F4A" w:rsidP="00B01F4A">
      <w:pPr>
        <w:pStyle w:val="TextoNormal"/>
      </w:pPr>
      <w:r>
        <w:t>b) Contra dicha Sentencia recurrieron en apelación tanto el señor Canudas Vilardebo como los denunciantes, y la Audiencia Provincial de Barcelona, por Sentencia de 2 de abril de 1996, recaída en rollo 9.575/96, tras hacer suyos los hechos probados en la de instancia, desestimó el recurso y confirmó la Sentencia apelada, por estimar, en esencia, que de lo actuado y, especialmente, de las declaraciones de los implicados y testigos, se desprendía la existencia de una actividad probatoria suficiente contra el inculpado, su conducta era constitutiva de la infracción penal y adecuada la indemnización acordada por el Juzgado de Instrucción núm. 3 de Vic.</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La representación procesal del recurrente fundamenta su petición de amparo en la presunta vulneración del derecho constitucional a la presunción de inocencia (art. 24.2 </w:t>
      </w:r>
      <w:r>
        <w:lastRenderedPageBreak/>
        <w:t>C.E.), por cuanto las Sentencias impugnadas le han declarado culpable de una falta de imprudencia sin existir para ello elementos probatorios suficientes. Pues a su juicio no se ha acreditado que el fallecimiento tuviera lugar precisamente por no llevar el trabajador las prendas de seguridad exigidas, aunque ello sea cierto, examinando a este fin las distintas pruebas practicadas en las actuaciones y, en especial, la pericial. Alegando, asimismo, que en aquel momento el fallecido no manejaba ningún aparato eléctrico y ninguna prueba existe de la ausencia de guantes y botas aislantes en la empresa. Solicita, en consecuencia, la nulidad de las Sentencias impugnadas, así como la suspensión de la ejecución de la dictada en apelación por la Audiencia Provincial de Barcelona.</w:t>
      </w:r>
    </w:p>
    <w:p w:rsidR="00B01F4A" w:rsidRDefault="00B01F4A" w:rsidP="00B01F4A">
      <w:pPr>
        <w:pStyle w:val="TextoNormal"/>
      </w:pPr>
    </w:p>
    <w:p w:rsidR="00B01F4A" w:rsidRDefault="00B01F4A" w:rsidP="00B01F4A">
      <w:pPr>
        <w:pStyle w:val="TextoNormal"/>
      </w:pPr>
      <w:r w:rsidRPr="00B01F4A">
        <w:rPr>
          <w:rStyle w:val="NumeroAFNegritaCaracter"/>
        </w:rPr>
        <w:t>4</w:t>
      </w:r>
      <w:r>
        <w:t>. Mediante providencia de 16 de septiembre de 1996, la Sección acordó, antes de pronunciarse sobre la admisión, recabar las actuaciones del proceso a quo, tanto de la Audiencia Provincial de Barcelona como del Juzgado núm. 3 de Vic. Y recibidas el 20 de octubre y el 21 de diciembre de 1996, respectivamente, la Sección acordó por providencia de 13 de enero de 1997, de conformidad con lo dispuesto en el art. 50.3, en relación con el 50.1 c) LOTC, conceder al demandante de amparo y al Ministerio Fiscal un plazo común de diez días para que formulen, con las aportaciones documentales que procedan, las alegaciones que estimen oportunas en relación con la carencia manifiesta de contenido constitucional de la demanda, dándoles vista de las actuaciones.</w:t>
      </w:r>
    </w:p>
    <w:p w:rsidR="00B01F4A" w:rsidRDefault="00B01F4A" w:rsidP="00B01F4A">
      <w:pPr>
        <w:pStyle w:val="TextoNormal"/>
      </w:pPr>
    </w:p>
    <w:p w:rsidR="00B01F4A" w:rsidRDefault="00B01F4A" w:rsidP="00B01F4A">
      <w:pPr>
        <w:pStyle w:val="TextoNormal"/>
      </w:pPr>
      <w:r w:rsidRPr="00B01F4A">
        <w:rPr>
          <w:rStyle w:val="NumeroAFNegritaCaracter"/>
        </w:rPr>
        <w:t>5</w:t>
      </w:r>
      <w:r>
        <w:t>. En dicho trámite la representación procesal del recurrente no ha formulado alegaciones. El Ministerio Fiscal sí presentó escrito, registrado en este Tribunal el 17 de febrero de 1997, en el que ha solicitado que la Sala inadmita el presente recurso de amparo, por entender que el demandante da una extensión indebida al derecho constitucional que invoca, dado que, conforme a la jurisprudencia de este Tribunal (SSTC 31/1981, 141/1986 y 92/1987) se restringe a los elementos probatorios que objetivan la realidad del hecho punible y la participación en el mismo del inculpado, que corresponde apreciar a los órganos jurisdiccionales, así como la calificación de si el comportamiento es imprudente o fortuito. Y basta la lectura de la resolución judicial dictada en instancia y la recaída en apelación para comprobar que existe suficiente actividad probatoria de cargo, en particular las pruebas testificales y las periciales practicadas; sin que se cuestione la relación de causalidad entre la ausencia de medidas de seguridad y el hecho producido, que corresponde apreciar exclusivamente a los órganos judiciales. Por lo que la queja, en definitiva, carece de fundamento.</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Conforme a una reiterada doctrina de este Tribunal, la presunción de inocencia consagrada en el art. 24.2 C.E. se asienta sobre dos ideas esenciales: de un lado, que la Sentencia condenatoria esté fundamentada en auténticos actos de prueba, que puedan razonablemente estimarse de cargo, que la actividad probatoria sea suficiente para desvirtuarla y contenga elementos incriminatorios respecto a la participación del encausado en los hechos constitutivos de un ilícito penal (SSTC 174/1985 y 150/1989, entre otras). De otro, en el principio de libre valoración de la prueba en el proceso penal, dado que a los Jueces y Tribunales, por imperativo del art. 117.3 C.E., corresponde exclusivamente efectuar la ponderación de los distintos elementos probatorios, valorando su significado y trascendencia (SSTC 31/1981 y 20/1989, entre otras).</w:t>
      </w:r>
    </w:p>
    <w:p w:rsidR="00B01F4A" w:rsidRDefault="00B01F4A" w:rsidP="00B01F4A">
      <w:pPr>
        <w:pStyle w:val="TextoNormal"/>
      </w:pPr>
      <w:r>
        <w:lastRenderedPageBreak/>
        <w:t>A lo que cabe agregar, como corolario de la segunda, que la función del Tribunal Constitucional, cuando se alega la presunción de inocencia, sólo «consiste en verificar si ha existido ese mínimo de actividad probatoria que pueda estimarse de cargo, es decir, que además de los hechos cuya certeza resulte de la prueba practicada, de los mismos se pueda deducir la culpabilidad del acusado» [STC 150/1989, fundamento 2.º B), con cita de las SSTC 105/1986, 169/1986, 44/1987 y 177/1987]. Sin que, por tanto, pueda pretenderse, al amparo del referido derecho constitucional, que este Tribunal revise la calificación de los hechos como fortuitos o no negligentes (SSTC 141/1986, 92/1987, 201/1989 y 169/1990) o su subsunción en el tipo penal, salvo que sea arbitraria; ni que proceda a una nueva valoración de la prueba, pues el recurso de amparo no constituye una tercera instancia (SSTC 165/1987, 170/1990, 138/1992 y 323/1993, entre otras).</w:t>
      </w:r>
    </w:p>
    <w:p w:rsidR="00B01F4A" w:rsidRDefault="00B01F4A" w:rsidP="00B01F4A">
      <w:pPr>
        <w:pStyle w:val="TextoNormal"/>
      </w:pPr>
    </w:p>
    <w:p w:rsidR="00B01F4A" w:rsidRDefault="00B01F4A" w:rsidP="00B01F4A">
      <w:pPr>
        <w:pStyle w:val="TextoNormal"/>
      </w:pPr>
      <w:r w:rsidRPr="00B01F4A">
        <w:rPr>
          <w:rStyle w:val="NumeroAFNegritaCaracter"/>
        </w:rPr>
        <w:t>2</w:t>
      </w:r>
      <w:r>
        <w:t>. La aplicación de esta doctrina al presente caso conduce a la denegación del amparo, como ha solicitado el Ministerio Fiscal. Pues basta observar, de un lado, que el recurrente, aun admitiendo que el trabajador carecía de las prendas de seguridad exigidas en el momento de su fallecimiento -hecho probado en la Sentencia de instancia-, trata de excluir su culpabilidad calificando como fortuito el hecho que se le imputa, frente a lo estimado por los órganos jurisdiccionales en las Sentencias impugnadas en este proceso. De otro, que en apoyo de esta alegación lleva a cabo una valoración discrepante de la realizada por dichos órganos, de las distintas pruebas practicadas en el proceso a quo, en particular de la pericial respecto a las causas del fallecimiento.</w:t>
      </w:r>
    </w:p>
    <w:p w:rsidR="00B01F4A" w:rsidRDefault="00B01F4A" w:rsidP="00B01F4A">
      <w:pPr>
        <w:pStyle w:val="TextoNormal"/>
      </w:pPr>
      <w:r>
        <w:t>De este modo, el planteamiento de la queja del recurrente se sitúa fuera del marco de enjuiciamiento externo que corresponde a este Tribunal. De suerte que tras haber verificado que, efectivamente, en el presente caso ha existido prueba suficiente de cargo, como claramente se desprende de las actuaciones recibidas, la conclusión es que carece de fundamento la alegada lesión del derecho constitucional a la presunción de inocencia y, por tanto, ha de inadmitirse el amparo solicitado.</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lo expuesto, la Sección acuerda inadmitir el amparo solicitado por don Juan Canudas Vilardebo y el archivo de las actuaciones.</w:t>
      </w:r>
    </w:p>
    <w:p w:rsidR="00B01F4A" w:rsidRDefault="00B01F4A" w:rsidP="00B01F4A">
      <w:pPr>
        <w:pStyle w:val="TextoNormal"/>
      </w:pPr>
    </w:p>
    <w:p w:rsidR="00B01F4A" w:rsidRDefault="00B01F4A" w:rsidP="00B01F4A">
      <w:pPr>
        <w:pStyle w:val="TextoNormal"/>
      </w:pPr>
      <w:r>
        <w:t>Madrid, a diez de marzo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61" w:name="AUTO_1997_71"/>
      <w:r>
        <w:lastRenderedPageBreak/>
        <w:t>AUTO 71/1997, de 10 de marzo de 1997</w:t>
      </w:r>
    </w:p>
    <w:bookmarkEnd w:id="161"/>
    <w:p w:rsidR="00B01F4A" w:rsidRDefault="00B01F4A" w:rsidP="00B01F4A">
      <w:pPr>
        <w:pStyle w:val="TtuloResolucin"/>
      </w:pPr>
      <w:r>
        <w:t>Sala Primera</w:t>
      </w:r>
    </w:p>
    <w:p w:rsidR="00B01F4A" w:rsidRDefault="00B01F4A" w:rsidP="00B01F4A">
      <w:pPr>
        <w:pStyle w:val="TtuloResolucin"/>
      </w:pPr>
    </w:p>
    <w:p w:rsidR="00B01F4A" w:rsidRDefault="00B01F4A" w:rsidP="00B01F4A">
      <w:pPr>
        <w:pStyle w:val="SntesisDescriptiva"/>
      </w:pPr>
      <w:r>
        <w:t>ECLI:ES:TC:1997:71A</w:t>
      </w:r>
    </w:p>
    <w:p w:rsidR="00B01F4A" w:rsidRDefault="00B01F4A" w:rsidP="00B01F4A">
      <w:pPr>
        <w:pStyle w:val="SntesisDescriptiva"/>
      </w:pPr>
    </w:p>
    <w:p w:rsidR="00B01F4A" w:rsidRDefault="00B01F4A" w:rsidP="00B01F4A">
      <w:pPr>
        <w:pStyle w:val="SntesisDescriptiva"/>
      </w:pPr>
      <w:r>
        <w:t>Excms. Srs. don Álvaro Rodríguez Bereijo, don José Vicente Gimeno Sendra, don Pedro Cruz Villalón, don Enrique Ruiz Vadillo, don Manuel Jiménez de Parga y Cabrera y don Pablo García Manzano.</w:t>
      </w:r>
    </w:p>
    <w:p w:rsidR="00B01F4A" w:rsidRDefault="00B01F4A" w:rsidP="00B01F4A">
      <w:pPr>
        <w:pStyle w:val="SntesisDescriptiva"/>
      </w:pPr>
    </w:p>
    <w:p w:rsidR="00B01F4A" w:rsidRDefault="00B01F4A" w:rsidP="00B01F4A">
      <w:pPr>
        <w:pStyle w:val="SntesisDescriptiva"/>
      </w:pPr>
      <w:r>
        <w:t>Denegando la suspensión de la ejecución del acto que origina el recurso de amparo 2.406/1996.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en este Tribunal el 12 de junio de 1996, el Procurador de los Tribunales don Manuel Sánchez Puelles y González Carvajal, en nombre y representación de don José Antonio Pérez Aniceto, interpuso recurso de amparo contra el Auto de la Sección Cuarta de la Audiencia Provincial de Granada de 29 de abril de 1996, en procedimiento judicial sumario del art. 131 de la Ley Hipotecaria (en adelante, L.H.).</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De la demanda y documentos aportados con ella resultan los siguientes hechos relevantes: </w:t>
      </w:r>
    </w:p>
    <w:p w:rsidR="00B01F4A" w:rsidRDefault="00B01F4A" w:rsidP="00B01F4A">
      <w:pPr>
        <w:pStyle w:val="TextoNormal"/>
      </w:pPr>
      <w:r>
        <w:t xml:space="preserve">a) Doña Mercedes Barón Chamorro inició un proceso sumario del art. 131 L.H. contra don Luis Reche Valenzuela, tramitado por el Juzgado de Primera Instancia núm. 2 de Baza con el núm. 107/92. </w:t>
      </w:r>
    </w:p>
    <w:p w:rsidR="00B01F4A" w:rsidRDefault="00B01F4A" w:rsidP="00B01F4A">
      <w:pPr>
        <w:pStyle w:val="TextoNormal"/>
      </w:pPr>
      <w:r>
        <w:t xml:space="preserve">Celebrada la tercera subasta, por Auto del Juzgado de 8 de noviembre de 1993 se aprobó la adjudicación de la finca hipotecada (en la que había una discoteca de verano) en favor del hoy recurrente en amparo, por la cantidad de 16.000.000 de pesetas, tercero ajeno al procedimiento al cual había cedido el remate la acreedora ejecutante, y que hizo pago de dicha cantidad recibiendo a cambio testimonio de aquella resolución como título bastante para la inscripción de la finca a su favor en el Registro de la Propiedad de Baza, en el que está registrada a su nombre. </w:t>
      </w:r>
    </w:p>
    <w:p w:rsidR="00B01F4A" w:rsidRDefault="00B01F4A" w:rsidP="00B01F4A">
      <w:pPr>
        <w:pStyle w:val="TextoNormal"/>
      </w:pPr>
      <w:r>
        <w:t xml:space="preserve">b) Por providencia del mismo 8 de noviembre de 1993 el Juzgado señaló como fecha de lanzamiento y de entrega de la finca al adjudicatario el 18 de noviembre de 1993, los cuales se retrasaron, no obstante, hasta el día 23, debido a los acontecimientos siguientes: </w:t>
      </w:r>
    </w:p>
    <w:p w:rsidR="00B01F4A" w:rsidRDefault="00B01F4A" w:rsidP="00B01F4A">
      <w:pPr>
        <w:pStyle w:val="TextoNormal"/>
      </w:pPr>
      <w:r>
        <w:t xml:space="preserve">El mismo día 18 de noviembre de 1993, el ejecutado solicitó la suspensión del procedimiento con base en la presentación de una querella contra la acreedora demandante y otras personas por falsedad del título hipotecario, solicitud que fue rechazada por el Juzgado por providencia del mismo 18 de noviembre de 1993, por entender que no constaba la admisión a trámite de dicha querella, y que no era aplicable el art. 132. 1.º L.H., puesto que el procedimiento ya se había tramitado en su totalidad, constituyendo la diligencia de dar posesión una simple consecuencia del mismo. </w:t>
      </w:r>
    </w:p>
    <w:p w:rsidR="00B01F4A" w:rsidRDefault="00B01F4A" w:rsidP="00B01F4A">
      <w:pPr>
        <w:pStyle w:val="TextoNormal"/>
      </w:pPr>
      <w:r>
        <w:lastRenderedPageBreak/>
        <w:t xml:space="preserve">No obstante, ante la alegación por el demandado de una enfermedad de su esposa, el hoy recurrente en amparo accedió a retrasar el lanzamiento hasta el día 22 de noviembre de 1993. </w:t>
      </w:r>
    </w:p>
    <w:p w:rsidR="00B01F4A" w:rsidRDefault="00B01F4A" w:rsidP="00B01F4A">
      <w:pPr>
        <w:pStyle w:val="TextoNormal"/>
      </w:pPr>
      <w:r>
        <w:t xml:space="preserve">Ese mismo día, el ejecutado volvió a solicitar la suspensión del procedimiento, aportando esta vez testimonio de la admisión a trámite de la querella, lo que dio lugar a una nueva providencia del Juzgado de esa misma fecha en el sentido de no haber lugar a lo solicitado y estar a lo acordado en la anterior. </w:t>
      </w:r>
    </w:p>
    <w:p w:rsidR="00B01F4A" w:rsidRDefault="00B01F4A" w:rsidP="00B01F4A">
      <w:pPr>
        <w:pStyle w:val="TextoNormal"/>
      </w:pPr>
      <w:r>
        <w:t xml:space="preserve">Así, pues, el 23 de noviembre de 1993 se hizo efectiva la diligencia de lanzamiento y entrega de la finca al hoy recurrente en amparo. </w:t>
      </w:r>
    </w:p>
    <w:p w:rsidR="00B01F4A" w:rsidRDefault="00B01F4A" w:rsidP="00B01F4A">
      <w:pPr>
        <w:pStyle w:val="TextoNormal"/>
      </w:pPr>
      <w:r>
        <w:t xml:space="preserve">c) Contra esta última providencia el demandado interpuso recurso de reposición, que fue desestimado por Auto del Juzgado de 9 de diciembre de 1993. </w:t>
      </w:r>
    </w:p>
    <w:p w:rsidR="00B01F4A" w:rsidRDefault="00B01F4A" w:rsidP="00B01F4A">
      <w:pPr>
        <w:pStyle w:val="TextoNormal"/>
      </w:pPr>
      <w:r>
        <w:t xml:space="preserve">d) Contra dicho Auto se interpuso recurso de apelación, que esta vez sí fue estimado por Auto de la Sección Cuarta de la Audiencia Provincial de Granada de 15 de noviembre de 1994, que, dejando sin efecto la providencia de 22 de noviembre de 1993, acordó «la suspensión de los autos en el estado que mantenían al tiempo de dictarse dicha providencia y hasta que termine la causa criminal abierta por falsedad del título hipotecario que se ejecuta, en cuyo momento se acordará lo que proceda», y declaró la «nulidad de las actuaciones practicadas con posterioridad al momento de dictarse dicha providencia, acordándose por el Juzgado lo pertinente con dicha declaración, cuando fuere interesado». </w:t>
      </w:r>
    </w:p>
    <w:p w:rsidR="00B01F4A" w:rsidRDefault="00B01F4A" w:rsidP="00B01F4A">
      <w:pPr>
        <w:pStyle w:val="TextoNormal"/>
      </w:pPr>
      <w:r>
        <w:t xml:space="preserve">Dicha decisión se fundamentó en que, al venir recogida en el art. 131.17 L.H., no puede decirse que la puesta en posesión judicial de los bienes al adquirente sea una consecuencia del procedimiento sumario, sino que es un trámite del mismo, por lo que resultaría aplicable la posibilidad de suspensión prevista en el art. 132. 1.º L.H. </w:t>
      </w:r>
    </w:p>
    <w:p w:rsidR="00B01F4A" w:rsidRDefault="00B01F4A" w:rsidP="00B01F4A">
      <w:pPr>
        <w:pStyle w:val="TextoNormal"/>
      </w:pPr>
      <w:r>
        <w:t xml:space="preserve">e) Como consecuencia de dicho Auto, el Juzgado de Primera Instancia núm. 2 de Baza dictó providencia de 22 de mayo de 1995 por la que acordaba hacer entrega de la finca ejecutada al demandado y requería al adjudicatario, hoy recurrente en amparo, para su desalojo en el plazo de quince días, con apercibimiento de lanzamiento. </w:t>
      </w:r>
    </w:p>
    <w:p w:rsidR="00B01F4A" w:rsidRDefault="00B01F4A" w:rsidP="00B01F4A">
      <w:pPr>
        <w:pStyle w:val="TextoNormal"/>
      </w:pPr>
      <w:r>
        <w:t xml:space="preserve">f) Contra esta providencia, el adjudicatario, hoy recurrente en amparo, interpuso recurso de reposición, alegando, entre otras cosas, la vulneración de sus derechos fundamentales a no sufrir indefensión y a un proceso debido (art. 24 C.E.). </w:t>
      </w:r>
    </w:p>
    <w:p w:rsidR="00B01F4A" w:rsidRDefault="00B01F4A" w:rsidP="00B01F4A">
      <w:pPr>
        <w:pStyle w:val="TextoNormal"/>
      </w:pPr>
      <w:r>
        <w:t xml:space="preserve">Dicho recurso fue estimado por Auto del Juzgado de 13 de junio de 1995, que acordó dejar sin efecto esta última providencia, y, con vuelta al momento en que se dictó la providencia de 22 de noviembre de 1993, dar traslado al adjudicatario de la pretensión de suspensión formulada por el demandado para que pudiera ser oído sobre la misma y alegar lo que a su defensa conviniera. Trámite que se cumplimentó por escrito de 27 de junio de 1995. </w:t>
      </w:r>
    </w:p>
    <w:p w:rsidR="00B01F4A" w:rsidRDefault="00B01F4A" w:rsidP="00B01F4A">
      <w:pPr>
        <w:pStyle w:val="TextoNormal"/>
      </w:pPr>
      <w:r>
        <w:t xml:space="preserve">g) Planteado incidente de recusación por el demandado contra el Juez titular del Juzgado de Primera Instancia núm. 2 de Baza, las actuaciones pasaron al núm. 1, que, por Auto de 6 de julio de 1995, acordó estar a lo decidido en el Auto de la Audiencia Provincial de 15 de noviembre de 1994, y, por tanto, habiendo sido solicitada la devolución de la finca por el demandado, hacerle entrega de la misma y requerir al adjudicatario su desalojo en el plazo de quince días con apercibimiento de lanzamiento (en el mismo sentido que la providencia del Juzgado núm. 2, de 22 de mayo de 1995). </w:t>
      </w:r>
    </w:p>
    <w:p w:rsidR="00B01F4A" w:rsidRDefault="00B01F4A" w:rsidP="00B01F4A">
      <w:pPr>
        <w:pStyle w:val="TextoNormal"/>
      </w:pPr>
      <w:r>
        <w:t xml:space="preserve">h) Contra dicho Auto, el hoy recurrente en amparo interpuso recurso de reposición, que fue desestimado por Auto del Juzgado de Primera Instancia núm. 1 de Baza de 4 de septiembre de 1995, en el que se fijó como fecha para su lanzamiento de la finca el 19 de septiembre de 1995. </w:t>
      </w:r>
    </w:p>
    <w:p w:rsidR="00B01F4A" w:rsidRDefault="00B01F4A" w:rsidP="00B01F4A">
      <w:pPr>
        <w:pStyle w:val="TextoNormal"/>
      </w:pPr>
      <w:r>
        <w:lastRenderedPageBreak/>
        <w:t>i) Contra este último, interpuso, finalmente, recurso de apelación, que, admitido en un solo efecto (rollo núm. 918/95), fue desestimado por Auto de la Sección Cuarta de la Audiencia Provincial de Granada de 29 de abril de 1996 (notificado al hoy recurrente el 21 de mayo de 1996).</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El recurrente denuncia en este recurso de amparo dos clases de vulneraciones de sus derechos fundamentales: </w:t>
      </w:r>
    </w:p>
    <w:p w:rsidR="00B01F4A" w:rsidRDefault="00B01F4A" w:rsidP="00B01F4A">
      <w:pPr>
        <w:pStyle w:val="TextoNormal"/>
      </w:pPr>
      <w:r>
        <w:t xml:space="preserve">a) En primer lugar, la vulneración por el Auto impugnado de la Sección Cuarta de la Audiencia Provincial de Granada de 29 de abril de 1996 de su derecho a la tutela judicial efectiva (art. 24.1 C.E.), como derecho a que las resoluciones judiciales estén motivadas. </w:t>
      </w:r>
    </w:p>
    <w:p w:rsidR="00B01F4A" w:rsidRDefault="00B01F4A" w:rsidP="00B01F4A">
      <w:pPr>
        <w:pStyle w:val="TextoNormal"/>
      </w:pPr>
      <w:r>
        <w:t xml:space="preserve">Alega, en este sentido, que el fundamento jurídico 1.º de dicho Auto (y único que fundamenta la resolución) carece de motivación, puesto que no aporta razón alguna por la cual se decide no acceder a lo solicitado, y, en todo caso, contiene un razonamiento redactado en unos términos incomprensibles tanto desde un punto de vista gramatical como jurídico. </w:t>
      </w:r>
    </w:p>
    <w:p w:rsidR="00B01F4A" w:rsidRDefault="00B01F4A" w:rsidP="00B01F4A">
      <w:pPr>
        <w:pStyle w:val="TextoNormal"/>
      </w:pPr>
      <w:r>
        <w:t xml:space="preserve">b) En segundo lugar, considera que, de resultas de todas las actuaciones judiciales reseñadas, se han vulnerado sus derechos fundamentales a la tutela judicial efectiva sin indefensión (art. 24.1 C.E.) y al proceso debido, con todas las garantías (art. 24.2 C.E.), puesto que, adquirida la propiedad del inmueble en virtud de subasta judicial, se ha visto desposeído del mismo y privado de su uso y disfrute en virtud de unas resoluciones dictadas en un procedimiento del art. 131 L.H. en el que no había sido parte ni como ejecutante ni como ejecutado, sin darle posibilidades de ser oído. </w:t>
      </w:r>
    </w:p>
    <w:p w:rsidR="00B01F4A" w:rsidRDefault="00B01F4A" w:rsidP="00B01F4A">
      <w:pPr>
        <w:pStyle w:val="TextoNormal"/>
      </w:pPr>
      <w:r>
        <w:t xml:space="preserve">Alega, en este sentido, que la privación de la posesión al dominus requiere en nuestro ordenamiento la tramitación de un proceso declarativo, que no se ha seguido en este caso. </w:t>
      </w:r>
    </w:p>
    <w:p w:rsidR="00B01F4A" w:rsidRDefault="00B01F4A" w:rsidP="00B01F4A">
      <w:pPr>
        <w:pStyle w:val="TextoNormal"/>
      </w:pPr>
      <w:r>
        <w:t xml:space="preserve">Por todo ello, solicita el otorgamiento del amparo y la anulación del Auto impugnado. </w:t>
      </w:r>
    </w:p>
    <w:p w:rsidR="00B01F4A" w:rsidRDefault="00B01F4A" w:rsidP="00B01F4A">
      <w:pPr>
        <w:pStyle w:val="TextoNormal"/>
      </w:pPr>
      <w:r>
        <w:t xml:space="preserve">También solicita la suspensión de la ejecución de dicho Auto, y la devolución de la posesión, uso y disfrute del inmueble. Alega, a este respecto, que, al no admitirse en su momento el recurso de apelación en ambos efectos, se dio lugar a una situación no sólo injusta, sino, además, absurda, pues se propicio que el titular de la finca fuese desalojado para entregar su posesión a quien había sido vencido justamente en un proceso judicial sumario, en el que se había sacado a subasta una finca de su propiedad para hacer efectivo el pago de la obligación que había incumplido. Lo lógico sería que la posesión la mantuviese el titular del inmueble y no aquel que ningún derecho tiene actualmente sobre el mismo. Al quitarle la posesión se priva al recurrente de poder ejercer su negocio de restaurante, piscina y sala de fiestas, con lo que se le pone en el brete de la ruina. Además, el tiempo de tramitación del proceso penal interpuesto por falsedad en la escritura de hipoteca (que, curiosamente, no se dirige contra el Notario autorizante) puede ser inacabable, puesto que depende del ejecutado-querellante activarlo o no, y, por tanto, su alargamiento insoportable en el tiempo. </w:t>
      </w:r>
    </w:p>
    <w:p w:rsidR="00B01F4A" w:rsidRDefault="00B01F4A" w:rsidP="00B01F4A">
      <w:pPr>
        <w:pStyle w:val="TextoNormal"/>
      </w:pPr>
      <w:r>
        <w:t>De resultas de todo ello, entiende el recurrente que la no suspensión le produciría daños económicos irreparables, que no se resolverían con una indemnización de daños y perjuicios, puesto que aquel negocio es el medio de subsistencia de su familia, y vendría a suponer, de hecho, una verdadera expropiación injusta de su dominio. Considera, por otro lado, que de la suspensión no ha de resultar perjuicio alguno para los intereses generales ni mucho menos para los derechos fundamentales o libertades públicas del ejecutado. Todo lo contrario, seria éste con su actitud el que está negando al recurrente un derecho fundamental, el pleno disfrute de la propiedad legítimamente adquirida y el ejercicio en ella del negocio familiar que le permita vivir dignamente.</w:t>
      </w:r>
    </w:p>
    <w:p w:rsidR="00B01F4A" w:rsidRDefault="00B01F4A" w:rsidP="00B01F4A">
      <w:pPr>
        <w:pStyle w:val="TextoNormal"/>
      </w:pPr>
    </w:p>
    <w:p w:rsidR="00B01F4A" w:rsidRDefault="00B01F4A" w:rsidP="00B01F4A">
      <w:pPr>
        <w:pStyle w:val="TextoNormal"/>
      </w:pPr>
      <w:r w:rsidRPr="00B01F4A">
        <w:rPr>
          <w:rStyle w:val="NumeroAFNegritaCaracter"/>
        </w:rPr>
        <w:lastRenderedPageBreak/>
        <w:t>4</w:t>
      </w:r>
      <w:r>
        <w:t>. Por providencia de 4 de noviembre de 1996, la Sección Segunda de este Tribunal acordó admitir a trámite la demanda de amparo, sin perjuicio de lo que resulte de los antecedentes, y, a tenor de lo dispuesto en el art. 51 LOTC, requerir atentamente a la Audiencia Provincial de Granada y al Juzgado de Primera Instancia núm. 1 de Baza para que remitieran testimonio de las actuaciones relativas al recurso de apelación núm. 918/95 y al juicio hipotecario del art. 131 L.H. núm. 107/1992, respectivamente, interesando al propio tiempo de dicho Juzgado el emplazamiento de quienes fueron parte en el procedimiento, con excepción del solicitante de amparo, para su posible comparecencia en el presente proceso constitucional; acordó asimismo formar la oportuna pieza separada de suspensión.</w:t>
      </w:r>
    </w:p>
    <w:p w:rsidR="00B01F4A" w:rsidRDefault="00B01F4A" w:rsidP="00B01F4A">
      <w:pPr>
        <w:pStyle w:val="TextoNormal"/>
      </w:pPr>
    </w:p>
    <w:p w:rsidR="00B01F4A" w:rsidRDefault="00B01F4A" w:rsidP="00B01F4A">
      <w:pPr>
        <w:pStyle w:val="TextoNormal"/>
      </w:pPr>
      <w:r w:rsidRPr="00B01F4A">
        <w:rPr>
          <w:rStyle w:val="NumeroAFNegritaCaracter"/>
        </w:rPr>
        <w:t>5</w:t>
      </w:r>
      <w:r>
        <w:t>. Por providencia de la misma fecha, la Sección Segunda acordó tener por formada la presente pieza separada de suspensión y, de conformidad con lo previsto en el art. 56 LOTC, conceder al Ministerio Fiscal y al solicitante del amparo un plazo común de tres días para alegaciones sobre dicha suspensión.</w:t>
      </w:r>
    </w:p>
    <w:p w:rsidR="00B01F4A" w:rsidRDefault="00B01F4A" w:rsidP="00B01F4A">
      <w:pPr>
        <w:pStyle w:val="TextoNormal"/>
      </w:pPr>
    </w:p>
    <w:p w:rsidR="00B01F4A" w:rsidRDefault="00B01F4A" w:rsidP="00B01F4A">
      <w:pPr>
        <w:pStyle w:val="TextoNormal"/>
      </w:pPr>
      <w:r w:rsidRPr="00B01F4A">
        <w:rPr>
          <w:rStyle w:val="NumeroAFNegritaCaracter"/>
        </w:rPr>
        <w:t>6</w:t>
      </w:r>
      <w:r>
        <w:t xml:space="preserve">. El Ministerio Fiscal registró su escrito de alegaciones el 14 de noviembre de 1996, interesando la denegación de la suspensión solicitada, por las siguientes razones: </w:t>
      </w:r>
    </w:p>
    <w:p w:rsidR="00B01F4A" w:rsidRDefault="00B01F4A" w:rsidP="00B01F4A">
      <w:pPr>
        <w:pStyle w:val="TextoNormal"/>
      </w:pPr>
      <w:r>
        <w:t>Para el Ministerio fiscal la suspensión implicaría el mantenimiento en la posesión del recurrente en contra de tres resoluciones judiciales, de las cuales sólo la última aparece formalmente recurrida en esta sede. Por otro lado, las razones que se exponen para solicitar y obtener la suspensión vienen conexionadas con el fondo del pleito, al cuestionar el efecto paralizante de la admisión de una querella. Si se otorgara la suspensión, este Tribunal, aun cautelarmente, podrá ir más allá que una Sentencia futura que otorgara el amparo, que supondría la anulación de la resolución aquí impugnada para que se dictara otra motivando la decisión, pero sin indicar, ni siquiera con los efectos antedichos, la persona a quien corresponde la posesión del inmueble y consiguientemente su disfrute. Esta temática es ajena al amparo en la forma en que se plantea. Finalmente, alega el Ministerio Fiscal que es una constante en la doctrina sobre la suspensión atender al criterio consistente en el cumplimiento de las resoluciones judiciales, sin que se pueda hablar aquí de un perjuicio irreparable dado el contenido económico de la pretensión y, por tanto, eventualmente resarcible.</w:t>
      </w:r>
    </w:p>
    <w:p w:rsidR="00B01F4A" w:rsidRDefault="00B01F4A" w:rsidP="00B01F4A">
      <w:pPr>
        <w:pStyle w:val="TextoNormal"/>
      </w:pPr>
    </w:p>
    <w:p w:rsidR="00B01F4A" w:rsidRDefault="00B01F4A" w:rsidP="00B01F4A">
      <w:pPr>
        <w:pStyle w:val="TextoNormal"/>
      </w:pPr>
      <w:r w:rsidRPr="00B01F4A">
        <w:rPr>
          <w:rStyle w:val="NumeroAFNegritaCaracter"/>
        </w:rPr>
        <w:t>7</w:t>
      </w:r>
      <w:r>
        <w:t xml:space="preserve">. Mediante escrito presentado en el Juzgado de Guardia el 13 de noviembre de 1996 y registrado en este Tribunal el 18 de noviembre de 1996, la representación procesal del recurrente reiteró su solicitud de suspensión del acto recurrido en amparo y de que se ordene la devolución de la posesión, uso y disfrute del inmueble. Completando las ya efectuadas al respecto en la demanda, basa su solicitud en las siguientes alegaciones: </w:t>
      </w:r>
    </w:p>
    <w:p w:rsidR="00B01F4A" w:rsidRDefault="00B01F4A" w:rsidP="00B01F4A">
      <w:pPr>
        <w:pStyle w:val="TextoNormal"/>
      </w:pPr>
      <w:r>
        <w:t xml:space="preserve">a) El hoy recurrente es el propietario registral de la finca en virtud del Auto de adjudicación resultante de la ejecución hipotecaria, tomó posesión de la misma y realizó en ella importantes obras para desarrollar el negocio de restaurante, bar y piscina, que le ha servido como medio de vida hasta el momento de su desposesión. </w:t>
      </w:r>
    </w:p>
    <w:p w:rsidR="00B01F4A" w:rsidRDefault="00B01F4A" w:rsidP="00B01F4A">
      <w:pPr>
        <w:pStyle w:val="TextoNormal"/>
      </w:pPr>
      <w:r>
        <w:t>b) Tal situación de desposesión ha de durar, conforme a la resolución que aquí se recurre, hasta tanto se resuelva el proceso penal iniciado por querella criminal por falsedad de la escritura de hipoteca presentada por el actual poseedor contra numerosas personas, de las que desconoce su identidad, mas no, sorprendentemente, contra el Notario autorizante. Según se ha podido averiguar dicho proceso penal se tramita ante el Juzgado de Instrucción núm. 3 de la Audiencia Nacional, lo que hace suponer una larga tramitación, cuya acelera</w:t>
      </w:r>
      <w:r>
        <w:lastRenderedPageBreak/>
        <w:t xml:space="preserve">ción está exclusivamente en manos del querellante. Además, esta querella tiene todo el aspecto de una querella «catalana», interpuesta única y exclusivamente con la finalidad de evitar la toma de posesión por el hoy recurrente. </w:t>
      </w:r>
    </w:p>
    <w:p w:rsidR="00B01F4A" w:rsidRDefault="00B01F4A" w:rsidP="00B01F4A">
      <w:pPr>
        <w:pStyle w:val="TextoNormal"/>
      </w:pPr>
      <w:r>
        <w:t xml:space="preserve">c) Mantener esta situación durante la tramitación del presente recurso de amparo supondría para él perjuicios irreparables, pues no sólo habrá dejado de ganar dinero, sino que habrá perdido algo importantísimo para un comerciante, como es el fondo de comercio, la clientela. </w:t>
      </w:r>
    </w:p>
    <w:p w:rsidR="00B01F4A" w:rsidRDefault="00B01F4A" w:rsidP="00B01F4A">
      <w:pPr>
        <w:pStyle w:val="TextoNormal"/>
      </w:pPr>
      <w:r>
        <w:t xml:space="preserve">d) La suspensión no produciría perjuicio alguno a los intereses generales ni a los derechos fundamentales o libertades públicas de un tercero. El ejecutado, además de no ser tercero en sentido propio, está llevando a cabo el negocio de restaurante, piscina y discoteca por su cuenta, utilizando los medios y bienes del hoy recurrente y destrozando su clientela (que sería lo más injusto e irritante de la situación). </w:t>
      </w:r>
    </w:p>
    <w:p w:rsidR="00B01F4A" w:rsidRDefault="00B01F4A" w:rsidP="00B01F4A">
      <w:pPr>
        <w:pStyle w:val="TextoNormal"/>
      </w:pPr>
      <w:r>
        <w:t>Finalmente, y aunque no la considera necesaria (pues quien está sufriendo daños y perjuicios es él), el recurrente se ofrece (como ya hizo ante la Audiencia Provincial) a prestar fianza si este Tribunal lo considera imprescindible para otorgar la suspensión.</w:t>
      </w:r>
    </w:p>
    <w:p w:rsidR="00B01F4A" w:rsidRDefault="00B01F4A" w:rsidP="00B01F4A">
      <w:pPr>
        <w:pStyle w:val="TextoNormal"/>
      </w:pPr>
    </w:p>
    <w:p w:rsidR="00B01F4A" w:rsidRDefault="00B01F4A" w:rsidP="00B01F4A">
      <w:pPr>
        <w:pStyle w:val="TextoNormal"/>
      </w:pPr>
      <w:r w:rsidRPr="00B01F4A">
        <w:rPr>
          <w:rStyle w:val="NumeroAFNegritaCaracter"/>
        </w:rPr>
        <w:t>8</w:t>
      </w:r>
      <w:r>
        <w:t xml:space="preserve">. Por providencia de la Sección Segunda de 10 de enero de 1997 se tuvo por recibido el escrito (registrado el 11 de diciembre de 1996) del Procurador de los Tribunales don José Ignacio de Noriega y Arquer, y se le tuvo por personado y parte en el presente proceso constitucional en nombre y representación de don Luis Reche Valenzuela; se tuvieron también por recibidos los testimonios de actuaciones remitidos por el Juzgado de Primera Instancia núm. 2 de Baza y por la Sección Cuarta de la Audiencia Provincial de Granada; y se acordó llevar testimonio de la personación efectuada y de esta providencia a la pieza de suspensión formada en el presente recurso de amparo. </w:t>
      </w:r>
    </w:p>
    <w:p w:rsidR="00B01F4A" w:rsidRDefault="00B01F4A" w:rsidP="00B01F4A">
      <w:pPr>
        <w:pStyle w:val="TextoNormal"/>
      </w:pPr>
      <w:r>
        <w:t>Por providencia de la misma fecha se acordó conceder al citado Procurador un plazo de tres días para alegaciones en esta pieza separada de suspensión.</w:t>
      </w:r>
    </w:p>
    <w:p w:rsidR="00B01F4A" w:rsidRDefault="00B01F4A" w:rsidP="00B01F4A">
      <w:pPr>
        <w:pStyle w:val="TextoNormal"/>
      </w:pPr>
    </w:p>
    <w:p w:rsidR="00B01F4A" w:rsidRDefault="00B01F4A" w:rsidP="00B01F4A">
      <w:pPr>
        <w:pStyle w:val="TextoNormal"/>
      </w:pPr>
      <w:r w:rsidRPr="00B01F4A">
        <w:rPr>
          <w:rStyle w:val="NumeroAFNegritaCaracter"/>
        </w:rPr>
        <w:t>9</w:t>
      </w:r>
      <w:r>
        <w:t xml:space="preserve">. Mediante escrito presentado en el Juzgado de Guardia el 17 de enero de 1997 y registrado en este Tribunal el 20 de enero de 1997, la representación procesal de don Luis Reche Valenzuela formuló alegaciones en esta pieza, suplicando se le tenga por opuesta a la suspensión solicitada. </w:t>
      </w:r>
    </w:p>
    <w:p w:rsidR="00B01F4A" w:rsidRDefault="00B01F4A" w:rsidP="00B01F4A">
      <w:pPr>
        <w:pStyle w:val="TextoNormal"/>
      </w:pPr>
      <w:r>
        <w:t>Para fundamentar su oposición a la suspensión de la ejecución del Auto recurrido en amparo de 29 de abril de 1996 se alega que en el mismo queda claramente especificado que dicho Auto no agota la vía judicial, y, sobre todo, que lo que realmente se está pretendiendo es la suspensión de la ejecución de otro anterior, de 4 de septiembre de 1995, que fue el que reintegró la posesión al señor Reche Valenzuela, frente al cual no se interpuso recurso de amparo y respecto del cual no se podría pedir su suspensión por ser firme y ya ejecutado. Se añade que el Auto recurrido de 29 de abril de 1996 remite al aquí solicitante de suspensión para obtener amparo no al recurso de amparo, sino a lo previsto en la L.E.C., que sería el declarativo correspondiente, según especifica el art. 132 L.H. Añade, finalmente, que la ejecución hipotecaria del art. 134 L.H. se suspendió correctamente en aplicación del art. 132. 1º L.H., y que si el órgano judicial no se hubiese precipitado y el hoy recurrente no hubiese acelerado la consignación del dinero no se encontraría en la situación que dice.</w:t>
      </w:r>
    </w:p>
    <w:p w:rsidR="00B01F4A" w:rsidRDefault="00B01F4A" w:rsidP="00B01F4A">
      <w:pPr>
        <w:pStyle w:val="TextoNormal"/>
      </w:pPr>
    </w:p>
    <w:p w:rsidR="00B01F4A" w:rsidRDefault="00B01F4A" w:rsidP="00B01F4A">
      <w:pPr>
        <w:pStyle w:val="TextoNormalNegritaCentrado"/>
        <w:keepNext/>
      </w:pPr>
      <w:r>
        <w:lastRenderedPageBreak/>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terceros».</w:t>
      </w:r>
    </w:p>
    <w:p w:rsidR="00B01F4A" w:rsidRDefault="00B01F4A" w:rsidP="00B01F4A">
      <w:pPr>
        <w:pStyle w:val="TextoNormal"/>
      </w:pPr>
      <w:r>
        <w:t>En la interpretación de la referida disposición, este Tribunal viene manteniendo que cuando el recurso se dirige contra resoluciones judiciales, lo más acorde con el interés general es su cumplimiento, que dota de efectividad a, la tutela judicial consagrada por el art. 24.1 C.E., por lo que, en tales casos, será necesario que se acredite suficientemente la irreparabilidad del perjuicio que pudiera traer consigo la ejecución de la resolución impugnada, privando al amparo de su finalidad, para que la medida cautelar que se interesa pueda prosperar.</w:t>
      </w:r>
    </w:p>
    <w:p w:rsidR="00B01F4A" w:rsidRDefault="00B01F4A" w:rsidP="00B01F4A">
      <w:pPr>
        <w:pStyle w:val="TextoNormal"/>
      </w:pPr>
      <w:r>
        <w:t>Conforme a tal criterio interpretativo, este Tribunal viene distinguiendo entre las resoluciones judiciales que imponen penas privativas de libertad o afectan a otros bienes o derechos de difícil o imposible restitución a su estado anterior y las que tienen efectos meramente económicos. En relación con estas últimas, la regla general viene siendo la no suspensión, a menos que por la importancia o cuantía de dichos efectos económicos o por las circunstancias que concurran en el caso, el cumplimiento de la resolución pudiera ocasionar daños irreparables, que, en todo caso, habrán de ser acreditados (AATC 253/1995 y 118/1996), pues, en definitiva, el criterio que ha de observarse en materia de suspensión es el de la preservación de la eficacia de un posible pronunciamiento estimatorio (ATC 258/1996).</w:t>
      </w:r>
    </w:p>
    <w:p w:rsidR="00B01F4A" w:rsidRDefault="00B01F4A" w:rsidP="00B01F4A">
      <w:pPr>
        <w:pStyle w:val="TextoNormal"/>
      </w:pPr>
    </w:p>
    <w:p w:rsidR="00B01F4A" w:rsidRDefault="00B01F4A" w:rsidP="00B01F4A">
      <w:pPr>
        <w:pStyle w:val="TextoNormal"/>
      </w:pPr>
      <w:r w:rsidRPr="00B01F4A">
        <w:rPr>
          <w:rStyle w:val="NumeroAFNegritaCaracter"/>
        </w:rPr>
        <w:t>2</w:t>
      </w:r>
      <w:r>
        <w:t>. En el caso presente se solicita la suspensión de la ejecución de las resoluciones judiciales que ordenaron reintegrar en la posesión del inmueble y explotación del negocio en él instalado al demandado en un procedimiento judicial sumario del art. 131 L.H., tras haberse acordado la suspensión del mismo, en aplicación del art. 132. 1.º L.H., por la admisión a trámite de una querella criminal producida con posterioridad a la subasta y adjudicación del inmueble, y que han supuesto la desposesión del adjudicatario y propietario del inmueble por cesión del remate por parte de la acreedora ejecutante, que inicialmente había sido puesto en posesión del mismo y hoy demandante de amparo.</w:t>
      </w:r>
    </w:p>
    <w:p w:rsidR="00B01F4A" w:rsidRDefault="00B01F4A" w:rsidP="00B01F4A">
      <w:pPr>
        <w:pStyle w:val="TextoNormal"/>
      </w:pPr>
      <w:r>
        <w:t>Ciertamente, conviene dejar constancia del contraste existente entre los términos apasionados en los que se solicita dicha suspensión y la consiguiente devolución cautelar de la posesión y disfrute del negocio al recurrente en amparo, y aquellos en los que se manifiesta la oposición a la misma por parte del demandado en la causa principal, personado en el presente recurso.</w:t>
      </w:r>
    </w:p>
    <w:p w:rsidR="00B01F4A" w:rsidRDefault="00B01F4A" w:rsidP="00B01F4A">
      <w:pPr>
        <w:pStyle w:val="TextoNormal"/>
      </w:pPr>
      <w:r>
        <w:t>Sin embargo, y a la luz de la doctrina expresada en el fundamento anterior, esta Sala no encuentra razones para acceder a la suspensión que se solicita.  En efecto, los perjuicios que se alegan como derivados de la ejecución de las resoluciones judiciales recurridas (incluso aquellos que se achacan a una posible pérdida de clientela) no dejan de tener un componente esencialmente económico, y, por lo tanto, resarcible, sin que peligre, pues, por la falta de suspensión, la efectividad de un eventual pronunciamiento estimatorio en el presente recurso.</w:t>
      </w:r>
    </w:p>
    <w:p w:rsidR="00B01F4A" w:rsidRDefault="00B01F4A" w:rsidP="00B01F4A">
      <w:pPr>
        <w:pStyle w:val="TextoNormal"/>
      </w:pPr>
      <w:r>
        <w:lastRenderedPageBreak/>
        <w:t>Lo cual no ha de ser obstáculo para que, en su caso, se adopten por parte de los órganos judiciales que conocen de la causa principal las medidas que puedan resultar necesarias para evitar un empeoramiento del actual status quo en contra del recurrente en amparo.</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lo expuesto, la Sala acuerda denegar la suspensión solicitada.</w:t>
      </w:r>
    </w:p>
    <w:p w:rsidR="00B01F4A" w:rsidRDefault="00B01F4A" w:rsidP="00B01F4A">
      <w:pPr>
        <w:pStyle w:val="TextoNormal"/>
      </w:pPr>
    </w:p>
    <w:p w:rsidR="00B01F4A" w:rsidRDefault="00B01F4A" w:rsidP="00B01F4A">
      <w:pPr>
        <w:pStyle w:val="TextoNormal"/>
      </w:pPr>
      <w:r>
        <w:t>Madrid, a diez de marzo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62" w:name="AUTO_1997_72"/>
      <w:r>
        <w:lastRenderedPageBreak/>
        <w:t>AUTO 72/1997, de 10 de marzo de 1997</w:t>
      </w:r>
    </w:p>
    <w:bookmarkEnd w:id="162"/>
    <w:p w:rsidR="00B01F4A" w:rsidRDefault="00B01F4A" w:rsidP="00B01F4A">
      <w:pPr>
        <w:pStyle w:val="TtuloResolucin"/>
      </w:pPr>
      <w:r>
        <w:t>Sala Primera</w:t>
      </w:r>
    </w:p>
    <w:p w:rsidR="00B01F4A" w:rsidRDefault="00B01F4A" w:rsidP="00B01F4A">
      <w:pPr>
        <w:pStyle w:val="TtuloResolucin"/>
      </w:pPr>
    </w:p>
    <w:p w:rsidR="00B01F4A" w:rsidRDefault="00B01F4A" w:rsidP="00B01F4A">
      <w:pPr>
        <w:pStyle w:val="SntesisDescriptiva"/>
      </w:pPr>
      <w:r>
        <w:t>ECLI:ES:TC:1997:72A</w:t>
      </w:r>
    </w:p>
    <w:p w:rsidR="00B01F4A" w:rsidRDefault="00B01F4A" w:rsidP="00B01F4A">
      <w:pPr>
        <w:pStyle w:val="SntesisDescriptiva"/>
      </w:pPr>
    </w:p>
    <w:p w:rsidR="00B01F4A" w:rsidRDefault="00B01F4A" w:rsidP="00B01F4A">
      <w:pPr>
        <w:pStyle w:val="SntesisDescriptiva"/>
      </w:pPr>
      <w:r>
        <w:t>Excms. Srs. don Álvaro Rodríguez Bereijo, don José Vicente Gimeno Sendra, don Pedro Cruz Villalón, don Enrique Ruiz Vadillo, don Manuel Jiménez de Parga y Cabrera y don Pablo García Manzano.</w:t>
      </w:r>
    </w:p>
    <w:p w:rsidR="00B01F4A" w:rsidRDefault="00B01F4A" w:rsidP="00B01F4A">
      <w:pPr>
        <w:pStyle w:val="SntesisDescriptiva"/>
      </w:pPr>
    </w:p>
    <w:p w:rsidR="00B01F4A" w:rsidRDefault="00B01F4A" w:rsidP="00B01F4A">
      <w:pPr>
        <w:pStyle w:val="SntesisDescriptiva"/>
      </w:pPr>
      <w:r>
        <w:t>Denegando la suspensión de la ejecución del acto que origina el recurso de amparo 3.066/1996.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en este Tribunal el 29 de julio de 1996, el Procurador de los Tribunales don Saturnino Estévez Rodríguez, en nombre y representación de la sociedad agraria de transformación «S.A.T. Sant n.º 675 Cat», interpuso recurso de amparo contra la Sentencia de la Sección Cuarta de la Sala de lo Contencioso-Administrativo del Tribunal Superior de Justicia de Cataluña de 13 de junio de 1996, sobre liquidación del Impuesto de Transmisiones Patrimoniales y Actos Jurídicos Documentados.</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La demanda se basa en los siguientes hechos: </w:t>
      </w:r>
    </w:p>
    <w:p w:rsidR="00B01F4A" w:rsidRDefault="00B01F4A" w:rsidP="00B01F4A">
      <w:pPr>
        <w:pStyle w:val="TextoNormal"/>
      </w:pPr>
      <w:r>
        <w:t xml:space="preserve">a) El 6 de septiembre de 1989 la entidad hoy demandante de amparo presentó ante la Delegación Territorial de Lleida del Departamento de Economía y Finanzas de la Generalidad de Cataluña autoliquidación del Impuesto de Transmisiones Patrimoniales y Actos Jurídicos Documentados por la adquisición (en escritura pública) de varias fincas rústicas por un precio total y alzado de 17.000.000 de pesetas, solicitando la exención de dicho impuesto, en aplicación del art. 48.I.B. 12 del Texto refundido entonces vigente del Impuesto, en relación con lo establecido en el Decreto 1.515/1970 y en el Real Decreto 1.776/1981, por tratarse de bienes destinados al cumplimiento de los fines sociales de la S.A.T. </w:t>
      </w:r>
    </w:p>
    <w:p w:rsidR="00B01F4A" w:rsidRDefault="00B01F4A" w:rsidP="00B01F4A">
      <w:pPr>
        <w:pStyle w:val="TextoNormal"/>
      </w:pPr>
      <w:r>
        <w:t xml:space="preserve">No obstante, la Delegación no entendió aplicable la exención solicitada, y giró liquidación del impuesto, con una base imponible comprobada de 26.306.000 pesetas, y a un tipo de gravamen del 6 por 100, por un importe a ingresar de 1.806.945 pesetas. </w:t>
      </w:r>
    </w:p>
    <w:p w:rsidR="00B01F4A" w:rsidRDefault="00B01F4A" w:rsidP="00B01F4A">
      <w:pPr>
        <w:pStyle w:val="TextoNormal"/>
      </w:pPr>
      <w:r>
        <w:t xml:space="preserve">b) Contra dicha liquidación se interpuso recurso de reposición, que fue desestimado por Resolución de 1 de septiembre de 1991. </w:t>
      </w:r>
    </w:p>
    <w:p w:rsidR="00B01F4A" w:rsidRDefault="00B01F4A" w:rsidP="00B01F4A">
      <w:pPr>
        <w:pStyle w:val="TextoNormal"/>
      </w:pPr>
      <w:r>
        <w:t xml:space="preserve">c) Se interpuso después reclamación económico-administrativa ante el Tribunal Económico-Administrativo Regional de Cataluña, que fue desestimada por Resolución de 28 de julio de 1992. </w:t>
      </w:r>
    </w:p>
    <w:p w:rsidR="00B01F4A" w:rsidRDefault="00B01F4A" w:rsidP="00B01F4A">
      <w:pPr>
        <w:pStyle w:val="TextoNormal"/>
      </w:pPr>
      <w:r>
        <w:t xml:space="preserve">d) Contra esta última se interpuso (el 30 de diciembre de 1992) recurso cotencioso-administrativo (núm. 246/93), resuelto por Sentencia de la Sección Cuarta de la Sala de lo Contencioso-Administrativo del Tribunal Superior de Justicia de Cataluña, de 13 de junio de 1996, que declaró la inadmisibilidad del mismo por haber sido interpuesto fuera del plazo </w:t>
      </w:r>
      <w:r>
        <w:lastRenderedPageBreak/>
        <w:t>legal de dos meses. La Sentencia considera extemporánea la interposición del recurso tomando en consideración la fecha de notificación de la Resolución impugnada al Presidente de la S.A.T. (producida el 23 de octubre de 1992), que era el firmante de la reclamación económico-administrativa y, por tanto, con quien debía entenderse el Tribunal Económico-Administrativo Regional, ya que al designado como Letrado director de la reclamación no se le había conferido la representación procesal.</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La entidad recurrente considera que la Sentencia impugnada ha vulnerado su derecho a la tutela judicial efectiva (art. 24.1 C.E.) al inadmitir el recurso contencioso-administrativo y no pronunciarse, por tanto, sobre el fondo del asunto, en virtud de una causa que no se ajusta a la realidad. </w:t>
      </w:r>
    </w:p>
    <w:p w:rsidR="00B01F4A" w:rsidRDefault="00B01F4A" w:rsidP="00B01F4A">
      <w:pPr>
        <w:pStyle w:val="TextoNormal"/>
      </w:pPr>
      <w:r>
        <w:t xml:space="preserve">Se alega, en este sentido, que ni el Presidente de la entidad ni su Abogado recibieron notificación alguna de la Resolución impugnada en vía contencioso-administrativa, y que fue por gestiones personales ante el Tribunal Económico-Administrativo Regional como conocieron que había recaído Resolución desestimatoria de la reclamación e interpusieron seguidamente el recurso contencioso-administrativo. </w:t>
      </w:r>
    </w:p>
    <w:p w:rsidR="00B01F4A" w:rsidRDefault="00B01F4A" w:rsidP="00B01F4A">
      <w:pPr>
        <w:pStyle w:val="TextoNormal"/>
      </w:pPr>
      <w:r>
        <w:t xml:space="preserve">La notificación que se tiene en cuenta por la Sentencia aquí impugnada para considerar extemporáneo el recurso adolecía, a juicio de la recurrente, de un defecto esencial, por cuanto el acuse de recibo de la misma que consta en la actuaciones no lleva firma alguna en el espacio reservado para el receptor, sino tan sólo las de los carteros notificados y repartidor, ignorándose por parte de la entidad aquí recurrente cuál fue su destino y quién la recibió. </w:t>
      </w:r>
    </w:p>
    <w:p w:rsidR="00B01F4A" w:rsidRDefault="00B01F4A" w:rsidP="00B01F4A">
      <w:pPr>
        <w:pStyle w:val="TextoNormal"/>
      </w:pPr>
      <w:r>
        <w:t xml:space="preserve">Por todo ello, se solicita el otorgamiento del amparo y la anulación de la Sentencia impugnada. </w:t>
      </w:r>
    </w:p>
    <w:p w:rsidR="00B01F4A" w:rsidRDefault="00B01F4A" w:rsidP="00B01F4A">
      <w:pPr>
        <w:pStyle w:val="TextoNormal"/>
      </w:pPr>
      <w:r>
        <w:t>Se pide también en la demanda la suspensión de la ejecución de dicha Sentencia, toda vez que su ejecución podría hacer perder al amparo su finalidad, y teniendo en cuenta, además, que el importe de la liquidación se encuentra garantizado mediante aval en el recurso contencioso-administrativo.</w:t>
      </w:r>
    </w:p>
    <w:p w:rsidR="00B01F4A" w:rsidRDefault="00B01F4A" w:rsidP="00B01F4A">
      <w:pPr>
        <w:pStyle w:val="TextoNormal"/>
      </w:pPr>
    </w:p>
    <w:p w:rsidR="00B01F4A" w:rsidRDefault="00B01F4A" w:rsidP="00B01F4A">
      <w:pPr>
        <w:pStyle w:val="TextoNormal"/>
      </w:pPr>
      <w:r w:rsidRPr="00B01F4A">
        <w:rPr>
          <w:rStyle w:val="NumeroAFNegritaCaracter"/>
        </w:rPr>
        <w:t>4</w:t>
      </w:r>
      <w:r>
        <w:t>. Por providencia de 25 de noviembre de 1996, la Sección Primera de este Tribunal acordó admitir a trámite la demanda de amparo, sin perjuicio de lo que resulte de los antecedentes, y, a tenor de lo dispuesto en el art. 51 LOTC, requerir atentamente a la Sección Cuarta de la Sala de lo Contencioso-Administrativo del Tribunal Superior de Justicia de Cataluña para que remitiera testimonio de las actuaciones relativas al recurso contencioso-administrativo núm. 246/93, interesando al propio tiempo el emplazamiento de quienes fueron parte en el procedimiento, con excepción del solicitante de amparo, para su posible comparecencia en el presente proceso constitucional; acordó asimismo formar la oportuna pieza separada de suspensión.</w:t>
      </w:r>
    </w:p>
    <w:p w:rsidR="00B01F4A" w:rsidRDefault="00B01F4A" w:rsidP="00B01F4A">
      <w:pPr>
        <w:pStyle w:val="TextoNormal"/>
      </w:pPr>
    </w:p>
    <w:p w:rsidR="00B01F4A" w:rsidRDefault="00B01F4A" w:rsidP="00B01F4A">
      <w:pPr>
        <w:pStyle w:val="TextoNormal"/>
      </w:pPr>
      <w:r w:rsidRPr="00B01F4A">
        <w:rPr>
          <w:rStyle w:val="NumeroAFNegritaCaracter"/>
        </w:rPr>
        <w:t>5</w:t>
      </w:r>
      <w:r>
        <w:t>. Por providencia de la misma fecha, la Sección Primera acordó tener por formada la presente pieza separada de suspensión y, de conformidad con lo previsto en el art. 56 LOTC, conceder al Ministerio Fiscal y a la solicitante del amparo un plazo común de tres días para alegaciones sobre dicha suspensión.</w:t>
      </w:r>
    </w:p>
    <w:p w:rsidR="00B01F4A" w:rsidRDefault="00B01F4A" w:rsidP="00B01F4A">
      <w:pPr>
        <w:pStyle w:val="TextoNormal"/>
      </w:pPr>
    </w:p>
    <w:p w:rsidR="00B01F4A" w:rsidRDefault="00B01F4A" w:rsidP="00B01F4A">
      <w:pPr>
        <w:pStyle w:val="TextoNormal"/>
      </w:pPr>
      <w:r w:rsidRPr="00B01F4A">
        <w:rPr>
          <w:rStyle w:val="NumeroAFNegritaCaracter"/>
        </w:rPr>
        <w:t>6</w:t>
      </w:r>
      <w:r>
        <w:t>. Por providencia de 9 de diciembre de 1996, la Sección Segunda acordó tener por personado y parte en el proceso al Abogado del Estado, que lo había pedido por escrito de 29 de noviembre, en el que se oponía, además, a la suspensión solicitada.</w:t>
      </w:r>
    </w:p>
    <w:p w:rsidR="00B01F4A" w:rsidRDefault="00B01F4A" w:rsidP="00B01F4A">
      <w:pPr>
        <w:pStyle w:val="TextoNormal"/>
      </w:pPr>
    </w:p>
    <w:p w:rsidR="00B01F4A" w:rsidRDefault="00B01F4A" w:rsidP="00B01F4A">
      <w:pPr>
        <w:pStyle w:val="TextoNormal"/>
      </w:pPr>
      <w:r w:rsidRPr="00B01F4A">
        <w:rPr>
          <w:rStyle w:val="NumeroAFNegritaCaracter"/>
        </w:rPr>
        <w:t>7</w:t>
      </w:r>
      <w:r>
        <w:t xml:space="preserve">. La representación procesal de la entidad demandante de amparo registró su escrito de alegaciones el 2 de diciembre de 1996, reiterando su solicitud de suspensión de la ejecución de la Sentencia impugnada, por las siguientes razones: </w:t>
      </w:r>
    </w:p>
    <w:p w:rsidR="00B01F4A" w:rsidRDefault="00B01F4A" w:rsidP="00B01F4A">
      <w:pPr>
        <w:pStyle w:val="TextoNormal"/>
      </w:pPr>
      <w:r>
        <w:t xml:space="preserve">Se alega, en primer lugar, que, de acuerdo con el art. 1 del Real Decreto 1.776/1981, las sociedades agrarias de transformación son sociedades civiles de finalidad económico-social, sin que, por consiguiente, sea consustancial a las mismas el ánimo de lucro que incorporan en su propia definición las sociedades mercantiles. </w:t>
      </w:r>
    </w:p>
    <w:p w:rsidR="00B01F4A" w:rsidRDefault="00B01F4A" w:rsidP="00B01F4A">
      <w:pPr>
        <w:pStyle w:val="TextoNormal"/>
      </w:pPr>
      <w:r>
        <w:t xml:space="preserve">Se aduce, en segundo lugar, que dada la falta de liquidez en estos momentos de la entidad recurrente, le resulta imposible afrontar el pago que supondría la ejecución de la Sentencia impugnada, que le originaría, pues, daños de difícil reparación. Para acreditar este extremo se acompaña copia de la declaración del Impuesto de Sociedades correspondiente al ejercicio de 1995, de la que se deduce la existencia de resultados negativos de ejercicios anteriores que absorben aún en la actualidad las ganancias obtenidas por la S.A.T. </w:t>
      </w:r>
    </w:p>
    <w:p w:rsidR="00B01F4A" w:rsidRDefault="00B01F4A" w:rsidP="00B01F4A">
      <w:pPr>
        <w:pStyle w:val="TextoNormal"/>
      </w:pPr>
      <w:r>
        <w:t>Finalmente, se reitera el argumento ya expuesto en la demanda de que el importe de la liquidación se encuentra garantizado mediante aval en el recurso contencioso-administrativo.</w:t>
      </w:r>
    </w:p>
    <w:p w:rsidR="00B01F4A" w:rsidRDefault="00B01F4A" w:rsidP="00B01F4A">
      <w:pPr>
        <w:pStyle w:val="TextoNormal"/>
      </w:pPr>
    </w:p>
    <w:p w:rsidR="00B01F4A" w:rsidRDefault="00B01F4A" w:rsidP="00B01F4A">
      <w:pPr>
        <w:pStyle w:val="TextoNormal"/>
      </w:pPr>
      <w:r w:rsidRPr="00B01F4A">
        <w:rPr>
          <w:rStyle w:val="NumeroAFNegritaCaracter"/>
        </w:rPr>
        <w:t>8</w:t>
      </w:r>
      <w:r>
        <w:t>. El Ministerio Fiscal registró su escrito de alegaciones el 10 de diciembre de 1996, en el que se opone a la suspensión solicitada, por tratarse en el caso presente de una condena con efectos exclusivamente económicos.</w:t>
      </w:r>
    </w:p>
    <w:p w:rsidR="00B01F4A" w:rsidRDefault="00B01F4A" w:rsidP="00B01F4A">
      <w:pPr>
        <w:pStyle w:val="TextoNormal"/>
      </w:pPr>
    </w:p>
    <w:p w:rsidR="00B01F4A" w:rsidRDefault="00B01F4A" w:rsidP="00B01F4A">
      <w:pPr>
        <w:pStyle w:val="TextoNormal"/>
      </w:pPr>
      <w:r w:rsidRPr="00B01F4A">
        <w:rPr>
          <w:rStyle w:val="NumeroAFNegritaCaracter"/>
        </w:rPr>
        <w:t>9</w:t>
      </w:r>
      <w:r>
        <w:t xml:space="preserve">. Por providencia de 20 de enero de 1997, la Sección Segunda acordó tener por personada y parte a la Generalidad de Cataluña (que lo había solicitado dentro del plazo concedido al efecto por la Sección Cuarta de la Sala de lo Contencioso-Administrativo del Tribunal Superior de Justicia de Cataluña), representada por la Letrada doña Marta Moix i Puig, y llevar testimonio de dicha personación a la pieza separada de suspensión. </w:t>
      </w:r>
    </w:p>
    <w:p w:rsidR="00B01F4A" w:rsidRDefault="00B01F4A" w:rsidP="00B01F4A">
      <w:pPr>
        <w:pStyle w:val="TextoNormal"/>
      </w:pPr>
      <w:r>
        <w:t xml:space="preserve">Por providencia de la misma fecha, la Sección Segunda acordó conceder a la indicada Letrada un plazo de tres días para alegaciones sobre dicha suspensión. </w:t>
      </w:r>
    </w:p>
    <w:p w:rsidR="00B01F4A" w:rsidRDefault="00B01F4A" w:rsidP="00B01F4A">
      <w:pPr>
        <w:pStyle w:val="TextoNormal"/>
      </w:pPr>
      <w:r>
        <w:t xml:space="preserve">La Letrada de la Generalidad de Cataluña registró su escrito de alegaciones el 30 de enero de 1997 solicitando que se deniegue la suspensión solicitada, por las siguientes razones: </w:t>
      </w:r>
    </w:p>
    <w:p w:rsidR="00B01F4A" w:rsidRDefault="00B01F4A" w:rsidP="00B01F4A">
      <w:pPr>
        <w:pStyle w:val="TextoNormal"/>
      </w:pPr>
      <w:r>
        <w:t>La petición de suspensión se fundamenta exclusivamente en la existencia de aval, lo cual no es razón suficiente para acceder a la suspensión prevista en el art. 56.1 LOTC, que requiere que se alegue y acredite que la ejecución del acto recurrido podría producir perjuicios que harían perder al recurso de amparo su finalidad. En el caso presente, la recurrente no acredita de ninguna manera la posible producción de perjuicios, ni siquiera lo intenta. Por lo demás, el acto recurrido tiene efectos exclusivamente económicos, por lo que su ejecución no causa ningún otro perjuicio.</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xml:space="preserve">.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w:t>
      </w:r>
      <w:r>
        <w:lastRenderedPageBreak/>
        <w:t>de los intereses generales o de los derechos fundamentales o libertades públicas de un tercero».</w:t>
      </w:r>
    </w:p>
    <w:p w:rsidR="00B01F4A" w:rsidRDefault="00B01F4A" w:rsidP="00B01F4A">
      <w:pPr>
        <w:pStyle w:val="TextoNormal"/>
      </w:pPr>
      <w:r>
        <w:t>En la interpretación de la referida disposición, este Tribunal viene manteniendo que cuando el recurso se dirige contra resoluciones judiciales, lo más acorde con el interés general es su cumplimiento, que dota de efectividad a la tutela judicial consagrada por el art. 24.1 C.E., por lo que, en tales casos, será necesario que se acredite suficientemente la irreparabilidad del perjuicio que pudiera traer consigo la ejecución de la resolución impugnada, privando al amparo de su finalidad, para que la medida cautelar que se interesa pueda prosperar.</w:t>
      </w:r>
    </w:p>
    <w:p w:rsidR="00B01F4A" w:rsidRDefault="00B01F4A" w:rsidP="00B01F4A">
      <w:pPr>
        <w:pStyle w:val="TextoNormal"/>
      </w:pPr>
      <w:r>
        <w:t>Conforme a tal criterio interpretativo, este Tribunal viene distinguiendo entre las resoluciones judiciales que imponen penas privativas de libertad o a afectan a otros bienes o derechos de imposible o difícil restitución a su estado anterior y aquellas que tienen efectos meramente económicos. En relación con estas últimas, la regla general viene siendo la no suspensión, salvo que, por razón de la importancia cuantitativa de dichos efectos u otras circunstancias que concurran en el caso, su cumplimiento pudiera ocasionar daños irreparables. Pero, en relación con esta excepción, es necesario recordar que este Tribunal viene exigiendo de manera constante la necesidad de acreditar los perjuicios que para el recurrente podrían derivarse de la ejecución de la resolución impugnada o, al menos, ofrecer un principio razonable de prueba al respecto (AATC 253/1995 y 118/1996).</w:t>
      </w:r>
    </w:p>
    <w:p w:rsidR="00B01F4A" w:rsidRDefault="00B01F4A" w:rsidP="00B01F4A">
      <w:pPr>
        <w:pStyle w:val="TextoNormal"/>
      </w:pPr>
    </w:p>
    <w:p w:rsidR="00B01F4A" w:rsidRDefault="00B01F4A" w:rsidP="00B01F4A">
      <w:pPr>
        <w:pStyle w:val="TextoNormal"/>
      </w:pPr>
      <w:r w:rsidRPr="00B01F4A">
        <w:rPr>
          <w:rStyle w:val="NumeroAFNegritaCaracter"/>
        </w:rPr>
        <w:t>2</w:t>
      </w:r>
      <w:r>
        <w:t>. En el caso presente se solicita la suspensión de la ejecución de la Sentencia que declaró la inadmisibilidad del recurso contencioso-administrativo interpuesto contra la Resolución del Tribunal Económico-Administrativo Regional confirmatoria de la liquidación por el Impuesto de Transmisiones Patrimoniales y Actos Jurídicos Documentados practicada contra la entidad ahora solicitante de amparo.</w:t>
      </w:r>
    </w:p>
    <w:p w:rsidR="00B01F4A" w:rsidRDefault="00B01F4A" w:rsidP="00B01F4A">
      <w:pPr>
        <w:pStyle w:val="TextoNormal"/>
      </w:pPr>
      <w:r>
        <w:t>Así, pues, la petición de suspensión se refiere, en último término, al pago del importe de la liquidación, acerca de cuya legalidad no llegó a pronunciarse la Sala de lo Contencioso-Administrativo del Tribunal Superior de Justicia debido a la inadmisión del recurso contencioso-administrativo.</w:t>
      </w:r>
    </w:p>
    <w:p w:rsidR="00B01F4A" w:rsidRDefault="00B01F4A" w:rsidP="00B01F4A">
      <w:pPr>
        <w:pStyle w:val="TextoNormal"/>
      </w:pPr>
      <w:r>
        <w:t>Pues bien, aplicando al caso la doctrina anteriormente expuesta, esta Sala entiende que no procede acceder a la suspensión solicitada. En primer lugar, es claro que los efectos que para la entidad recurrente pudieran derivarse de la falta de suspensión tienen en este caso un carácter estrictamente económico, y, por lo tanto, no son susceptibles, en principio, de comprometer la eficacia de un eventual pronunciamiento estimatorio en este recurso de amparo, que, además, dejaría en todo caso imprejuzgada la cuestión de fondo planteada en el recurso contencioso-administrativo.</w:t>
      </w:r>
    </w:p>
    <w:p w:rsidR="00B01F4A" w:rsidRDefault="00B01F4A" w:rsidP="00B01F4A">
      <w:pPr>
        <w:pStyle w:val="TextoNormal"/>
      </w:pPr>
      <w:r>
        <w:t>Y, en segundo lugar, las alegaciones efectuadas por la entidad recurrente en el trámite concedido al efecto, aun siendo oportunas, no alcanzan, sin embargo, a evidenciar, a juicio de esta Sala, que tales efectos, pase a su naturaleza económica, pudieran alcanzar el carácter irreparable necesario para aplicar una excepción a la regla general de no suspensión en casos como el presente. En particular, lo que cabe deducir de la declaración del Impuesto de Sociedades correspondiente al ejercicio de 1995 aportada en dicho trámite es que la entidad recurrente podría asumir, llegado el caso, el pago del impuesto sin sufrir como consecuencia de ello un perjuicio irreparable. Así se desprende de la comparación entre el importe de la deuda tributaría liquidada y los beneficios obtenidos por la entidad en aquel ejercicio, por más que éstos se destinaran entonces a la compensación de las pérdidas de ejercicios anteriores.</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lo expuesto, la Sala acuerda denegar la suspensión solicitada.</w:t>
      </w:r>
    </w:p>
    <w:p w:rsidR="00B01F4A" w:rsidRDefault="00B01F4A" w:rsidP="00B01F4A">
      <w:pPr>
        <w:pStyle w:val="TextoNormal"/>
      </w:pPr>
    </w:p>
    <w:p w:rsidR="00B01F4A" w:rsidRDefault="00B01F4A" w:rsidP="00B01F4A">
      <w:pPr>
        <w:pStyle w:val="TextoNormal"/>
      </w:pPr>
      <w:r>
        <w:t>Madrid, a diez de marzo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63" w:name="AUTO_1997_73"/>
      <w:r>
        <w:lastRenderedPageBreak/>
        <w:t>AUTO 73/1997, de 10 de marzo de 1997</w:t>
      </w:r>
    </w:p>
    <w:bookmarkEnd w:id="163"/>
    <w:p w:rsidR="00B01F4A" w:rsidRDefault="00B01F4A" w:rsidP="00B01F4A">
      <w:pPr>
        <w:pStyle w:val="TtuloResolucin"/>
      </w:pPr>
      <w:r>
        <w:t>Sala Primera</w:t>
      </w:r>
    </w:p>
    <w:p w:rsidR="00B01F4A" w:rsidRDefault="00B01F4A" w:rsidP="00B01F4A">
      <w:pPr>
        <w:pStyle w:val="TtuloResolucin"/>
      </w:pPr>
    </w:p>
    <w:p w:rsidR="00B01F4A" w:rsidRDefault="00B01F4A" w:rsidP="00B01F4A">
      <w:pPr>
        <w:pStyle w:val="SntesisDescriptiva"/>
      </w:pPr>
      <w:r>
        <w:t>ECLI:ES:TC:1997:73A</w:t>
      </w:r>
    </w:p>
    <w:p w:rsidR="00B01F4A" w:rsidRDefault="00B01F4A" w:rsidP="00B01F4A">
      <w:pPr>
        <w:pStyle w:val="SntesisDescriptiva"/>
      </w:pPr>
    </w:p>
    <w:p w:rsidR="00B01F4A" w:rsidRDefault="00B01F4A" w:rsidP="00B01F4A">
      <w:pPr>
        <w:pStyle w:val="SntesisDescriptiva"/>
      </w:pPr>
      <w:r>
        <w:t>Excms. Srs. don Álvaro Rodríguez Bereijo, don José Vicente Gimeno Sendra, don Pedro Cruz Villalón, don Enrique Ruiz Vadillo, don Manuel Jiménez de Parga y Cabrera y don Pablo García Manzano.</w:t>
      </w:r>
    </w:p>
    <w:p w:rsidR="00B01F4A" w:rsidRDefault="00B01F4A" w:rsidP="00B01F4A">
      <w:pPr>
        <w:pStyle w:val="SntesisDescriptiva"/>
      </w:pPr>
    </w:p>
    <w:p w:rsidR="00B01F4A" w:rsidRDefault="00B01F4A" w:rsidP="00B01F4A">
      <w:pPr>
        <w:pStyle w:val="SntesisDescriptiva"/>
      </w:pPr>
      <w:r>
        <w:t>Acuerda el desistimiento en el recurso de amparo 3.548/1996, promovido en causa penal.</w:t>
      </w:r>
    </w:p>
    <w:p w:rsidR="00B01F4A" w:rsidRDefault="00B01F4A" w:rsidP="00B01F4A">
      <w:pPr>
        <w:pStyle w:val="SntesisDescriptiva"/>
      </w:pPr>
    </w:p>
    <w:p w:rsidR="00B01F4A" w:rsidRDefault="00B01F4A" w:rsidP="00B01F4A">
      <w:pPr>
        <w:pStyle w:val="SntesisAnaltica"/>
      </w:pPr>
      <w:r>
        <w:t>Desistimiento de recurso de amparo: procede.</w:t>
      </w:r>
    </w:p>
    <w:p w:rsidR="00B01F4A" w:rsidRDefault="00B01F4A" w:rsidP="00B01F4A">
      <w:pPr>
        <w:pStyle w:val="SntesisAnaltica"/>
      </w:pPr>
    </w:p>
    <w:p w:rsidR="00B01F4A" w:rsidRDefault="00B01F4A" w:rsidP="00B01F4A">
      <w:pPr>
        <w:pStyle w:val="SntesisAnaltica"/>
      </w:pPr>
    </w:p>
    <w:p w:rsidR="00B01F4A" w:rsidRDefault="00B01F4A" w:rsidP="00B01F4A">
      <w:pPr>
        <w:pStyle w:val="SntesisAnaltic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64" w:name="AUTO_1997_74"/>
      <w:r>
        <w:lastRenderedPageBreak/>
        <w:t>AUTO 74/1997, de 10 de marzo de 1997</w:t>
      </w:r>
    </w:p>
    <w:bookmarkEnd w:id="164"/>
    <w:p w:rsidR="00B01F4A" w:rsidRDefault="00B01F4A" w:rsidP="00B01F4A">
      <w:pPr>
        <w:pStyle w:val="TtuloResolucin"/>
      </w:pPr>
      <w:r>
        <w:t>Sala Segunda</w:t>
      </w:r>
    </w:p>
    <w:p w:rsidR="00B01F4A" w:rsidRDefault="00B01F4A" w:rsidP="00B01F4A">
      <w:pPr>
        <w:pStyle w:val="TtuloResolucin"/>
      </w:pPr>
    </w:p>
    <w:p w:rsidR="00B01F4A" w:rsidRDefault="00B01F4A" w:rsidP="00B01F4A">
      <w:pPr>
        <w:pStyle w:val="SntesisDescriptiva"/>
      </w:pPr>
      <w:r>
        <w:t>ECLI:ES:TC:1997:74A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don Rafael de Mendizábal Allende, don Julio D. González Campos, don Carles Viver Pi-Sunyer y don Tomás Salvador Vives Antón.</w:t>
      </w:r>
    </w:p>
    <w:p w:rsidR="00B01F4A" w:rsidRDefault="00B01F4A" w:rsidP="00B01F4A">
      <w:pPr>
        <w:pStyle w:val="SntesisDescriptiva"/>
      </w:pPr>
    </w:p>
    <w:p w:rsidR="00B01F4A" w:rsidRDefault="00B01F4A" w:rsidP="00B01F4A">
      <w:pPr>
        <w:pStyle w:val="SntesisDescriptiva"/>
      </w:pPr>
      <w:r>
        <w:t>Denegando la suspensión de la ejecución del acto que origina el recurso de amparo 3.570/1996.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demanda registrada el día 3 de octubre de 1996, el Procurador de los Tribunales don Francisco Álvarez del Valle García, en nombre y representación de don Ginés Martínez Castillo, interpuso recurso de amparo constitucional contra la Sentencia de la Sección Sexta de la Sala Tercera del Tribunal Supremo de 24 de abril de 1996, recaída en apelación núm. 13.512/91 sobre la previamente dictada por la Sección Segunda de la Sala de lo Contencioso-Administrativo del Tribunal Superior de Justicia de Madrid, en recurso contencioso núm. 927/90, presentado frente al Acuerdo del Jurado Provincial de Expropiación Forzosa fijando el justiprecio de la finca núm. 288-32+33-Polígono IV, zona 7, afectada por el expediente de expropiación forzosa núm. 13.904.</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Los hechos de los que trae causa la demanda de amparo relevantes para la resolución del caso son, en síntesis, los siguientes: </w:t>
      </w:r>
    </w:p>
    <w:p w:rsidR="00B01F4A" w:rsidRDefault="00B01F4A" w:rsidP="00B01F4A">
      <w:pPr>
        <w:pStyle w:val="TextoNormal"/>
      </w:pPr>
      <w:r>
        <w:t xml:space="preserve">a) El demandante de amparo es propietario de la finca referenciada, afectada por un proyecto de expropiación aprobado por el órgano competente de la Comunidad Autónoma de Madrid. No existiendo acuerdo sobre el valor de dicho predio, la Administración extendió la correspondiente hoja de aprecio que fue recurrida ante el Jurado Provincial de Expropiación Forzosa que fijó el correspondiente justiprecio por resolución de 7 de julio de 1989. Notificado el mismo al actor, lo recurrió en reposición y, agotada la vía administrativa, promoví¿&gt; recurso jurisdiccional ante el órgano competente. </w:t>
      </w:r>
    </w:p>
    <w:p w:rsidR="00B01F4A" w:rsidRDefault="00B01F4A" w:rsidP="00B01F4A">
      <w:pPr>
        <w:pStyle w:val="TextoNormal"/>
      </w:pPr>
      <w:r>
        <w:t xml:space="preserve">Con fecha 25 de marzo de 1996, después de practicarse distintas pruebas periciales que explican el retraso habido en el procedimiento, la Sección Segunda de la Sala de lo Contencioso-Administrativo del Tribunal Superior de Justicia de Madrid dictó Sentencia estimatoria reconociendo al actor una indemnización de 21.849.893 pesetas. </w:t>
      </w:r>
    </w:p>
    <w:p w:rsidR="00B01F4A" w:rsidRDefault="00B01F4A" w:rsidP="00B01F4A">
      <w:pPr>
        <w:pStyle w:val="TextoNormal"/>
      </w:pPr>
      <w:r>
        <w:t xml:space="preserve">b) El día 19 de septiembre de 1996 el actor acudió al Servicio de Expropiaciones de la Comunidad Autónoma de Madrid para hacerse cargo de la cantidad de 1.227.209 pesetas, pensando que era a cuenta de lo que había de percibir. Fue allí cuando supo que la misma Sección Segunda de la Sala de lo Contencioso-Administrativo del Tribunal Superior de Justicia de Madrid, había dictado otra Sentencia anterior, de 27 de septiembre de 1991, en recurso tramitado por el mismo asunto a instancia de la Comunidad Autónoma expropiante, </w:t>
      </w:r>
      <w:r>
        <w:lastRenderedPageBreak/>
        <w:t>en la que se ratificaba el justiprecio fijado por el Jurado Provincial de Expropiación, resolución esta última confirmada en apelación por el Tribunal Supremo, mediante pronunciamiento de 24 de abril de 1996. El actor se negó a recibir la referida cantidad e interesó copia de las referidas Sentencias de las que tuvo conocimiento por primera vez en ese mismo momento.</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Aduce el recurrente que sobre un mismo asunto se tramitaron dos recursos contencioso-administrativos sobre una misma cuestión, con identidad de sujetos y objeto, dictándose pronunciamientos de signo distinto. Con esta base fáctica, alega la vulneración de su derecho a una tutela judicial efectiva sin indefensión, por cuanto que, pase a ser parte en el expediente administrativo de expropiación forzosa, no fue personalmente emplazado por la Sala en el recurso tramitado a instancia de la Comunidad de Madrid, ocasionándosele una manifiesta indefensión, al celebrarse el proceso sin la necesaria contradicción entre las partes y sin practicarse las oportunas pericias. Alega en este sentido la reiteradísima jurisprudencia de este Tribunal sobre la obligación de emplazamiento personal en los procesos contencioso-administrativos. </w:t>
      </w:r>
    </w:p>
    <w:p w:rsidR="00B01F4A" w:rsidRDefault="00B01F4A" w:rsidP="00B01F4A">
      <w:pPr>
        <w:pStyle w:val="TextoNormal"/>
      </w:pPr>
      <w:r>
        <w:t>Concluye la demanda suplicando se declare la nulidad tanto de la Sentencia del Tribunal Superior de Justicia como de la dictada en apelación por la Sala Tercera del Tribunal Supremo. Asimismo se solicita, mediante otrosí, se suspenda la ejecución de las referidas resoluciones, de conformidad con el art. 56 LOTC.</w:t>
      </w:r>
    </w:p>
    <w:p w:rsidR="00B01F4A" w:rsidRDefault="00B01F4A" w:rsidP="00B01F4A">
      <w:pPr>
        <w:pStyle w:val="TextoNormal"/>
      </w:pPr>
    </w:p>
    <w:p w:rsidR="00B01F4A" w:rsidRDefault="00B01F4A" w:rsidP="00B01F4A">
      <w:pPr>
        <w:pStyle w:val="TextoNormal"/>
      </w:pPr>
      <w:r w:rsidRPr="00B01F4A">
        <w:rPr>
          <w:rStyle w:val="NumeroAFNegritaCaracter"/>
        </w:rPr>
        <w:t>4</w:t>
      </w:r>
      <w:r>
        <w:t>. Por providencia de fecha 6 de febrero de 1997, la Sección Tercera de este Tribunal acordó admitir a trámite la demanda, así como requerir de los Tribunales referenciados y la Administración expropiante la remisión de testimonio de las actuaciones judiciales y expediente administrativo origen del presente proceso constitucional, debiendo previamente emplazarse a cuantos, con excepción del recurrente, hubieran sido parte en el referido procedimiento jurisdiccional.</w:t>
      </w:r>
    </w:p>
    <w:p w:rsidR="00B01F4A" w:rsidRDefault="00B01F4A" w:rsidP="00B01F4A">
      <w:pPr>
        <w:pStyle w:val="TextoNormal"/>
      </w:pPr>
    </w:p>
    <w:p w:rsidR="00B01F4A" w:rsidRDefault="00B01F4A" w:rsidP="00B01F4A">
      <w:pPr>
        <w:pStyle w:val="TextoNormal"/>
      </w:pPr>
      <w:r w:rsidRPr="00B01F4A">
        <w:rPr>
          <w:rStyle w:val="NumeroAFNegritaCaracter"/>
        </w:rPr>
        <w:t>5</w:t>
      </w:r>
      <w:r>
        <w:t>. Mediante nueva providencia de igual fecha, acordó la Sección la apertura de la presente pieza separada de suspensión, así como, de conformidad con el art. 56 LOTC, conceder plazo común de tres días al recurrente, Abogado del Estado y Ministerio Fiscal, para que formularan cuantas alegaciones estimasen pertinentes en orden a la requerida suspensión.</w:t>
      </w:r>
    </w:p>
    <w:p w:rsidR="00B01F4A" w:rsidRDefault="00B01F4A" w:rsidP="00B01F4A">
      <w:pPr>
        <w:pStyle w:val="TextoNormal"/>
      </w:pPr>
    </w:p>
    <w:p w:rsidR="00B01F4A" w:rsidRDefault="00B01F4A" w:rsidP="00B01F4A">
      <w:pPr>
        <w:pStyle w:val="TextoNormal"/>
      </w:pPr>
      <w:r w:rsidRPr="00B01F4A">
        <w:rPr>
          <w:rStyle w:val="NumeroAFNegritaCaracter"/>
        </w:rPr>
        <w:t>6</w:t>
      </w:r>
      <w:r>
        <w:t>. Con fecha 17 de febrero de 1997 tuvo entrada en este Tribunal el escrito de alegaciones del recurrente. En él, tras reiterar los antecedentes de hecho, insiste en la necesidad de suspender la ejecución de las resoluciones recurridas, por estimarla incompatible con la que fue dictada a su favor en el proceso paralelo, aduciendo además la completa ausencia de perjuicio para los intereses generales o los derechos fundamentales y libertades públicas de terceros.</w:t>
      </w:r>
    </w:p>
    <w:p w:rsidR="00B01F4A" w:rsidRDefault="00B01F4A" w:rsidP="00B01F4A">
      <w:pPr>
        <w:pStyle w:val="TextoNormal"/>
      </w:pPr>
    </w:p>
    <w:p w:rsidR="00B01F4A" w:rsidRDefault="00B01F4A" w:rsidP="00B01F4A">
      <w:pPr>
        <w:pStyle w:val="TextoNormal"/>
      </w:pPr>
      <w:r w:rsidRPr="00B01F4A">
        <w:rPr>
          <w:rStyle w:val="NumeroAFNegritaCaracter"/>
        </w:rPr>
        <w:t>7</w:t>
      </w:r>
      <w:r>
        <w:t xml:space="preserve">. El 12 de febrero de 1997 presentó el Abogado del Estado sus alegaciones, interesando se deniegue la suspensión. Ello se fundamenta, en primer lugar, en que la referida suspensión en ningún caso podría alcanzar a que, provisionalmente, se entendieran invalidadas las Sentencias y retrotraído el procedimiento para su correcta prosecución, pues de este modo no sólo se estaría anticipando el sentido del fallo sino que se crearía una situación inimaginable a título cautelar. En cuanto a la supuesta incompatibilidad de la ejecución con la de la </w:t>
      </w:r>
      <w:r>
        <w:lastRenderedPageBreak/>
        <w:t>otra Sentencia, favorable al recurrente, alega el representante de la Administración no conocer si tal resolución ha ganado firmeza ni si se ha instado o no su ejecución. En cualquier caso, entiende que la ejecución no haría perder al amparo su finalidad.</w:t>
      </w:r>
    </w:p>
    <w:p w:rsidR="00B01F4A" w:rsidRDefault="00B01F4A" w:rsidP="00B01F4A">
      <w:pPr>
        <w:pStyle w:val="TextoNormal"/>
      </w:pPr>
    </w:p>
    <w:p w:rsidR="00B01F4A" w:rsidRDefault="00B01F4A" w:rsidP="00B01F4A">
      <w:pPr>
        <w:pStyle w:val="TextoNormal"/>
      </w:pPr>
      <w:r w:rsidRPr="00B01F4A">
        <w:rPr>
          <w:rStyle w:val="NumeroAFNegritaCaracter"/>
        </w:rPr>
        <w:t>8</w:t>
      </w:r>
      <w:r>
        <w:t>. El 17 de febrero de 1997 llegaron al Registro de este Tribunal las alegaciones del Fiscal, en las que igualmente se interesa la denegación de la suspensión. Tras exponer el contenido del art. 56 LOTC y los criterios seguidos, a su juicio, por este Tribunal, alega el Fiscal que, tratándose de cuestión de fondo de contenido estrictamente económico, no procede acordar la suspensión; conclusión que se refuerza, según se alega, por la existencia de la Sentencia favorable al recurrente, que le ampararía suficientemente de cualquier perjuicio que pudiera depararle la ejecución de las aquí recurridas.</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Establece el art. 56.1 de la LOTC que la Sala que conozca de un recurso de amparo suspenderá, de oficio o a instancia de parte, la ejecución del acto de los poderes públicos por razón del cual se reclame el amparo constitucional, cuando la ejecución del mismo hiciera perder al amparo su finalidad; no obstante lo cual, podrá denegarse la suspensión cuando de ésta pudiera seguirse perturbación grave de los intereses generales o de los derechos fundamentales o libertades públicas de un tercero.</w:t>
      </w:r>
    </w:p>
    <w:p w:rsidR="00B01F4A" w:rsidRDefault="00B01F4A" w:rsidP="00B01F4A">
      <w:pPr>
        <w:pStyle w:val="TextoNormal"/>
      </w:pPr>
      <w:r>
        <w:t>De ello resulta, como regla general, que la interposición de un recurso de amparo no suspende la ejecución de los actos recurridos más que en el supuesto excepcional de la pérdida de la finalidad del amparo, y aun en este caso condicionada a que no se produzcan las perturbaciones aludidas en dicho precepto. Asimismo, también como regla general, debe partirse del criterio de que existe un interés general en que las resoluciones judiciales sean ejecutadas y cumplidas (AATC 17/1980 y 57/1980, luego múltiples veces reiterados).</w:t>
      </w:r>
    </w:p>
    <w:p w:rsidR="00B01F4A" w:rsidRDefault="00B01F4A" w:rsidP="00B01F4A">
      <w:pPr>
        <w:pStyle w:val="TextoNormal"/>
      </w:pPr>
    </w:p>
    <w:p w:rsidR="00B01F4A" w:rsidRDefault="00B01F4A" w:rsidP="00B01F4A">
      <w:pPr>
        <w:pStyle w:val="TextoNormal"/>
      </w:pPr>
      <w:r w:rsidRPr="00B01F4A">
        <w:rPr>
          <w:rStyle w:val="NumeroAFNegritaCaracter"/>
        </w:rPr>
        <w:t>2</w:t>
      </w:r>
      <w:r>
        <w:t>. Es igualmente doctrina constante de este Tribunal que no procede la suspensión de las resoluciones judiciales cuando el amparo pretendido, basado en el derecho a la tutela judicial efectiva sin indefensión, no tiene por finalidad más que la de declarar la nulidad de las mismas para que se dicte otra acorde con el derecho fundamental vulnerado (AATC 130/1990 y 66/1991, entre otros muchos), criterio éste especialmente operativo cuando, como aquí ocurre, el contenido de las resoluciones recurridas resulta exclusivamente económico, por lo que de su ejecución, salvo casos altamente excepcionales, no se derivan perjuicios irreparables.  La aplicación de estos criterios al supuesto aquí planteado conduce, sin duda, a denegar la suspensión pretendida.</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virtud de lo expuesto, la Sala acuerda no acceder a la suspensión interesada por la parte recurrente.</w:t>
      </w:r>
    </w:p>
    <w:p w:rsidR="00B01F4A" w:rsidRDefault="00B01F4A" w:rsidP="00B01F4A">
      <w:pPr>
        <w:pStyle w:val="TextoNormal"/>
      </w:pPr>
    </w:p>
    <w:p w:rsidR="00B01F4A" w:rsidRDefault="00B01F4A" w:rsidP="00B01F4A">
      <w:pPr>
        <w:pStyle w:val="TextoNormal"/>
      </w:pPr>
      <w:r>
        <w:t>Madrid, a diez de marzo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65" w:name="AUTO_1997_75"/>
      <w:r>
        <w:lastRenderedPageBreak/>
        <w:t>AUTO 75/1997, de 10 de marzo de 1997</w:t>
      </w:r>
    </w:p>
    <w:bookmarkEnd w:id="165"/>
    <w:p w:rsidR="00B01F4A" w:rsidRDefault="00B01F4A" w:rsidP="00B01F4A">
      <w:pPr>
        <w:pStyle w:val="TtuloResolucin"/>
      </w:pPr>
      <w:r>
        <w:t>Sección Primera</w:t>
      </w:r>
    </w:p>
    <w:p w:rsidR="00B01F4A" w:rsidRDefault="00B01F4A" w:rsidP="00B01F4A">
      <w:pPr>
        <w:pStyle w:val="TtuloResolucin"/>
      </w:pPr>
    </w:p>
    <w:p w:rsidR="00B01F4A" w:rsidRDefault="00B01F4A" w:rsidP="00B01F4A">
      <w:pPr>
        <w:pStyle w:val="SntesisDescriptiva"/>
      </w:pPr>
      <w:r>
        <w:t>ECLI:ES:TC:1997:75A</w:t>
      </w:r>
    </w:p>
    <w:p w:rsidR="00B01F4A" w:rsidRDefault="00B01F4A" w:rsidP="00B01F4A">
      <w:pPr>
        <w:pStyle w:val="SntesisDescriptiva"/>
      </w:pPr>
    </w:p>
    <w:p w:rsidR="00B01F4A" w:rsidRDefault="00B01F4A" w:rsidP="00B01F4A">
      <w:pPr>
        <w:pStyle w:val="SntesisDescriptiva"/>
      </w:pPr>
      <w:r>
        <w:t>Excms. Srs. don Álvaro Rodríguez Bereijo, don Pedro Cruz Villalón y don Enrique Ruiz Vadillo.</w:t>
      </w:r>
    </w:p>
    <w:p w:rsidR="00B01F4A" w:rsidRDefault="00B01F4A" w:rsidP="00B01F4A">
      <w:pPr>
        <w:pStyle w:val="SntesisDescriptiva"/>
      </w:pPr>
    </w:p>
    <w:p w:rsidR="00B01F4A" w:rsidRDefault="00B01F4A" w:rsidP="00B01F4A">
      <w:pPr>
        <w:pStyle w:val="SntesisDescriptiva"/>
      </w:pPr>
      <w:r>
        <w:t>Estimando recurso de súplica contra providencia de 27 de enero de 1997 e inadmitiendo el recurso de amparo 4.077/1996.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66" w:name="AUTO_1997_76"/>
      <w:r>
        <w:lastRenderedPageBreak/>
        <w:t>AUTO 76/1997, de 10 de marzo de 1997</w:t>
      </w:r>
    </w:p>
    <w:bookmarkEnd w:id="166"/>
    <w:p w:rsidR="00B01F4A" w:rsidRDefault="00B01F4A" w:rsidP="00B01F4A">
      <w:pPr>
        <w:pStyle w:val="TtuloResolucin"/>
      </w:pPr>
      <w:r>
        <w:t>Pleno</w:t>
      </w:r>
    </w:p>
    <w:p w:rsidR="00B01F4A" w:rsidRDefault="00B01F4A" w:rsidP="00B01F4A">
      <w:pPr>
        <w:pStyle w:val="TtuloResolucin"/>
      </w:pPr>
    </w:p>
    <w:p w:rsidR="00B01F4A" w:rsidRDefault="00B01F4A" w:rsidP="00B01F4A">
      <w:pPr>
        <w:pStyle w:val="SntesisDescriptiva"/>
      </w:pPr>
      <w:r>
        <w:t>ECLI:ES:TC:1997:76A</w:t>
      </w:r>
    </w:p>
    <w:p w:rsidR="00B01F4A" w:rsidRDefault="00B01F4A" w:rsidP="00B01F4A">
      <w:pPr>
        <w:pStyle w:val="SntesisDescriptiva"/>
      </w:pPr>
    </w:p>
    <w:p w:rsidR="00B01F4A" w:rsidRDefault="00B01F4A" w:rsidP="00B01F4A">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B01F4A" w:rsidRDefault="00B01F4A" w:rsidP="00B01F4A">
      <w:pPr>
        <w:pStyle w:val="SntesisDescriptiva"/>
      </w:pPr>
    </w:p>
    <w:p w:rsidR="00B01F4A" w:rsidRDefault="00B01F4A" w:rsidP="00B01F4A">
      <w:pPr>
        <w:pStyle w:val="SntesisDescriptiva"/>
      </w:pPr>
      <w:r>
        <w:t>Acordando la acumulación de los recursos de inconstitucionalidad 105/1997 y 106/1997 al 104/1997.</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67" w:name="AUTO_1997_77"/>
      <w:r>
        <w:lastRenderedPageBreak/>
        <w:t>AUTO 77/1997, de 12 de marzo de 1997</w:t>
      </w:r>
    </w:p>
    <w:bookmarkEnd w:id="167"/>
    <w:p w:rsidR="00B01F4A" w:rsidRDefault="00B01F4A" w:rsidP="00B01F4A">
      <w:pPr>
        <w:pStyle w:val="TtuloResolucin"/>
      </w:pPr>
      <w:r>
        <w:t>Pleno</w:t>
      </w:r>
    </w:p>
    <w:p w:rsidR="00B01F4A" w:rsidRDefault="00B01F4A" w:rsidP="00B01F4A">
      <w:pPr>
        <w:pStyle w:val="TtuloResolucin"/>
      </w:pPr>
    </w:p>
    <w:p w:rsidR="00B01F4A" w:rsidRDefault="00B01F4A" w:rsidP="00B01F4A">
      <w:pPr>
        <w:pStyle w:val="SntesisDescriptiva"/>
      </w:pPr>
      <w:r>
        <w:t>ECLI:ES:TC:1997:77A</w:t>
      </w:r>
    </w:p>
    <w:p w:rsidR="00B01F4A" w:rsidRDefault="00B01F4A" w:rsidP="00B01F4A">
      <w:pPr>
        <w:pStyle w:val="SntesisDescriptiva"/>
      </w:pPr>
    </w:p>
    <w:p w:rsidR="00B01F4A" w:rsidRDefault="00B01F4A" w:rsidP="00B01F4A">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B01F4A" w:rsidRDefault="00B01F4A" w:rsidP="00B01F4A">
      <w:pPr>
        <w:pStyle w:val="SntesisDescriptiva"/>
      </w:pPr>
    </w:p>
    <w:p w:rsidR="00B01F4A" w:rsidRDefault="00B01F4A" w:rsidP="00B01F4A">
      <w:pPr>
        <w:pStyle w:val="SntesisDescriptiva"/>
      </w:pPr>
      <w:r>
        <w:t>Acordando la inadmisión a trámite de la cuestión de incontitucionalidad 4.167/1996.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día 16 de noviembre de 1996 tuvo entrada en el Registro de este Tribunal un escrito del Magistrado-Juez titular del Juzgado de lo Social núm. 2 de Madrid al que se acompaña, junto al testimonio del correspondiente procedimiento, el Auto del referido Juzgado de 12 de noviembre de 1996, en el que se acuerda plantear cuestión de inconstitucionalidad en relación con el art. 7 b), párrafo segundo, del Real Decreto Legislativo 1/1995, de 24 de marzo, por el que se aprueba el texto refundido de la Ley del Estatuto de los Trabajadores por su posible contradicción con el art. 12, en relación con los arts. 35.1, 39.3 y 40.2, y 14, de la C.E.</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La cuestión trae causa del procedimiento de despido núm. 565/95, seguido ante el Juzgado de lo Social núm. 2 de Madrid a instancia de doña Virginia Ruiz Corrochano contra doña Josefa Romero Almansa. </w:t>
      </w:r>
    </w:p>
    <w:p w:rsidR="00B01F4A" w:rsidRDefault="00B01F4A" w:rsidP="00B01F4A">
      <w:pPr>
        <w:pStyle w:val="TextoNormal"/>
      </w:pPr>
      <w:r>
        <w:t xml:space="preserve">Concluso el procedimiento, con suspensión del termino para dictar Sentencia, el Juzgado de lo Social núm. 2 de Madrid, por providencia de 18 de octubre de 1996, acordó oír a las partes personadas y al Ministerio Fiscal, por plazo común e improrrogable de diez días, sobre la pertinencia de plantear cuestión de inconstitucionalidad en relación con el art. 7 b), párrafo segundo, del Real Decreto Legislativo 1/1995, de 24 de marzo, por el que se aprueba el texto refundido de la Ley del Estatuto de los Trabajadores por su posible contradicción con el art. 12, en relación con los arts. 35.1, 39.3 y 40.2 de la C.E. </w:t>
      </w:r>
    </w:p>
    <w:p w:rsidR="00B01F4A" w:rsidRDefault="00B01F4A" w:rsidP="00B01F4A">
      <w:pPr>
        <w:pStyle w:val="TextoNormal"/>
      </w:pPr>
      <w:r>
        <w:t>Evacuaron el trámite de alegaciones conferido las representaciones procesales de la parte demandante y demandada, quienes se opusieron al planteamiento de la cuestión de inconstitucionalidad.</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En la fundamentación del Auto de planteamiento, el órgano judicial proponente realiza, en síntesis, las siguientes consideraciones: </w:t>
      </w:r>
    </w:p>
    <w:p w:rsidR="00B01F4A" w:rsidRDefault="00B01F4A" w:rsidP="00B01F4A">
      <w:pPr>
        <w:pStyle w:val="TextoNormal"/>
      </w:pPr>
      <w:r>
        <w:t xml:space="preserve">a) Comienza por referirse al denominado juicio de relevancia, señalando al respecto que la decisión a adoptar en relación con las cuestiones litigiosas suscitadas en el proceso a año depende, al menos, en parte, del precepto legal impugnado, ya que la demandante, entonces </w:t>
      </w:r>
      <w:r>
        <w:lastRenderedPageBreak/>
        <w:t xml:space="preserve">menor de edad, firmó el documento que ponía fin a la relación laboral por sí misma, sin intervención ni ratificación por parte de sus padres ni de ninguna otra persona. Pues bien, la empresa demandada sostiene que la trabajadora aceptó voluntariamente el cese en su relación laboral, no pudiendo predicarse entonces la existencia de despido toda vez que era plenamente capaz para suscribir el citado documento, en tanto que la parte demandante entiende que al suscribir el documento de cese en la relación laboral o finiquito no era consciente de lo que estaba firmando, no habiendo estado nunca en su ánimo aceptar voluntariamente su cese en la empresa. </w:t>
      </w:r>
    </w:p>
    <w:p w:rsidR="00B01F4A" w:rsidRDefault="00B01F4A" w:rsidP="00B01F4A">
      <w:pPr>
        <w:pStyle w:val="TextoNormal"/>
      </w:pPr>
      <w:r>
        <w:t xml:space="preserve">b) El precepto cuestionado es merecedor, a su juicio, de una crítica intrínseca en razón de su propio contenido, dado que no resulta lógico exigir la autorización del representante legal para la celebración del contrato de trabajo por parte de una persona con capacidad limitada y no exigir dicha autorización para su cesación, incluyendo en este término también la extinción del contrato por mutuo acuerdo, ya que, a primera vista, la entidad del acto jurídico es la misma en uno y otro caso. </w:t>
      </w:r>
    </w:p>
    <w:p w:rsidR="00B01F4A" w:rsidRDefault="00B01F4A" w:rsidP="00B01F4A">
      <w:pPr>
        <w:pStyle w:val="TextoNormal"/>
      </w:pPr>
      <w:r>
        <w:t xml:space="preserve">Pero más allá de esto, dicho precepto puede ser contrario al art. 12 de la C.E, que dispone que «los españoles son mayores de edad a los dieciocho años». Una posible interpretación de este precepto constitucional, extraordinariamente restrictiva, llevaría a entender que únicamente se está refiriendo a un plano político, en concreto a los derechos de sufragio activo y pasivo. Sin embargo, tal interpretación no padece adecuarse realmente a lo que es el designio teleológico del precepto, sobre todo si se tiene en cuenta su ubicación sistemática en el título primero de la C.E. que lleva por rúbrica «De los derechos y deberes fundamentales». En opinión del órgano promotor de la cuestión de inconstitucionalidad se trata de una norma constitucional, llamada a inspirar la legislación ordinaria sobre capacidad jurídica y de obrar de las personas, esto es, el llamado «estado civil» en sentido genérico. </w:t>
      </w:r>
    </w:p>
    <w:p w:rsidR="00B01F4A" w:rsidRDefault="00B01F4A" w:rsidP="00B01F4A">
      <w:pPr>
        <w:pStyle w:val="TextoNormal"/>
      </w:pPr>
      <w:r>
        <w:t xml:space="preserve">Además, el citado precepto constitucional debe ponerse en conexión con los arts. 39.1 de la C.E., que establece que «los padres deben prestar asistencia en todo orden a los hijos... durante la minoría de edad»; y, específicamente en el ámbito laboral, con el art. 35.1 de la C.E., a cuyo tenor «todos los españoles tienen el deber de trabajar y el derecho al trabajo..., a la promoción a través del trabajo y a una remuneración suficiente para atender sus necesidades»; así como, por último, con el art. 40.2 de la C.E., al prever que «los poderes públicos fomentarán una política que garantice la formación y readaptación profesionales, velarán por la seguridad e higiene en el trabajo y garantizarán el descanso necesario mediante la limitación de la jornada laboral, las vacaciones periódicas retribuidas ... ». </w:t>
      </w:r>
    </w:p>
    <w:p w:rsidR="00B01F4A" w:rsidRDefault="00B01F4A" w:rsidP="00B01F4A">
      <w:pPr>
        <w:pStyle w:val="TextoNormal"/>
      </w:pPr>
      <w:r>
        <w:t xml:space="preserve">Lo que pretendió el constituyente con el art. 12 fue introducir una edad -los dieciocho años- a partir de la cual, con carácter general, los ciudadanos pueden y deben considerarse en plenitud de facultades intelectivas y volitivas para la vida jurídica, esto es, para el ejercicio de sus derechos y sus deberes. A sensu contrario, por debajo de los dieciocho años de edad los ciudadanos no pueden considerarse en plena posesión de dicha facultades, por lo que, aun cuando su capacidad decisoria no pueda ser incondicionalmente y en todo caso negada, resulta no obstante necesaria una especial protección de dichos menores por parte de los poderes públicos, dispensada bien por éstos, bien a través de los medios que a tal fin se articulen. </w:t>
      </w:r>
    </w:p>
    <w:p w:rsidR="00B01F4A" w:rsidRDefault="00B01F4A" w:rsidP="00B01F4A">
      <w:pPr>
        <w:pStyle w:val="TextoNormal"/>
      </w:pPr>
      <w:r>
        <w:t xml:space="preserve">Trasladando las consideraciones precedentes al ámbito específicamente laboral, el órgano judicial entiende que este sector de la vida social mereció para el constituyente una especial atención tuitiva, según se desprende, entre otros, de los arts. 35 y 40 de la C.E., al revestir los derechos de los ciudadanos una singular trascendencia por lo que el trabajo tiene de realización humana y de fuente dé sustento económico para la generalidad de las personas. En estas condiciones permitir que un menor de edad, una vez autorizado por sus padres </w:t>
      </w:r>
      <w:r>
        <w:lastRenderedPageBreak/>
        <w:t xml:space="preserve">o tutores para ejecutar un trabajo por cuenta ajena, pueda realizar todos los ulteriores actos de la vida laboral sin necesidad de que su consentimiento sea asistido o completado de algún modo colisionaron los preceptos constitucionales antes mencionados. </w:t>
      </w:r>
    </w:p>
    <w:p w:rsidR="00B01F4A" w:rsidRDefault="00B01F4A" w:rsidP="00B01F4A">
      <w:pPr>
        <w:pStyle w:val="TextoNormal"/>
      </w:pPr>
      <w:r>
        <w:t xml:space="preserve">c) Podría tal vez argüirse que el precepto legal cuestionado resulta susceptible de una interpretación más conforme con la C.E., pero precisamente la interpretación señalada, y que el órgano proponente estima inconstitucional, es la sostenida por diversos órganos jurisdiccionales (Sentencia del T.C.T. de 2 de julio de 1987; Sentencias del T.S.J. de la Comunidad Valenciana de 15 de febrero de 1992 y de Murcia de 7 de mayo de 1992). También podría argumentarse que, de acuerdo con el art. 3.5 del Estatuto de los Trabajadores, los derechos laborales «de derecho necesario» son indisponibles o irrenunciables, pero en este caso no se trata de una renuncia de derechos, sino de una autocomposición, transacción o acuerdo sobre los mismos, lo que no se haya vetado por el ordenamiento laboral. </w:t>
      </w:r>
    </w:p>
    <w:p w:rsidR="00B01F4A" w:rsidRDefault="00B01F4A" w:rsidP="00B01F4A">
      <w:pPr>
        <w:pStyle w:val="TextoNormal"/>
      </w:pPr>
      <w:r>
        <w:t xml:space="preserve">Cabría admitir el hecho de que el trabajador menor de dieciocho años de edad pudiera realizar por sí mismo la generalidad de los actos ordinarios o consustanciales a la relación laboral. Ahora bien, en aquellos casos en los que el propio ordenamiento jurídico exige para la validez de los actos jurídico-laborales el consentimiento o acuerdo del trabajador (por ejemplo, movilidad geográfica, movilidad funcional, modificación sustancial de las condiciones laborales o extinción del contrato de trabajo con aceptación del operario) debe resultar necesario el complemento de la capacidad del menor. No se cuestiona quién haya de complementar dicha capacidad, si sus padres o tutores o bien una autoridad pública administrativa o jurisdiccional establecida a tal fin, por ser materia que en principio debe quedar a criterio del legislador. Pero en todo caso, por exigencias constitucionales dicha capacidad del menor o incapaz ha de ser complementada con la finalidad de protegerlo frente a posibles actuaciones fraudulentas o lesivas por parte empresarial, ante las cuales el menor o incapaz puede encontrase indefenso como consecuencia de su propia condición personal. </w:t>
      </w:r>
    </w:p>
    <w:p w:rsidR="00B01F4A" w:rsidRDefault="00B01F4A" w:rsidP="00B01F4A">
      <w:pPr>
        <w:pStyle w:val="TextoNormal"/>
      </w:pPr>
      <w:r>
        <w:t>d) A mayor abundamiento y como consideración adicional, el órgano judicial añade que el hecho de que el ordenamiento jurídico exija el complemento de capacidad de los mayores de dieciséis y menores de dieciocho años para determinados actos («tomar dinero a préstamo», «gravar o enajenar bienes inmuebles y establecimientos mercantiles o industriales u objetos de extraordinario valor») y no exija tal complemento de capacidad para los actos concernientes al desenvolvimiento e incidencias de la actividad laboral permitiría incluso fundamentar una posible vulneración del principio de igualdad».</w:t>
      </w:r>
    </w:p>
    <w:p w:rsidR="00B01F4A" w:rsidRDefault="00B01F4A" w:rsidP="00B01F4A">
      <w:pPr>
        <w:pStyle w:val="TextoNormal"/>
      </w:pPr>
    </w:p>
    <w:p w:rsidR="00B01F4A" w:rsidRDefault="00B01F4A" w:rsidP="00B01F4A">
      <w:pPr>
        <w:pStyle w:val="TextoNormal"/>
      </w:pPr>
      <w:r w:rsidRPr="00B01F4A">
        <w:rPr>
          <w:rStyle w:val="NumeroAFNegritaCaracter"/>
        </w:rPr>
        <w:t>4</w:t>
      </w:r>
      <w:r>
        <w:t>. La Sección Tercera de este Tribunal, por providencia de 11 de febrero de 1997, acordó oír al Fiscal General del Estado para que, en el plazo de diez días y a los efectos que determina el art. 37.1 de la LOTC, alegase lo que estimare oportuno acerca de la admisibilidad de la cuestión de inconstitucionalidad por poder resultar notoriamente infundada.</w:t>
      </w:r>
    </w:p>
    <w:p w:rsidR="00B01F4A" w:rsidRDefault="00B01F4A" w:rsidP="00B01F4A">
      <w:pPr>
        <w:pStyle w:val="TextoNormal"/>
      </w:pPr>
    </w:p>
    <w:p w:rsidR="00B01F4A" w:rsidRDefault="00B01F4A" w:rsidP="00B01F4A">
      <w:pPr>
        <w:pStyle w:val="TextoNormal"/>
      </w:pPr>
      <w:r w:rsidRPr="00B01F4A">
        <w:rPr>
          <w:rStyle w:val="NumeroAFNegritaCaracter"/>
        </w:rPr>
        <w:t>5</w:t>
      </w:r>
      <w:r>
        <w:t xml:space="preserve">. El Fiscal General del Estado evacuó el trámite de alegaciones conferido mediante escrito registrado con fecha 5 de marzo de 1997, en el que interesa la inadmisión a trámite de la presente cuestión de inconstitucionalidad por poder ser notoriamente infundada (art. 37.1 LOTC). </w:t>
      </w:r>
    </w:p>
    <w:p w:rsidR="00B01F4A" w:rsidRDefault="00B01F4A" w:rsidP="00B01F4A">
      <w:pPr>
        <w:pStyle w:val="TextoNormal"/>
      </w:pPr>
      <w:r>
        <w:t xml:space="preserve">En su opinión, como se señala en el Auto de planteamiento, el art. 12 de la C.E. contiene una norma de carácter genérico, sin precedentes en el Derecho histórico constitucional español, cuya finalidad esencial es la de determinar el límite cronológico de la plena capacidad, tanto jurídica como para el ejercicio de los derechos políticos de los ciudadanos, pero es evidente que, al mismo tiempo, no limita ni condiciona la existencia de situaciones jurídicas intermedias de capacidad limitada, plenamente reconocidas por las distintas normas </w:t>
      </w:r>
      <w:r>
        <w:lastRenderedPageBreak/>
        <w:t xml:space="preserve">legales de nuestro ordenamiento. Por ello, este precepto constitucional en ningún momento limita la potestad que el propio constituyente, a través del art. 35.2 de la C.E., ha conferido al legislador ordinario para regular en el ámbito de las relaciones sociales los distintos estadios de capacidad que contempla el art. 7 del Estatuto de los Trabajadores, teniendo en cuenta, eso sí, los límites de edad mínima para trabajar establecidos en la normativa internacional ratificada por España (especialmente, el Convenio núm. 138 de la O.I.T. y la Recomendación CEE 67/125, entre otras). </w:t>
      </w:r>
    </w:p>
    <w:p w:rsidR="00B01F4A" w:rsidRDefault="00B01F4A" w:rsidP="00B01F4A">
      <w:pPr>
        <w:pStyle w:val="TextoNormal"/>
      </w:pPr>
      <w:r>
        <w:t xml:space="preserve">Respecto a los preceptos constitucionales que en relación con el citado art. 12 de la C.E. se citan en el Auto de planteamiento, el Fiscal General del Estado señala, en primer término, que el art. 35.1 de la C.E. delimita el alcance real del derecho del trabajo, estableciendo una serie de derechos suplementarios que han de perfilar su entorno. Sin embargo, este derecho al trabajo, como se ha encargado de señalar la doctrina constitucional (SSTC 22/1981 y 51/1982, entre otras), no se agota en la libertad de trabajar, sino que se extiende, también, al derecho a un puesto de trabajo, en su doble aspecto individual -al que alude el art. 35 C.E.- y colectivo -al que se refiere el art. 40 C.E.-, concretándose, entre otros, en el igual derecho de todos a un puesto de trabajo si se cumplen los requisitos necesarios de capacitación. Es evidente que esta norma constitucional de naturaleza genérica exige el correspondiente desarrollo legislativo, cuya regulación concreta en lo que afecta a esta materia de la capacidad no contradice para nada el sentido de los valores y principios que consagra la C.E. </w:t>
      </w:r>
    </w:p>
    <w:p w:rsidR="00B01F4A" w:rsidRDefault="00B01F4A" w:rsidP="00B01F4A">
      <w:pPr>
        <w:pStyle w:val="TextoNormal"/>
      </w:pPr>
      <w:r>
        <w:t xml:space="preserve">Semejante argumentación, en su opinión, sirve para negar también la invocada contradicción entre el precepto cuestionado y el art. 40.2 de la C.E. Precepto al que se ha referido la STC 1/1982, considerando que el mismo, entre otros, constituye uno de los elementos esenciales de la Constitución económica en cuanto fijan los objetivos de tal carácter y cuya consecución exige la adopción de medidas de política económica aplicables con carácter general a todo el territorio nacional. Se trata de un precepto que requiere, asimismo, el necesario desarrollo legislativo, con el que, por su generalidad en relación con la materia específica que regula el art. 7 del Estatuto de los Trabajadores, tampoco puede advertirse contradicción alguna. </w:t>
      </w:r>
    </w:p>
    <w:p w:rsidR="00B01F4A" w:rsidRDefault="00B01F4A" w:rsidP="00B01F4A">
      <w:pPr>
        <w:pStyle w:val="TextoNormal"/>
      </w:pPr>
      <w:r>
        <w:t xml:space="preserve">Finalmente, el art. 39.3 de la C.E., dedicado en este caso a la protección de la familia, entre cuyas facetas se encuentra, precisamente, el deber de asistencia a los hijos menores de edad, remitiendo expresamente al legislador ordinario el régimen jurídico en que haya de concretarse dicho deber, tampoco resulta vulnerado por el precepto legal cuestionado, al regular en el estadio intermedio al que se refiere el mismo los modos de completar la incapacidad limitada que tienen los menores respecto de los contratos de trabajo que formalicen. </w:t>
      </w:r>
    </w:p>
    <w:p w:rsidR="00B01F4A" w:rsidRDefault="00B01F4A" w:rsidP="00B01F4A">
      <w:pPr>
        <w:pStyle w:val="TextoNormal"/>
      </w:pPr>
      <w:r>
        <w:t xml:space="preserve">A los argumentos expuestos, el Fiscal General del Estado añade, a modo de corolario, que el órgano judicial promotor de la cuestión de inconstitucionalidad, más que destacar en su Auto una serie de contradicciones concretas del precepto legal cuestionado con los preceptos de la C.E., que, por su vocación de generalidad, difícilmente pueden hallarse aspectos contradictorios respectos de ellos en el art. 7 b), párrafo segundo, del Estatuto de los Trabajadores, lo que hace es poner de manifiesto de lege ferenda una serie de consideraciones sobre lo que, a su entender, debiera ser la regulación de la capacidad limitada para celebrar contratos de trabajo de los menores de dieciséis y mayores de dieciocho años, que, si bien son ciertamente loables por la sensibilidad en el tratamiento de la materia, exceden del ámbito constitucional en el que desarrolla su actividad el Tribunal Constitucional. «Es intérprete supremo de la Constitución y no legislador, y sólo cabe solicitar de él pronunciamiento sobre adecuación o inadecuación de los preceptos a la Constitución» (STC 5/1981), por lo </w:t>
      </w:r>
      <w:r>
        <w:lastRenderedPageBreak/>
        <w:t>que la pretensión recogida en el Auto de planteamiento de la cuestión de inconstitucionalidad de que este Tribunal emita un pronunciamiento al respecto «siquiera sea con una finalidad esclarecedora o hermenéutica, para despejar posibles interpretaciones de dicho precepto radicalmente contrarias a la C.E.» quedan fuera de su propio ámbito.</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Juzgado de lo Social núm. 2 de Madrid plantea cuestión de inconstitucionalidad en relación con el párrafo segundo del art. 7 b) del Real Decreto Legislativo 1/1995, de 24 de marzo, por el que se aprueba el Texto Refundido de la Ley del Estatuto de los Trabajadores por su posible contradicción con los arts. 12, en relación con los arts. 35.1, 39.3 y 40.2, y 14 de la C.E. El mencionado art. 7 tiene por objeto regular la capacidad para la celebración del contrato de trabajo y dispone en el párrafo cuestionado por el órgano judicial que «si el representante legal de una persona de capacidad limitada la autoriza expresa o tácitamente para realizar su trabajo, queda ésta también autorizada para ejercitar los derechos y cumplir los deberes que se derivan de su contrato y para su cesación».</w:t>
      </w:r>
    </w:p>
    <w:p w:rsidR="00B01F4A" w:rsidRDefault="00B01F4A" w:rsidP="00B01F4A">
      <w:pPr>
        <w:pStyle w:val="TextoNormal"/>
      </w:pPr>
    </w:p>
    <w:p w:rsidR="00B01F4A" w:rsidRDefault="00B01F4A" w:rsidP="00B01F4A">
      <w:pPr>
        <w:pStyle w:val="TextoNormal"/>
      </w:pPr>
      <w:r w:rsidRPr="00B01F4A">
        <w:rPr>
          <w:rStyle w:val="NumeroAFNegritaCaracter"/>
        </w:rPr>
        <w:t>2</w:t>
      </w:r>
      <w:r>
        <w:t>. El órgano judicial promotor de la cuestión de inconstitucionalidad entiende, en síntesis, que el párrafo segundo final del art. 7 b) del Real Decreto Legislativo 1/1995, de 24 de marzo, al no exigir autorización del representante legal de la persona de capacidad limitada para que ésta ejercite los derechos y cumpla los deberes que se derivan del contrato de trabajo y para su cesación, o, en otras palabras, el exigir únicamente autorización para la celebración del contrato de trabajo, pudiera ser contrario al art. 12 de la C.E., a cuyo tenor «los españoles son mayores de edad a los dieciocho años», en relación con el art. 39.3 C.E., que establece que «los poderes públicos deben prestar asistencia de todo orden a los hijos... durante la minoría de edad», con el art. 35.1 de la C.E., que dispone que «todos los españoles tienen el deber de trabajar y el derecho al trabajo.... a la promoción a través del trabajo y a una remuneración suficiente para atender a sus necesidades» y, por último, con el art. 40.2 C.E., que establece que «los poderes públicos fomentarán una política que garantice la formación y readaptación profesionales, velarán por la seguridad e higiene en el trabajo y garantizarán el descanso necesario mediante la limitación de la jornada laboral, las vacaciones periódicas retribuidas ... ». Junto a este motivo principal en el que se asienta su duda de constitucionalidad, aduce, a mayor abundamiento, como motivo adicional la supuesta contradicción entre el párrafo cuestionado y el principio de igualdad que consagra el art. 14 de la C.E.</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Ante todo, ha de señalarse que el órgano judicial proponente efectúa una interpretación de la norma legal cuestionada, que constituye la premisa de su duda de constitucionalidad, que no es la que resulta del propio tenor literal de dicho precepto, ni de su interpretación sistemática, ni, en fin, la mantenida comúnmente en nuestra comunidad jurídica por la doctrina científica y jurisprudencial. En efecto. el art. 7 del Real Decreto Legislativo 1/1995, de 24 de marzo, que regula la capacidad de obrar necesaria para la celebración del contrato de trabajo, dispone en su letra a) que podrán contratar la prestación de su trabajo «quienes tengan plena capacidad de obrar conforme a lo dispuesto en el Código Civil». En el primer párrafo de su letra b) reconoce también, en su primer inciso, capacidad plena para contratar a «los menores de dieciocho años y mayores de dieciséis años, que vivan de forma independiente, con consentimiento de sus padres o tutores», y en el inciso final de ese primer párrafo </w:t>
      </w:r>
      <w:r>
        <w:lastRenderedPageBreak/>
        <w:t>recoge un supuesto o situación de capacidad limitada, cual es la de los mayores de dieciséis y menores de dieciocho años no casados ni emancipados de hecho, respecto a los que se exige, para tener capacidad para contratar, la previa «autorización de la persona o institución que los tenga a su cargo». A continuación, en el párrafo cuestionado establece que «si el representante legal de una persona con capacidad limitada la autoriza expresa o tácitamente para realizar un trabajo, queda ésta también autorizada para ejercitar los derechos y cumplir los deberes que se deriven de su contrato y para su cesación».</w:t>
      </w:r>
    </w:p>
    <w:p w:rsidR="00B01F4A" w:rsidRDefault="00B01F4A" w:rsidP="00B01F4A">
      <w:pPr>
        <w:pStyle w:val="TextoNormal"/>
      </w:pPr>
      <w:r>
        <w:t>Como resulta del tenor literal del párrafo cuestionado, y en tal sentido es interpretado por la doctrina científica y jurisprudencia, la autorización que el representante legal de una persona con capacidad limitada le concede a ésta para celebrar un contrato de trabajo no queda circunscrita en sus efectos al solo acto de contrato, sino que aquellos se extiendan ope legis al ejercicio y al cumplimiento de los deberes que se derivan del contrato y también para su cesación. No se trata, pues, como se afirma en el Auto de planteamiento de la cuestión de inconstitucionalidad, que el precepto legal cuestionado no exija autorización del representante legal de la persona con capacidad limitada para extinguir el contrato de trabajo, sino que la autorización del representante legal de una persona con capacidad limitada que completa su capacidad para contratar supone no sólo autorizarla para la celebración del contrato de trabajo, sino también para todas las vicisitudes de la relación laboral, de modo que en virtud de dicha autorización la persona con capacidad limitada no sólo puede celebrar un contrato de trabajo sino también por sí misma ejercer los derechos y cumplir los deberes que se deriven del contrato y extinguir el mismo.</w:t>
      </w:r>
    </w:p>
    <w:p w:rsidR="00B01F4A" w:rsidRDefault="00B01F4A" w:rsidP="00B01F4A">
      <w:pPr>
        <w:pStyle w:val="TextoNormal"/>
      </w:pPr>
    </w:p>
    <w:p w:rsidR="00B01F4A" w:rsidRDefault="00B01F4A" w:rsidP="00B01F4A">
      <w:pPr>
        <w:pStyle w:val="TextoNormal"/>
      </w:pPr>
      <w:r w:rsidRPr="00B01F4A">
        <w:rPr>
          <w:rStyle w:val="NumeroAFNegritaCaracter"/>
        </w:rPr>
        <w:t>4</w:t>
      </w:r>
      <w:r>
        <w:t>. Para el órgano judicial, el párrafo legal cuestionado pudiera ser contrario al art. 12 de la C.E., en relación con los arts. 39.3, 35.1 y 40.2, de la C.E., ya que de los citados preceptos deriva, a su juicio, la exigencia constitucional de una especial protección de los menores de edad por parte de los poderes públicos, dispensada bien directamente por éstos, bien a través de los modos que a tal fin se articulen -patria potestad y tutela-, resultando contrario a aquella exigencia constitucional que una vez autorizado por sus padres o tutores para ejecutar su trabajo por cuenta ajena se le pueda permitir a un menor de edad realizar todos los ulteriores actos de la vida laboral sin necesidad de que su consentimiento sea asistido o complementado de algún modo.</w:t>
      </w:r>
    </w:p>
    <w:p w:rsidR="00B01F4A" w:rsidRDefault="00B01F4A" w:rsidP="00B01F4A">
      <w:pPr>
        <w:pStyle w:val="TextoNormal"/>
      </w:pPr>
      <w:r>
        <w:t>Sin necesidad de detenerse, como se sostiene en el Auto de planteamiento, en la afirmación de que de los mencionados preceptos constitucionales resulta para el legislador la obligación de prever mecanismos que complementen la capacidad limitada de una persona para contratar, lo cierto es que ni aquellos preceptos articulan o imponen al legislador mecanismos determinados ni se contrapone a sus previsiones el hecho de que el legislador extienda los efectos de la autorización del representante legal de una persona de capacidad limitada para celebrar un contrato de trabajo a las ulteriores vicisitudes de la relación laboral, de modo que dicha persona, en virtud de aquella autorización, queda también autorizada por sí misma «para ejercitar los derechos y cumplir los deberes que se deriven de su contrato y para su cesación».</w:t>
      </w:r>
    </w:p>
    <w:p w:rsidR="00B01F4A" w:rsidRDefault="00B01F4A" w:rsidP="00B01F4A">
      <w:pPr>
        <w:pStyle w:val="TextoNormal"/>
      </w:pPr>
      <w:r>
        <w:t>Como el Fiscal General del Estado pone de manifiesto en su escrito de alegaciones, ni el art. 12 de la C.E, ni los preceptos constitucionales que en relación con éste se citan en el Auto de planteamiento, limitan o condicionan la existencia de situaciones jurídicas intermedias de capacidad limitada, plenamente reconocidas en nuestro ordenamiento, ni restringen en modo alguno la facultad conferida al legislador para regular en el ámbito de las relaciones sociales los distintos estadios de capacidad que contempla el art.  7 del Estatuto de los Trabajadores.</w:t>
      </w:r>
    </w:p>
    <w:p w:rsidR="00B01F4A" w:rsidRDefault="00B01F4A" w:rsidP="00B01F4A">
      <w:pPr>
        <w:pStyle w:val="TextoNormal"/>
      </w:pPr>
    </w:p>
    <w:p w:rsidR="00B01F4A" w:rsidRDefault="00B01F4A" w:rsidP="00B01F4A">
      <w:pPr>
        <w:pStyle w:val="TextoNormal"/>
      </w:pPr>
      <w:r w:rsidRPr="00B01F4A">
        <w:rPr>
          <w:rStyle w:val="NumeroAFNegritaCaracter"/>
        </w:rPr>
        <w:t>5</w:t>
      </w:r>
      <w:r>
        <w:t>. Igual inconsistencia que el motivo anterior presenta el que con carácter adicional aduce el órgano judicial, al estimar que el párrafo legal cuestionado puede ser contrario al art. 14 de la C.E., ya que en otros supuestos el ordenamiento jurídico exige el complemento de la capacidad de los mayores de dieciséis y menores de dieciocho años para determinados actos y no exige tal complemento de capacidad para el desenvolvimiento e incidencias de la actividad laboral.</w:t>
      </w:r>
    </w:p>
    <w:p w:rsidR="00B01F4A" w:rsidRDefault="00B01F4A" w:rsidP="00B01F4A">
      <w:pPr>
        <w:pStyle w:val="TextoNormal"/>
      </w:pPr>
      <w:r>
        <w:t>Abstracción hecha de las razones que en opinión de la doctrina científica justifican las especificidades de la capacidad de obrar necesaria para la celebración de un contrato de trabajo respecto al derecho común contractual, el motivo de inconstitucionalidad aducido parte del presupuesto de confundir la exigencia de autorización con el alcance y los efectos que a éste le atribuye el legislador en el art. 7 b) del Real Decreto Legislativo 1/1995, de 24 de marzo. El precepto legal cuestionado exige autorización del representante legal de una persona con capacidad limitada para celebrar el contrato de trabajo y extiende los efectos de dicha autorización a las ulteriores vicisitudes de la relación laboral, sin que pueda apreciarse en ello atisbo alguno de trato discriminatorio.</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lo expuesto, el Pleno acuerda declarar la inadmisión a trámite de la presente cuestión de inconstitucionalidad (art. 37.1 LOTC).</w:t>
      </w:r>
    </w:p>
    <w:p w:rsidR="00B01F4A" w:rsidRDefault="00B01F4A" w:rsidP="00B01F4A">
      <w:pPr>
        <w:pStyle w:val="TextoNormal"/>
      </w:pPr>
    </w:p>
    <w:p w:rsidR="00B01F4A" w:rsidRDefault="00B01F4A" w:rsidP="00B01F4A">
      <w:pPr>
        <w:pStyle w:val="TextoNormal"/>
      </w:pPr>
      <w:r>
        <w:t>Madrid, a doce de marzo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68" w:name="AUTO_1997_78"/>
      <w:r>
        <w:lastRenderedPageBreak/>
        <w:t>AUTO 78/1997, de 13 de marzo de 1997</w:t>
      </w:r>
    </w:p>
    <w:bookmarkEnd w:id="168"/>
    <w:p w:rsidR="00B01F4A" w:rsidRDefault="00B01F4A" w:rsidP="00B01F4A">
      <w:pPr>
        <w:pStyle w:val="TtuloResolucin"/>
      </w:pPr>
      <w:r>
        <w:t>Pleno</w:t>
      </w:r>
    </w:p>
    <w:p w:rsidR="00B01F4A" w:rsidRDefault="00B01F4A" w:rsidP="00B01F4A">
      <w:pPr>
        <w:pStyle w:val="TtuloResolucin"/>
      </w:pPr>
    </w:p>
    <w:p w:rsidR="00B01F4A" w:rsidRDefault="00B01F4A" w:rsidP="00B01F4A">
      <w:pPr>
        <w:pStyle w:val="SntesisDescriptiva"/>
      </w:pPr>
      <w:r>
        <w:t>ECLI:ES:TC:1997:78A</w:t>
      </w:r>
    </w:p>
    <w:p w:rsidR="00B01F4A" w:rsidRDefault="00B01F4A" w:rsidP="00B01F4A">
      <w:pPr>
        <w:pStyle w:val="SntesisDescriptiva"/>
      </w:pPr>
    </w:p>
    <w:p w:rsidR="00B01F4A" w:rsidRDefault="00B01F4A" w:rsidP="00B01F4A">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B01F4A" w:rsidRDefault="00B01F4A" w:rsidP="00B01F4A">
      <w:pPr>
        <w:pStyle w:val="SntesisDescriptiva"/>
      </w:pPr>
    </w:p>
    <w:p w:rsidR="00B01F4A" w:rsidRDefault="00B01F4A" w:rsidP="00B01F4A">
      <w:pPr>
        <w:pStyle w:val="SntesisDescriptiva"/>
      </w:pPr>
      <w:r>
        <w:t>Levantando la suspensión, previamente acordada, de determinados preceptos de la Ley 3/1996, de la Comunidad Autónoma de Extremadura en el recurso de inconstitucionalidad 3.540/1996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Abogado del Estado, en nombre del Presidente del Gobierno, mediante escrito presentado el 1 de octubre de 1996, interpuso recurso de inconstitucionalidad contra el art. 14, en conexión con el artículo 6, párrafo último, así como contra el párrafo primero de la Disposición transitoria tercera y la Disposición transitoria cuarta, de la Ley 3/1996, de 25 de junio, de Atención Farmacéutica de la Comunidad Autónoma de Extremadura. Se hizo expresa invocación del art. 161.2 C.E., a efectos de la suspensión de la vigencia y aplicación de los preceptos impugnados.</w:t>
      </w:r>
    </w:p>
    <w:p w:rsidR="00B01F4A" w:rsidRDefault="00B01F4A" w:rsidP="00B01F4A">
      <w:pPr>
        <w:pStyle w:val="TextoNormal"/>
      </w:pPr>
    </w:p>
    <w:p w:rsidR="00B01F4A" w:rsidRDefault="00B01F4A" w:rsidP="00B01F4A">
      <w:pPr>
        <w:pStyle w:val="TextoNormal"/>
      </w:pPr>
      <w:r w:rsidRPr="00B01F4A">
        <w:rPr>
          <w:rStyle w:val="NumeroAFNegritaCaracter"/>
        </w:rPr>
        <w:t>2</w:t>
      </w:r>
      <w:r>
        <w:t>. La Sección Cuarta, mediante providencia de 17 de octubre de 1996, acordó admitir a trámite el recurso dando traslado de la demanda y documentos presentados, conforme establece el art. 34 LOTC, al Congreso, al Senado, así como a la Junta y a la Asamblea de Extremadura, para que, en el plazo de quince días, pudieran personarse en el proceso y formular las alegaciones que estimaren convenientes. Al haber sido invocado por el Presidente del Gobierno el art. 161.2 de la C.E., y conforme establece el art. 30 de la LOTC, se acordó asimismo la suspensión de la vigencia y aplicación de los preceptos impugnados, para las partes desde la fecha de interposición del recurso y para los terceros desde el día en que apareciera la publicación en el «Boletín Oficial del Estado», de la incoación del recurso y la suspensión, cuya publicación también se dispuso en el «Diario Oficial de Extremadura».</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El Letrado de la Junta de Extremadura, en la representación procesal de esta Comunidad que por ley tiene atribuida, mediante su escrito de alegaciones presentado el 8 de noviembre de 1996, se persona y suplica al Tribunal que se sirva dictar Sentencia en la que se desestime el presente recurso, declarando la constitucionalidad de los preceptos citados. En el primer otrosí solicita el levantamiento de la suspensión declarada tras la invocación del art. 161.2 de la C.E. </w:t>
      </w:r>
    </w:p>
    <w:p w:rsidR="00B01F4A" w:rsidRDefault="00B01F4A" w:rsidP="00B01F4A">
      <w:pPr>
        <w:pStyle w:val="TextoNormal"/>
      </w:pPr>
      <w:r>
        <w:lastRenderedPageBreak/>
        <w:t>La Asamblea de Extremadura, en la representación procesal de esta Comunidad que por ley tiene atribuida, mediante su escrito de alegaciones presentado el 22 de noviembre de 1996, se persona y solicita se dicte Sentencia en la que se desestime el recurso.</w:t>
      </w:r>
    </w:p>
    <w:p w:rsidR="00B01F4A" w:rsidRDefault="00B01F4A" w:rsidP="00B01F4A">
      <w:pPr>
        <w:pStyle w:val="TextoNormal"/>
      </w:pPr>
    </w:p>
    <w:p w:rsidR="00B01F4A" w:rsidRDefault="00B01F4A" w:rsidP="00B01F4A">
      <w:pPr>
        <w:pStyle w:val="TextoNormal"/>
      </w:pPr>
      <w:r w:rsidRPr="00B01F4A">
        <w:rPr>
          <w:rStyle w:val="NumeroAFNegritaCaracter"/>
        </w:rPr>
        <w:t>4</w:t>
      </w:r>
      <w:r>
        <w:t>. Por providencia de 4 de febrero de 1997, la Sección Cuarta del Pleno del Tribunal acordó que, próximo a finalizar el plazo de cinco meses que determina el art. 161.2 de la Constitución, desde que se produjo la suspensión de los preceptos impugnados, se oyera a las partes para que en el plazo de cinco días, aleguen lo que estimen procedente acerca del mantenimiento o levantamiento de dicha suspensión.</w:t>
      </w:r>
    </w:p>
    <w:p w:rsidR="00B01F4A" w:rsidRDefault="00B01F4A" w:rsidP="00B01F4A">
      <w:pPr>
        <w:pStyle w:val="TextoNormal"/>
      </w:pPr>
    </w:p>
    <w:p w:rsidR="00B01F4A" w:rsidRDefault="00B01F4A" w:rsidP="00B01F4A">
      <w:pPr>
        <w:pStyle w:val="TextoNormal"/>
      </w:pPr>
      <w:r w:rsidRPr="00B01F4A">
        <w:rPr>
          <w:rStyle w:val="NumeroAFNegritaCaracter"/>
        </w:rPr>
        <w:t>5</w:t>
      </w:r>
      <w:r>
        <w:t xml:space="preserve">. El Abogado del Estado, en escrito recibido el 7 de febrero siguiente, formula alegaciones en solicitud del mantenimiento de la suspensión. Señala que el levantamiento de la misma provocaría situaciones jurídico-privadas y públicas de muy difícil o imposible reparación, y ello porque los artículos y disposiciones recurridas establecen una serie de límites a la libertad de la actividad empresarial, laboral y profesional que de aplicarse podrían provocar que un titular de autorización administrativa para la apertura de una oficina de farmacia interesado en su transmisión, cesión o arrendamiento no pudiera llevarlo a efecto, impidiéndose luego, en caso de declararse los preceptos inconstitucionales, reparar el efecto producido, pues lógicamente sus intereses podrían haber cambiado y difícilmente las condiciones de mercado serían las mismas. </w:t>
      </w:r>
    </w:p>
    <w:p w:rsidR="00B01F4A" w:rsidRDefault="00B01F4A" w:rsidP="00B01F4A">
      <w:pPr>
        <w:pStyle w:val="TextoNormal"/>
      </w:pPr>
      <w:r>
        <w:t xml:space="preserve">Por otra parte, alude al perjuicio irreparable que se podría causar si por aplicación del art. 6 de la ley recurrida se llegase a declarar la caducidad de una autorización por alcanzar su titular la edad de setenta años. En este caso, las consecuencias que se producirían en la persona y patrimonio del afectado serían muy graves, pues se vería incapacitado para seguir ejerciendo su profesión y actividad mercantil. Del mismo modo el nuevo titular de una autorización para una farmacia ya autorizada se verá en la obligación, de aplicarse el art. 14, de mantener en sus puestos de trabajo a los mismos auxiliares y ayudantes técnicos de farmacia que tenía antes, dando lugar a unas consecuencias económicas que, como en los casos anteriores, serían muy difíciles de reparar. </w:t>
      </w:r>
    </w:p>
    <w:p w:rsidR="00B01F4A" w:rsidRDefault="00B01F4A" w:rsidP="00B01F4A">
      <w:pPr>
        <w:pStyle w:val="TextoNormal"/>
      </w:pPr>
      <w:r>
        <w:t>El representante del Gobierno añade que, si bien las disposiciones transitorias de la Ley temporalmente limitan los efectos restrictivos, también su aplicación puede producir perjuicios de difícil o imposible reparación. Así, en el caso de la única transmisión que se permite a los que a la entrada en vigor tuviesen ya sus autorizaciones, porque está sometida a una autorización previa; y en cuanto al límite de edad porque reduce la duración a cinco años y obliga al titular a contratar a un farmacéutico adjunto. Concluye el Abogado del Estado señalando que al haberse fundado el recurso en vulneración de derechos constitucionalmente protegidos, resulta que el levantamiento de la suspensión de la eficacia de las normas impugnadas podría provocar ataques a esa esfera jurídica, causando por ello necesariamente un perjuicio irreparable. Especialmente dicha vulneración se produciría en relación con, el derecho fundamental a la igualdad ya que en ninguna otra zona del territorio nacional se dan esas restricciones a la libertad de empresa y al derecho al trabajo (límite de setenta años).</w:t>
      </w:r>
    </w:p>
    <w:p w:rsidR="00B01F4A" w:rsidRDefault="00B01F4A" w:rsidP="00B01F4A">
      <w:pPr>
        <w:pStyle w:val="TextoNormal"/>
      </w:pPr>
    </w:p>
    <w:p w:rsidR="00B01F4A" w:rsidRDefault="00B01F4A" w:rsidP="00B01F4A">
      <w:pPr>
        <w:pStyle w:val="TextoNormal"/>
      </w:pPr>
      <w:r w:rsidRPr="00B01F4A">
        <w:rPr>
          <w:rStyle w:val="NumeroAFNegritaCaracter"/>
        </w:rPr>
        <w:t>6</w:t>
      </w:r>
      <w:r>
        <w:t xml:space="preserve">. El Letrado del Gabinete Jurídico de la Junta de Extremadura, en escrito recibido el 19 de febrero de 1997, formula las siguientes alegaciones solicitando que el Tribunal, acuerde el levantamiento de la suspensión. </w:t>
      </w:r>
    </w:p>
    <w:p w:rsidR="00B01F4A" w:rsidRDefault="00B01F4A" w:rsidP="00B01F4A">
      <w:pPr>
        <w:pStyle w:val="TextoNormal"/>
      </w:pPr>
      <w:r>
        <w:t xml:space="preserve">Se refiere, en primer lugar, a la posición de la doctrina sobre la suspensión del art. 30 LOTC, y señala que en una ponderación de las consecuencias que se derivarían de una u </w:t>
      </w:r>
      <w:r>
        <w:lastRenderedPageBreak/>
        <w:t xml:space="preserve">otra medida (levantamiento o ratificación) ni la Constitución ni la Ley establecen criterio alguno sobre el que basar la decisión, pero la jurisprudencia ya tiene elaborada su propia construcción, en la cual son constantes dos elementos: susceptibilidad de la Ley suspendida de provocar situaciones comprometedoras para los efectos de la sentencia, caso de ser estimatoria, y la incidencia en intereses generales, considerándose como uno de los efectos más relevantes «la irreparabilidad o dificultad de las situaciones que pudieran generarse» (ATC 782/1984). </w:t>
      </w:r>
    </w:p>
    <w:p w:rsidR="00B01F4A" w:rsidRDefault="00B01F4A" w:rsidP="00B01F4A">
      <w:pPr>
        <w:pStyle w:val="TextoNormal"/>
      </w:pPr>
      <w:r>
        <w:t xml:space="preserve">Afirma que la aplicación de la norma que se produciría con el levantamiento de la suspensión no implicaría, ni aun directamente, la suspensión de la legislación farmacéutica que se considera amenazada. Si los preceptos estatales y autonómicos compartieran vigencia, pueden originarse conflictos jurídicos, pero éstos, en palabras del Tribunal, «habrán de resolverse por los órganos competentes» (ATC 390/1988, fundamento 2.º) sin necesidad alguna de engarce en sede constitucional. Así, pues, el levantamiento no perjudicaría ni alteraría la finalidad del recurso presentado respecto de una eventual estimación. </w:t>
      </w:r>
    </w:p>
    <w:p w:rsidR="00B01F4A" w:rsidRDefault="00B01F4A" w:rsidP="00B01F4A">
      <w:pPr>
        <w:pStyle w:val="TextoNormal"/>
      </w:pPr>
      <w:r>
        <w:t xml:space="preserve">Respecto de los efectos sobre los intereses generales o de terceros, dice que no se produce ninguno adverso y resalta la necesidad de irreparabilidad y la carga de la prueba para quien los alegue. En relación con el art. 6 y Disposición transitoria cuarta (caducidad cronológica) señala que la concreción del régimen jurídico de la autorización que se efectúa en ambos preceptos, impone una legalmente prevista suspensión de aplicación de esta caducidad cronológica por plazo de cinco años, plazo más que prudencial en que puede resolverse el recurso de inconstitucionalidad interpuesto. Dicho en términos llanos, en los próximos cinco años, la ley no establecía consecuencia jurídica alguna frente a tercero ni alteraba en ese punto el régimen jurídico (estatal) preexistente de tal suerte que una eventual estimación del recurso en el plazo razonablemente menor de cinco años, en nada afectaría de facto a la aplicabilidad del precepto. Si el precepto, en hipótesis, resulta inconstitucional a juicio del Tribunal Constitucional, es algo que se sabría con anterioridad a aplicarse por primera vez; de tal suerte que el mantenimiento de la suspensión resulta irrelevante, y, por tanto, debe levantarse, en aplicación de la presunción de legalidad constitucional a que aludíamos anteriormente. Y en el supuesto no deseado de que la tramitación del presente recurso se dilatara más allá del plazo de excepción que establece la Disposición transitoria cuarta de la L.A.F.E., los efectos de la aplicabilidad de la ley, en este aspecto, no iría más allá que la declaración de caducidad de un número lógicamente reducido de autorizaciones, lo cual pudiera ocasionar algún quebranto patrimonial en ese reducido número de farmacéuticos, quebranto fácilmente resarcible. En todo caso, y subsidiariamente al levantamiento íntegro de la suspensión, y a fin de asegurar, más allá de lo que constitucionalmente debe estimarse en este incidente de suspensión, se podía modular el alcance de la suspensión de tales preceptos, prolongando la vigencia de la disposición transitoria cuarta por el tiempo que dure la tramitación del recurso, o lo que es lo mismo, a fin de asegurar la intangibilidad de la ley, extender los mecanismos correctores o de excepción de la misma durante el tiempo que excede de los cinco años, en que tarde en resolverse el presente recurso. </w:t>
      </w:r>
    </w:p>
    <w:p w:rsidR="00B01F4A" w:rsidRDefault="00B01F4A" w:rsidP="00B01F4A">
      <w:pPr>
        <w:pStyle w:val="TextoNormal"/>
      </w:pPr>
      <w:r>
        <w:t xml:space="preserve">Manifiesta asimismo que los dos postulados suspendidos (caducidad cronológica e intransmisibilidad de la autorización administrativa) evidentemente conducen a una confrontación entre el interés público a legislar el régimen jurídico de tales autorizaciones farmacéuticas, y el privado de quienes desean perdurar el régimen jurídico precedente en cuanto más favorable a sus intereses patrimoniales personales. Esta confrontación interés público frente a interés privado (por otra parte suficientemente prevenido mediante las disposiciones de excepción de la propia ley) se resuelve según la doctrina del Tribunal Constitucional en favor del primero (ATC de 16 de enero de 1996, dictado en recurso 2.988/95). </w:t>
      </w:r>
    </w:p>
    <w:p w:rsidR="00B01F4A" w:rsidRDefault="00B01F4A" w:rsidP="00B01F4A">
      <w:pPr>
        <w:pStyle w:val="TextoNormal"/>
      </w:pPr>
      <w:r>
        <w:lastRenderedPageBreak/>
        <w:t xml:space="preserve">Argumenta que desde la entrada en vigencia del R.D.L. 11/1996, que alteró las bases normativas en materia de oficina de farmacia, existe con carácter de básico la necesidad de que dichas autorizaciones se concedan de acuerdo con los principios concursales, lo que deviene en imposible aplicar además el régimen especial privado para acceder a tales autorizaciones; lo cual conduce ineludiblemente a la intransmisibilidad de las autorizaciones. Además de reproducir en este sentido nuestras alegaciones al recurso formulado, cabe recordar que la congruencia o coincidencia de las consecuencias normativas de los preceptos básicos y los de la L.A.F.E. ahora suspendidos es más que evidente. Ello determina, a su juicio, el levantamiento de la suspensión. Siendo idénticos los presupuestos de hecho y la consecuencia jurídica de ambos preceptos (el básico y el recurrido) está clara la plena aplicabilidad de la doctrina constitucional sentada en el ATC 1242/1988, en su fundamento jurídico 3.º. </w:t>
      </w:r>
    </w:p>
    <w:p w:rsidR="00B01F4A" w:rsidRDefault="00B01F4A" w:rsidP="00B01F4A">
      <w:pPr>
        <w:pStyle w:val="TextoNormal"/>
      </w:pPr>
      <w:r>
        <w:t>Finaliza el Letrado sus alegaciones indicando que el art. 14 y por conexión la disposición transitoria tercera, suspendida, conforman un régimen jurídico de intransmisibilidad excepcionada de las autorizaciones farmacéuticas; de tal suerte que la excepción legal permite la transmisibilidad por una sola vez, como no podría ser de otra manera dado que la normativa preexistente (art. 5 del Real Decreto 909/1978, de 14 de abril, y art. 11.3 del Real Decreto 1.667/1989, de 22 de septiembre, que traspone las Directivas CEE 85/433 y 85/432), así lo sustentaba. El régimen jurídico de transmisibilidad de la autorización, preexistente a la L.A.F.E., imponía un período de carencia o permanencia mínima de tres años, de tal suerte que los efectos del art. 14, en conexión con la disposición adicional tercera, solo sería operativa a las autorizaciones posteriores a la L.A.F.E. (y por consiguiente al Real Decreto-ley 11/1996, que establece como básico un único sistema concursal de acceso a la autorización) pasados tres años mínimos. Para las autorizaciones de farmacia anteriores a la L.A.F.E. se admite excepcionalmente el régimen de transmisibilidad preexistente, y por tanto, la suspensión constitucional carece de fundamento a fin de tutelar los intereses generales.</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Una vez transcurrido el plazo de cinco meses -dispuesto en el art. 161.2 de la Constitución- de suspensión automática de la Ley recurrida, debemos resolver sobre el levantamiento o mantenimiento de la medida suspensiva inicialmente adoptada. Según una muy consolidada jurisprudencia constitucional recaída en estos incidentes de suspensión (AATC 727/1984, 753/1984, 175/1985, 355/1989 y 29/1990, etc., es preciso ponderar, de un lado, los intereses en presencia, tanto el general y público como el particular y privado de las terceras personas afectadas, y, de otro, los perjuicios de imposible o difícil reparación que se sigan bien del mantenimiento o del levantamiento de la suspensión de la vigencia y aplicación de la Ley. Una ponderación que, además, debe efectuarse mediante el estricto examen de las situaciones de hecho creadas por las normas discutidas y al margen de la viabilidad de las pretensiones que en la demanda se formulan, pues la interpretación de las reglas de deslinde competencial que al caso hagan debe, obviamente, quedar procesalmente diferida a la Sentencia que resuelva la controversia competencial. Por último, no es ocioso recordar que el mantenimiento de la suspensión -en cuanto excepción a la regla general que debe ser el mantenimiento de la vocación de vigencia y eficacia que toda Ley posee- requiere que el Gobierno, a quien se debe la iniciativa, aporte y razone con detalle los argumentos que la justifiquen (por todos, ATC 29/1990, fundamento jurídico 1.º, donde se reseñan nuestros pronunciamientos anteriores).</w:t>
      </w:r>
    </w:p>
    <w:p w:rsidR="00B01F4A" w:rsidRDefault="00B01F4A" w:rsidP="00B01F4A">
      <w:pPr>
        <w:pStyle w:val="TextoNormal"/>
      </w:pPr>
    </w:p>
    <w:p w:rsidR="00B01F4A" w:rsidRDefault="00B01F4A" w:rsidP="00B01F4A">
      <w:pPr>
        <w:pStyle w:val="TextoNormal"/>
      </w:pPr>
      <w:r w:rsidRPr="00B01F4A">
        <w:rPr>
          <w:rStyle w:val="NumeroAFNegritaCaracter"/>
        </w:rPr>
        <w:t>2</w:t>
      </w:r>
      <w:r>
        <w:t>. En la ponderación de los intereses públicos comprometidos, debe partirse de la presunción de constitucionalidad de la ley autonómica (ATC 87/1991, fundamento jurídico 2.º). Lo cual supone, obvio es decirlo, el despliegue de los efectos y consecuencias jurídicas por ella previstos. De ahí que no baste en este trámite con que, por parte del Gobierno, se registren los efectos que la ley autonómica irradia. Tampoco es suficiente para el mantenimiento de una medida tan excepcional, como es la suspensión de una ley emanada por un Parlamento, la simple alegación de perjuicios para el interés público. Por el contrario, se precisa la necesaria demostración o al menos su convincente razonamiento de la existencia de tales perjuicios y la imposible o difícil reparación de los mismos. Tales perjuicios han de valorarse, por otra parte, de modo individualizado sobre cada uno de los preceptos cuya suspensión pretende mantenerse (cfr. ATC 87/1991, fundamento jurídico 2.º).</w:t>
      </w:r>
    </w:p>
    <w:p w:rsidR="00B01F4A" w:rsidRDefault="00B01F4A" w:rsidP="00B01F4A">
      <w:pPr>
        <w:pStyle w:val="TextoNormal"/>
      </w:pPr>
    </w:p>
    <w:p w:rsidR="00B01F4A" w:rsidRDefault="00B01F4A" w:rsidP="00B01F4A">
      <w:pPr>
        <w:pStyle w:val="TextoNormal"/>
      </w:pPr>
      <w:r w:rsidRPr="00B01F4A">
        <w:rPr>
          <w:rStyle w:val="NumeroAFNegritaCaracter"/>
        </w:rPr>
        <w:t>3</w:t>
      </w:r>
      <w:r>
        <w:t>. A resultas de cuanto antecede, obligado es concluir en el levantamiento de la suspensión de los preceptos recurridos. En primer término, el artículo 6, último párrafo, de la Ley 3/1996, de 25 de junio, de Atención Farmacéutica de Extremadura (en lo sucesivo L.A.F.E.), establece que la autorización administrativa concedida para la instalación de una Oficina de Farmacia caducará cuando el beneficiario de la misma cumpla la edad de setenta años. No obstante lo cual, la disposición transitoria cuarta de la L.A.F.E. añade un plazo de transición de cinco años a partir de su entrada en vigor, si bien obliga a contratar para ese período transitorio un farmacéutico adjunto. En punto a este precepto, pues, no puede sostenerse que se irroguen unos perjuicios irreparables si se tiene en cuenta que la propia Ley difiere los efectos de la caducidad de la autorización durante cinco años, sin que la obligación de contratar un farmacéutico adjunto durante este tiempo -medida cuya constitucionalidad ha de presumirse- pueda conducir por sí misma a resultas de la ponderación de los intereses públicos y privados en presencia, al mantenimiento de la suspensión de la Ley.</w:t>
      </w:r>
    </w:p>
    <w:p w:rsidR="00B01F4A" w:rsidRDefault="00B01F4A" w:rsidP="00B01F4A">
      <w:pPr>
        <w:pStyle w:val="TextoNormal"/>
      </w:pPr>
      <w:r>
        <w:t>Igual conclusión se alcanza en relación con el art. 14 L.A.F.E., también impugnado. En efecto, la prohibición de cualquier acto de transmisión de la autorización de apertura de farmacia, que este precepto prescribe, se ve excepcionada por la disposición transitoria tercera en la que se permite, mediante autorización, una sola transmisión de las farmacias. A ello debe añadirse que, al margen de la trascendencia que esta modulación posee en este momento del proceso, tampoco resulta posible apreciar unos intereses públicos y privados prevalentes que obliguen al mantenimiento de la suspensión de la Ley. Frente a la restricción que el art. 14 L.A.F.E., sin duda, supone para el titular de la farmacia, son otros muchos los bienes e intereses dignos de protección que el legislador autonómico ha ponderado y cuya conformidad constitucional no puede ahora debatirse, anticipando un juicio sobre el fondo.</w:t>
      </w:r>
    </w:p>
    <w:p w:rsidR="00B01F4A" w:rsidRDefault="00B01F4A" w:rsidP="00B01F4A">
      <w:pPr>
        <w:pStyle w:val="TextoNormal"/>
      </w:pPr>
      <w:r>
        <w:t>Por último, no puede compartirse el argumento final de la representación estatal, según el cual al haberse también fundado el recurso en la pretendida lesión de derechos constitucionales, se produciría en todo caso un perjuicio irreparable para el derecho a la igualdad si se levantara la suspensión de la norma impugnada, como consecuencia de la diversa regulación de la materia en Extremadura y en el resto del Estado. Pues bien, con independencia de que el canon del derecho a la igualdad no sirva para comparar las magnitudes representadas por la ley estatal y la ley autonómica, es evidente que de prosperar esa tesis toda impugnación de ley autonómica ex art. 161.2 C.E. en la que se hagan valer lesiones de derechos constitucionales determinaría el mantenimiento de la suspensión durante todo el proceso, hasta que se ponga fin por medio de sentencia, automatismo que, por otra parte, sería incompatible con la presunción de constitucionalidad de la que participa toda ley.</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lo expuesto, el Pleno del Tribunal Constitucional acuerda levantar la suspensión de la vigencia de los arts. 6, último párrafo, y 14, y por su conexión, de la disposición transitoria tercera, párrafo primero, y disposición transitoria cuarta de la</w:t>
      </w:r>
    </w:p>
    <w:p w:rsidR="00B01F4A" w:rsidRDefault="00B01F4A" w:rsidP="00B01F4A">
      <w:pPr>
        <w:pStyle w:val="TextoNormal"/>
      </w:pPr>
      <w:r>
        <w:t>Ley 3/1996, de 25 de junio, de Atención Farmacéutica de la Comunidad Autónoma de Extremadura.</w:t>
      </w:r>
    </w:p>
    <w:p w:rsidR="00B01F4A" w:rsidRDefault="00B01F4A" w:rsidP="00B01F4A">
      <w:pPr>
        <w:pStyle w:val="TextoNormal"/>
      </w:pPr>
    </w:p>
    <w:p w:rsidR="00B01F4A" w:rsidRDefault="00B01F4A" w:rsidP="00B01F4A">
      <w:pPr>
        <w:pStyle w:val="TextoNormal"/>
      </w:pPr>
      <w:r>
        <w:t>Publíquese en el «Boletín Oficial del Estado» y en el de Extremadura.</w:t>
      </w:r>
    </w:p>
    <w:p w:rsidR="00B01F4A" w:rsidRDefault="00B01F4A" w:rsidP="00B01F4A">
      <w:pPr>
        <w:pStyle w:val="TextoNormal"/>
      </w:pPr>
      <w:r>
        <w:t>Madrid, a trece de marzo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69" w:name="AUTO_1997_79"/>
      <w:r>
        <w:lastRenderedPageBreak/>
        <w:t>AUTO 79/1997, de 14 de marzo de 1997</w:t>
      </w:r>
    </w:p>
    <w:bookmarkEnd w:id="169"/>
    <w:p w:rsidR="00B01F4A" w:rsidRDefault="00B01F4A" w:rsidP="00B01F4A">
      <w:pPr>
        <w:pStyle w:val="TtuloResolucin"/>
      </w:pPr>
      <w:r>
        <w:t>Sección Segunda</w:t>
      </w:r>
    </w:p>
    <w:p w:rsidR="00B01F4A" w:rsidRDefault="00B01F4A" w:rsidP="00B01F4A">
      <w:pPr>
        <w:pStyle w:val="TtuloResolucin"/>
      </w:pPr>
    </w:p>
    <w:p w:rsidR="00B01F4A" w:rsidRDefault="00B01F4A" w:rsidP="00B01F4A">
      <w:pPr>
        <w:pStyle w:val="SntesisDescriptiva"/>
      </w:pPr>
      <w:r>
        <w:t>ECLI:ES:TC:1997:79A</w:t>
      </w:r>
    </w:p>
    <w:p w:rsidR="00B01F4A" w:rsidRDefault="00B01F4A" w:rsidP="00B01F4A">
      <w:pPr>
        <w:pStyle w:val="SntesisDescriptiva"/>
      </w:pPr>
    </w:p>
    <w:p w:rsidR="00B01F4A" w:rsidRDefault="00B01F4A" w:rsidP="00B01F4A">
      <w:pPr>
        <w:pStyle w:val="SntesisDescriptiva"/>
      </w:pPr>
      <w:r>
        <w:t>Excms. Srs. don José Vicente Gimeno Sendra, don Manuel Jiménez de Parga y Cabrera y don Pablo García Manzano.</w:t>
      </w:r>
    </w:p>
    <w:p w:rsidR="00B01F4A" w:rsidRDefault="00B01F4A" w:rsidP="00B01F4A">
      <w:pPr>
        <w:pStyle w:val="SntesisDescriptiva"/>
      </w:pPr>
    </w:p>
    <w:p w:rsidR="00B01F4A" w:rsidRDefault="00B01F4A" w:rsidP="00B01F4A">
      <w:pPr>
        <w:pStyle w:val="SntesisDescriptiva"/>
      </w:pPr>
      <w:r>
        <w:t>Acordando la inadmisión a trámite del recurso de amparo 782/1995.</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en este Tribunal el 7 de marzo de 1995 tuvo entrada el recurso de amparo promovido por el Ayuntamiento de Arnuero contra la Sentencia de la Sala de lo Contencioso-Administrativo del Tribunal Superior de Justicia de Cantabria de 2 de noviembre de 1993, que anula la aprobación definitiva de las normas subsidiarias de urbanismo de Arnuero.</w:t>
      </w:r>
    </w:p>
    <w:p w:rsidR="00B01F4A" w:rsidRDefault="00B01F4A" w:rsidP="00B01F4A">
      <w:pPr>
        <w:pStyle w:val="TextoNormal"/>
      </w:pPr>
    </w:p>
    <w:p w:rsidR="00B01F4A" w:rsidRDefault="00B01F4A" w:rsidP="00B01F4A">
      <w:pPr>
        <w:pStyle w:val="TextoNormal"/>
      </w:pPr>
      <w:r w:rsidRPr="00B01F4A">
        <w:rPr>
          <w:rStyle w:val="NumeroAFNegritaCaracter"/>
        </w:rPr>
        <w:t>2</w:t>
      </w:r>
      <w:r>
        <w:t>. La demanda de amparo trae su causa en esencia de los siguientes hechos: el Ayuntamiento de Arnuero, aquí demandante, aprobó provisionalmente unas normas subsidiarias el 10 de abril de 1990; la Comunidad Autónoma de Cantabria llevó a cabo la aprobación definitiva el 27 de noviembre de 1990, no sin antes realizar algunas modificaciones. Posteriormente, el acto de aprobación definitiva fue impugnado mediante recurso contencioso-administrativo por la Asociación para la Defensa de los Recursos Naturales de Cantabria. Por Sentencia de la Sala de lo Contencioso Administrativo del Tribunal Superior de Justicia de Cantabria se estima el citado recurso contra la aprobación definitiva de las normas subsidiarias del Ayuntamiento de Arnuero, se anula el acto impugnado y se ordena que se retrotraiga el procedimiento de elaboración de las normas al objeto de que subsanen los vicios formales apreciados. Por último, el 14 de febrero de 1995, se publica en el «Boletín Oficial de Cantabria» el anuncio de la Comisión Regional de Urbanismo de la indicada Comunidad Autónoma por el que se le comunica al Ayuntamiento aquí recurrente la citada Sentencia del Tribunal Superior de Justicia por la que se anula el acto de aprobación definitiva, lo que se hace público en ejecución de tal resolución, a fin de que se retrotraiga el procedimiento al momento en el que se produjeron determinados vicios formales y se proceda a su subsanación. Ante su conocimiento a través del este anuncio, el Ayuntamiento resuelve interponer recurso de amparo contra la Sentencia recaída en el proceso contencioso-administrativo.</w:t>
      </w:r>
    </w:p>
    <w:p w:rsidR="00B01F4A" w:rsidRDefault="00B01F4A" w:rsidP="00B01F4A">
      <w:pPr>
        <w:pStyle w:val="TextoNormal"/>
      </w:pPr>
    </w:p>
    <w:p w:rsidR="00B01F4A" w:rsidRDefault="00B01F4A" w:rsidP="00B01F4A">
      <w:pPr>
        <w:pStyle w:val="TextoNormal"/>
      </w:pPr>
      <w:r w:rsidRPr="00B01F4A">
        <w:rPr>
          <w:rStyle w:val="NumeroAFNegritaCaracter"/>
        </w:rPr>
        <w:t>3</w:t>
      </w:r>
      <w:r>
        <w:t>. El demandante alega que la Sentencia ha infringido el derecho fundamental reconocido en el art. 24.1 C.E., como consecuencia de no haber sido emplazado en el proceso contencioso. Entiende además que debió comparecer en calidad de codemandado por el hecho de que la Administración fiscalizadora -aquí, la Comunidad Autónoma- aprobó en su integridad el acto del Ayuntamiento.</w:t>
      </w:r>
    </w:p>
    <w:p w:rsidR="00B01F4A" w:rsidRDefault="00B01F4A" w:rsidP="00B01F4A">
      <w:pPr>
        <w:pStyle w:val="TextoNormal"/>
      </w:pPr>
    </w:p>
    <w:p w:rsidR="00B01F4A" w:rsidRDefault="00B01F4A" w:rsidP="00B01F4A">
      <w:pPr>
        <w:pStyle w:val="TextoNormal"/>
      </w:pPr>
      <w:r w:rsidRPr="00B01F4A">
        <w:rPr>
          <w:rStyle w:val="NumeroAFNegritaCaracter"/>
        </w:rPr>
        <w:lastRenderedPageBreak/>
        <w:t>4</w:t>
      </w:r>
      <w:r>
        <w:t>. Por providencia de 15 julio de 1996, la Sección acuerda, a tenor de lo dispuesto en el art. 50.3 LOTC, conceder un plazo común de diez días al Ministerio Fiscal y a los solicitantes de amparo para que dentro de dicho término aleguen lo que estimen pertinente en relación con el siguiente motivo de inadmisión: «carecer la demanda manifiestamente de contenido que justifique una decisión por parte de este Tribunal Constitucional, de conformidad con lo prevenido en el art. 50.1 c) LOTC», por haber tenido conocimiento el Ayuntamiento aquí recurrente de la pendencia del proceso, ya que, recibido éste a prueba, se recabó de aquél la remisión de determinados documentos -folio 47 de los autos-, que efectivamente fueron enviados a la Sala folio 52 de los autos.</w:t>
      </w:r>
    </w:p>
    <w:p w:rsidR="00B01F4A" w:rsidRDefault="00B01F4A" w:rsidP="00B01F4A">
      <w:pPr>
        <w:pStyle w:val="TextoNormal"/>
      </w:pPr>
    </w:p>
    <w:p w:rsidR="00B01F4A" w:rsidRDefault="00B01F4A" w:rsidP="00B01F4A">
      <w:pPr>
        <w:pStyle w:val="TextoNormal"/>
      </w:pPr>
      <w:r w:rsidRPr="00B01F4A">
        <w:rPr>
          <w:rStyle w:val="NumeroAFNegritaCaracter"/>
        </w:rPr>
        <w:t>5</w:t>
      </w:r>
      <w:r>
        <w:t>. Por escrito presentado el 4 de julio de 1996, el Ministerio Fiscal interesa se inadmita el presente recurso por dos razones: en primer lugar, porque el Ayuntamiento tuvo noticia del proceso antes incluso de que se dictara Sentencia, lo que podría determinar la extemporaneidad del recurso, según el ATC 88/1994; en segundo término, porque, a su juicio, es la falta de diligencia del recurrente la que ha generado la no personación en el proceso y, en consecuencia, es a él, y no al órgano jurisdiccional, a quien le es imputable. Recuerda, a mayor abundamiento, que según constante jurisprudencia constitucional la falta de emplazamiento personal provoca indefensión sólo si no cabe inferir que el interesado no conocía por otros medios la interposición del recurso.</w:t>
      </w:r>
    </w:p>
    <w:p w:rsidR="00B01F4A" w:rsidRDefault="00B01F4A" w:rsidP="00B01F4A">
      <w:pPr>
        <w:pStyle w:val="TextoNormal"/>
      </w:pPr>
    </w:p>
    <w:p w:rsidR="00B01F4A" w:rsidRDefault="00B01F4A" w:rsidP="00B01F4A">
      <w:pPr>
        <w:pStyle w:val="TextoNormal"/>
      </w:pPr>
      <w:r w:rsidRPr="00B01F4A">
        <w:rPr>
          <w:rStyle w:val="NumeroAFNegritaCaracter"/>
        </w:rPr>
        <w:t>6</w:t>
      </w:r>
      <w:r>
        <w:t>. Con fecha de 24 de julio de 1996, tiene entrada en el Tribunal el escrito de alegaciones del recurrente, por el que solicita se acuerde la admisión del presente recurso. En lo que aquí interesa. argumenta, sustancialmente, que durante el período de prueba de cualquier recurso contencioso-administrativo contra cualquier acto administrativo en el que el Ayuntamiento no ostentase legitimación ni interés, le podría haber sido solicitado a dicho Ayuntamiento la certificación de extremos obrantes en sus archivos, sin que ello pueda entenderse como una obligación por parte del Ayuntamiento de investigar todos los datos del recurso contencioso-administrativo de que se trate en cada caso. Tampoco se le puede obligar, añade, a que intente personarse en todo procedimiento cuando se le oficie para que suministre información, a fin de conocer si ese proceso le afecta o no. Por otro lado, afirma que debió ser emplazado por ostentar un interés cualificado y específico. En definitiva, concluye, no ha tenido conocimiento fehaciente y suficiente del procedimiento que se estaba ventilando sin su participación.</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Hemos de confirmar nuestra inicial apreciación de concurrencia de la causa de inadmisión del recurso, de amparo que se advirtió al demandante en la providencia de 15 de julio de 1996, conforme también interesa el Ministerio Fiscal en su escrito de alegaciones.</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Al margen de la calificación que en el plano de la legalidad ordinaria mereciera su posición procesal -a resultas de que la Comunidad Autónoma haya introducido determinadas modificaciones en su acto de aprobación definitiva- y de las consecuencias que pudieran derivarse en ese plano, es claro que no se ha producido indefensión desde la perspectiva constitucional en la que se sitúa el problema, a la luz del art. 24.1 C.E., toda vez que el </w:t>
      </w:r>
      <w:r>
        <w:lastRenderedPageBreak/>
        <w:t>Ayuntamiento ha debido tener conocimiento de la existencia del recurso contencioso-administrativo en el que no ha sido emplazado.</w:t>
      </w:r>
    </w:p>
    <w:p w:rsidR="00B01F4A" w:rsidRDefault="00B01F4A" w:rsidP="00B01F4A">
      <w:pPr>
        <w:pStyle w:val="TextoNormal"/>
      </w:pPr>
    </w:p>
    <w:p w:rsidR="00B01F4A" w:rsidRDefault="00B01F4A" w:rsidP="00B01F4A">
      <w:pPr>
        <w:pStyle w:val="TextoNormal"/>
      </w:pPr>
      <w:r w:rsidRPr="00B01F4A">
        <w:rPr>
          <w:rStyle w:val="NumeroAFNegritaCaracter"/>
        </w:rPr>
        <w:t>3</w:t>
      </w:r>
      <w:r>
        <w:t>. En efecto, como se advirtiera ya en la apertura del trámite del art. 50.3 LOTC, por medio de nuestra providencia de 15 de julio de 1996 (cfr. núm. 4 de los antecedentes), consta que el Ayuntamiento fue requerido para librar certificado y presentar documentación relativa a determinados extremos de las normas subsidiarias. Requerimiento que fue contestado por el Alcalde y remitido al Presidente de la Sala de lo Contencioso-Administrativo del Tribunal Superior de Justicia de Cantabria. No era, pues, un proceso atinente a cuestiones ajenas a la competencia municipal. No se puede, por ello, compartir el argumento de la recurrente (cfr. núm. 6 de los antecedentes), según el cual no se le puede exigir al Ayuntamiento una especial diligencia para averiguar si tiene o no interés en el asunto cada vez que certifica cualquier extremo obrante en sus archivos, puesto que no se trata aquí de debatir acerca de hipótesis abstractas, sino, más exactamente, si en este caso concreto pudo y debió tener la debida diligencia constitucionalmente exigible, cuestión que, como también argumenta el Ministerio Fiscal, merece una respuesta positiva, de acuerdo con nuestra jurisprudencia.</w:t>
      </w:r>
    </w:p>
    <w:p w:rsidR="00B01F4A" w:rsidRDefault="00B01F4A" w:rsidP="00B01F4A">
      <w:pPr>
        <w:pStyle w:val="TextoNormal"/>
      </w:pPr>
    </w:p>
    <w:p w:rsidR="00B01F4A" w:rsidRDefault="00B01F4A" w:rsidP="00B01F4A">
      <w:pPr>
        <w:pStyle w:val="TextoNormal"/>
      </w:pPr>
      <w:r w:rsidRPr="00B01F4A">
        <w:rPr>
          <w:rStyle w:val="NumeroAFNegritaCaracter"/>
        </w:rPr>
        <w:t>4</w:t>
      </w:r>
      <w:r>
        <w:t>. A mayor abundamiento, del examen del escrito de contestación del Alcalde remitido al Presidente de la Sala de lo Contencioso-Administrativo se infiere que el asunto era de su interés, como por otra parte admite el propio demandante, por lo que, a los efectos de la diligencia constitucionalmente exigible al justiciable, no debió permanecer pasivo en espera de un emplazamiento. Téngase en cuenta, en efecto, que entre otros extremos, el Ayuntamiento remitió copia íntegra de los textos de las Ordenanzas y de los planos correspondientes a una zona determinada; el documento «Informe de Alegaciones»; Acuerdo del Pleno de aprobación provisional; copia íntegra de los textos de las Ordenanzas y de los planos correspondientes al texto refundido aprobado definitivamente por la Comisión Regional de Urbanismo de la Comunidad Autónoma, etc.</w:t>
      </w:r>
    </w:p>
    <w:p w:rsidR="00B01F4A" w:rsidRDefault="00B01F4A" w:rsidP="00B01F4A">
      <w:pPr>
        <w:pStyle w:val="TextoNormal"/>
      </w:pPr>
      <w:r>
        <w:t>En conclusión, desde la exclusiva perspectiva constitucional del art. 24.1 C.E., el Ayuntamiento pudo tener conocimiento del proceso y, por consecuencia, no se ha producido indefensión material.</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virtud de lo expuesto, la Sección acuerda inadmitir a trámite el recurso de amparo formulado por el Ayuntamiento de Arnuero, por concurrir la causa de inadmisión prevista en el art. 50.1 c) LOTC.</w:t>
      </w:r>
    </w:p>
    <w:p w:rsidR="00B01F4A" w:rsidRDefault="00B01F4A" w:rsidP="00B01F4A">
      <w:pPr>
        <w:pStyle w:val="TextoNormal"/>
      </w:pPr>
    </w:p>
    <w:p w:rsidR="00B01F4A" w:rsidRDefault="00B01F4A" w:rsidP="00B01F4A">
      <w:pPr>
        <w:pStyle w:val="TextoNormal"/>
      </w:pPr>
      <w:r>
        <w:t>Madrid, a catorce de marzo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70" w:name="AUTO_1997_80"/>
      <w:r>
        <w:lastRenderedPageBreak/>
        <w:t>AUTO 80/1997, de 14 de marzo de 1997</w:t>
      </w:r>
    </w:p>
    <w:bookmarkEnd w:id="170"/>
    <w:p w:rsidR="00B01F4A" w:rsidRDefault="00B01F4A" w:rsidP="00B01F4A">
      <w:pPr>
        <w:pStyle w:val="TtuloResolucin"/>
      </w:pPr>
      <w:r>
        <w:t>Sección Segunda</w:t>
      </w:r>
    </w:p>
    <w:p w:rsidR="00B01F4A" w:rsidRDefault="00B01F4A" w:rsidP="00B01F4A">
      <w:pPr>
        <w:pStyle w:val="TtuloResolucin"/>
      </w:pPr>
    </w:p>
    <w:p w:rsidR="00B01F4A" w:rsidRDefault="00B01F4A" w:rsidP="00B01F4A">
      <w:pPr>
        <w:pStyle w:val="SntesisDescriptiva"/>
      </w:pPr>
      <w:r>
        <w:t>ECLI:ES:TC:1997:80A</w:t>
      </w:r>
    </w:p>
    <w:p w:rsidR="00B01F4A" w:rsidRDefault="00B01F4A" w:rsidP="00B01F4A">
      <w:pPr>
        <w:pStyle w:val="SntesisDescriptiva"/>
      </w:pPr>
    </w:p>
    <w:p w:rsidR="00B01F4A" w:rsidRDefault="00B01F4A" w:rsidP="00B01F4A">
      <w:pPr>
        <w:pStyle w:val="SntesisDescriptiva"/>
      </w:pPr>
      <w:r>
        <w:t>Excms. Srs. don José Vicente Gimeno Sendra, don Manuel Jiménez de Parga y Cabrera y don Pablo García Manzano.</w:t>
      </w:r>
    </w:p>
    <w:p w:rsidR="00B01F4A" w:rsidRDefault="00B01F4A" w:rsidP="00B01F4A">
      <w:pPr>
        <w:pStyle w:val="SntesisDescriptiva"/>
      </w:pPr>
    </w:p>
    <w:p w:rsidR="00B01F4A" w:rsidRDefault="00B01F4A" w:rsidP="00B01F4A">
      <w:pPr>
        <w:pStyle w:val="SntesisDescriptiva"/>
      </w:pPr>
      <w:r>
        <w:t>Acordando la inadmisión a trámite del recurso de amparo 3.153/1996.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ante este Tribunal el 1 de agosto de 1996, don Roberto Martí Tejedor, bajo la representación procesal del Procurador don José Antonio Hurtado Cejas, interpuso demanda de amparo constitucional contra la Sentencia de la Audiencia Provincial de Madrid de 10 de julio de 1996, recaída en apelación contra la del Juzgado de Primera Instancia núm. 4 de la misma ciudad, en juicio de cognición.</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Los hechos en los que se fundamenta la demanda son, sucintamente expuestos, los siguientes: </w:t>
      </w:r>
    </w:p>
    <w:p w:rsidR="00B01F4A" w:rsidRDefault="00B01F4A" w:rsidP="00B01F4A">
      <w:pPr>
        <w:pStyle w:val="TextoNormal"/>
      </w:pPr>
      <w:r>
        <w:t xml:space="preserve">a) Por el Juzgado de Primera Instancia núm. 4 de Madrid se dictó Sentencia, de fecha 27 de enero de 1994, por la que se estimó la demanda promovida por «Cimen, S. A.», contra el ahora recurrente y otras personas, declarando resueltos los contratos de arrendamiento celebrados por concurrir la causa de resolución prevista en el art. 114.10 y 62.2 L.A.U., condenándoles a que dejaran libres y expeditas las fincas y a disposición de la actora en el plazo legalmente previsto. </w:t>
      </w:r>
    </w:p>
    <w:p w:rsidR="00B01F4A" w:rsidRDefault="00B01F4A" w:rsidP="00B01F4A">
      <w:pPr>
        <w:pStyle w:val="TextoNormal"/>
      </w:pPr>
      <w:r>
        <w:t xml:space="preserve">b) Contra esta resolución se interpusieron recursos de apelación por las partes demandadas. Admitidos a ambos efectos e impugnados por la demandante, se elevaron los autos ante la Sección Vigésima de la Audiencia Provincial de Madrid para resolver el recurso. </w:t>
      </w:r>
    </w:p>
    <w:p w:rsidR="00B01F4A" w:rsidRDefault="00B01F4A" w:rsidP="00B01F4A">
      <w:pPr>
        <w:pStyle w:val="TextoNormal"/>
      </w:pPr>
      <w:r>
        <w:t xml:space="preserve">c) Como diligencia para mejor proveer, se acordó por la Sala requerir a los apelantes-demandados, para que acreditasen hallarse al corriente del pago de las rentas, al momento de interponer los recursos o haber efectuado, en caso contrario, la consignación judicial de los importes correspondientes. Por escrito de fecha 21 de mayo de 1996, el representante del ahora recurrente presentó ante la Sala resguardo de todas las mensualidades de alquiler giradas a la entidad «Cimen, S. A.», hasta la fecha de interposición del recurso de apelación y que fueron invariablemente rehusadas por la destinataria. Al día siguiente, 22 de mayo, esta parte consignó todas las rentas rehusadas por la entidad apelada, hasta la fecha de interposición del recurso y todas las posteriores hasta el mes de mayo inclusive. </w:t>
      </w:r>
    </w:p>
    <w:p w:rsidR="00B01F4A" w:rsidRDefault="00B01F4A" w:rsidP="00B01F4A">
      <w:pPr>
        <w:pStyle w:val="TextoNormal"/>
      </w:pPr>
      <w:r>
        <w:t xml:space="preserve">d) La Audiencia dictó Sentencia de 10 de julio de 1996, por la que acordó «Declarar mal admitidos los recursos de apelación interpuestos contra la Sentencia del Juzgado núm. 4 de Madrid de fecha 27 de enero de 1994, que se declara firme». La Sentencia fundamenta su fallo en la jurisprudencia del Tribunal Constitucional según la cual «el artículo 148.2 de la L.A.U. de 1964, al igual que el 1.566, antes de la nueva redacción dada al 1.567 por la Ley </w:t>
      </w:r>
      <w:r>
        <w:lastRenderedPageBreak/>
        <w:t>29/1994, requerían tener satisfechas las rentas vencidas o consignadas judicialmente, al momento de la interposición del recurso, lo que constituye un presupuesto procesal esencial para su admisión, que es apreciable de oficio e insubsanable, a diferencia de la acreditación de su oportuno cumplimiento, que sí es un requisito formal subsanable». En aplicación de esta doctrina, al caso concreto, concluye esta resolución que «... ninguno de los recurrentes se hallaba al corriente de pago de rentas, al tiempo de formular las apelaciones, careciendo de relevancia el hecho de que se hubieren rehusado los giros remitidos a la parte arrendadora, pues precisamente para el supuesto de no ser posible el pago, o ser este rechazado, establece el art. 148.2 L.A.U. la consignación.... pero que debe efectuarse siempre dentro del plazo fijado para recurrir, por lo que son irrelevantes a tal efecto los ingresos ahora realizados, que en modo alguno permiten suplir la omisión producida, puesto que este Tribunal se limitó a requerir la demostración de pago o consignación, "al momento de interponer los recursos", de modo acorde con la jurisprudencia constitucional, pero sin que las extemporáneas consignaciones posteriores permitan subsanar un presupuesto procesal, para cuyo cumplimiento precluyó el tiempo legalmente establecido» (fundamento jurídico 3.º).</w:t>
      </w:r>
    </w:p>
    <w:p w:rsidR="00B01F4A" w:rsidRDefault="00B01F4A" w:rsidP="00B01F4A">
      <w:pPr>
        <w:pStyle w:val="TextoNormal"/>
      </w:pPr>
    </w:p>
    <w:p w:rsidR="00B01F4A" w:rsidRDefault="00B01F4A" w:rsidP="00B01F4A">
      <w:pPr>
        <w:pStyle w:val="TextoNormal"/>
      </w:pPr>
      <w:r w:rsidRPr="00B01F4A">
        <w:rPr>
          <w:rStyle w:val="NumeroAFNegritaCaracter"/>
        </w:rPr>
        <w:t>3</w:t>
      </w:r>
      <w:r>
        <w:t>. Contra dicha Sentencia se interpone recurso de amparo, interesando su nulidad. Se alega en la demanda vulneración del derecho a la tutela judicial efectiva al haber denegado la resolución impugnada el acceso a los recursos legalmente establecidos (art. 24.1 C.E.). A juicio de esta parte, tal denegación proviene de una aplicación irrazonable del art. 148.2 del viejo texto refundido de la L.A.U., que debe entenderse derogado por la Disposición transitoria sexta de la nueva Ley 29/1994 («El título V de la presente Ley será aplicable a los litigios relativos a los contratos de arrendamiento de finca urbana que subsistan a la fecha de entrada en vigor de esta Ley») y, por lo tanto, dada la redacción del art. 39.1 de la nueva Ley («Los procesos judiciales sobre litigios relativos a los contratos regulados en la presente Ley se regirán por las normas procesales comunes con las modificaciones que se derivan de lo dispuesto en la misma»), son de aplicación al caso los arts. 1.566 y 1.567 L.E.C. («En ningún caso se admitirán al demandado los recursos de apelación y de casación, cuando procedan, si no acredita al interponerlos tener satisfechas las rentas vencidas y las que con arreglo al contrato deba pagar adelantadas, o si no las consigna judicial o notarialmente»; «Si el arrendatario no cumpliese lo prevenido en el artículo anterior, se tendrá por firme la sentencia y se procederá a su ejecución, siempre que requerido por el Juez o Tribunal que conozca de los mismos no cumpliere su obligación de pago o consignación en el plazo de cinco días»). En consecuencia, la Sala, habida cuenta de que esta parte, cumpliendo con el requerimiento que se le efectuó, consignó el importe de todas las rentas debidas hasta esta fecha, debió tener por subsanado el defecto y por válidamente interpuesto el recurso de apelación contra la sentencia de instancia. A mayor abundamiento, se manifiesta también en la demanda que, aunque se considerara de aplicación al caso el derogado art. 148.2 de la L.A.U., la Sala, al denegar la admisión del recurso, habría realizado una interpretación extensiva del mismo y perjudicial para la tutela judicial de esta parte, pues es doctrina del Tribunal Constitucional que la finalidad del pago o consignación radica en asegurar los intereses del arrendador que ha obtenido una sentencia favorable. Pero, en el presente caso, no están claros qué intereses del arrendador deben asegurarse, cuando todas y cada una de las rentas arrendaticias han sido invariablemente rechazadas por la propiedad en fecha muy anterior a la de la interposición del recurso.</w:t>
      </w:r>
    </w:p>
    <w:p w:rsidR="00B01F4A" w:rsidRDefault="00B01F4A" w:rsidP="00B01F4A">
      <w:pPr>
        <w:pStyle w:val="TextoNormal"/>
      </w:pPr>
    </w:p>
    <w:p w:rsidR="00B01F4A" w:rsidRDefault="00B01F4A" w:rsidP="00B01F4A">
      <w:pPr>
        <w:pStyle w:val="TextoNormal"/>
      </w:pPr>
      <w:r w:rsidRPr="00B01F4A">
        <w:rPr>
          <w:rStyle w:val="NumeroAFNegritaCaracter"/>
        </w:rPr>
        <w:t>4</w:t>
      </w:r>
      <w:r>
        <w:t xml:space="preserve">. Por providencia de 21 de noviembre de 1996, la Sección Segunda acordó, de conformidad con lo dispuesto en el art. 50.3 de la LOTC, conceder al demandante de amparo y al </w:t>
      </w:r>
      <w:r>
        <w:lastRenderedPageBreak/>
        <w:t>Ministerio Fiscal un plazo común de diez días para que formulasen las alegaciones que considerasen pertinentes en relación con la carencia manifiesta de contenido constitucional de la demanda [art. 50.1 e) de la LOTC].</w:t>
      </w:r>
    </w:p>
    <w:p w:rsidR="00B01F4A" w:rsidRDefault="00B01F4A" w:rsidP="00B01F4A">
      <w:pPr>
        <w:pStyle w:val="TextoNormal"/>
      </w:pPr>
    </w:p>
    <w:p w:rsidR="00B01F4A" w:rsidRDefault="00B01F4A" w:rsidP="00B01F4A">
      <w:pPr>
        <w:pStyle w:val="TextoNormal"/>
      </w:pPr>
      <w:r w:rsidRPr="00B01F4A">
        <w:rPr>
          <w:rStyle w:val="NumeroAFNegritaCaracter"/>
        </w:rPr>
        <w:t>5</w:t>
      </w:r>
      <w:r>
        <w:t>. La representación del señor Martí Tejedor registró escrito ante este Tribunal, en fecha 21 de noviembre de 1996, solicitando, a tenor de lo dispuesto en el art. 56 de la LOTC, la suspensión de la ejecución de la resolución recurrida. El 29 de noviembre siguiente, presentó escrito reiterando sustancialmente las alegaciones vertidas en la demanda y solicitando la admisión a trámite del recurso.</w:t>
      </w:r>
    </w:p>
    <w:p w:rsidR="00B01F4A" w:rsidRDefault="00B01F4A" w:rsidP="00B01F4A">
      <w:pPr>
        <w:pStyle w:val="TextoNormal"/>
      </w:pPr>
    </w:p>
    <w:p w:rsidR="00B01F4A" w:rsidRDefault="00B01F4A" w:rsidP="00B01F4A">
      <w:pPr>
        <w:pStyle w:val="TextoNormal"/>
      </w:pPr>
      <w:r w:rsidRPr="00B01F4A">
        <w:rPr>
          <w:rStyle w:val="NumeroAFNegritaCaracter"/>
        </w:rPr>
        <w:t>6</w:t>
      </w:r>
      <w:r>
        <w:t>. El Ministerio Fiscal solicitó en su escrito, registrado el 18 de diciembre de 1996, la inadmisión a trámite de la demanda por concurrir la causa prevista en el art. 50.1 c) de la LOTC. A su juicio, la interpretación de la Sala del art. 148.2 de la L.A.U. es idéntica a la realizada por el Tribunal Constitucional respecto a dicho precepto, teniendo en cuenta que la aplicación del principio pro actione no tiene la misma relevancia respecto a los recursos legalmente establecidos que en el acceso al proceso, no pudiendo el Tribunal Constitucional imponer a los Tribunales ordinarios la interpretación de las normas procesales más favorables a la admisión de los recursos, debiendo limitar así su conocimiento a las inadmisiones que sean inmotivadas, erróneas o arbitrarias. En este caso, la interpretación es razonada y motivada respecto de una causa legalmente establecida en la Ley, por lo que la demanda carece manifiestamente de contenido constitucional.</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Examinadas las alegaciones formuladas por el recurrente y por el Ministerio Fiscal en el trámite previsto en el art. 50.3 de la LOTC, hemos de confirmar nuestra inicial apreciación de que la demanda carece manifiestamente de contenido constitucional, por lo que concurre la causa de inadmisión prevista en el art. 50.1 c) de la LOTC.</w:t>
      </w:r>
    </w:p>
    <w:p w:rsidR="00B01F4A" w:rsidRDefault="00B01F4A" w:rsidP="00B01F4A">
      <w:pPr>
        <w:pStyle w:val="TextoNormal"/>
      </w:pPr>
    </w:p>
    <w:p w:rsidR="00B01F4A" w:rsidRDefault="00B01F4A" w:rsidP="00B01F4A">
      <w:pPr>
        <w:pStyle w:val="TextoNormal"/>
      </w:pPr>
      <w:r w:rsidRPr="00B01F4A">
        <w:rPr>
          <w:rStyle w:val="NumeroAFNegritaCaracter"/>
        </w:rPr>
        <w:t>2</w:t>
      </w:r>
      <w:r>
        <w:t>. El recurrente en amparo alega una vulneración del derecho a la tutela judicial efectiva al haber denegado la resolución impugnada su acceso al recurso de apelación, interpuesto contra una sentencia de instancia que resolvía determinados contratos de arrendamiento, condenándole a él y a otras personas a que dejaran libres y expeditas las fincas y a disposición de la actora en el plazo legalmente previsto. La Audiencia declaró mal admitidos los recursos de apelación y confirmó la resolución de instancia en aplicación del art. 148.2 de la L.A.U. de 1964, esto es, por no hallarse los recurrentes al corriente del pago de la rentas al tiempo de formular las apelaciones.</w:t>
      </w:r>
    </w:p>
    <w:p w:rsidR="00B01F4A" w:rsidRDefault="00B01F4A" w:rsidP="00B01F4A">
      <w:pPr>
        <w:pStyle w:val="TextoNormal"/>
      </w:pPr>
      <w:r>
        <w:t xml:space="preserve">No pone en tela de juicio el recurrente los hechos que dieron lugar a esta resolución. Por el contrario, acepta que no se hallaba al corriente del pago de las rentas al tiempo de formular la apelación, aunque afirma que giró a la arrendadora todas las mensualidades correspondientes siéndole rehusadas.  Acepta también que, al requerirle la Sala para que acreditara hallarse al corriente del pago de las rentas, al momento de interponer los recursos o haber efectuado, en caso contrario, la consignación judicial de los importes correspondientes, su representante presentó resguardo de todas las mensualidades de alquiler giradas a la arrendadora hasta la fecha de interposición del recurso de apelación, que habían sido invariablemente rehusadas por la destinataria, y que además, al día siguiente, consignó dichas rentas, </w:t>
      </w:r>
      <w:r>
        <w:lastRenderedPageBreak/>
        <w:t>hasta la fecha de interposición del recurso y todas las posteriores hasta el mes de mayo inclusive.</w:t>
      </w:r>
    </w:p>
    <w:p w:rsidR="00B01F4A" w:rsidRDefault="00B01F4A" w:rsidP="00B01F4A">
      <w:pPr>
        <w:pStyle w:val="TextoNormal"/>
      </w:pPr>
      <w:r>
        <w:t>Por el contrario, lo que sí cuestiona el recurrente es la aplicación al caso del art. 148.2 del viejo texto refundido de la L.A.U., que, a su juicio, debe entenderse derogado por la disposición transitoria sexta de la nueva Ley 29/1994 y, por lo tanto, dada la nueva redacción del art. 39, los preceptos aplicables a este supuesto serían los arts. 1.566 y 1.567 LEC. En consecuencia, la Sala, habida cuenta de que esta parte, cumpliendo con el requerimiento que se le efectuó, consignó el importe de todas las rentas debidas hasta esta fecha, debió tener por subsanado el defecto y por válidamente interpuesto el recurso de apelación contra la sentencia de instancia.</w:t>
      </w:r>
    </w:p>
    <w:p w:rsidR="00B01F4A" w:rsidRDefault="00B01F4A" w:rsidP="00B01F4A">
      <w:pPr>
        <w:pStyle w:val="TextoNormal"/>
      </w:pPr>
      <w:r>
        <w:t>El debate se centra así, no en los hechos que dieron lugar a la inadmisión del recurso ni en la interpretación del precepto que vedó su acceso (art. 148. 2 L.A.U. de 1964), sino propiamente en si dicho precepto era de aplicación al presente supuesto o debía entenderse derogado, con lo cual, la nueva redacción de los arts. 1.566 y 1.567 de la L.E.C., hubiera posibilitado, dada la actividad procesal del recurrente una vez fue requerido por la Sala su acceso al recurso interpuesto.</w:t>
      </w:r>
    </w:p>
    <w:p w:rsidR="00B01F4A" w:rsidRDefault="00B01F4A" w:rsidP="00B01F4A">
      <w:pPr>
        <w:pStyle w:val="TextoNormal"/>
      </w:pPr>
    </w:p>
    <w:p w:rsidR="00B01F4A" w:rsidRDefault="00B01F4A" w:rsidP="00B01F4A">
      <w:pPr>
        <w:pStyle w:val="TextoNormal"/>
      </w:pPr>
      <w:r w:rsidRPr="00B01F4A">
        <w:rPr>
          <w:rStyle w:val="NumeroAFNegritaCaracter"/>
        </w:rPr>
        <w:t>3</w:t>
      </w:r>
      <w:r>
        <w:t>. Pues bien, dados los términos de la discusión, debe tenerse en cuenta, como bien recuerda el Ministerio Fiscal, que el principio pro actione no produce los mismos efectos cuando trata de salvaguardar el acceso a la jurisdicción que cuando actúa posteriormente en la fase de acceso a los recursos legalmente establecidos. En este sentido, tras la STC 37/1995 es doctrina consolidada de este Tribunal que el principio pro actione sólo es de aplicación en el acceso a la jurisdicción y no, como ahora es el caso, cuando se trata de acceder a ulteriores recursos jurisdiccionales. En estos supuestos bastará con comprobar que la inadmisión del recurso se fundamenta en una causa legal que no es interpretada de modo arbitrario o ilógico, para considerarse cumplidas las exigencias que se derivan del derecho a la tutela judicial.</w:t>
      </w:r>
    </w:p>
    <w:p w:rsidR="00B01F4A" w:rsidRDefault="00B01F4A" w:rsidP="00B01F4A">
      <w:pPr>
        <w:pStyle w:val="TextoNormal"/>
      </w:pPr>
    </w:p>
    <w:p w:rsidR="00B01F4A" w:rsidRDefault="00B01F4A" w:rsidP="00B01F4A">
      <w:pPr>
        <w:pStyle w:val="TextoNormal"/>
      </w:pPr>
      <w:r w:rsidRPr="00B01F4A">
        <w:rPr>
          <w:rStyle w:val="NumeroAFNegritaCaracter"/>
        </w:rPr>
        <w:t>4</w:t>
      </w:r>
      <w:r>
        <w:t>. Así ocurre en el caso presente, en el que la resolución impugnada aplica una causa legal de inadmisión del recurso de apelación -la prevista en el art.  148.2 de la L.A.U.-; asimismo, el alcance de dicha causa en el caso concreto se interpreta de modo razonado y razonable [«... ninguno de los recurrentes se hallaba al corriente de pago de rentas, al tiempo de formular las apelaciones (y ello) debe efectuarse siempre dentro del plazo fijado para recurrir, por lo que son irrelevantes a tal efecto los ingresos ahora realizados, que en modo alguno permiten suplir la omisión producida, puesto que este Tribunal se limitó a requerir la demostración de pago o consignación, "al momento de interponer los recursos" (fundamento jurídico 3.º)]», apoyándose, incluso, en la jurisprudencia constitucional vertida sobre dicha cuestión (STC 130/1993, por todas). Y, por último, se justifica la vigencia y, por lo tanto, la aplicabilidad de tal precepto al caso, en tanto en cuanto el proceso «se tramitó conforme a lo señalado en el art. 125 de la Ley de Arrendamientos Urbanos de 1964, con la redacción dada por la Ley 10/1992, de 30 de abril, habiéndose dictado Sentencia de primer grado el 26 de enero de 1994, formulándose a continuación los recursos de apelación por los demandados, todo ello antes de la entrada en vigor de la nueva Ley 29/1994, de 24 de noviembre, de Arrendamientos Urbanos (fundamento jurídico l.º)», por lo que se concluye que es de plena aplicación al supuesto de hecho el art. 148.2 de la anterior Ley de Arrendamientos.</w:t>
      </w:r>
    </w:p>
    <w:p w:rsidR="00B01F4A" w:rsidRDefault="00B01F4A" w:rsidP="00B01F4A">
      <w:pPr>
        <w:pStyle w:val="TextoNormal"/>
      </w:pPr>
      <w:r>
        <w:t xml:space="preserve">La aplicación del art. 148.2 de la anterior L.A.U. queda así justificada desde la perspectiva del art. 24.1 C.E., en tanto que la misma se motiva razonada y razonablemente, sin que, </w:t>
      </w:r>
      <w:r>
        <w:lastRenderedPageBreak/>
        <w:t>de otra parte, dicha interpretación haya sido rebatida en la demanda de amparo, pues en ésta sólo se afirma la falta de vigencia de aquel precepto sin razonar ni motivar por qué en el concreto supuesto de hecho eran de aplicación, en su lugar, los arts. 1.566 y 1.567 L.E.C. En consecuencia, ninguna quiebra cabe apreciar del art. 24.1 C.E.</w:t>
      </w:r>
    </w:p>
    <w:p w:rsidR="00B01F4A" w:rsidRDefault="00B01F4A" w:rsidP="00B01F4A">
      <w:pPr>
        <w:pStyle w:val="TextoNormal"/>
      </w:pPr>
      <w:r>
        <w:t>La inadmisión del presente recurso hace improcedente cualquier pronunciamiento sobre la suspensión solicitada.</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atención a lo expuesto, la Sección acuerda la inadmisión del presente recurso de amparo y el archivo de las actuaciones.</w:t>
      </w:r>
    </w:p>
    <w:p w:rsidR="00B01F4A" w:rsidRDefault="00B01F4A" w:rsidP="00B01F4A">
      <w:pPr>
        <w:pStyle w:val="TextoNormal"/>
      </w:pPr>
    </w:p>
    <w:p w:rsidR="00B01F4A" w:rsidRDefault="00B01F4A" w:rsidP="00B01F4A">
      <w:pPr>
        <w:pStyle w:val="TextoNormal"/>
      </w:pPr>
      <w:r>
        <w:t>Madrid, a catorce de marzo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71" w:name="AUTO_1997_81"/>
      <w:r>
        <w:lastRenderedPageBreak/>
        <w:t>AUTO 81/1997, de 17 de marzo de 1997</w:t>
      </w:r>
    </w:p>
    <w:bookmarkEnd w:id="171"/>
    <w:p w:rsidR="00B01F4A" w:rsidRDefault="00B01F4A" w:rsidP="00B01F4A">
      <w:pPr>
        <w:pStyle w:val="TtuloResolucin"/>
      </w:pPr>
      <w:r>
        <w:t>Sala Segunda</w:t>
      </w:r>
    </w:p>
    <w:p w:rsidR="00B01F4A" w:rsidRDefault="00B01F4A" w:rsidP="00B01F4A">
      <w:pPr>
        <w:pStyle w:val="TtuloResolucin"/>
      </w:pPr>
    </w:p>
    <w:p w:rsidR="00B01F4A" w:rsidRDefault="00B01F4A" w:rsidP="00B01F4A">
      <w:pPr>
        <w:pStyle w:val="SntesisDescriptiva"/>
      </w:pPr>
      <w:r>
        <w:t>ECLI:ES:TC:1997:81A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don Rafael de Mendizábal Allende, don Julio D. González Campos, don Carles Viver Pi-Sunyer y don Tomás Salvador Vives Antón.</w:t>
      </w:r>
    </w:p>
    <w:p w:rsidR="00B01F4A" w:rsidRDefault="00B01F4A" w:rsidP="00B01F4A">
      <w:pPr>
        <w:pStyle w:val="SntesisDescriptiva"/>
      </w:pPr>
    </w:p>
    <w:p w:rsidR="00B01F4A" w:rsidRDefault="00B01F4A" w:rsidP="00B01F4A">
      <w:pPr>
        <w:pStyle w:val="SntesisDescriptiva"/>
      </w:pPr>
      <w:r>
        <w:t>Acordando haber lugar al desistimiento del actor en el recurso de amparo 3.028/1993.</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72" w:name="AUTO_1997_82"/>
      <w:r>
        <w:lastRenderedPageBreak/>
        <w:t>AUTO 82/1997, de 17 de marzo de 1997</w:t>
      </w:r>
    </w:p>
    <w:bookmarkEnd w:id="172"/>
    <w:p w:rsidR="00B01F4A" w:rsidRDefault="00B01F4A" w:rsidP="00B01F4A">
      <w:pPr>
        <w:pStyle w:val="TtuloResolucin"/>
      </w:pPr>
      <w:r>
        <w:t>Sección Tercera</w:t>
      </w:r>
    </w:p>
    <w:p w:rsidR="00B01F4A" w:rsidRDefault="00B01F4A" w:rsidP="00B01F4A">
      <w:pPr>
        <w:pStyle w:val="TtuloResolucin"/>
      </w:pPr>
    </w:p>
    <w:p w:rsidR="00B01F4A" w:rsidRDefault="00B01F4A" w:rsidP="00B01F4A">
      <w:pPr>
        <w:pStyle w:val="SntesisDescriptiva"/>
      </w:pPr>
      <w:r>
        <w:t>ECLI:ES:TC:1997:82A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y don Julio D. González Campos.</w:t>
      </w:r>
    </w:p>
    <w:p w:rsidR="00B01F4A" w:rsidRDefault="00B01F4A" w:rsidP="00B01F4A">
      <w:pPr>
        <w:pStyle w:val="SntesisDescriptiva"/>
      </w:pPr>
    </w:p>
    <w:p w:rsidR="00B01F4A" w:rsidRDefault="00B01F4A" w:rsidP="00B01F4A">
      <w:pPr>
        <w:pStyle w:val="SntesisDescriptiva"/>
      </w:pPr>
      <w:r>
        <w:t>Acuerda el desistimiento en el recurso de amparo 507/1996, promovido en causa penal.</w:t>
      </w:r>
    </w:p>
    <w:p w:rsidR="00B01F4A" w:rsidRDefault="00B01F4A" w:rsidP="00B01F4A">
      <w:pPr>
        <w:pStyle w:val="SntesisDescriptiva"/>
      </w:pPr>
    </w:p>
    <w:p w:rsidR="00B01F4A" w:rsidRDefault="00B01F4A" w:rsidP="00B01F4A">
      <w:pPr>
        <w:pStyle w:val="SntesisAnaltica"/>
      </w:pPr>
      <w:r>
        <w:t>Desistimiento de recurso de amparo: procede.</w:t>
      </w:r>
    </w:p>
    <w:p w:rsidR="00B01F4A" w:rsidRDefault="00B01F4A" w:rsidP="00B01F4A">
      <w:pPr>
        <w:pStyle w:val="SntesisAnaltica"/>
      </w:pPr>
    </w:p>
    <w:p w:rsidR="00B01F4A" w:rsidRDefault="00B01F4A" w:rsidP="00B01F4A">
      <w:pPr>
        <w:pStyle w:val="SntesisAnaltica"/>
      </w:pPr>
    </w:p>
    <w:p w:rsidR="00B01F4A" w:rsidRDefault="00B01F4A" w:rsidP="00B01F4A">
      <w:pPr>
        <w:pStyle w:val="SntesisAnaltic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73" w:name="AUTO_1997_83"/>
      <w:r>
        <w:lastRenderedPageBreak/>
        <w:t>AUTO 83/1997, de 17 de marzo de 1997</w:t>
      </w:r>
    </w:p>
    <w:bookmarkEnd w:id="173"/>
    <w:p w:rsidR="00B01F4A" w:rsidRDefault="00B01F4A" w:rsidP="00B01F4A">
      <w:pPr>
        <w:pStyle w:val="TtuloResolucin"/>
      </w:pPr>
      <w:r>
        <w:t>Sala Segunda</w:t>
      </w:r>
    </w:p>
    <w:p w:rsidR="00B01F4A" w:rsidRDefault="00B01F4A" w:rsidP="00B01F4A">
      <w:pPr>
        <w:pStyle w:val="TtuloResolucin"/>
      </w:pPr>
    </w:p>
    <w:p w:rsidR="00B01F4A" w:rsidRDefault="00B01F4A" w:rsidP="00B01F4A">
      <w:pPr>
        <w:pStyle w:val="SntesisDescriptiva"/>
      </w:pPr>
      <w:r>
        <w:t>ECLI:ES:TC:1997:83A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don Rafael de Mendizábal Allende, don Julio D. González Campos, don Carles Viver Pi-Sunyer y don Tomás Salvador Vives Antón.</w:t>
      </w:r>
    </w:p>
    <w:p w:rsidR="00B01F4A" w:rsidRDefault="00B01F4A" w:rsidP="00B01F4A">
      <w:pPr>
        <w:pStyle w:val="SntesisDescriptiva"/>
      </w:pPr>
    </w:p>
    <w:p w:rsidR="00B01F4A" w:rsidRDefault="00B01F4A" w:rsidP="00B01F4A">
      <w:pPr>
        <w:pStyle w:val="SntesisDescriptiva"/>
      </w:pPr>
      <w:r>
        <w:t>Acordando la suspensión parcial de la ejecución del acto que origina el recurso de amparo 2.218/1996.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Por escrito registrado en los Juzgados de Guardia de Madrid el 27 de mayo de 1996 y el 29 de mayo siguiente en este Tribunal, doña Mercedes Rodríguez Puyol y don José Luis Barmeto Arnai, Procuradores de los Tribunales, y de don Juan María Celigueta Muguruza, interponen recurso de amparo contra la Sentencia de 16 de abril de 1996, de la Sección Segunda de la Audiencia Provincial de Guipúzcoa, recaída en el rollo de apelación 2.005/95 por el que se revisa la sentencia del Juzgado de lo Penal núm. 4 de San Sebastián, de 20 de octubre de 1994, dictada en procedimiento abreviado 57/93 por delito de negativa al cumplimiento del servicio militar obligatorio.</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La demanda se fundamenta, en síntesis, en los siguientes hechos: </w:t>
      </w:r>
    </w:p>
    <w:p w:rsidR="00B01F4A" w:rsidRDefault="00B01F4A" w:rsidP="00B01F4A">
      <w:pPr>
        <w:pStyle w:val="TextoNormal"/>
      </w:pPr>
      <w:r>
        <w:t xml:space="preserve">a) El recurrente fue absuelto por el Juez de lo penal núm. 4 de San Sebastián del delito de negativa al cumplimiento del servicio militar al entender que no se había acreditado en el proceso que el acusado hubiera cometido el hecho que se le imputaba, no habiendo sido por ello destruida la presunción de inocencia que le amparaba. </w:t>
      </w:r>
    </w:p>
    <w:p w:rsidR="00B01F4A" w:rsidRDefault="00B01F4A" w:rsidP="00B01F4A">
      <w:pPr>
        <w:pStyle w:val="TextoNormal"/>
      </w:pPr>
      <w:r>
        <w:t>b) Recurrida en apelación por el Ministerio Fiscal, la sentencia fue revocada por la Audiencia Provincial de San Sebastián. Se le condenó a la pena de dos años, cuatro meses y un día de prisión menor e inhabilitación absoluta por el mismo período y costas de la primera instancia, declarando de oficio las de esta segunda instancia.</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La demanda de amparo invoca la violación del art. 24 por varios motivos: </w:t>
      </w:r>
    </w:p>
    <w:p w:rsidR="00B01F4A" w:rsidRDefault="00B01F4A" w:rsidP="00B01F4A">
      <w:pPr>
        <w:pStyle w:val="TextoNormal"/>
      </w:pPr>
      <w:r>
        <w:t xml:space="preserve">a) Derecho a la presunción de inocencia por cuanto la misma no ha sido desvirtuada por las pruebas practicadas en el acto del juicio oral. </w:t>
      </w:r>
    </w:p>
    <w:p w:rsidR="00B01F4A" w:rsidRDefault="00B01F4A" w:rsidP="00B01F4A">
      <w:pPr>
        <w:pStyle w:val="TextoNormal"/>
      </w:pPr>
      <w:r>
        <w:t xml:space="preserve">b) Prohibición de indefensión, ya que la sentencia de apelación se basa en motivos no planteados en el recurso sobre los que no ha habido posibilidad de contraargumentar en el debate procesal. </w:t>
      </w:r>
    </w:p>
    <w:p w:rsidR="00B01F4A" w:rsidRDefault="00B01F4A" w:rsidP="00B01F4A">
      <w:pPr>
        <w:pStyle w:val="TextoNormal"/>
      </w:pPr>
      <w:r>
        <w:t xml:space="preserve">c) Derecho a la tutela judicial efectiva y derecho a un proceso con todas las garantías, por cuanto la sentencia es incongruente con el debate planteado, estima una alegación que no ha sido planteada, revoca la estimación de una eximente incompleta que no se apreció y dicta condena sin explicar cuáles son los hechos y las pruebas que lo motivan. </w:t>
      </w:r>
    </w:p>
    <w:p w:rsidR="00B01F4A" w:rsidRDefault="00B01F4A" w:rsidP="00B01F4A">
      <w:pPr>
        <w:pStyle w:val="TextoNormal"/>
      </w:pPr>
      <w:r>
        <w:lastRenderedPageBreak/>
        <w:t>En la demanda de amparo se solicita la suspensión de la Sentencia impugnada.</w:t>
      </w:r>
    </w:p>
    <w:p w:rsidR="00B01F4A" w:rsidRDefault="00B01F4A" w:rsidP="00B01F4A">
      <w:pPr>
        <w:pStyle w:val="TextoNormal"/>
      </w:pPr>
    </w:p>
    <w:p w:rsidR="00B01F4A" w:rsidRDefault="00B01F4A" w:rsidP="00B01F4A">
      <w:pPr>
        <w:pStyle w:val="TextoNormal"/>
      </w:pPr>
      <w:r w:rsidRPr="00B01F4A">
        <w:rPr>
          <w:rStyle w:val="NumeroAFNegritaCaracter"/>
        </w:rPr>
        <w:t>4</w:t>
      </w:r>
      <w:r>
        <w:t>. La Sección Cuarta, por providencia de 6 de febrero de 1997, acordó admitir a trámite la demanda de amparo. Por providencia de la misma fecha también acordó formar pieza para la tramitación de incidente sobre suspensión, y conforme determina el art. 56 LOTC, conceder un plazo común de tres días a la parte recurrente y al Ministerio Fiscal para que alegasen lo que estimaran pertinente sobre dicha suspensión.</w:t>
      </w:r>
    </w:p>
    <w:p w:rsidR="00B01F4A" w:rsidRDefault="00B01F4A" w:rsidP="00B01F4A">
      <w:pPr>
        <w:pStyle w:val="TextoNormal"/>
      </w:pPr>
    </w:p>
    <w:p w:rsidR="00B01F4A" w:rsidRDefault="00B01F4A" w:rsidP="00B01F4A">
      <w:pPr>
        <w:pStyle w:val="TextoNormal"/>
      </w:pPr>
      <w:r w:rsidRPr="00B01F4A">
        <w:rPr>
          <w:rStyle w:val="NumeroAFNegritaCaracter"/>
        </w:rPr>
        <w:t>5</w:t>
      </w:r>
      <w:r>
        <w:t>. Por diligencia de la Secretaría de Justicia de la Sala Segunda de este Tribunal se hizo constar, con fecha 24 de febrero de 1997, que no se había recibido el escrito de alegaciones de la parte recurrente.</w:t>
      </w:r>
    </w:p>
    <w:p w:rsidR="00B01F4A" w:rsidRDefault="00B01F4A" w:rsidP="00B01F4A">
      <w:pPr>
        <w:pStyle w:val="TextoNormal"/>
      </w:pPr>
    </w:p>
    <w:p w:rsidR="00B01F4A" w:rsidRDefault="00B01F4A" w:rsidP="00B01F4A">
      <w:pPr>
        <w:pStyle w:val="TextoNormal"/>
      </w:pPr>
      <w:r w:rsidRPr="00B01F4A">
        <w:rPr>
          <w:rStyle w:val="NumeroAFNegritaCaracter"/>
        </w:rPr>
        <w:t>6</w:t>
      </w:r>
      <w:r>
        <w:t>. El Ministerio Fiscal, por escrito que tuvo entrada en este Tribunal el 21 de febrero de 1997, interesa la suspensión de la pena de dos años, cuatro meses y un día de prisión menor y la de inhabilitación absoluta durante el mismo período, así como que dicha suspensión no alcance a las costas impuestas dado su carácter económico. Manifiesta que este es el criterio seguido por la jurisprudencia constitucional, es decir, la no suspensión de las Sentencias recurridas en los pronunciamientos que contienen una condena de carácter meramente pecuniario y la suspensión de las penas privativas de libertad cuando no son de muy larga duración, pues su ejecución haría perder al amparo su finalidad.</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Objeto del presente Auto es la suspensión de la ejecución de la Sentencia de la Sección Segunda de la Audiencia Provincial de Guipúzcoa de 16 de abril de 1996, que condenaba al recurrente como autor responsable de un delito de negativa al cumplimiento del servicio militar obligatorio a la pena de dos años, cuatro meses y un día de prisión menor e inhabilitación absoluta por el mismo período y al pago de las costas de la primera instancia.</w:t>
      </w:r>
    </w:p>
    <w:p w:rsidR="00B01F4A" w:rsidRDefault="00B01F4A" w:rsidP="00B01F4A">
      <w:pPr>
        <w:pStyle w:val="TextoNormal"/>
      </w:pPr>
    </w:p>
    <w:p w:rsidR="00B01F4A" w:rsidRDefault="00B01F4A" w:rsidP="00B01F4A">
      <w:pPr>
        <w:pStyle w:val="TextoNormal"/>
      </w:pPr>
      <w:r w:rsidRPr="00B01F4A">
        <w:rPr>
          <w:rStyle w:val="NumeroAFNegritaCaracter"/>
        </w:rPr>
        <w:t>2</w:t>
      </w:r>
      <w:r>
        <w:t>. El art. 56.1 de la LOTC establece, como regla general,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w:t>
      </w:r>
    </w:p>
    <w:p w:rsidR="00B01F4A" w:rsidRDefault="00B01F4A" w:rsidP="00B01F4A">
      <w:pPr>
        <w:pStyle w:val="TextoNormal"/>
      </w:pPr>
      <w:r>
        <w:t>Con base en el inciso segundo del citado art. 56.1 LOTC, que faculta a la Sala para denegar la suspensión «cuando de ésta pueda seguirse perturbación grave de los intereses generales o de los derechos fundamentales o libertades públicas de un tercero», este Tribunal viene diciendo con reiteración que, cuando se trata de resoluciones judiciales, lo más acorde con el interés general es su cumplimiento que dota de efectividad a la tutela judicial consagrada por el art. 24 de la Constitución.</w:t>
      </w:r>
    </w:p>
    <w:p w:rsidR="00B01F4A" w:rsidRDefault="00B01F4A" w:rsidP="00B01F4A">
      <w:pPr>
        <w:pStyle w:val="TextoNormal"/>
      </w:pPr>
      <w:r>
        <w:t xml:space="preserve">De ahí que en esta materia el criterio del Tribunal distinga entre resoluciones judiciales con efectos meramente económicos y resoluciones judiciales privativas de libertad. En el primer caso el criterio general viene siendo el de la no suspensión, no sólo por el interés general en el cumplimiento de las resoluciones judiciales sino, además, porque en tal supuesto los perjuicios no serían de imposible reparación; mientras que en el segundo -privación de libertad-, por ser irreparable el perjuicio, la regla general es la suspensión de la </w:t>
      </w:r>
      <w:r>
        <w:lastRenderedPageBreak/>
        <w:t>condena hasta que se resuelva el recurso de amparo, salvo en los supuestos en los que la gravedad de los hechos y la duración de la pena aconsejen lo contrario.</w:t>
      </w:r>
    </w:p>
    <w:p w:rsidR="00B01F4A" w:rsidRDefault="00B01F4A" w:rsidP="00B01F4A">
      <w:pPr>
        <w:pStyle w:val="TextoNormal"/>
      </w:pPr>
    </w:p>
    <w:p w:rsidR="00B01F4A" w:rsidRDefault="00B01F4A" w:rsidP="00B01F4A">
      <w:pPr>
        <w:pStyle w:val="TextoNormal"/>
      </w:pPr>
      <w:r w:rsidRPr="00B01F4A">
        <w:rPr>
          <w:rStyle w:val="NumeroAFNegritaCaracter"/>
        </w:rPr>
        <w:t>3</w:t>
      </w:r>
      <w:r>
        <w:t>. En el presente caso, del tipo de delito y de la duración de la pena de prisión -dos años y cuatro meses- se desprende, según la doctrina citada, que ha de accederse a la suspensión solicitada en los términos expresados por el Ministerio Fiscal, es decir, la suspensión de la pena privativa de libertad y de la inhabilitación absoluta. En cambio, al no ser irreparable el pago de las costas no procede en este extremo acceder a la suspensión de la Sentencia.</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lo expuesto, la Sala acuerda:</w:t>
      </w:r>
    </w:p>
    <w:p w:rsidR="00B01F4A" w:rsidRDefault="00B01F4A" w:rsidP="00B01F4A">
      <w:pPr>
        <w:pStyle w:val="TextoNormal"/>
      </w:pPr>
      <w:r>
        <w:t>1.º Suspender la ejecución de la Sentencia de 16 de abril de 1996, de la Sección Segunda de la Audiencia Provincial de Guipúzcoa, tan sólo respecto a la pena privativa de libertad y a la de inhabilitación absoluta.</w:t>
      </w:r>
    </w:p>
    <w:p w:rsidR="00B01F4A" w:rsidRDefault="00B01F4A" w:rsidP="00B01F4A">
      <w:pPr>
        <w:pStyle w:val="TextoNormal"/>
      </w:pPr>
      <w:r>
        <w:t>2.º No suspender la ejecución del pago de las costas procesales impuestas.</w:t>
      </w:r>
    </w:p>
    <w:p w:rsidR="00B01F4A" w:rsidRDefault="00B01F4A" w:rsidP="00B01F4A">
      <w:pPr>
        <w:pStyle w:val="TextoNormal"/>
      </w:pPr>
    </w:p>
    <w:p w:rsidR="00B01F4A" w:rsidRDefault="00B01F4A" w:rsidP="00B01F4A">
      <w:pPr>
        <w:pStyle w:val="TextoNormal"/>
      </w:pPr>
      <w:r>
        <w:t>Madrid, a diecisiete de marzo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74" w:name="AUTO_1997_84"/>
      <w:r>
        <w:lastRenderedPageBreak/>
        <w:t>AUTO 84/1997, de 17 de marzo de 1997</w:t>
      </w:r>
    </w:p>
    <w:bookmarkEnd w:id="174"/>
    <w:p w:rsidR="00B01F4A" w:rsidRDefault="00B01F4A" w:rsidP="00B01F4A">
      <w:pPr>
        <w:pStyle w:val="TtuloResolucin"/>
      </w:pPr>
      <w:r>
        <w:t>Sala Segunda</w:t>
      </w:r>
    </w:p>
    <w:p w:rsidR="00B01F4A" w:rsidRDefault="00B01F4A" w:rsidP="00B01F4A">
      <w:pPr>
        <w:pStyle w:val="TtuloResolucin"/>
      </w:pPr>
    </w:p>
    <w:p w:rsidR="00B01F4A" w:rsidRDefault="00B01F4A" w:rsidP="00B01F4A">
      <w:pPr>
        <w:pStyle w:val="SntesisDescriptiva"/>
      </w:pPr>
      <w:r>
        <w:t>ECLI:ES:TC:1997:84A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don Rafael de Mendizábal Allende, don Julio D. González Campos, don Carles Viver Pi-Sunyer y don Tomás Salvador Vives Antón.</w:t>
      </w:r>
    </w:p>
    <w:p w:rsidR="00B01F4A" w:rsidRDefault="00B01F4A" w:rsidP="00B01F4A">
      <w:pPr>
        <w:pStyle w:val="SntesisDescriptiva"/>
      </w:pPr>
    </w:p>
    <w:p w:rsidR="00B01F4A" w:rsidRDefault="00B01F4A" w:rsidP="00B01F4A">
      <w:pPr>
        <w:pStyle w:val="SntesisDescriptiva"/>
      </w:pPr>
      <w:r>
        <w:t>Acordando la suspensión parcial de la ejecución del acto que origina el recurso de amparo 2.927/1996.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en el Juzgado de Guardia el día 17 de julio de 1996 y en este Tribunal el día 19 de julio, don José Guerrero Cabanes, Procurador de los Tribunales, interpone recurso de amparo en nombre de «Rey Sol, S. A.», de don Tomás Bordoy Mora y de don José María Rodríguez Montero contra la Sentencia de la que se hace mérito en el encabezamiento. En la demanda se incluye asimismo solicitud de suspensión de la ejecución de la resolución recurrida.</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Los hechos relevantes para el examen de la pretensión de amparo son en síntesis, los siguientes: </w:t>
      </w:r>
    </w:p>
    <w:p w:rsidR="00B01F4A" w:rsidRDefault="00B01F4A" w:rsidP="00B01F4A">
      <w:pPr>
        <w:pStyle w:val="TextoNormal"/>
      </w:pPr>
      <w:r>
        <w:t xml:space="preserve">a) El fallo de la Sentencia del Juzgado de Primera Instancia núm. 5 de Palma de Mallorca de 24 de septiembre de 1990, declaró que los demandados, hoy recurrentes, habían cometido agresión ilegítima al derecho al honor y a la propia imagen del demandante, y les condenó a la inserción en diversos diarios del texto de la Sentencia y de una fotografía, y al pago de las costas y de una indemnización de 5.000.000 de pesetas. </w:t>
      </w:r>
    </w:p>
    <w:p w:rsidR="00B01F4A" w:rsidRDefault="00B01F4A" w:rsidP="00B01F4A">
      <w:pPr>
        <w:pStyle w:val="TextoNormal"/>
      </w:pPr>
      <w:r>
        <w:t xml:space="preserve">b) La Sentencia fue recurrida en apelación por los demandados. La que resolvía el recurso, de la Sección Tercera de la Audiencia Provincial de Palma de Mallorca de 30 de abril de 1992, modifica parcialmente el fallo anterior y reduce la condena a la sola inserción de la Sentencia y de la fotografía en el «Diario 16», de Baleares y a una indemnización de 3.000.000 de pesetas. </w:t>
      </w:r>
    </w:p>
    <w:p w:rsidR="00B01F4A" w:rsidRDefault="00B01F4A" w:rsidP="00B01F4A">
      <w:pPr>
        <w:pStyle w:val="TextoNormal"/>
      </w:pPr>
      <w:r>
        <w:t>c) Los demandados acudieron aún en casación al Tribunal Supremo, que declaró que no había lugar al recurso en la Sentencia referida en el encabezamiento.</w:t>
      </w:r>
    </w:p>
    <w:p w:rsidR="00B01F4A" w:rsidRDefault="00B01F4A" w:rsidP="00B01F4A">
      <w:pPr>
        <w:pStyle w:val="TextoNormal"/>
      </w:pPr>
    </w:p>
    <w:p w:rsidR="00B01F4A" w:rsidRDefault="00B01F4A" w:rsidP="00B01F4A">
      <w:pPr>
        <w:pStyle w:val="TextoNormal"/>
      </w:pPr>
      <w:r w:rsidRPr="00B01F4A">
        <w:rPr>
          <w:rStyle w:val="NumeroAFNegritaCaracter"/>
        </w:rPr>
        <w:t>3</w:t>
      </w:r>
      <w:r>
        <w:t>. La demanda de amparo invoca como vulnerado el derecho a la tutela judicial efectiva por cuanto que estima que los recurrentes han sido condenados por la concurrencia de un error manifiesto: el que consiste en entender que ha habido una lesión del derecho a la propia imagen del demandante cuando ni consta en las actuaciones ni en realidad hubo ninguna reproducción de la misma en la publicación cuestionada.</w:t>
      </w:r>
    </w:p>
    <w:p w:rsidR="00B01F4A" w:rsidRDefault="00B01F4A" w:rsidP="00B01F4A">
      <w:pPr>
        <w:pStyle w:val="TextoNormal"/>
      </w:pPr>
    </w:p>
    <w:p w:rsidR="00B01F4A" w:rsidRDefault="00B01F4A" w:rsidP="00B01F4A">
      <w:pPr>
        <w:pStyle w:val="TextoNormal"/>
      </w:pPr>
      <w:r w:rsidRPr="00B01F4A">
        <w:rPr>
          <w:rStyle w:val="NumeroAFNegritaCaracter"/>
        </w:rPr>
        <w:lastRenderedPageBreak/>
        <w:t>4</w:t>
      </w:r>
      <w:r>
        <w:t>. Mediante providencia de 20 de febrero de 1997, la Sección Tercera de este Tribunal acuerda admitir a trámite la demanda de amparo y dirigir comunicaciones a la Sala Primera del Tribunal Supremo, a la Sección Tercera de la Audiencia Provincial de Palma de Mallorca, y al Juzgado de Primera Instancia núm. 5 de la misma ciudad a fin de que remitan testimonio de las actuaciones correspondientes al procedimiento del que trae causa el presente recurso y de que emplace este último órgano judicial a quienes hubieran sido parte en el mismo para su posible comparecencia en este proceso de amparo.</w:t>
      </w:r>
    </w:p>
    <w:p w:rsidR="00B01F4A" w:rsidRDefault="00B01F4A" w:rsidP="00B01F4A">
      <w:pPr>
        <w:pStyle w:val="TextoNormal"/>
      </w:pPr>
    </w:p>
    <w:p w:rsidR="00B01F4A" w:rsidRDefault="00B01F4A" w:rsidP="00B01F4A">
      <w:pPr>
        <w:pStyle w:val="TextoNormal"/>
      </w:pPr>
      <w:r w:rsidRPr="00B01F4A">
        <w:rPr>
          <w:rStyle w:val="NumeroAFNegritaCaracter"/>
        </w:rPr>
        <w:t>5</w:t>
      </w:r>
      <w:r>
        <w:t>. Mediante nueva providencia de 20 de febrero de 1997, la Sección acuerda la apertura de la presente pieza separada de suspensión y, conforme determina el art. 56 LOTC, concede un plazo común de tres días a la parte demandante y al Ministerio Fiscal para que aleguen lo que estimen pertinente sobre la misma.</w:t>
      </w:r>
    </w:p>
    <w:p w:rsidR="00B01F4A" w:rsidRDefault="00B01F4A" w:rsidP="00B01F4A">
      <w:pPr>
        <w:pStyle w:val="TextoNormal"/>
      </w:pPr>
    </w:p>
    <w:p w:rsidR="00B01F4A" w:rsidRDefault="00B01F4A" w:rsidP="00B01F4A">
      <w:pPr>
        <w:pStyle w:val="TextoNormal"/>
      </w:pPr>
      <w:r w:rsidRPr="00B01F4A">
        <w:rPr>
          <w:rStyle w:val="NumeroAFNegritaCaracter"/>
        </w:rPr>
        <w:t>6</w:t>
      </w:r>
      <w:r>
        <w:t>. Los recurrentes presentaron su escrito de alegaciones en este Tribunal el día 28 de febrero. Sostienen su solicitud de suspensión en que el recurso de amparo perdería su finalidad si se lleva a efecto la resolución impugnada, pues su fallo no tiene un contenido meramente económico, «sino que es principalmente de contenido moral y con vocación a adquirir trascendencia por la publicación judicialmente decidida tanto de la Sentencia como de la fotografía del establecimiento comercial». Las consecuencias económicas de la Sentencia impugnada, por una parte, deberían ser objeto también de suspensión en cuanto que no tienen «vida propia», sino «interdependiente y consecuencia de una declaración de agresión al honor y a la propia imagen del demandante, esta última -la de la imagen- no cometida y, sin embargo, castigada».</w:t>
      </w:r>
    </w:p>
    <w:p w:rsidR="00B01F4A" w:rsidRDefault="00B01F4A" w:rsidP="00B01F4A">
      <w:pPr>
        <w:pStyle w:val="TextoNormal"/>
      </w:pPr>
    </w:p>
    <w:p w:rsidR="00B01F4A" w:rsidRDefault="00B01F4A" w:rsidP="00B01F4A">
      <w:pPr>
        <w:pStyle w:val="TextoNormal"/>
      </w:pPr>
      <w:r w:rsidRPr="00B01F4A">
        <w:rPr>
          <w:rStyle w:val="NumeroAFNegritaCaracter"/>
        </w:rPr>
        <w:t>7</w:t>
      </w:r>
      <w:r>
        <w:t>. El Fiscal concluye su escrito de 5 de marzo interesando que se otorgue la suspensión de la publicación de la Sentencia y que se deniegue en relación con el pago de la indemnización y de las costas. Lo primero, porque «el dictado de nueva Sentencia, si prospera el amparo, haría vacío de contenido el mandato judicial de publicación de las Sentencias habidas, no derivándose ningún perjuicio de la suspensión». Lo segundo, porque «no se objetiva perjuicio irreparable por el cumplimiento de la Sentencia, ya que el pago de la indemnización no lo produce, al ser la suma eventualmente recuperable y ser, además, exigua en relación con el carácter empresarial de la entidad condenada. El mismo principio debe aplicarse al pago de las costas».</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art. 56 LOTC establece, en su primer inciso, que la ejecución del acto de los poderes públicos por razón del cual se reclama el amparo constitucional sólo se suspenderá cuando el mismo hubiere de ocasionar un perjuicio que haría perder al amparo su finalidad. En su segundo inciso consagra una excepción a esta posibilidad de suspensión, al prever que la misma pueda denegarse cuando de ella pueda seguirse perturbación grave de los intereses generales o de los derechos fundamentales o de las libertades públicas de un tercero.</w:t>
      </w:r>
    </w:p>
    <w:p w:rsidR="00B01F4A" w:rsidRDefault="00B01F4A" w:rsidP="00B01F4A">
      <w:pPr>
        <w:pStyle w:val="TextoNormal"/>
      </w:pPr>
      <w:r>
        <w:t>Del referido precepto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w:t>
      </w:r>
    </w:p>
    <w:p w:rsidR="00B01F4A" w:rsidRDefault="00B01F4A" w:rsidP="00B01F4A">
      <w:pPr>
        <w:pStyle w:val="TextoNormal"/>
      </w:pPr>
    </w:p>
    <w:p w:rsidR="00B01F4A" w:rsidRDefault="00B01F4A" w:rsidP="00B01F4A">
      <w:pPr>
        <w:pStyle w:val="TextoNormal"/>
      </w:pPr>
      <w:r w:rsidRPr="00B01F4A">
        <w:rPr>
          <w:rStyle w:val="NumeroAFNegritaCaracter"/>
        </w:rPr>
        <w:t>2</w:t>
      </w:r>
      <w:r>
        <w:t>. El fallo de la Sentencia condenatoria cuya ejecución se pretende que suspendamos contiene una declaración relativa a la vulneración de derechos fundamentales y a la irrogación de perjuicios y, amén de un pronunciamiento admonitorio y del relativo a la falta de expresa condena de las costas, las condena a la publicación del texto de la Sentencia y de una fotografía en un determinado periódico local, y al pago de una indemnización de 3.000.000 de pesetas. La Sentencia de casación, a su vez, condenaba al pago de las costas de dicho recurso.</w:t>
      </w:r>
    </w:p>
    <w:p w:rsidR="00B01F4A" w:rsidRDefault="00B01F4A" w:rsidP="00B01F4A">
      <w:pPr>
        <w:pStyle w:val="TextoNormal"/>
      </w:pPr>
      <w:r>
        <w:t>a) Como afirma el Ministerio Fiscal, ninguno de los pronunciamientos de orden económico reúne las condiciones prescritas para proceder a su suspensión. La doctrina de este Tribunal es, en efecto, que la ejecución de las mismas, en este caso el pago de la indemnización y de las costas, no causa, en principio, un perjuicio irreparable que haga perder al amparo su finalidad, dado su natural carácter reintegrable. Dicho criterio no merece excepción en este caso a la vista de la cuantía de los pagos y de la condición de los condenados.</w:t>
      </w:r>
    </w:p>
    <w:p w:rsidR="00B01F4A" w:rsidRDefault="00B01F4A" w:rsidP="00B01F4A">
      <w:pPr>
        <w:pStyle w:val="TextoNormal"/>
      </w:pPr>
      <w:r>
        <w:t>b) No sucede lo mismo en el otro pronunciamiento, que tiene por contenido la publicación del texto de una Sentencia y de una fotografía pues, en el caso de otorgar el amparo, su no suspensión ocasionaría un perjuicio no reparable.</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atención a todo lo expuesto, la Sala acuerda la suspensión de la ejecución de la Sentencia de la Sección Tercera de la Audiencia Provincial de Palma de Mallorca, de 30 de abril de 1992, en lo que se refiere a la condena a la inserción en el «Diario</w:t>
      </w:r>
    </w:p>
    <w:p w:rsidR="00B01F4A" w:rsidRDefault="00B01F4A" w:rsidP="00B01F4A">
      <w:pPr>
        <w:pStyle w:val="TextoNormal"/>
      </w:pPr>
      <w:r>
        <w:t>16», de Baleares, del texto de la Sentencia y de una fotografía y denegar la suspensión solicitada en todo lo demás.</w:t>
      </w:r>
    </w:p>
    <w:p w:rsidR="00B01F4A" w:rsidRDefault="00B01F4A" w:rsidP="00B01F4A">
      <w:pPr>
        <w:pStyle w:val="TextoNormal"/>
      </w:pPr>
    </w:p>
    <w:p w:rsidR="00B01F4A" w:rsidRDefault="00B01F4A" w:rsidP="00B01F4A">
      <w:pPr>
        <w:pStyle w:val="TextoNormal"/>
      </w:pPr>
      <w:r>
        <w:t>Madrid, a diecisiete de marzo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75" w:name="AUTO_1997_85"/>
      <w:r>
        <w:lastRenderedPageBreak/>
        <w:t>AUTO 85/1997, de 17 de marzo de 1997</w:t>
      </w:r>
    </w:p>
    <w:bookmarkEnd w:id="175"/>
    <w:p w:rsidR="00B01F4A" w:rsidRDefault="00B01F4A" w:rsidP="00B01F4A">
      <w:pPr>
        <w:pStyle w:val="TtuloResolucin"/>
      </w:pPr>
      <w:r>
        <w:t>Sección Tercera</w:t>
      </w:r>
    </w:p>
    <w:p w:rsidR="00B01F4A" w:rsidRDefault="00B01F4A" w:rsidP="00B01F4A">
      <w:pPr>
        <w:pStyle w:val="TtuloResolucin"/>
      </w:pPr>
    </w:p>
    <w:p w:rsidR="00B01F4A" w:rsidRDefault="00B01F4A" w:rsidP="00B01F4A">
      <w:pPr>
        <w:pStyle w:val="SntesisDescriptiva"/>
      </w:pPr>
      <w:r>
        <w:t>ECLI:ES:TC:1997:85A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y don Julio D. González Campos.</w:t>
      </w:r>
    </w:p>
    <w:p w:rsidR="00B01F4A" w:rsidRDefault="00B01F4A" w:rsidP="00B01F4A">
      <w:pPr>
        <w:pStyle w:val="SntesisDescriptiva"/>
      </w:pPr>
    </w:p>
    <w:p w:rsidR="00B01F4A" w:rsidRDefault="00B01F4A" w:rsidP="00B01F4A">
      <w:pPr>
        <w:pStyle w:val="SntesisDescriptiva"/>
      </w:pPr>
      <w:r>
        <w:t>Acordando haber lugar al desistimiento del actor en el recurso de amparo 3.001/1996.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76" w:name="AUTO_1997_86"/>
      <w:r>
        <w:lastRenderedPageBreak/>
        <w:t>AUTO 86/1997, de 17 de marzo de 1997</w:t>
      </w:r>
    </w:p>
    <w:bookmarkEnd w:id="176"/>
    <w:p w:rsidR="00B01F4A" w:rsidRDefault="00B01F4A" w:rsidP="00B01F4A">
      <w:pPr>
        <w:pStyle w:val="TtuloResolucin"/>
      </w:pPr>
      <w:r>
        <w:t>Sala Segunda</w:t>
      </w:r>
    </w:p>
    <w:p w:rsidR="00B01F4A" w:rsidRDefault="00B01F4A" w:rsidP="00B01F4A">
      <w:pPr>
        <w:pStyle w:val="TtuloResolucin"/>
      </w:pPr>
    </w:p>
    <w:p w:rsidR="00B01F4A" w:rsidRDefault="00B01F4A" w:rsidP="00B01F4A">
      <w:pPr>
        <w:pStyle w:val="SntesisDescriptiva"/>
      </w:pPr>
      <w:r>
        <w:t>ECLI:ES:TC:1997:86A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don Rafael de Mendizábal Allende, don Julio D. González Campos, don Carles Viver Pi-Sunyer y don Tomás Salvador Vives Antón.</w:t>
      </w:r>
    </w:p>
    <w:p w:rsidR="00B01F4A" w:rsidRDefault="00B01F4A" w:rsidP="00B01F4A">
      <w:pPr>
        <w:pStyle w:val="SntesisDescriptiva"/>
      </w:pPr>
    </w:p>
    <w:p w:rsidR="00B01F4A" w:rsidRDefault="00B01F4A" w:rsidP="00B01F4A">
      <w:pPr>
        <w:pStyle w:val="SntesisDescriptiva"/>
      </w:pPr>
      <w:r>
        <w:t>Acordando la suspensión parcial de la ejecución del acto que origina el recurso de amparo 3.677/1996.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en este Tribunal el 11 de octubre de 1996, la Procuradora de los Tribunales doña Isabel Julia Conejo, en nombre y representación de don Salvador Duran Espinosa, interpuso recurso de amparo contra Sentencia de la Audiencia Provincial de Valencia, Sección Primera, de 18 de septiembre de 1996, dictada en apelación en procedimiento por delito de alzamiento de bienes.</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La demanda se fundamenta, en síntesis, en los siguientes hechos: </w:t>
      </w:r>
    </w:p>
    <w:p w:rsidR="00B01F4A" w:rsidRDefault="00B01F4A" w:rsidP="00B01F4A">
      <w:pPr>
        <w:pStyle w:val="TextoNormal"/>
      </w:pPr>
      <w:r>
        <w:t xml:space="preserve">a) Con fecha 20 de diciembre de 1995, el Juzgado de lo Penal núm. 1 de Valencia dictó una Sentencia, en el P.A. 401/95, por la que absolvía al hoy demandante de amparo de los delitos de estafa, falsedad documental y alzamiento de bienes de los que había sido acusado por querella presentada en su día por la Caja de Ahorros de Valencia, Castellón y Alicante, Bancaja. No habiendo sido recurrida, dicha Sentencia devino firme por Auto del Juzgado de 1 de febrero de 1996. </w:t>
      </w:r>
    </w:p>
    <w:p w:rsidR="00B01F4A" w:rsidRDefault="00B01F4A" w:rsidP="00B01F4A">
      <w:pPr>
        <w:pStyle w:val="TextoNormal"/>
      </w:pPr>
      <w:r>
        <w:t>b) Con fecha 1 de junio de 1996, el Juzgado de lo Penal núm. 1 de Valencia dictó, en el P.A. 124/96, una Sentencia en la que condenaba al Sr. Duran Espinosa en concepto de autor responsable de un delito de alzamiento de bienes, del que había sido acusado por querella presentada por el Banco Español de Crédito. Presentado recurso de apelación contra dicha resolución, fue confirmada en sus extremos esenciales.</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Se aduce en la demanda que las Sentencias recurridas han vulnerado los derechos del actor: 1) a la tutela judicial efectiva sin indefensión y a un proceso con todas las garantías, por incurrir la dictada en apelación por incongruencia omisiva al no haber dado respuesta alguna a las alegaciones conexas de cosa juzgada e infracción del principio non bis in idem; 2) a la legalidad penal, por haber ignorado la existencia de una Sentencia absolutoria firme sobre esos mismos hechos, sin que a tal efecto resulte relevante la diferente identidad de los querellantes en uno y otro caso; y 3) a la presunción de inocencia, dada la ausencia en el proceso de prueba de cargo suficiente para desvirtuar tal presunción y la no consideración de la prueba documental de descargo aportada por el acusado. En consecuencia, se pide a </w:t>
      </w:r>
      <w:r>
        <w:lastRenderedPageBreak/>
        <w:t>este Tribunal que anule las resoluciones recurridas y que, entretanto, acuerde suspender su ejecución.</w:t>
      </w:r>
    </w:p>
    <w:p w:rsidR="00B01F4A" w:rsidRDefault="00B01F4A" w:rsidP="00B01F4A">
      <w:pPr>
        <w:pStyle w:val="TextoNormal"/>
      </w:pPr>
    </w:p>
    <w:p w:rsidR="00B01F4A" w:rsidRDefault="00B01F4A" w:rsidP="00B01F4A">
      <w:pPr>
        <w:pStyle w:val="TextoNormal"/>
      </w:pPr>
      <w:r w:rsidRPr="00B01F4A">
        <w:rPr>
          <w:rStyle w:val="NumeroAFNegritaCaracter"/>
        </w:rPr>
        <w:t>4</w:t>
      </w:r>
      <w:r>
        <w:t>. La Sección Tercera, por providencia de 20 de febrero de 1997, acordó admitir a trámite la demanda de amparo. Asimismo, por providencia de esa misma fecha, acordó abrir pieza para la tramitación de incidente de suspensión y conforme determina el art. 56 de la LOTC, conceder un plazo común de tres días a la parte recurrente y al Ministerio Fiscal para que alegasen lo que estimaran pertinente sobre dicha suspensión.</w:t>
      </w:r>
    </w:p>
    <w:p w:rsidR="00B01F4A" w:rsidRDefault="00B01F4A" w:rsidP="00B01F4A">
      <w:pPr>
        <w:pStyle w:val="TextoNormal"/>
      </w:pPr>
    </w:p>
    <w:p w:rsidR="00B01F4A" w:rsidRDefault="00B01F4A" w:rsidP="00B01F4A">
      <w:pPr>
        <w:pStyle w:val="TextoNormal"/>
      </w:pPr>
      <w:r w:rsidRPr="00B01F4A">
        <w:rPr>
          <w:rStyle w:val="NumeroAFNegritaCaracter"/>
        </w:rPr>
        <w:t>5</w:t>
      </w:r>
      <w:r>
        <w:t>. La parte recurrente en amparo, por escrito registrado en los Juzgados de Guardia de Madrid el 27 de febrero de 1997 y al día siguiente en este Tribunal, reitera la solicitud de suspensión de la Sentencia impugnada por entender que su ejecución ocasionaría un perjuicio que haría perder al amparo su finalidad al tratarse de una condena consistente en una pena de un año de prisión menor, accesorias y declaración de nulidad de ciertas escrituras y cancelaciones de inscripciones registrales. Asimismo, entiende que para acordar la suspensión no es preciso exigir fianza.</w:t>
      </w:r>
    </w:p>
    <w:p w:rsidR="00B01F4A" w:rsidRDefault="00B01F4A" w:rsidP="00B01F4A">
      <w:pPr>
        <w:pStyle w:val="TextoNormal"/>
      </w:pPr>
    </w:p>
    <w:p w:rsidR="00B01F4A" w:rsidRDefault="00B01F4A" w:rsidP="00B01F4A">
      <w:pPr>
        <w:pStyle w:val="TextoNormal"/>
      </w:pPr>
      <w:r w:rsidRPr="00B01F4A">
        <w:rPr>
          <w:rStyle w:val="NumeroAFNegritaCaracter"/>
        </w:rPr>
        <w:t>6</w:t>
      </w:r>
      <w:r>
        <w:t>. Por escrito que tuvo entrada en este Tribunal el 28 de febrero de 1997, el Ministerio Fiscal interesa que se suspenda la ejecución de la pena privativa de libertad impuesta, así como sus accesorias legales, por cuanto de no hacerse así el recurso quedaría desprovisto de virtualidad. Asimismo, que no se suspenda el pronunciamiento relativo a la responsabilidad civil. Todo ello, según el Ministerio Fiscal, con arreglo a la jurisprudencia que en casos semejantes ha consolidado este Tribunal.</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Objeto del presente Auto es la suspensión de la ejecución de la Sentencia de la Sección Primera de la Audiencia Provincial de Valencia de 18 de septiembre de 1996, que condenaba al recurrente como autor de un delito de alzamiento de bienes a la pena de un año de prisión con la accesoria de suspensión de todo empleo o cargo público y derecho de sufragio durante el tiempo de duración de la condena, pago de una séptima parte de las costas, incluida la séptima parte de la acusación particular, declarándose ciertas anulaciones y cancelaciones.</w:t>
      </w:r>
    </w:p>
    <w:p w:rsidR="00B01F4A" w:rsidRDefault="00B01F4A" w:rsidP="00B01F4A">
      <w:pPr>
        <w:pStyle w:val="TextoNormal"/>
      </w:pPr>
    </w:p>
    <w:p w:rsidR="00B01F4A" w:rsidRDefault="00B01F4A" w:rsidP="00B01F4A">
      <w:pPr>
        <w:pStyle w:val="TextoNormal"/>
      </w:pPr>
      <w:r w:rsidRPr="00B01F4A">
        <w:rPr>
          <w:rStyle w:val="NumeroAFNegritaCaracter"/>
        </w:rPr>
        <w:t>2</w:t>
      </w:r>
      <w:r>
        <w:t>. Para resolver tal cuestión es preciso tener en cuenta lo dispuesto en el art. 56.1 de la LOTC que establece, como regla general,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w:t>
      </w:r>
    </w:p>
    <w:p w:rsidR="00B01F4A" w:rsidRDefault="00B01F4A" w:rsidP="00B01F4A">
      <w:pPr>
        <w:pStyle w:val="TextoNormal"/>
      </w:pPr>
      <w:r>
        <w:t>No obstante y con base en el inciso segundo del citado art. 56.1 LOTC, que faculta a la Sala para denegar la suspensión «cuando de ésta pueda seguirse perturbación grave de los intereses generales o de los derechos fundamentales o libertades públicas de un tercero», este Tribunal viene resolviendo con reiteración que, cuando se trata de resoluciones judiciales, lo más acorde con el interés general es su cumplimiento que dota de efectividad a la tutela judicial consagrada por el art. 24 de la Constitución.</w:t>
      </w:r>
    </w:p>
    <w:p w:rsidR="00B01F4A" w:rsidRDefault="00B01F4A" w:rsidP="00B01F4A">
      <w:pPr>
        <w:pStyle w:val="TextoNormal"/>
      </w:pPr>
      <w:r>
        <w:lastRenderedPageBreak/>
        <w:t>De ahí que en esta materia el criterio del Tribunal distinga entre resoluciones judiciales con efectos meramente económicos y resoluciones judiciales privativas de libertad. En el primer caso, el criterio general viene siendo el de la no suspensión, porque el interés general demanda el cumplimiento de las resoluciones judiciales y además porque en el caso de condena meramente económica los perjuicios no serían de imposible reparación; mientras que en el caso de privación de libertad, por ser irreparable el perjuicio, la regla general es la suspensión de la condena hasta que se resuelva el recurso de amparo, salvo en los supuestos en los que la gravedad de los hechos y la duración de la pena aconsejen lo contrario.</w:t>
      </w:r>
    </w:p>
    <w:p w:rsidR="00B01F4A" w:rsidRDefault="00B01F4A" w:rsidP="00B01F4A">
      <w:pPr>
        <w:pStyle w:val="TextoNormal"/>
      </w:pPr>
    </w:p>
    <w:p w:rsidR="00B01F4A" w:rsidRDefault="00B01F4A" w:rsidP="00B01F4A">
      <w:pPr>
        <w:pStyle w:val="TextoNormal"/>
      </w:pPr>
      <w:r w:rsidRPr="00B01F4A">
        <w:rPr>
          <w:rStyle w:val="NumeroAFNegritaCaracter"/>
        </w:rPr>
        <w:t>3</w:t>
      </w:r>
      <w:r>
        <w:t>. En este caso, del tipo de delito y de la duración de la pena de prisión -un año- se desprende que ha de accederse a la suspensión solicitada, por aplicación de la doctrina expuesta aunque únicamente en relación con la suspensión de la pena privativa de libertad y de sus accesorias legales, mientras que, al no ser irreparable el pago de la responsabilidad civil no procede en este extremo acceder a la suspensión de la Sentencia.</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lo expuesto, la Sala acuerda:</w:t>
      </w:r>
    </w:p>
    <w:p w:rsidR="00B01F4A" w:rsidRDefault="00B01F4A" w:rsidP="00B01F4A">
      <w:pPr>
        <w:pStyle w:val="TextoNormal"/>
      </w:pPr>
      <w:r>
        <w:t>1.º Suspender la ejecución de la Sentencia de 18 de septiembre de 1996, de la Sección Primera de la Audiencia Provincial de Valencia, tan sólo respecto a la pena privativa de libertad y a sus accesorias legales.</w:t>
      </w:r>
    </w:p>
    <w:p w:rsidR="00B01F4A" w:rsidRDefault="00B01F4A" w:rsidP="00B01F4A">
      <w:pPr>
        <w:pStyle w:val="TextoNormal"/>
      </w:pPr>
      <w:r>
        <w:t>2.º No suspender la ejecución del pago de la responsabilidad civil.</w:t>
      </w:r>
    </w:p>
    <w:p w:rsidR="00B01F4A" w:rsidRDefault="00B01F4A" w:rsidP="00B01F4A">
      <w:pPr>
        <w:pStyle w:val="TextoNormal"/>
      </w:pPr>
    </w:p>
    <w:p w:rsidR="00B01F4A" w:rsidRDefault="00B01F4A" w:rsidP="00B01F4A">
      <w:pPr>
        <w:pStyle w:val="TextoNormal"/>
      </w:pPr>
      <w:r>
        <w:t>Madrid, a diecisiete de marzo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77" w:name="AUTO_1997_87"/>
      <w:r>
        <w:lastRenderedPageBreak/>
        <w:t>AUTO 87/1997, de 17 de marzo de 1997</w:t>
      </w:r>
    </w:p>
    <w:bookmarkEnd w:id="177"/>
    <w:p w:rsidR="00B01F4A" w:rsidRDefault="00B01F4A" w:rsidP="00B01F4A">
      <w:pPr>
        <w:pStyle w:val="TtuloResolucin"/>
      </w:pPr>
      <w:r>
        <w:t>Sala Primera</w:t>
      </w:r>
    </w:p>
    <w:p w:rsidR="00B01F4A" w:rsidRDefault="00B01F4A" w:rsidP="00B01F4A">
      <w:pPr>
        <w:pStyle w:val="TtuloResolucin"/>
      </w:pPr>
    </w:p>
    <w:p w:rsidR="00B01F4A" w:rsidRDefault="00B01F4A" w:rsidP="00B01F4A">
      <w:pPr>
        <w:pStyle w:val="SntesisDescriptiva"/>
      </w:pPr>
      <w:r>
        <w:t>ECLI:ES:TC:1997:87A</w:t>
      </w:r>
    </w:p>
    <w:p w:rsidR="00B01F4A" w:rsidRDefault="00B01F4A" w:rsidP="00B01F4A">
      <w:pPr>
        <w:pStyle w:val="SntesisDescriptiva"/>
      </w:pPr>
    </w:p>
    <w:p w:rsidR="00B01F4A" w:rsidRDefault="00B01F4A" w:rsidP="00B01F4A">
      <w:pPr>
        <w:pStyle w:val="SntesisDescriptiva"/>
      </w:pPr>
      <w:r>
        <w:t>Excms. Srs. don Álvaro Rodríguez Bereijo, don José Vicente Gimeno Sendra, don Pedro Cruz Villalón, don Enrique Ruiz Vadillo, don Manuel Jiménez de Parga y Cabrera y don Pablo García Manzano.</w:t>
      </w:r>
    </w:p>
    <w:p w:rsidR="00B01F4A" w:rsidRDefault="00B01F4A" w:rsidP="00B01F4A">
      <w:pPr>
        <w:pStyle w:val="SntesisDescriptiva"/>
      </w:pPr>
    </w:p>
    <w:p w:rsidR="00B01F4A" w:rsidRDefault="00B01F4A" w:rsidP="00B01F4A">
      <w:pPr>
        <w:pStyle w:val="SntesisDescriptiva"/>
      </w:pPr>
      <w:r>
        <w:t>Acordando la suspensión parcial de la ejecución del acto que origina el recurso de amparo 448/1997.</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en este Tribunal el 5 de febrero de 1997, el Procurador de los Tribunales don Luciano Rosch Nadal, en nombre y representación de don Juan José Arenas Casas, interpuso recurso de amparo contra la Sentencia de la Sección Tercera de la Audiencia Provincial de Sevilla de 14 de enero de 1997, confirmatoria en apelación de la dictada por el Juzgado de lo Penal núm. 4 de Sevilla el 23 de diciembre de 1995, que condenó al recurrente por dos delitos contra la Hacienda Pública.</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La demanda se basa, en síntesis, en los siguientes hechos: </w:t>
      </w:r>
    </w:p>
    <w:p w:rsidR="00B01F4A" w:rsidRDefault="00B01F4A" w:rsidP="00B01F4A">
      <w:pPr>
        <w:pStyle w:val="TextoNormal"/>
      </w:pPr>
      <w:r>
        <w:t xml:space="preserve">a) Durante la tramitación de las diligencias previas núm. 1.527/90, seguidas ante el Juzgado de Instrucción núm. 6 de Sevilla (cuya constitucionalidad, como advierte el propio recurrente, está pendiente de ser enjuiciada por este Tribunal en el recurso de amparo núm. 2.600/94), se acumularon a las mismas otras distintas, las núm. 1.254/90, incoadas en fecha anterior, y en las que se habían practicado fundamentalmente una diligencia de intervención telefónica y otra posterior de entrada y registro en el domicilio social de «Corral de la Parra, S.A.», a raíz de la cual se produjo la antedicha acumulación. </w:t>
      </w:r>
    </w:p>
    <w:p w:rsidR="00B01F4A" w:rsidRDefault="00B01F4A" w:rsidP="00B01F4A">
      <w:pPr>
        <w:pStyle w:val="TextoNormal"/>
      </w:pPr>
      <w:r>
        <w:t xml:space="preserve">b) Tomando como base lo investigado en dichas diligencias núm. 1.254/90 y en las subsiguientes diligencias núm. 1.527/90, se celebró el juicio oral ante el Juzgado de lo Penal núm. 4 de Sevilla (asunto penal núm. 521/93). </w:t>
      </w:r>
    </w:p>
    <w:p w:rsidR="00B01F4A" w:rsidRDefault="00B01F4A" w:rsidP="00B01F4A">
      <w:pPr>
        <w:pStyle w:val="TextoNormal"/>
      </w:pPr>
      <w:r>
        <w:t xml:space="preserve">En el acto del juicio oral, la defensa del recurrente planteó como cuestión previa que se declarara la nulidad de la intervención telefónica, así como de la diligencia de entrada y registro, por derivar directamente de dicha intervención. Esta solicitud fue acogida por el Juzgado de lo Penal tan sólo en cuanto a la nulidad de la intervención telefónica. </w:t>
      </w:r>
    </w:p>
    <w:p w:rsidR="00B01F4A" w:rsidRDefault="00B01F4A" w:rsidP="00B01F4A">
      <w:pPr>
        <w:pStyle w:val="TextoNormal"/>
      </w:pPr>
      <w:r>
        <w:t xml:space="preserve">Las sesiones del juicio oral, que duraron ocho días, fueron grabadas íntegramente en cinta magnetofónica, por disposición expresa del Juzgado, en aplicación del art. 793.9 L.E.Crim. No obstante, una vez apelada la Sentencia, la Audiencia Provincial, por providencia de 25 de junio de 1996, no admitiría la validez de la grabación por no haber sido transcrita bajo la fe del Secretario. </w:t>
      </w:r>
    </w:p>
    <w:p w:rsidR="00B01F4A" w:rsidRDefault="00B01F4A" w:rsidP="00B01F4A">
      <w:pPr>
        <w:pStyle w:val="TextoNormal"/>
      </w:pPr>
      <w:r>
        <w:t xml:space="preserve">c) Una vez celebrado el juicio oral, el Juzgado de lo Penal núm. 4 de Sevilla dictó Sentencia de 23 de diciembre de 1995, por la que condenó al aquí demandante de amparo como </w:t>
      </w:r>
      <w:r>
        <w:lastRenderedPageBreak/>
        <w:t xml:space="preserve">autor de dos delitos contra la Hacienda Pública, no concurriendo circunstancias modificativas de la responsabilidad criminal, a las penas de un año de prisión menor, con las accesorias de privación de sufragio y ejercicio de cargo durante el tiempo de la condena y multa de 25.000.000 de pesetas en uno de los delitos y de 35.000.000 de pesetas en el otro, con arresto sustitutorio de sesenta y ochenta días, respectivamente. Se le impusieron, asimismo: la privación de la posibilidad de obtener subvenciones y de derecho a gozar de beneficios o incentivos fiscales durante un periodo de tres años, el pago al 50 por 100 con el otro acusado, don Juan José Guerra González, de la mitad de las costas del juicio, y, por último, el pago de una indemnización a la Hacienda Pública por importe de 33.642.968 pesetas y 20.742.240 pesetas. </w:t>
      </w:r>
    </w:p>
    <w:p w:rsidR="00B01F4A" w:rsidRDefault="00B01F4A" w:rsidP="00B01F4A">
      <w:pPr>
        <w:pStyle w:val="TextoNormal"/>
      </w:pPr>
      <w:r>
        <w:t>d) Contra dicha Sentencia la representación procesal del actual demandante de amparo interpuso recurso de apelación (rollo 1.692/96), que fue desestimado por Sentencia de la Sección Tercera de la Audiencia Provincial de Sevilla de 14 de enero de 1997 (notificada en esa misma fecha), la cual confirmó íntegramente la Sentencia recurrida.</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En la demanda se invocan las siguientes lesiones constitucionales: </w:t>
      </w:r>
    </w:p>
    <w:p w:rsidR="00B01F4A" w:rsidRDefault="00B01F4A" w:rsidP="00B01F4A">
      <w:pPr>
        <w:pStyle w:val="TextoNormal"/>
      </w:pPr>
      <w:r>
        <w:t xml:space="preserve">a) Derecho a un proceso con todas las garantías e indefensión, por haberse llevado a cabo en la instrucción penal una suerte de inquisitio generalis. </w:t>
      </w:r>
    </w:p>
    <w:p w:rsidR="00B01F4A" w:rsidRDefault="00B01F4A" w:rsidP="00B01F4A">
      <w:pPr>
        <w:pStyle w:val="TextoNormal"/>
      </w:pPr>
      <w:r>
        <w:t xml:space="preserve">En apoyo del presente motivo (que es igualmente objeto del recurso de amparo núm. 2.600/94) se afirma que las diligencias previas 1.254/90 nacieron de una diligencia de intervención telefónica radicalmente nula, de la que derivó una entrada y registro en la entidad «Corral de la Parra, S. A.», la que cabe predicar idéntica nulidad, pese a que se intentaron legalizar ambas actuaciones acumulando dichas diligencias 1.254/90 a las 1.527/90, acumulación que únicamente obedeció a que el recurrente en amparo era socio del Sr. Guerra González, contra el que se seguían estas últimas. </w:t>
      </w:r>
    </w:p>
    <w:p w:rsidR="00B01F4A" w:rsidRDefault="00B01F4A" w:rsidP="00B01F4A">
      <w:pPr>
        <w:pStyle w:val="TextoNormal"/>
      </w:pPr>
      <w:r>
        <w:t xml:space="preserve">De este modo, y sin que existiera previa denuncia alguna en su contra, el recurrente se vio inmerso en la inquisitio generalis que se estaba llevando a cabo contra el Sr. Guerra en las diligencias 1.527/90. </w:t>
      </w:r>
    </w:p>
    <w:p w:rsidR="00B01F4A" w:rsidRDefault="00B01F4A" w:rsidP="00B01F4A">
      <w:pPr>
        <w:pStyle w:val="TextoNormal"/>
      </w:pPr>
      <w:r>
        <w:t xml:space="preserve">Además, pese a que la petición policial de intervención telefónica es de 5 de marzo de 1990, y a que la entrada y registro se produce el 5 de abril de 1995, al recurrente no se le toma declaración hasta el 3 de agosto de 1990, en que la presta pero «en calidad de testigo», produciéndose así una injustificada demora en el traslado de la imputación que, junto a dicha declaración como testigo, generan una notoria situación de indefensión. </w:t>
      </w:r>
    </w:p>
    <w:p w:rsidR="00B01F4A" w:rsidRDefault="00B01F4A" w:rsidP="00B01F4A">
      <w:pPr>
        <w:pStyle w:val="TextoNormal"/>
      </w:pPr>
      <w:r>
        <w:t xml:space="preserve">b) Derecho a un proceso con todas las garantías, por ser nula la diligencia de entrada y registro al derivar de una previa intervención telefónica radicalmente nula. </w:t>
      </w:r>
    </w:p>
    <w:p w:rsidR="00B01F4A" w:rsidRDefault="00B01F4A" w:rsidP="00B01F4A">
      <w:pPr>
        <w:pStyle w:val="TextoNormal"/>
      </w:pPr>
      <w:r>
        <w:t xml:space="preserve">Se afirma en la demanda que fue el Juzgado de Instrucción núm. 2 de Sevilla quien autorizó la intervención telefónica, pero los resultados de la misma se remitieron inexplicablemente al Juzgado núm. 6, a quien también solicitó la policía el mandamiento de entrada y registro. </w:t>
      </w:r>
    </w:p>
    <w:p w:rsidR="00B01F4A" w:rsidRDefault="00B01F4A" w:rsidP="00B01F4A">
      <w:pPr>
        <w:pStyle w:val="TextoNormal"/>
      </w:pPr>
      <w:r>
        <w:t xml:space="preserve">El Juzgado de lo Penal núm. 4, que dictó la Sentencia de primera instancia, declaró nula la intervención telefónica, pero no así la posterior entrada y registro, al considerar que la misma no derivaba de aquella intervención sino de una declaración prestada ante la Fiscalía por el Sr. Guerra. El recurrente aduce, sin embargo, que la entrada y registro deriva inequívocamente de la escucha telefónica, como lo demuestra el hecho de que ambas actuaciones se adoptaran en las diligencias previas 1.254/90, y no en las 1.527/90. Además, el hecho de que el Sr. Guerra pudiera aludir en su declaración a la entidad «Corral de la Parra, S. A.», no justifica sin más el registro en la misma. </w:t>
      </w:r>
    </w:p>
    <w:p w:rsidR="00B01F4A" w:rsidRDefault="00B01F4A" w:rsidP="00B01F4A">
      <w:pPr>
        <w:pStyle w:val="TextoNormal"/>
      </w:pPr>
      <w:r>
        <w:lastRenderedPageBreak/>
        <w:t xml:space="preserve">La nulidad de esta diligencia de entrada y registro, acordada por Auto de fecha 5 de abril de 1990, también es objeto del recurso de amparo núm. 2.600/94. </w:t>
      </w:r>
    </w:p>
    <w:p w:rsidR="00B01F4A" w:rsidRDefault="00B01F4A" w:rsidP="00B01F4A">
      <w:pPr>
        <w:pStyle w:val="TextoNormal"/>
      </w:pPr>
      <w:r>
        <w:t xml:space="preserve">c) Derecho a la inviolabilidad del domicilio, por la entrada y registro en la entidad «Corral de la Parra, S. A.». </w:t>
      </w:r>
    </w:p>
    <w:p w:rsidR="00B01F4A" w:rsidRDefault="00B01F4A" w:rsidP="00B01F4A">
      <w:pPr>
        <w:pStyle w:val="TextoNormal"/>
      </w:pPr>
      <w:r>
        <w:t xml:space="preserve">Por si fuere desestimado el motivo anterior, el recurrente aduce subsidiariamente la lesión del art. 18.2 C.E. por diversas irregularidades acaecidas en tomo a la diligencia de entrada y registro, a saber: 1) el oficio policial de solicitud del mandamiento de entrada y registro se fundamentaba exclusivamente en la existencia de «operaciones mercantiles» (no, pues, de delito alguno) entre las sociedades «H.R.T.» y «Coral de la Parra, S. A.»; 2) el Auto autorizando la entrada y registro carece de toda motivación; y 3) las actas de la diligencia no se firmaron por los intervinientes hasta dos años después de su práctica. </w:t>
      </w:r>
    </w:p>
    <w:p w:rsidR="00B01F4A" w:rsidRDefault="00B01F4A" w:rsidP="00B01F4A">
      <w:pPr>
        <w:pStyle w:val="TextoNormal"/>
      </w:pPr>
      <w:r>
        <w:t xml:space="preserve">d) Derecho a un proceso con todas las garantías, por haberse decretado en apelación la invalidez de la grabación magnetofónica del juicio oral de primera instancia. </w:t>
      </w:r>
    </w:p>
    <w:p w:rsidR="00B01F4A" w:rsidRDefault="00B01F4A" w:rsidP="00B01F4A">
      <w:pPr>
        <w:pStyle w:val="TextoNormal"/>
      </w:pPr>
      <w:r>
        <w:t xml:space="preserve">Pese a que las sesiones del juicio oral ante el Juzgado de lo Penal núm. 4 fueron grabadas magnetofónicamente, la Audiencia de Sevilla estimó en segunda instancia que dichas cintas, sobre cuyo contenido se asentaba buena parte del recurso interpuesto por el demandante de amparo, carecían de todo valor al no haber sido transcritas bajo la fe del Secretario, lo que genera indefensión puesto que el acta del juicio oral levantada por el Secretario es muy sucinta e incompleta, dado que se confiaba en que todo lo actuado estaba siendo grabado en cinta magnetofónica. </w:t>
      </w:r>
    </w:p>
    <w:p w:rsidR="00B01F4A" w:rsidRDefault="00B01F4A" w:rsidP="00B01F4A">
      <w:pPr>
        <w:pStyle w:val="TextoNormal"/>
      </w:pPr>
      <w:r>
        <w:t xml:space="preserve">En todo caso, además, la Audiencia debió ordenar de oficio que se autentificaran las cintas. Al no hacerlo ni dotar de valor probatorio alguno a las mismas, ha vulnerado el art. 24 C.E. </w:t>
      </w:r>
    </w:p>
    <w:p w:rsidR="00B01F4A" w:rsidRDefault="00B01F4A" w:rsidP="00B01F4A">
      <w:pPr>
        <w:pStyle w:val="TextoNormal"/>
      </w:pPr>
      <w:r>
        <w:t xml:space="preserve">e) Vulneración del principio acusatorio, por ser imprecisa e inconcreta la acusación. </w:t>
      </w:r>
    </w:p>
    <w:p w:rsidR="00B01F4A" w:rsidRDefault="00B01F4A" w:rsidP="00B01F4A">
      <w:pPr>
        <w:pStyle w:val="TextoNormal"/>
      </w:pPr>
      <w:r>
        <w:t xml:space="preserve">Se argumenta que el escrito de calificación provisional del Ministerio Fiscal daba por supuesta la existencia de una evasión en una serie de ejercicios fiscales, pero sin concretar numéricamente el supuesto fraude ni identificar las declaraciones omitidas o erróneas, lo que infringe el art. 650 L.E.Crim. e impide el ejercicio del derecho de defensa. </w:t>
      </w:r>
    </w:p>
    <w:p w:rsidR="00B01F4A" w:rsidRDefault="00B01F4A" w:rsidP="00B01F4A">
      <w:pPr>
        <w:pStyle w:val="TextoNormal"/>
      </w:pPr>
      <w:r>
        <w:t xml:space="preserve">Además, en el acto del juicio oral, el Ministerio Fiscal introdujo sorpresivamente nuevos datos fiscales sobre los que previamente no había sido acusado. </w:t>
      </w:r>
    </w:p>
    <w:p w:rsidR="00B01F4A" w:rsidRDefault="00B01F4A" w:rsidP="00B01F4A">
      <w:pPr>
        <w:pStyle w:val="TextoNormal"/>
      </w:pPr>
      <w:r>
        <w:t xml:space="preserve">f) Derecho a la presunción de inocencia, por haberse utilizado una norma tributaria que invierte la carga de la prueba. </w:t>
      </w:r>
    </w:p>
    <w:p w:rsidR="00B01F4A" w:rsidRDefault="00B01F4A" w:rsidP="00B01F4A">
      <w:pPr>
        <w:pStyle w:val="TextoNormal"/>
      </w:pPr>
      <w:r>
        <w:t xml:space="preserve">Afirma el recurrente que el concepto de incremento patrimonial empleado por el art. 20 de la Ley del I.R.P.F. de 1978 opera como una presunción iuris tantum como una fictio legis, por lo que no puede aplicarse al proceso penal al originar un desplazamiento de la carga de la prueba contrario al derecho a la presunción de inocencia. </w:t>
      </w:r>
    </w:p>
    <w:p w:rsidR="00B01F4A" w:rsidRDefault="00B01F4A" w:rsidP="00B01F4A">
      <w:pPr>
        <w:pStyle w:val="TextoNormal"/>
      </w:pPr>
      <w:r>
        <w:t xml:space="preserve">g) Derecho a la asistencia letrada. </w:t>
      </w:r>
    </w:p>
    <w:p w:rsidR="00B01F4A" w:rsidRDefault="00B01F4A" w:rsidP="00B01F4A">
      <w:pPr>
        <w:pStyle w:val="TextoNormal"/>
      </w:pPr>
      <w:r>
        <w:t xml:space="preserve">Pese a que en el juicio oral de primera instancia el recurrente se valió de dos distintos letrados (un especialista en temas penales y otro en temas fiscales), a los que se permitió informar en defensa del acusado, en segunda instancia tan sólo autorizó la Audiencia a informar a uno de ellos, por lo que la defensa que se desplegó en segunda instancia no fue completa, lo que lo ocasionó indefensión. </w:t>
      </w:r>
    </w:p>
    <w:p w:rsidR="00B01F4A" w:rsidRDefault="00B01F4A" w:rsidP="00B01F4A">
      <w:pPr>
        <w:pStyle w:val="TextoNormal"/>
      </w:pPr>
      <w:r>
        <w:t xml:space="preserve">Por todo ello, se solicita en la demanda el otorgamiento del amparo y la declaración de nulidad de las resoluciones recurridas y de todas aquellas actuaciones procesales que hayan vulnerado los expresados derechos fundamentales. </w:t>
      </w:r>
    </w:p>
    <w:p w:rsidR="00B01F4A" w:rsidRDefault="00B01F4A" w:rsidP="00B01F4A">
      <w:pPr>
        <w:pStyle w:val="TextoNormal"/>
      </w:pPr>
      <w:r>
        <w:t>Mediante otrosí se solicita también la suspensión de la ejecución de la Sentencia recurrida, dado que la misma ocasionaría al recurrente un perjuicio irreparable que haría perder al presente recurso su finalidad.</w:t>
      </w:r>
    </w:p>
    <w:p w:rsidR="00B01F4A" w:rsidRDefault="00B01F4A" w:rsidP="00B01F4A">
      <w:pPr>
        <w:pStyle w:val="TextoNormal"/>
      </w:pPr>
    </w:p>
    <w:p w:rsidR="00B01F4A" w:rsidRDefault="00B01F4A" w:rsidP="00B01F4A">
      <w:pPr>
        <w:pStyle w:val="TextoNormal"/>
      </w:pPr>
      <w:r w:rsidRPr="00B01F4A">
        <w:rPr>
          <w:rStyle w:val="NumeroAFNegritaCaracter"/>
        </w:rPr>
        <w:t>4</w:t>
      </w:r>
      <w:r>
        <w:t>. Por providencia de 3 de marzo de 1997, la Sección Segunda de este Tribunal acordó admitir a trámite la demanda de amparo, sin perjuicio de lo que resulte de los antecedentes; a tenor de lo dispuesto en el art. 51 LOTC, requerir atentamente a la Audiencia Provincial de Sevilla y al Juzgado de lo Penal núm. 4 de la misma ciudad para que emitieran testimonio del recurso de apelación núm. 1.692/96 y del asunto penal núm. 521/93, respectivamente, interesando, al propio tiempo, el emplazamiento de cuantos fueron parte en el procedimiento judicial, excepto el recurrente en amparo, para su posible comparecencia en el presente proceso constitucional; y, conforme a lo solicitado por la parte actora, formar la correspondiente pieza separada de suspensión.</w:t>
      </w:r>
    </w:p>
    <w:p w:rsidR="00B01F4A" w:rsidRDefault="00B01F4A" w:rsidP="00B01F4A">
      <w:pPr>
        <w:pStyle w:val="TextoNormal"/>
      </w:pPr>
    </w:p>
    <w:p w:rsidR="00B01F4A" w:rsidRDefault="00B01F4A" w:rsidP="00B01F4A">
      <w:pPr>
        <w:pStyle w:val="TextoNormal"/>
      </w:pPr>
      <w:r w:rsidRPr="00B01F4A">
        <w:rPr>
          <w:rStyle w:val="NumeroAFNegritaCaracter"/>
        </w:rPr>
        <w:t>5</w:t>
      </w:r>
      <w:r>
        <w:t>. Por providencia de la misma fecha, la Sección Segunda acordó tener por formada la presente pieza separada de suspensión y, de conformidad con lo previsto en el art. 56 LOTC, conceder al Ministerio Fiscal y al solicitante del amparo un plazo común de tres días para alegaciones sobre dicha suspensión.</w:t>
      </w:r>
    </w:p>
    <w:p w:rsidR="00B01F4A" w:rsidRDefault="00B01F4A" w:rsidP="00B01F4A">
      <w:pPr>
        <w:pStyle w:val="TextoNormal"/>
      </w:pPr>
    </w:p>
    <w:p w:rsidR="00B01F4A" w:rsidRDefault="00B01F4A" w:rsidP="00B01F4A">
      <w:pPr>
        <w:pStyle w:val="TextoNormal"/>
      </w:pPr>
      <w:r w:rsidRPr="00B01F4A">
        <w:rPr>
          <w:rStyle w:val="NumeroAFNegritaCaracter"/>
        </w:rPr>
        <w:t>6</w:t>
      </w:r>
      <w:r>
        <w:t xml:space="preserve">. Mediante escrito presentado en el Juzgado de Guardia el 4 de marzo de 1997 y registrado en este Tribunal al día siguiente, la representación del recurrente reiteró su solicitud de suspensión de la ejecución de la Sentencia recurrida. </w:t>
      </w:r>
    </w:p>
    <w:p w:rsidR="00B01F4A" w:rsidRDefault="00B01F4A" w:rsidP="00B01F4A">
      <w:pPr>
        <w:pStyle w:val="TextoNormal"/>
      </w:pPr>
      <w:r>
        <w:t xml:space="preserve">Entiende dicha representación que, dado que la Sentencia recurrida ha sido dictada en unas actuaciones ya impugnadas en su conjunto por el recurrente y el Sr. Guerra González en el recurso de amparo núm. 2.600/94, pendiente todavía de Sentencia, y que existe una coincidencia parcial entre los motivos de dicho recurso y del actual, no sería inoportuno suspender su ejecución hasta que se dicte Sentencia en ese otro recurso de amparo. </w:t>
      </w:r>
    </w:p>
    <w:p w:rsidR="00B01F4A" w:rsidRDefault="00B01F4A" w:rsidP="00B01F4A">
      <w:pPr>
        <w:pStyle w:val="TextoNormal"/>
      </w:pPr>
      <w:r>
        <w:t>Con independencia de lo anterior, solicita la suspensión para evitar los perjuicios irreparables, en el orden personal y patrimonial, que le produciría al recurrente la ejecución de la Sentencia impugnada.</w:t>
      </w:r>
    </w:p>
    <w:p w:rsidR="00B01F4A" w:rsidRDefault="00B01F4A" w:rsidP="00B01F4A">
      <w:pPr>
        <w:pStyle w:val="TextoNormal"/>
      </w:pPr>
    </w:p>
    <w:p w:rsidR="00B01F4A" w:rsidRDefault="00B01F4A" w:rsidP="00B01F4A">
      <w:pPr>
        <w:pStyle w:val="TextoNormal"/>
      </w:pPr>
      <w:r w:rsidRPr="00B01F4A">
        <w:rPr>
          <w:rStyle w:val="NumeroAFNegritaCaracter"/>
        </w:rPr>
        <w:t>7</w:t>
      </w:r>
      <w:r>
        <w:t xml:space="preserve">. Mediante escrito registrado el 6 de marzo de 1997, el Ministerio Fiscal entiende que, en aplicación de la doctrina de este Tribunal, procede: </w:t>
      </w:r>
    </w:p>
    <w:p w:rsidR="00B01F4A" w:rsidRDefault="00B01F4A" w:rsidP="00B01F4A">
      <w:pPr>
        <w:pStyle w:val="TextoNormal"/>
      </w:pPr>
      <w:r>
        <w:t xml:space="preserve">a) Suspender la ejecución de la pena privativa de libertad impuesta, así como de sus accesorias legales, y de los arrestos sustitutorios impuestos por el impago de las multas establecidas en la Sentencia, por cuanto de no hacerse así y el presente recurso de amparo se estimara, su objeto quedaría desprovisto de virtualidad. </w:t>
      </w:r>
    </w:p>
    <w:p w:rsidR="00B01F4A" w:rsidRDefault="00B01F4A" w:rsidP="00B01F4A">
      <w:pPr>
        <w:pStyle w:val="TextoNormal"/>
      </w:pPr>
      <w:r>
        <w:t xml:space="preserve">Nada se opone, a su juicio, a esta suspensión, puesto que, por un lado, los delitos por los que el recurrente fue condenado no constituyen ilícitos que revelen una notoria gravedad ni tampoco que hayan generado una especial alarma social en su comisión, como lo prueba el hecho de que el Juzgador de instancia, a la hora de individualizar la pena, la haya impuesto en su grado mínimo, y, por otro, las penas privativas de libertad impuestas (de un año de prisión menor por cada uno de ellos) tampoco son de excesiva duración, por lo que de no concederse la suspensión, podría devenir, con notoria probabilidad, la ineficacia práctica del amparo. </w:t>
      </w:r>
    </w:p>
    <w:p w:rsidR="00B01F4A" w:rsidRDefault="00B01F4A" w:rsidP="00B01F4A">
      <w:pPr>
        <w:pStyle w:val="TextoNormal"/>
      </w:pPr>
      <w:r>
        <w:t xml:space="preserve">b) No suspender los pronunciamientos relativos al pago de las multas, responsabilidad civil, costas y obtención de beneficios o incentivos fiscales. </w:t>
      </w:r>
    </w:p>
    <w:p w:rsidR="00B01F4A" w:rsidRDefault="00B01F4A" w:rsidP="00B01F4A">
      <w:pPr>
        <w:pStyle w:val="TextoNormal"/>
      </w:pPr>
      <w:r>
        <w:lastRenderedPageBreak/>
        <w:t>En relación con las indemnizaciones, alega que por haber sido reconocidas en favor de la Hacienda Pública, su eventual devolución está garantizada. Y, en relación con la imposibilidad de obtener beneficios o incentivos fiscales, que no genera ningún tipo de perjuicio irreparable, por tratarse de la interdicción de hipotéticas expectativas de derechos futuros.</w:t>
      </w:r>
    </w:p>
    <w:p w:rsidR="00B01F4A" w:rsidRDefault="00B01F4A" w:rsidP="00B01F4A">
      <w:pPr>
        <w:pStyle w:val="TextoNormal"/>
      </w:pPr>
    </w:p>
    <w:p w:rsidR="00B01F4A" w:rsidRDefault="00B01F4A" w:rsidP="00B01F4A">
      <w:pPr>
        <w:pStyle w:val="TextoNormal"/>
      </w:pPr>
      <w:r w:rsidRPr="00B01F4A">
        <w:rPr>
          <w:rStyle w:val="NumeroAFNegritaCaracter"/>
        </w:rPr>
        <w:t>8</w:t>
      </w:r>
      <w:r>
        <w:t xml:space="preserve">. Mediante escrito registrado el 6 de marzo, el Abogado del Estado suplica que se deniegue la suspensión solicitada por las razones siguientes: </w:t>
      </w:r>
    </w:p>
    <w:p w:rsidR="00B01F4A" w:rsidRDefault="00B01F4A" w:rsidP="00B01F4A">
      <w:pPr>
        <w:pStyle w:val="TextoNormal"/>
      </w:pPr>
      <w:r>
        <w:t xml:space="preserve">Alega, en primer lugar, que el número de Sentencias penales condenatorias que acceden a este Tribunal bajo la invocación de haberse vulnerado algún derecho fundamental representa porcentualmente una cortísima proporción de las dictadas por la jurisdicción penal, y, si pasan el filtro necesariamente estrecho de la admisión a trámite, ello no ha de responder forzosamente a una mayor razonabilidad de las pretensiones o de los argumentos aducidos, sino acaso al mayor interés objetivo que para la interpretación de la Constitución y para la mejor depuración teórica de los derechos fundamentales presenten unos asuntos sobre otros. </w:t>
      </w:r>
    </w:p>
    <w:p w:rsidR="00B01F4A" w:rsidRDefault="00B01F4A" w:rsidP="00B01F4A">
      <w:pPr>
        <w:pStyle w:val="TextoNormal"/>
      </w:pPr>
      <w:r>
        <w:t xml:space="preserve">Así, pues, a su juicio, la singularidad numérica de los casos de amparo exige una correlativa excepcionalidad en el otorgamiento de las suspensiones interesadas, porque en el momento de juzgar sobre la suspensión no hay razones para estimar que las Sentencias impugnadas gocen de un menor grado de firmeza que las que no lo han sido, ni sería comprensible establecer una diferencia de trato entre ellas por una razón que, como la irreversibilidad de los perjuicios, sería común a todas las Sentencias condenatorias. </w:t>
      </w:r>
    </w:p>
    <w:p w:rsidR="00B01F4A" w:rsidRDefault="00B01F4A" w:rsidP="00B01F4A">
      <w:pPr>
        <w:pStyle w:val="TextoNormal"/>
      </w:pPr>
      <w:r>
        <w:t xml:space="preserve">Por contra, el interés público concurrente en la ejecución de las Sentencias judiciales es, si se quiere, más intenso en las Sentencias penales, y en los casos en los que el delito perseguido ha permitido crear una mayor alarma social. El cumplimiento de las penas favorece la confianza en la Justicia, mientras que su suspensión corre el riesgo de no ser bien comprendida por los ciudadanos, que inevitablemente se fijan en el número mayoritario de condenas a las que se da cumplimiento inmediato. </w:t>
      </w:r>
    </w:p>
    <w:p w:rsidR="00B01F4A" w:rsidRDefault="00B01F4A" w:rsidP="00B01F4A">
      <w:pPr>
        <w:pStyle w:val="TextoNormal"/>
      </w:pPr>
      <w:r>
        <w:t>Finalmente, el demandante no justifica en qué medida la condena habría de representar su ingreso en prisión ni tampoco en qué medida afectaría la ejecución o la suspensión a los restantes pronunciamientos o a los derechos fundamentales alegados.</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B01F4A" w:rsidRDefault="00B01F4A" w:rsidP="00B01F4A">
      <w:pPr>
        <w:pStyle w:val="TextoNormal"/>
      </w:pPr>
      <w:r>
        <w:t>En la interpretación de la referida disposición, este Tribunal viene manteniendo que cuando el recurso se dirige contra resoluciones judiciales, lo más acorde con el interés general es su cumplimiento, que dota de efectividad a la tutela judicial consagrada por el art. 24.1 C.E., por lo que, en tales casos, será necesario que se acredite suficientemente la irreparabilidad del perjuicio que pudiera traer consigo la ejecución de la resolución impugnada, privando al amparo de su finalidad, para que la medida cautelar que se interesa pueda prosperar.</w:t>
      </w:r>
    </w:p>
    <w:p w:rsidR="00B01F4A" w:rsidRDefault="00B01F4A" w:rsidP="00B01F4A">
      <w:pPr>
        <w:pStyle w:val="TextoNormal"/>
      </w:pPr>
      <w:r>
        <w:lastRenderedPageBreak/>
        <w:t>Conforme a tal criterio interpretativo, este Tribunal viene distinguiendo entre las resoluciones judiciales que imponen penas privativas de libertad o afectan a otros bienes o derechos de imposible o difícil restitución a su estado anterior y las que tienen efectos meramente económicos. En cuanto a las que imponen penas privativas de libertad, la regla general viene siendo la suspensión de su ejecución, por la irreparabilidad del perjuicio que ocasionaría su cumplimiento durante la tramitación del recurso de amparo si finalmente éste se otorgara, aun cuando caben excepciones atendiendo a la gravedad de los hechos y a la duración de la pena impuesta. Del mismo modo se suele acceder a la suspensión de las penas accesorias legales de las privativas de libertad durante el tiempo de la condena, por entender que han de seguir la misma suerte que la pena principal a la que acompañan.</w:t>
      </w:r>
    </w:p>
    <w:p w:rsidR="00B01F4A" w:rsidRDefault="00B01F4A" w:rsidP="00B01F4A">
      <w:pPr>
        <w:pStyle w:val="TextoNormal"/>
      </w:pPr>
      <w:r>
        <w:t>Por el contrario, frente a las resoluciones judiciales con efectos meramente económicos, la regla general viene siendo la no suspensión de su ejecución, porque en tales casos los perjuicios no suelen ser de imposible o difícil reparación. Este criterio es aplicable, entre otros supuestos, a las multas, indemnizaciones y condenas en costas. Dicha regla presenta, sin embargo, una excepción general en aquellos supuestos en que por razón de la cuantía de la condena pecuniaria o por las circunstancias que concurran en el caso, su cumplimiento podría ocasionar daños irreparables, los cuales, no obstante, habrán de ser siempre acreditados, cuando menos mediante un principio razonable de prueba. Igualmente tiene una excepción específica para los supuestos en que la pena de multa lleve como anexo el arresto sustitutorio en caso de impago, en cuyo caso este Tribunal suele acordar que se suspenda su ejecución si el condenado deviniera insolvente (AATC 321/1995, 118/1996 y 122/1996).</w:t>
      </w:r>
    </w:p>
    <w:p w:rsidR="00B01F4A" w:rsidRDefault="00B01F4A" w:rsidP="00B01F4A">
      <w:pPr>
        <w:pStyle w:val="TextoNormal"/>
      </w:pPr>
    </w:p>
    <w:p w:rsidR="00B01F4A" w:rsidRDefault="00B01F4A" w:rsidP="00B01F4A">
      <w:pPr>
        <w:pStyle w:val="TextoNormal"/>
      </w:pPr>
      <w:r w:rsidRPr="00B01F4A">
        <w:rPr>
          <w:rStyle w:val="NumeroAFNegritaCaracter"/>
        </w:rPr>
        <w:t>2</w:t>
      </w:r>
      <w:r>
        <w:t>. Aplicando los anteriores criterios al caso presente, procede acordar la suspensión de la ejecución de las Sentencias impugnadas por lo que respecta a las dos penas privativas de libertad de un año de prisión menor cada una impuestas al demandante de amparo, así como por lo que se refiere a las accesorias legales de privación de sufragio y ejercicio de cargo durante el tiempo de la condena.</w:t>
      </w:r>
    </w:p>
    <w:p w:rsidR="00B01F4A" w:rsidRDefault="00B01F4A" w:rsidP="00B01F4A">
      <w:pPr>
        <w:pStyle w:val="TextoNormal"/>
      </w:pPr>
      <w:r>
        <w:t>Procede, igualmente, la suspensión de la ejecución de las penas de multa de 25.000.000 de pesetas y 35.000.000 de pesetas, en el caso de que su impago por insolvencia diera lugar a la imposición de los arrestos sustitutorios de sesenta y ochenta días, respectivamente, previstos en las Sentencias impugnadas.</w:t>
      </w:r>
    </w:p>
    <w:p w:rsidR="00B01F4A" w:rsidRDefault="00B01F4A" w:rsidP="00B01F4A">
      <w:pPr>
        <w:pStyle w:val="TextoNormal"/>
      </w:pPr>
      <w:r>
        <w:t>No procede, en cambio, acordar la suspensión de la ejecución de dichas Sentencias en lo relativo al pago de las costas procesales, indemnizaciones a la Hacienda Pública y privación de la posibilidad de obtener subvenciones y del derecho a gozar de beneficios o incentivos fiscales durante un periodo de tres años, debido a sus efectos meramente económicos, a que no concurre circunstancia alguna que haga peligrar el resarcimiento caso de que el amparo prosperase, y a que el recurrente no aporta ningún principio de prueba sobre la eventual producción de perjuicios irreparables. En relación con la privación temporal de la imposibilidad de obtener subvenciones o beneficios fiscales, cabe añadir, como señala el Ministerio Fiscal, el carácter no actual, aparte de puramente económico, de los eventuales perjuicios.</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lo expuesto, la Sala acuerda:</w:t>
      </w:r>
    </w:p>
    <w:p w:rsidR="00B01F4A" w:rsidRDefault="00B01F4A" w:rsidP="00B01F4A">
      <w:pPr>
        <w:pStyle w:val="TextoNormal"/>
      </w:pPr>
      <w:r>
        <w:lastRenderedPageBreak/>
        <w:t>1.º Haber lugar a la suspensión de la ejecución de las Sentencias impugnadas del Juzgado de lo Penal núm. 4 de Sevilla de 23 de diciembre de 1995 y de la Sección Tercera de la Audiencia Provincial de Sevilla de 14 de enero de 1997 en cuanto a las dos</w:t>
      </w:r>
    </w:p>
    <w:p w:rsidR="00B01F4A" w:rsidRDefault="00B01F4A" w:rsidP="00B01F4A">
      <w:pPr>
        <w:pStyle w:val="TextoNormal"/>
      </w:pPr>
      <w:r>
        <w:t>penas privativas de libertad de un año de prisión menor cada una impuestas al recurrente, y en cuanto a las accesorias legales de privación de sufragio y ejercicio de cargo público durante el tiempo de la condena; así como en relación con las penas de</w:t>
      </w:r>
    </w:p>
    <w:p w:rsidR="00B01F4A" w:rsidRDefault="00B01F4A" w:rsidP="00B01F4A">
      <w:pPr>
        <w:pStyle w:val="TextoNormal"/>
      </w:pPr>
      <w:r>
        <w:t>multa de 25.000.000 de pesetas y 35.000.000 de pesetas, en el caso de que su impago por insolvencia diera lugar a la imposición de los arrestos sustitutorios de sesenta y ochenta días, respectivamente, previstos en dichas Sentencias.</w:t>
      </w:r>
    </w:p>
    <w:p w:rsidR="00B01F4A" w:rsidRDefault="00B01F4A" w:rsidP="00B01F4A">
      <w:pPr>
        <w:pStyle w:val="TextoNormal"/>
      </w:pPr>
      <w:r>
        <w:t>2.º No haber lugar a la suspensión de la ejecución de dichas Sentencias en cuanto al pago de las costas procesales, indemnizaciones a la Hacienda Publica y privación de la posibilidad de obtener subvenciones y del derecho a gozar de beneficios o</w:t>
      </w:r>
    </w:p>
    <w:p w:rsidR="00B01F4A" w:rsidRDefault="00B01F4A" w:rsidP="00B01F4A">
      <w:pPr>
        <w:pStyle w:val="TextoNormal"/>
      </w:pPr>
      <w:r>
        <w:t>incentivos fiscales durante un periodo de tres años.</w:t>
      </w:r>
    </w:p>
    <w:p w:rsidR="00B01F4A" w:rsidRDefault="00B01F4A" w:rsidP="00B01F4A">
      <w:pPr>
        <w:pStyle w:val="TextoNormal"/>
      </w:pPr>
    </w:p>
    <w:p w:rsidR="00B01F4A" w:rsidRDefault="00B01F4A" w:rsidP="00B01F4A">
      <w:pPr>
        <w:pStyle w:val="TextoNormal"/>
      </w:pPr>
      <w:r>
        <w:t>Madrid, a diecisiete de marzo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78" w:name="AUTO_1997_88"/>
      <w:r>
        <w:lastRenderedPageBreak/>
        <w:t>AUTO 88/1997, de 17 de marzo de 1997</w:t>
      </w:r>
    </w:p>
    <w:bookmarkEnd w:id="178"/>
    <w:p w:rsidR="00B01F4A" w:rsidRDefault="00B01F4A" w:rsidP="00B01F4A">
      <w:pPr>
        <w:pStyle w:val="TtuloResolucin"/>
      </w:pPr>
      <w:r>
        <w:t>Sala Primera</w:t>
      </w:r>
    </w:p>
    <w:p w:rsidR="00B01F4A" w:rsidRDefault="00B01F4A" w:rsidP="00B01F4A">
      <w:pPr>
        <w:pStyle w:val="TtuloResolucin"/>
      </w:pPr>
    </w:p>
    <w:p w:rsidR="00B01F4A" w:rsidRDefault="00B01F4A" w:rsidP="00B01F4A">
      <w:pPr>
        <w:pStyle w:val="SntesisDescriptiva"/>
      </w:pPr>
      <w:r>
        <w:t>ECLI:ES:TC:1997:88A</w:t>
      </w:r>
    </w:p>
    <w:p w:rsidR="00B01F4A" w:rsidRDefault="00B01F4A" w:rsidP="00B01F4A">
      <w:pPr>
        <w:pStyle w:val="SntesisDescriptiva"/>
      </w:pPr>
    </w:p>
    <w:p w:rsidR="00B01F4A" w:rsidRDefault="00B01F4A" w:rsidP="00B01F4A">
      <w:pPr>
        <w:pStyle w:val="SntesisDescriptiva"/>
      </w:pPr>
      <w:r>
        <w:t>Excms. Srs. don Álvaro Rodríguez Bereijo, don José Vicente Gimeno Sendra, don Pedro Cruz Villalón, don Enrique Ruiz Vadillo, don Manuel Jiménez de Parga y Cabrera y don Pablo García Manzano.</w:t>
      </w:r>
    </w:p>
    <w:p w:rsidR="00B01F4A" w:rsidRDefault="00B01F4A" w:rsidP="00B01F4A">
      <w:pPr>
        <w:pStyle w:val="SntesisDescriptiva"/>
      </w:pPr>
    </w:p>
    <w:p w:rsidR="00B01F4A" w:rsidRDefault="00B01F4A" w:rsidP="00B01F4A">
      <w:pPr>
        <w:pStyle w:val="SntesisDescriptiva"/>
      </w:pPr>
      <w:r>
        <w:t>Acordando la suspensión parcial de la ejecución del acto que origina el recurso de amparo 449/1997.</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en este Tribunal el 5 de febrero de 1997, el Procurador de los Tribunales don Luciano Rosch Nadal, en nombre y representación de don Juan José Guerra González, interpuso recurso de amparo contra las Sentencias del Juzgado de lo Penal núm. 4 de Sevilla, de 23 de diciembre de 1995, y de la Sección Tercera de la Audiencia Provincial de Sevilla, de 14 de enero de 1997, confirmatoria esta última en apelación de la primera, en virtud de las cuales se condenó al recurrente por dos delitos contra la Hacienda Pública, así como contra el Auto de dicha Sección Tercera, de 7 de diciembre de 1990, denegatorio en queja de la solicitud de nulidad de actuaciones en relación con la instrucción del proceso penal.</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La demanda se basa en los siguientes hechos: </w:t>
      </w:r>
    </w:p>
    <w:p w:rsidR="00B01F4A" w:rsidRDefault="00B01F4A" w:rsidP="00B01F4A">
      <w:pPr>
        <w:pStyle w:val="TextoNormal"/>
      </w:pPr>
      <w:r>
        <w:t xml:space="preserve">a) Sirven de base para el presente recurso, en primer lugar, los mismos hechos que dieron lugar al recurso de amparo núm. 9/91 contra el Auto de la Sección Tercera de la Audiencia Provincial de Sevilla, de 7 de diciembre de 1990, desestimatorio en queja de la solicitud de nulidad de actuaciones en relación con la tramitación por el Juzgado de Instrucción núm. 6 de Sevilla de las diligencias previas núm. 1.527/90, y que fue resuelto por la STC 63/1996, declarando la inadmisibilidad del recurso por falta de agotamiento de la vía judicial previa. </w:t>
      </w:r>
    </w:p>
    <w:p w:rsidR="00B01F4A" w:rsidRDefault="00B01F4A" w:rsidP="00B01F4A">
      <w:pPr>
        <w:pStyle w:val="TextoNormal"/>
      </w:pPr>
      <w:r>
        <w:t xml:space="preserve">b) Una vez concluida la instrucción y celebrado el juicio oral (asunto penal núm. 521/93), el Juzgado de lo Penal núm. 4 de Sevilla dictó Sentencia de 23 de diciembre de 1995, por la que condenó al ahora demandante de amparo como autor de dos delitos contra la Hacienda Pública, no concurriendo circunstancias modificativas de la responsabilidad criminal, a las penas de un año de prisión menor, con las accesorias de privación de sufragio y ejercicio de cargo público durante el tiempo de la condena, y multa de 25.000.000 de pesetas, con sesenta días de arresto sustitutorio caso de impago por insolvencia por cada uno de ellos. Se le impusieron, asimismo: la privación de la posibilidad de obtener subvenciones y del derecho a gozar de beneficios o incentivos fiscales durante un período de tres años, el pago al 50 por 100 con el otro acusado (don Juan José Arenas Casas) de la mitad de las costas del juicio, y, por último, el pago de una indemnización a la Hacienda Pública por importe de 20.801.157 pesetas y 21.419.783 pesetas. </w:t>
      </w:r>
    </w:p>
    <w:p w:rsidR="00B01F4A" w:rsidRDefault="00B01F4A" w:rsidP="00B01F4A">
      <w:pPr>
        <w:pStyle w:val="TextoNormal"/>
      </w:pPr>
      <w:r>
        <w:lastRenderedPageBreak/>
        <w:t>c) Contra dicha Sentencia, la representación procesal del actual demandante de amparo recurso de apelación (rollo 1.692/96), que fue desestimado por Sentencia de la Sección Tercera de la Audiencia Provincial de Sevilla, de 14 de enero de 1997 (notificada en esa misma fecha), la cual confirmó íntegramente la Sentencia recurrida.</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En la demanda se invocan las siguientes lesiones constitucionales: </w:t>
      </w:r>
    </w:p>
    <w:p w:rsidR="00B01F4A" w:rsidRDefault="00B01F4A" w:rsidP="00B01F4A">
      <w:pPr>
        <w:pStyle w:val="TextoNormal"/>
      </w:pPr>
      <w:r>
        <w:t xml:space="preserve">a) Derecho de defensa, por tramitación de un proceso inquisitorial a cargo de un Juez instructor no imparcial. </w:t>
      </w:r>
    </w:p>
    <w:p w:rsidR="00B01F4A" w:rsidRDefault="00B01F4A" w:rsidP="00B01F4A">
      <w:pPr>
        <w:pStyle w:val="TextoNormal"/>
      </w:pPr>
      <w:r>
        <w:t xml:space="preserve">Se aducen en este primer motivo de impugnación la totalidad de las irregularidades que supuestamente han acaecido en la instrucción de las diligencias previas núm. 1.527/90, cuya constitucionalidad es objeto del recurso de amparo núm. 2.600/94, interpuesto por el aquí recurrente en amparo y el Sr. Arenas Casas, y pendiente de Sentencia. </w:t>
      </w:r>
    </w:p>
    <w:p w:rsidR="00B01F4A" w:rsidRDefault="00B01F4A" w:rsidP="00B01F4A">
      <w:pPr>
        <w:pStyle w:val="TextoNormal"/>
      </w:pPr>
      <w:r>
        <w:t xml:space="preserve">b) Derecho a un proceso sin dilaciones indebidas. </w:t>
      </w:r>
    </w:p>
    <w:p w:rsidR="00B01F4A" w:rsidRDefault="00B01F4A" w:rsidP="00B01F4A">
      <w:pPr>
        <w:pStyle w:val="TextoNormal"/>
      </w:pPr>
      <w:r>
        <w:t xml:space="preserve">Se afirma en la demanda de amparo que las resoluciones impugnadas justifican la inexistencia de dilaciones indebidas en la complejidad de la causa por ellas resuelta, cuando es lo cierto que tal complejidad fue creada artificialmente por el instructor, quien, pese a que los Inspectores de Hacienda ya habían emitido su informe a los diez meses, demoró el procedimiento hasta alcanzar los tres años desde su iniciación, nombrando nuevos Inspectores que se limitaron a ratificar el primer informe. </w:t>
      </w:r>
    </w:p>
    <w:p w:rsidR="00B01F4A" w:rsidRDefault="00B01F4A" w:rsidP="00B01F4A">
      <w:pPr>
        <w:pStyle w:val="TextoNormal"/>
      </w:pPr>
      <w:r>
        <w:t xml:space="preserve">Argumenta el recurrente sobre lo excesivo del tiempo consumido para investigar dos de sus ejercicios fiscales (tres años), tiempo, además, en el que habría mantenido una conducta ejemplar en el procedimiento. </w:t>
      </w:r>
    </w:p>
    <w:p w:rsidR="00B01F4A" w:rsidRDefault="00B01F4A" w:rsidP="00B01F4A">
      <w:pPr>
        <w:pStyle w:val="TextoNormal"/>
      </w:pPr>
      <w:r>
        <w:t xml:space="preserve">c) Derecho a la presunción de inocencia. </w:t>
      </w:r>
    </w:p>
    <w:p w:rsidR="00B01F4A" w:rsidRDefault="00B01F4A" w:rsidP="00B01F4A">
      <w:pPr>
        <w:pStyle w:val="TextoNormal"/>
      </w:pPr>
      <w:r>
        <w:t xml:space="preserve">Se alega que el concepto de incremento patrimonial empleado por el art. 20 de la Ley del I.R.P.F. de 1978 opera como una presunción iuris tantum o como una fictio legis, por lo que no puede aplicarse al proceso penal, al originar un desplazamiento de la carga de la prueba contrario al derecho a la presunción de inocencia. </w:t>
      </w:r>
    </w:p>
    <w:p w:rsidR="00B01F4A" w:rsidRDefault="00B01F4A" w:rsidP="00B01F4A">
      <w:pPr>
        <w:pStyle w:val="TextoNormal"/>
      </w:pPr>
      <w:r>
        <w:t xml:space="preserve">d) Derecho a la legalidad penal (art. 25.1 C.E.). </w:t>
      </w:r>
    </w:p>
    <w:p w:rsidR="00B01F4A" w:rsidRDefault="00B01F4A" w:rsidP="00B01F4A">
      <w:pPr>
        <w:pStyle w:val="TextoNormal"/>
      </w:pPr>
      <w:r>
        <w:t xml:space="preserve">Se aduce que no quedó acreditado en la causa el elemento subjetivo del tipo del delito fiscal. Además, los incrementos no justificados de patrimonio no constituyen el hecho imponible del impuesto cuya ocultación exige el elemento objetivo del tipo penal aplicado. </w:t>
      </w:r>
    </w:p>
    <w:p w:rsidR="00B01F4A" w:rsidRDefault="00B01F4A" w:rsidP="00B01F4A">
      <w:pPr>
        <w:pStyle w:val="TextoNormal"/>
      </w:pPr>
      <w:r>
        <w:t xml:space="preserve">Por todo ello se solicita en la demanda el otorgamiento del amparo, la declaración de nulidad de las Sentencias impugnadas y de cuantas resoluciones del Juez instructor hubiesen vulnerado los indicados derechos fundamentales, así como ser restablecido en el derecho a un proceso sin dilaciones indebidas por una vía sustitutiva, entre las que se encuentra la fórmula indemnizatoria. </w:t>
      </w:r>
    </w:p>
    <w:p w:rsidR="00B01F4A" w:rsidRDefault="00B01F4A" w:rsidP="00B01F4A">
      <w:pPr>
        <w:pStyle w:val="TextoNormal"/>
      </w:pPr>
      <w:r>
        <w:t>Mediante otrosí se solicita también la suspensión de la ejecución de la Sentencia recurrida, dado que la misma ocasionaría al recurrente un perjuicio irreparable que haría perder al amparo su finalidad, y que de dicha suspensión no ha de seguirse perturbación grave para los intereses generales o los derechos fundamentales o libertades públicas de un tercero.</w:t>
      </w:r>
    </w:p>
    <w:p w:rsidR="00B01F4A" w:rsidRDefault="00B01F4A" w:rsidP="00B01F4A">
      <w:pPr>
        <w:pStyle w:val="TextoNormal"/>
      </w:pPr>
    </w:p>
    <w:p w:rsidR="00B01F4A" w:rsidRDefault="00B01F4A" w:rsidP="00B01F4A">
      <w:pPr>
        <w:pStyle w:val="TextoNormal"/>
      </w:pPr>
      <w:r w:rsidRPr="00B01F4A">
        <w:rPr>
          <w:rStyle w:val="NumeroAFNegritaCaracter"/>
        </w:rPr>
        <w:t>4</w:t>
      </w:r>
      <w:r>
        <w:t>. Por providencia de 3 de marzo de 1997, la Sección Segunda de este Tribunal acordó admitir a trámite la demanda de amparo, sin perjuicio de lo que resulte de los antecedentes; a tenor de lo dispuesto en el art. 51 LOTC, requerir atentamente al Juzgado de lo Penal núm. 4 de Sevilla para que emplazara a cuantos fueron parte en el procedimiento judicial, excepto el recurrente en amparo, para su posible comparecencia en el presente proceso constitucional, y, conforme a lo solicitado por la parte actora, forma la correspondiente pieza separada de suspensión.</w:t>
      </w:r>
    </w:p>
    <w:p w:rsidR="00B01F4A" w:rsidRDefault="00B01F4A" w:rsidP="00B01F4A">
      <w:pPr>
        <w:pStyle w:val="TextoNormal"/>
      </w:pPr>
    </w:p>
    <w:p w:rsidR="00B01F4A" w:rsidRDefault="00B01F4A" w:rsidP="00B01F4A">
      <w:pPr>
        <w:pStyle w:val="TextoNormal"/>
      </w:pPr>
      <w:r w:rsidRPr="00B01F4A">
        <w:rPr>
          <w:rStyle w:val="NumeroAFNegritaCaracter"/>
        </w:rPr>
        <w:t>5</w:t>
      </w:r>
      <w:r>
        <w:t>. Por providencia de la misma fecha, la Sección Segunda acordó tener por formada la presente pieza separada de suspensión y, de conformidad con lo previsto en el art. 56 LOTC, conceder al Ministerio Fiscal y al solicitante del amparo un plazo común de tres días para alegaciones sobre dicha suspensión.</w:t>
      </w:r>
    </w:p>
    <w:p w:rsidR="00B01F4A" w:rsidRDefault="00B01F4A" w:rsidP="00B01F4A">
      <w:pPr>
        <w:pStyle w:val="TextoNormal"/>
      </w:pPr>
    </w:p>
    <w:p w:rsidR="00B01F4A" w:rsidRDefault="00B01F4A" w:rsidP="00B01F4A">
      <w:pPr>
        <w:pStyle w:val="TextoNormal"/>
      </w:pPr>
      <w:r w:rsidRPr="00B01F4A">
        <w:rPr>
          <w:rStyle w:val="NumeroAFNegritaCaracter"/>
        </w:rPr>
        <w:t>6</w:t>
      </w:r>
      <w:r>
        <w:t xml:space="preserve">. Mediante escrito registrado el 6 de marzo de 1997, el Abogado del Estado suplica que se deniegue la suspensión solicitada por las razones siguientes: </w:t>
      </w:r>
    </w:p>
    <w:p w:rsidR="00B01F4A" w:rsidRDefault="00B01F4A" w:rsidP="00B01F4A">
      <w:pPr>
        <w:pStyle w:val="TextoNormal"/>
      </w:pPr>
      <w:r>
        <w:t xml:space="preserve">Alega, en primer lugar, que el número de Sentencias penales condenatorias que acceden a este Tribunal bajo la invocación de haberse vulnerado algún derecho fundamental representa porcentualmente una cortísima proporción de las dictadas por la jurisdicción penal, y, si pasan el filtro necesariamente estrecho de la admisión a trámite, ello no ha de responder forzosamente a una mayor razonabilidad de las pretensiones o de los argumentos aducidos, sino acaso al mayor interés objetivo que para la interpretación de la Constitución y para la mejor depuración teórica de los derechos fundamentales presenten unos asuntos sobre otros. </w:t>
      </w:r>
    </w:p>
    <w:p w:rsidR="00B01F4A" w:rsidRDefault="00B01F4A" w:rsidP="00B01F4A">
      <w:pPr>
        <w:pStyle w:val="TextoNormal"/>
      </w:pPr>
      <w:r>
        <w:t xml:space="preserve">Así, pues, a su juicio, la singularidad numérica de los casos de amparo exige una correlativa excepcionalidad en el otorgamiento de las suspensiones interesadas, porque en el momento de juzgar sobre la suspensión no hay razones para estimar que las Sentencias impugnadas gocen de un menor grado de firmeza que las que no lo han sido, ni sería comprensible establecer una diferencia de trato entre ellas por una razón que, como la irreversibilidad de los perjuicios, sería común a todas las Sentencias condenatorias. </w:t>
      </w:r>
    </w:p>
    <w:p w:rsidR="00B01F4A" w:rsidRDefault="00B01F4A" w:rsidP="00B01F4A">
      <w:pPr>
        <w:pStyle w:val="TextoNormal"/>
      </w:pPr>
      <w:r>
        <w:t xml:space="preserve">Por contra, el interés público concurrente en la ejecución de las Sentencias judiciales es, si se quiere, más intenso en las Sentencias penales, y en los casos en los que el delito perseguido ha permitido crear una mayor alarma social. El cumplimiento de las penas favorece la confianza en la justicia, mientras que su suspensión corre el riesgo de no ser bien comprendida por los ciudadanos, que inevitablemente se fijan en el número mayoritario de condenas a las que se da cumplimiento inmediato. </w:t>
      </w:r>
    </w:p>
    <w:p w:rsidR="00B01F4A" w:rsidRDefault="00B01F4A" w:rsidP="00B01F4A">
      <w:pPr>
        <w:pStyle w:val="TextoNormal"/>
      </w:pPr>
      <w:r>
        <w:t>Finalmente, el demandante no justifica en qué medida la condena habría de representar su ingreso en prisión ni tampoco en qué medida afectaría la ejecución o la suspensión a los restantes pronunciamientos o a los derechos fundamentales alegados.</w:t>
      </w:r>
    </w:p>
    <w:p w:rsidR="00B01F4A" w:rsidRDefault="00B01F4A" w:rsidP="00B01F4A">
      <w:pPr>
        <w:pStyle w:val="TextoNormal"/>
      </w:pPr>
    </w:p>
    <w:p w:rsidR="00B01F4A" w:rsidRDefault="00B01F4A" w:rsidP="00B01F4A">
      <w:pPr>
        <w:pStyle w:val="TextoNormal"/>
      </w:pPr>
      <w:r w:rsidRPr="00B01F4A">
        <w:rPr>
          <w:rStyle w:val="NumeroAFNegritaCaracter"/>
        </w:rPr>
        <w:t>7</w:t>
      </w:r>
      <w:r>
        <w:t xml:space="preserve">. Mediante escrito registrado el 6 de marzo de 1997, el Ministerio Fiscal entiende que, en aplicación de la doctrina de este Tribunal, procede: </w:t>
      </w:r>
    </w:p>
    <w:p w:rsidR="00B01F4A" w:rsidRDefault="00B01F4A" w:rsidP="00B01F4A">
      <w:pPr>
        <w:pStyle w:val="TextoNormal"/>
      </w:pPr>
      <w:r>
        <w:t xml:space="preserve">a) Suspender la ejecución de la pena privativa de libertad impuesta, así como de sus accesorias legales y de los arrestos sustitutorios impuestos por el impago de las multas establecidas en la Sentencia, por cuanto de no hacerse así, y el presente recurso de amparo se estimara, su objeto quedaría desprovisto de virtualidad. </w:t>
      </w:r>
    </w:p>
    <w:p w:rsidR="00B01F4A" w:rsidRDefault="00B01F4A" w:rsidP="00B01F4A">
      <w:pPr>
        <w:pStyle w:val="TextoNormal"/>
      </w:pPr>
      <w:r>
        <w:t xml:space="preserve">Nada se opone, a su juicio, a esta suspensión, puesto que, por un lado, los delitos por los que el recurrente fue condenado no constituyen ilícitos que revelen una notoria gravedad ni tampoco que hayan generado una especial alarma social en su comisión, como lo prueba el hecho de que el Juzgador de instancia, a la hora de individualizar la pena, la haya impuesto en su grado mínimo, y, por otro, las penas privativas de libertad impuestas (de un año de prisión menor por cada uno de ellos) tampoco son de excesiva duración, por lo que de no concederse la suspensión podría devenir, con notoria probabilidad, la ineficacia práctica del amparo. </w:t>
      </w:r>
    </w:p>
    <w:p w:rsidR="00B01F4A" w:rsidRDefault="00B01F4A" w:rsidP="00B01F4A">
      <w:pPr>
        <w:pStyle w:val="TextoNormal"/>
      </w:pPr>
      <w:r>
        <w:t xml:space="preserve">b) No suspender los pronunciamientos relativos al pago de las multas, responsabilidad civil, costas y obtención de beneficios o incentivos fiscales. </w:t>
      </w:r>
    </w:p>
    <w:p w:rsidR="00B01F4A" w:rsidRDefault="00B01F4A" w:rsidP="00B01F4A">
      <w:pPr>
        <w:pStyle w:val="TextoNormal"/>
      </w:pPr>
      <w:r>
        <w:lastRenderedPageBreak/>
        <w:t>En relación con las indemnizaciones, alega que por haber sido reconocidas en favor de la Hacienda Pública, su eventual devolución está garantizada. Y, en relación con la imposibilidad de obtener beneficios o incentivos fiscales, que no genera ningún tipo de perjuicio irreparable, por tratarse de la interdicción de hipotéticas expectativas de derechos futuros.</w:t>
      </w:r>
    </w:p>
    <w:p w:rsidR="00B01F4A" w:rsidRDefault="00B01F4A" w:rsidP="00B01F4A">
      <w:pPr>
        <w:pStyle w:val="TextoNormal"/>
      </w:pPr>
    </w:p>
    <w:p w:rsidR="00B01F4A" w:rsidRDefault="00B01F4A" w:rsidP="00B01F4A">
      <w:pPr>
        <w:pStyle w:val="TextoNormal"/>
      </w:pPr>
      <w:r w:rsidRPr="00B01F4A">
        <w:rPr>
          <w:rStyle w:val="NumeroAFNegritaCaracter"/>
        </w:rPr>
        <w:t>8</w:t>
      </w:r>
      <w:r>
        <w:t>. Mediante escrito presentado en el Juzgado de Guardia el 6 de marzo de 1997 y registrado en este Tribunal al día siguiente, la representación del recurrente reiteró su solicitud de suspensión de la ejecución de las Sentencias recurridas por los perjuicios irreparables que le ocasionaría, dada la naturaleza de las penas impuestas.</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B01F4A" w:rsidRDefault="00B01F4A" w:rsidP="00B01F4A">
      <w:pPr>
        <w:pStyle w:val="TextoNormal"/>
      </w:pPr>
      <w:r>
        <w:t>En la interpretación de la referida disposición, este Tribunal viene manteniendo que cuando el recurso se dirige contra resoluciones judiciales lo más acorde con el interés general es su cumplimiento, que dota de efectividad a la tutela judicial consagrada por el art. 24 C.E., por lo que, en tales casos, será necesario que se acredite suficientemente la irreparabilidad del perjuicio que pudiera traer consigo la ejecución de la resolución impugnada, privando al amparo de su finalidad, para que la medida cautelar que se interesa pueda prosperar.</w:t>
      </w:r>
    </w:p>
    <w:p w:rsidR="00B01F4A" w:rsidRDefault="00B01F4A" w:rsidP="00B01F4A">
      <w:pPr>
        <w:pStyle w:val="TextoNormal"/>
      </w:pPr>
      <w:r>
        <w:t>Conforme a tal criterio interpretativo, este Tribunal viene distinguiendo entre las resoluciones judiciales que imponen penas privativas de libertad o afectan a otros bienes o derechos de imposible o difícil restitución a su estado anterior y las que tienen efectos meramente económicos. En cuanto a las que imponen penas privativas de libertad, la regla general viene siendo la suspensión de su ejecución, por la irreparabilidad del perjuicio que ocasionaría su cumplimiento durante la tramitación del recurso de amparo si finalmente éste se otorgara, aun cuando caben excepciones atendiendo a la gravedad de los hechos y a la duración de la pena impuesta. Del mismo modo, se suele acceder a la suspensión de las penas accesorias legales de las privativas de libertad durante el tiempo de la condena, por entender que han de seguir la misma suerte que la pena principal a la que acompañan.</w:t>
      </w:r>
    </w:p>
    <w:p w:rsidR="00B01F4A" w:rsidRDefault="00B01F4A" w:rsidP="00B01F4A">
      <w:pPr>
        <w:pStyle w:val="TextoNormal"/>
      </w:pPr>
      <w:r>
        <w:t>Por el contrario, frente a las resoluciones judiciales con efectos meramente económicos, la regla general viene siendo la no suspensión de su ejecución, porque en tales casos los perjuicios no suelen ser de imposible o difícil reparación. Este criterio es aplicable, entre otros supuestos, a las multas, indemnizaciones y condenas en costas. Dicha regla presenta, sin embargo, una excepción general en aquellos supuestos en que por razón de la cuantía de la condena pecuniaria o por las circunstancias que concurran en el caso, su cumplimiento podría ocasionar daños irreparables, los cuales, no obstante, habrán de ser siempre acreditados, cuando menos mediante un principio razonable de prueba. Igualmente tiene una excepción específica para los supuestos en que la pena de multa lleve como anexo el arresto sustitutorio en caso de impago, en cuyo caso este Tribunal suele acordar que se suspenda su ejecución si el condenado deviniera insolvente (AATC 321/1995, 118/1996 y 122/1996).</w:t>
      </w:r>
    </w:p>
    <w:p w:rsidR="00B01F4A" w:rsidRDefault="00B01F4A" w:rsidP="00B01F4A">
      <w:pPr>
        <w:pStyle w:val="TextoNormal"/>
      </w:pPr>
    </w:p>
    <w:p w:rsidR="00B01F4A" w:rsidRDefault="00B01F4A" w:rsidP="00B01F4A">
      <w:pPr>
        <w:pStyle w:val="TextoNormal"/>
      </w:pPr>
      <w:r w:rsidRPr="00B01F4A">
        <w:rPr>
          <w:rStyle w:val="NumeroAFNegritaCaracter"/>
        </w:rPr>
        <w:lastRenderedPageBreak/>
        <w:t>2</w:t>
      </w:r>
      <w:r>
        <w:t>. Aplicando los anteriores criterios al caso presente, procede acordar la suspensión de la ejecución de las Sentencias impugnadas por lo que respecta a las dos penas privativas de libertad de un año de prisión menor cada una impuestas al demandante de amparo, así como por lo que se refiere a las accesorias legales de privación de sufragio y ejercicio de cargo público durante el tiempo de la condena.</w:t>
      </w:r>
    </w:p>
    <w:p w:rsidR="00B01F4A" w:rsidRDefault="00B01F4A" w:rsidP="00B01F4A">
      <w:pPr>
        <w:pStyle w:val="TextoNormal"/>
      </w:pPr>
      <w:r>
        <w:t>Procede, igualmente, la suspensión de la ejecución de las dos penas impuestas de 25.000.000 de pesetas cada una, en el caso de que su impago por insolvencia diera lugar a la imposición de los arrestos sustitutorios de sesenta días previstos en las Sentencias impugnadas.</w:t>
      </w:r>
    </w:p>
    <w:p w:rsidR="00B01F4A" w:rsidRDefault="00B01F4A" w:rsidP="00B01F4A">
      <w:pPr>
        <w:pStyle w:val="TextoNormal"/>
      </w:pPr>
      <w:r>
        <w:t>No procede, en cambio, acordar la suspensión de la ejecución de dichas Sentencias en lo relativo al pago de las costas procesales, indemnizaciones a la Hacienda Pública y privación de la posibilidad de obtener subvenciones y del derecho a gozar de beneficios o incentivos fiscales durante un período de tres años, debido a sus efectos meramente económicos, a que no concurre circunstancia alguna que haga peligrar el resarcimiento, caso de que el amparo prosperase, y a que el recurrente no aporta ningún principio de prueba sobre la eventual producción de perjuicios irreparables. En relación con la privación temporal de la posibilidad de obtener subvenciones o beneficios fiscales, cabe añadir, como señala el Ministerio Fiscal, el carácter no actual, aparte de puramente económico, de los eventuales perjuicios.</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lo expuesto, la Sala acuerda:</w:t>
      </w:r>
    </w:p>
    <w:p w:rsidR="00B01F4A" w:rsidRDefault="00B01F4A" w:rsidP="00B01F4A">
      <w:pPr>
        <w:pStyle w:val="TextoNormal"/>
      </w:pPr>
      <w:r>
        <w:t>1.º Haber lugar a la suspensión de la ejecución de las Sentencias impugnadas del Juzgado de lo Penal núm. 4 de Sevilla de 23 de diciembre de 1995 y de la Sección Tercera de la Audiencia Provincial de Sevilla de 14 de enero de 1997 en cuanto a las dos</w:t>
      </w:r>
    </w:p>
    <w:p w:rsidR="00B01F4A" w:rsidRDefault="00B01F4A" w:rsidP="00B01F4A">
      <w:pPr>
        <w:pStyle w:val="TextoNormal"/>
      </w:pPr>
      <w:r>
        <w:t>penas privativas de libertad de un año de prisión menor cada una impuestas al recurrente, y en cuanto a las accesorias legales de privación de sufragio y ejercicio de cargo público durante el tiempo de la condena, así como en relación con las dos penas</w:t>
      </w:r>
    </w:p>
    <w:p w:rsidR="00B01F4A" w:rsidRDefault="00B01F4A" w:rsidP="00B01F4A">
      <w:pPr>
        <w:pStyle w:val="TextoNormal"/>
      </w:pPr>
      <w:r>
        <w:t>de multa de 25.000.000 de pesetas cada una, en el caso de que su impago por insolvencia diera lugar a la imposición de los arrestos sustitutorios de sesenta días previstos en dichas Sentencias.</w:t>
      </w:r>
    </w:p>
    <w:p w:rsidR="00B01F4A" w:rsidRDefault="00B01F4A" w:rsidP="00B01F4A">
      <w:pPr>
        <w:pStyle w:val="TextoNormal"/>
      </w:pPr>
      <w:r>
        <w:t>2.º No haber lugar a la suspensión de la ejecución de dichas Sentencias en cuanto al pago de las costas procesales, indemizaciones a la Hacienda Pública y privación de la posibilidad de obtener subvenciones y del derecho a gozar de beneficios o</w:t>
      </w:r>
    </w:p>
    <w:p w:rsidR="00B01F4A" w:rsidRDefault="00B01F4A" w:rsidP="00B01F4A">
      <w:pPr>
        <w:pStyle w:val="TextoNormal"/>
      </w:pPr>
      <w:r>
        <w:t>incentivos fiscales durante un período de tres años.</w:t>
      </w:r>
    </w:p>
    <w:p w:rsidR="00B01F4A" w:rsidRDefault="00B01F4A" w:rsidP="00B01F4A">
      <w:pPr>
        <w:pStyle w:val="TextoNormal"/>
      </w:pPr>
    </w:p>
    <w:p w:rsidR="00B01F4A" w:rsidRDefault="00B01F4A" w:rsidP="00B01F4A">
      <w:pPr>
        <w:pStyle w:val="TextoNormal"/>
      </w:pPr>
      <w:r>
        <w:t>Madrid, a diecisiete de marzo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79" w:name="AUTO_1997_89"/>
      <w:r>
        <w:lastRenderedPageBreak/>
        <w:t>AUTO 89/1997, de 18 de marzo de 1997</w:t>
      </w:r>
    </w:p>
    <w:bookmarkEnd w:id="179"/>
    <w:p w:rsidR="00B01F4A" w:rsidRDefault="00B01F4A" w:rsidP="00B01F4A">
      <w:pPr>
        <w:pStyle w:val="TtuloResolucin"/>
      </w:pPr>
      <w:r>
        <w:t>Sala Primera</w:t>
      </w:r>
    </w:p>
    <w:p w:rsidR="00B01F4A" w:rsidRDefault="00B01F4A" w:rsidP="00B01F4A">
      <w:pPr>
        <w:pStyle w:val="TtuloResolucin"/>
      </w:pPr>
    </w:p>
    <w:p w:rsidR="00B01F4A" w:rsidRDefault="00B01F4A" w:rsidP="00B01F4A">
      <w:pPr>
        <w:pStyle w:val="SntesisDescriptiva"/>
      </w:pPr>
      <w:r>
        <w:t>ECLI:ES:TC:1997:89A</w:t>
      </w:r>
    </w:p>
    <w:p w:rsidR="00B01F4A" w:rsidRDefault="00B01F4A" w:rsidP="00B01F4A">
      <w:pPr>
        <w:pStyle w:val="SntesisDescriptiva"/>
      </w:pPr>
    </w:p>
    <w:p w:rsidR="00B01F4A" w:rsidRDefault="00B01F4A" w:rsidP="00B01F4A">
      <w:pPr>
        <w:pStyle w:val="SntesisDescriptiva"/>
      </w:pPr>
      <w:r>
        <w:t>Excms. Srs. don Álvaro Rodríguez Bereijo, don José Vicente Gimeno Sendra, don Pedro Cruz Villalón, don Enrique Ruiz Vadillo y don Manuel Jiménez de Parga y Cabrera.</w:t>
      </w:r>
    </w:p>
    <w:p w:rsidR="00B01F4A" w:rsidRDefault="00B01F4A" w:rsidP="00B01F4A">
      <w:pPr>
        <w:pStyle w:val="SntesisDescriptiva"/>
      </w:pPr>
    </w:p>
    <w:p w:rsidR="00B01F4A" w:rsidRDefault="00B01F4A" w:rsidP="00B01F4A">
      <w:pPr>
        <w:pStyle w:val="SntesisDescriptiva"/>
      </w:pPr>
      <w:r>
        <w:t>Acordando la suspensión parcial de la ejecución del acto que origina el recurso de amparo 4.466/1996.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xml:space="preserve">. Por el solicitante de amparo se interpuso la correspondiente demanda, la cual tenía como antecedentes los hechos que a continuación se describen: a) En el juicio oral 20/96 seguido ante el Juzgado de lo Penal núm. 17 de Madrid, se dictó Sentencia en fecha 9 de mayo de 1996, por la que se condenaba a don Manuel Rosado González a la pena de seis meses de arresto mayor como autor responsable de un delito continuado de estafa. b) Contra dicha resolución recurrió el ahora solicitante de amparo en apelación, ante la Sección Séptima de la Audiencia Provincial de Madrid, recayendo Sentencia de fecha 22 de octubre de 1996, notificada al recurrente el día 11 de noviembre del mismo año, mediante la cual se desestimaba el recurso interpuesto. </w:t>
      </w:r>
    </w:p>
    <w:p w:rsidR="00B01F4A" w:rsidRDefault="00B01F4A" w:rsidP="00B01F4A">
      <w:pPr>
        <w:pStyle w:val="TextoNormal"/>
      </w:pPr>
      <w:r>
        <w:t xml:space="preserve">c) En el acto del juicio oral se alegó por la representación procesal del solicitante la existencia de una cuestión de previo pronunciamiento, consistente en la existencia de cosa juzgada, por entender que los hechos por los que iba a ser juzgado ya habían sido objeto de condena por parte de la Audiencia Provincial de Barcelona, en Sentencia de fecha 6 de noviembre de 1985, en el procedimiento 140/84, rollo núm. 2.050, seguido en la instancia ante el Juzgado de Instrucción núm. 7 de Barcelona. Incluso, contra dicha resolución de la Audiencia Provincial de Barcelona, se interpuso recurso de casación que fue finalmente desestimado, confirmando la Sala de lo Penal del Tribunal Supremo mediante Sentencia de 14 de octubre de 1988 la dictada por la indicada Audiencia Provincial. </w:t>
      </w:r>
    </w:p>
    <w:p w:rsidR="00B01F4A" w:rsidRDefault="00B01F4A" w:rsidP="00B01F4A">
      <w:pPr>
        <w:pStyle w:val="TextoNormal"/>
      </w:pPr>
      <w:r>
        <w:t>d) Los hechos declarados probados por la Sentencia del Juzgado de lo Penal núm. 17 de los de Madrid, son idénticos, en lo esencial, a los recogidos en la Sentencia de la Audiencia Provincial de Barcelona de fecha 6 de noviembre de 1985, ya que en ambas se describe el mismo delito, excepto en lo que se refiere, como es natural, a los perjudicados, que cambian según la Sentencia que sea objeto de estudio.</w:t>
      </w:r>
    </w:p>
    <w:p w:rsidR="00B01F4A" w:rsidRDefault="00B01F4A" w:rsidP="00B01F4A">
      <w:pPr>
        <w:pStyle w:val="TextoNormal"/>
      </w:pPr>
    </w:p>
    <w:p w:rsidR="00B01F4A" w:rsidRDefault="00B01F4A" w:rsidP="00B01F4A">
      <w:pPr>
        <w:pStyle w:val="TextoNormal"/>
      </w:pPr>
      <w:r w:rsidRPr="00B01F4A">
        <w:rPr>
          <w:rStyle w:val="NumeroAFNegritaCaracter"/>
        </w:rPr>
        <w:t>2</w:t>
      </w:r>
      <w:r>
        <w:t>. Por el solicitante de amparo se alega la vulneración en el procedimiento judicial seguido ante el Juzgado de lo Penal núm. 17 de Madrid y la Audiencia Provincial de esta capital, de su derecho al principio de legalidad (art. 25.1 C.E.), al que vincula el de seguridad jurídica (art. 9.3 C.E.), al no ser este último susceptible de protección por el recurso de amparo. Basa su alegación en el argumento ya indicado de que los hechos por los que iba a ser juzgado, ya habían sido objeto de condena por la Audiencia Provincial de Barcelona.</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Por providencia de 24 de febrero de 1997 se acordó formar pieza separada de suspensión con el precedente testimonio, así como, y a tenor de lo dispuesto en el artículo 56 de la LOTC, conceder un plazo de tres días al Ministerio Fiscal, y al solicitante de amparo, para que formularan las alegaciones que estimaran pertinentes sobre la suspensión solicitada. </w:t>
      </w:r>
    </w:p>
    <w:p w:rsidR="00B01F4A" w:rsidRDefault="00B01F4A" w:rsidP="00B01F4A">
      <w:pPr>
        <w:pStyle w:val="TextoNormal"/>
      </w:pPr>
      <w:r>
        <w:t xml:space="preserve">5. El Ministerio Fiscal, por escrito registrado el día 10 de marzo de 1997, manifestó la procedencia de la suspensión solicitada con relación a la pena privativa de libertad impuesta como principal a don Manuel Rosado González -seis meses de arresto mayor-, pero se mostró disconforme en lo referente a la suspensión solicitada tanto de las indemnizaciones civiles, a las que igualmente el mismo había sido condenado, como al pago de las costas procesales. </w:t>
      </w:r>
    </w:p>
    <w:p w:rsidR="00B01F4A" w:rsidRDefault="00B01F4A" w:rsidP="00B01F4A">
      <w:pPr>
        <w:pStyle w:val="TextoNormal"/>
      </w:pPr>
      <w:r>
        <w:t>6. Por el recurrente en amparo no se formularon alegaciones en el trámite de audiencia concedido.</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B01F4A" w:rsidRDefault="00B01F4A" w:rsidP="00B01F4A">
      <w:pPr>
        <w:pStyle w:val="TextoNormal"/>
      </w:pPr>
      <w:r>
        <w:t>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00B01F4A" w:rsidRDefault="00B01F4A" w:rsidP="00B01F4A">
      <w:pPr>
        <w:pStyle w:val="TextoNormal"/>
      </w:pPr>
      <w:r>
        <w:t>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y las costas procesales, salvo que por su importancia o cuantía o por las especiales circunstancias concurrentes, su cumplimiento pueda causar daños irreparables), en los que no procede acordar la suspensión, y aquellos otros fallos judiciales cuya ejecución, por afectar a bienes o derechos del recurrente de imposible restitución a su estado anterior (tales como las condenas penales privativas de libertad o de privación o limitación de ciertos derechos), en los que es procedente la suspensión de la ejecución de la resolución judicial (AATC 573/1985, 574/1985 y 275/1990, entre otros muchos).</w:t>
      </w:r>
    </w:p>
    <w:p w:rsidR="00B01F4A" w:rsidRDefault="00B01F4A" w:rsidP="00B01F4A">
      <w:pPr>
        <w:pStyle w:val="TextoNormal"/>
      </w:pPr>
    </w:p>
    <w:p w:rsidR="00B01F4A" w:rsidRDefault="00B01F4A" w:rsidP="00B01F4A">
      <w:pPr>
        <w:pStyle w:val="TextoNormal"/>
      </w:pPr>
      <w:r w:rsidRPr="00B01F4A">
        <w:rPr>
          <w:rStyle w:val="NumeroAFNegritaCaracter"/>
        </w:rPr>
        <w:t>2</w:t>
      </w:r>
      <w:r>
        <w:t>. En el presente caso, la resolución cuya ejecución se pretende suspender tiene un doble contenido.</w:t>
      </w:r>
    </w:p>
    <w:p w:rsidR="00B01F4A" w:rsidRDefault="00B01F4A" w:rsidP="00B01F4A">
      <w:pPr>
        <w:pStyle w:val="TextoNormal"/>
      </w:pPr>
      <w:r>
        <w:t xml:space="preserve">Por un lado se solicita la suspensión de la pena principal privativa de libertad impuesta, consistente en la condena por tiempo de seis meses de arresto mayor. En este caso, tal como ha quedado dicho, el criterio mantenido por el Tribunal Constitucional hace referencia, </w:t>
      </w:r>
      <w:r>
        <w:lastRenderedPageBreak/>
        <w:t>como recuerda el Ministerio Fiscal, a que la ejecución determinaría la pérdida, al menos parcial, de la finalidad del amparo, al iniciarse y cumplirse, al menos en parte, la ejecución de la pena impuesta -AATC 169/1992, 252/1992, 257/1992, y 274/1992, entre otros-, razón por la cual procede acceder a la suspensión de la pena privativa de libertad cuya suspensión se solicita.</w:t>
      </w:r>
    </w:p>
    <w:p w:rsidR="00B01F4A" w:rsidRDefault="00B01F4A" w:rsidP="00B01F4A">
      <w:pPr>
        <w:pStyle w:val="TextoNormal"/>
      </w:pPr>
      <w:r>
        <w:t>Por otra parte, el recurrente solicita la suspensión del pago de las indemnizaciones civiles, así como al abono de las costas procesales impuestas, a las que de igual manera ha sido condenado don Manuel Rosado González. De conformidad con la doctrina antes expuesta, ha de entenderse que su restitución, en el caso de la eventual estimación del recurso de amparo formulado, no resulta imposible; y ello determina la procedencia de denegar la suspensión solicitada con relación tanto al pago de las indemnizaciones civiles objeto de la condena de autos como del abono de las costas procesales, conforme interesa el Ministerio Fiscal, con independencia de cuál sea el resultado de la demanda de amparo.</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ello, la Sala acuerda acceder a la suspensión de la pena privativa de libertad consistente en la de seis meses de arresto mayor impuesta por el Juzgado de lo Penal núm. 17 de Madrid y confirmada por la Audiencia Provincial de dicha capital a don</w:t>
      </w:r>
    </w:p>
    <w:p w:rsidR="00B01F4A" w:rsidRDefault="00B01F4A" w:rsidP="00B01F4A">
      <w:pPr>
        <w:pStyle w:val="TextoNormal"/>
      </w:pPr>
      <w:r>
        <w:t>Manuel Rosado González; y, por el contrario, denegar la suspensión solicitada del pago de las indemnizaciones civiles, así como de las costas procesales a cuyo abono ha sido dicho recurrente en amparo judicialmente condenado, sin perjuicio de las medidas</w:t>
      </w:r>
    </w:p>
    <w:p w:rsidR="00B01F4A" w:rsidRDefault="00B01F4A" w:rsidP="00B01F4A">
      <w:pPr>
        <w:pStyle w:val="TextoNormal"/>
      </w:pPr>
      <w:r>
        <w:t>cautelares que el órgano judicial competente, en su caso, estime procedentes.</w:t>
      </w:r>
    </w:p>
    <w:p w:rsidR="00B01F4A" w:rsidRDefault="00B01F4A" w:rsidP="00B01F4A">
      <w:pPr>
        <w:pStyle w:val="TextoNormal"/>
      </w:pPr>
    </w:p>
    <w:p w:rsidR="00B01F4A" w:rsidRDefault="00B01F4A" w:rsidP="00B01F4A">
      <w:pPr>
        <w:pStyle w:val="TextoNormal"/>
      </w:pPr>
      <w:r>
        <w:t>Madrid, a dieciocho de marzo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80" w:name="AUTO_1997_90"/>
      <w:r>
        <w:lastRenderedPageBreak/>
        <w:t>AUTO 90/1997, de 19 de marzo de 1997</w:t>
      </w:r>
    </w:p>
    <w:bookmarkEnd w:id="180"/>
    <w:p w:rsidR="00B01F4A" w:rsidRDefault="00B01F4A" w:rsidP="00B01F4A">
      <w:pPr>
        <w:pStyle w:val="TtuloResolucin"/>
      </w:pPr>
      <w:r>
        <w:t>Sección Segunda</w:t>
      </w:r>
    </w:p>
    <w:p w:rsidR="00B01F4A" w:rsidRDefault="00B01F4A" w:rsidP="00B01F4A">
      <w:pPr>
        <w:pStyle w:val="TtuloResolucin"/>
      </w:pPr>
    </w:p>
    <w:p w:rsidR="00B01F4A" w:rsidRDefault="00B01F4A" w:rsidP="00B01F4A">
      <w:pPr>
        <w:pStyle w:val="SntesisDescriptiva"/>
      </w:pPr>
      <w:r>
        <w:t>ECLI:ES:TC:1997:90A</w:t>
      </w:r>
    </w:p>
    <w:p w:rsidR="00B01F4A" w:rsidRDefault="00B01F4A" w:rsidP="00B01F4A">
      <w:pPr>
        <w:pStyle w:val="SntesisDescriptiva"/>
      </w:pPr>
    </w:p>
    <w:p w:rsidR="00B01F4A" w:rsidRDefault="00B01F4A" w:rsidP="00B01F4A">
      <w:pPr>
        <w:pStyle w:val="SntesisDescriptiva"/>
      </w:pPr>
      <w:r>
        <w:t>Excms. Srs. don José Vicente Gimeno Sendra, don Manuel Jiménez de Parga y Cabrera y don Pablo García Manzano.</w:t>
      </w:r>
    </w:p>
    <w:p w:rsidR="00B01F4A" w:rsidRDefault="00B01F4A" w:rsidP="00B01F4A">
      <w:pPr>
        <w:pStyle w:val="SntesisDescriptiva"/>
      </w:pPr>
    </w:p>
    <w:p w:rsidR="00B01F4A" w:rsidRDefault="00B01F4A" w:rsidP="00B01F4A">
      <w:pPr>
        <w:pStyle w:val="SntesisDescriptiva"/>
      </w:pPr>
      <w:r>
        <w:t>Acordando la inadmisión a trámite del recurso de amparo 1.230/1996.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Por el recurrente se interpuso la correspondiente solicitud de amparo constitucional el día 22 de marzo de 1996, teniendo su entrada efectiva ante este Tribunal el día 25 de marzo de 1996.</w:t>
      </w:r>
    </w:p>
    <w:p w:rsidR="00B01F4A" w:rsidRDefault="00B01F4A" w:rsidP="00B01F4A">
      <w:pPr>
        <w:pStyle w:val="TextoNormal"/>
      </w:pPr>
    </w:p>
    <w:p w:rsidR="00B01F4A" w:rsidRDefault="00B01F4A" w:rsidP="00B01F4A">
      <w:pPr>
        <w:pStyle w:val="TextoNormal"/>
      </w:pPr>
      <w:r w:rsidRPr="00B01F4A">
        <w:rPr>
          <w:rStyle w:val="NumeroAFNegritaCaracter"/>
        </w:rPr>
        <w:t>2</w:t>
      </w:r>
      <w:r>
        <w:t>. Por providencia de 15 de abril de 1996 se requirió conforme al art. 88 LOTC al Tribunal Superior de Justicia de Aragón, para que remitiera testimonio de lo actuado con respecto al escrito del recurrente de fecha 8 de enero de 1995.</w:t>
      </w:r>
    </w:p>
    <w:p w:rsidR="00B01F4A" w:rsidRDefault="00B01F4A" w:rsidP="00B01F4A">
      <w:pPr>
        <w:pStyle w:val="TextoNormal"/>
      </w:pPr>
    </w:p>
    <w:p w:rsidR="00B01F4A" w:rsidRDefault="00B01F4A" w:rsidP="00B01F4A">
      <w:pPr>
        <w:pStyle w:val="TextoNormal"/>
      </w:pPr>
      <w:r w:rsidRPr="00B01F4A">
        <w:rPr>
          <w:rStyle w:val="NumeroAFNegritaCaracter"/>
        </w:rPr>
        <w:t>3</w:t>
      </w:r>
      <w:r>
        <w:t>. Por providencia de 16 de mayo de 1996 se acordó librar los oficios correspondientes a los efectos del nombramiento de Abogado y Procurador de los Tribunales, ambos del turno de oficio, a los Colegios Profesionales respectivos.</w:t>
      </w:r>
    </w:p>
    <w:p w:rsidR="00B01F4A" w:rsidRDefault="00B01F4A" w:rsidP="00B01F4A">
      <w:pPr>
        <w:pStyle w:val="TextoNormal"/>
      </w:pPr>
    </w:p>
    <w:p w:rsidR="00B01F4A" w:rsidRDefault="00B01F4A" w:rsidP="00B01F4A">
      <w:pPr>
        <w:pStyle w:val="TextoNormal"/>
      </w:pPr>
      <w:r w:rsidRPr="00B01F4A">
        <w:rPr>
          <w:rStyle w:val="NumeroAFNegritaCaracter"/>
        </w:rPr>
        <w:t>4</w:t>
      </w:r>
      <w:r>
        <w:t>. Por providencia de 3 de junio de 1996 se requirió a la representación procesal del demandante en amparo para que formulase la correspondiente demanda en solicitud de amparo en el plazo máximo e improrrogable de veinte días, con los requisitos establecidos en el art. 49 LOTC, sin perjuicio del derecho del Letrado a excusarse de la defensa en el plazo de diez días. Dicha, providencia fue reiterada en su contenido por la de 1 de julio del 1996.</w:t>
      </w:r>
    </w:p>
    <w:p w:rsidR="00B01F4A" w:rsidRDefault="00B01F4A" w:rsidP="00B01F4A">
      <w:pPr>
        <w:pStyle w:val="TextoNormal"/>
      </w:pPr>
    </w:p>
    <w:p w:rsidR="00B01F4A" w:rsidRDefault="00B01F4A" w:rsidP="00B01F4A">
      <w:pPr>
        <w:pStyle w:val="TextoNormal"/>
      </w:pPr>
      <w:r w:rsidRPr="00B01F4A">
        <w:rPr>
          <w:rStyle w:val="NumeroAFNegritaCaracter"/>
        </w:rPr>
        <w:t>5</w:t>
      </w:r>
      <w:r>
        <w:t xml:space="preserve">. Esta demanda de amparo tenía como antecedentes los hechos que a continuación se describen: </w:t>
      </w:r>
    </w:p>
    <w:p w:rsidR="00B01F4A" w:rsidRDefault="00B01F4A" w:rsidP="00B01F4A">
      <w:pPr>
        <w:pStyle w:val="TextoNormal"/>
      </w:pPr>
      <w:r>
        <w:t xml:space="preserve">a) El recurrente en amparo se encuentra en la actualidad interno en el Centro Penitenciario de Logroño cumpliendo pena privativa de libertad. </w:t>
      </w:r>
    </w:p>
    <w:p w:rsidR="00B01F4A" w:rsidRDefault="00B01F4A" w:rsidP="00B01F4A">
      <w:pPr>
        <w:pStyle w:val="TextoNormal"/>
      </w:pPr>
      <w:r>
        <w:t xml:space="preserve">b) El mismo ha presentado ante la Audiencia Provincial de Huesca diversas solicitudes desde el año 1993, a los efectos de que se proceda a una justa liquidación de las condenas que le han sido impuestas de acuerdo con el art. 70 del Código Penal. </w:t>
      </w:r>
    </w:p>
    <w:p w:rsidR="00B01F4A" w:rsidRDefault="00B01F4A" w:rsidP="00B01F4A">
      <w:pPr>
        <w:pStyle w:val="TextoNormal"/>
      </w:pPr>
      <w:r>
        <w:t>e) La liquidación de su condena se ha efectuado por la Audiencia Provincial de Huesca sin que por la misma se haya procedido al nombramiento al demandante de Abogado en turno de oficio, para que en dicho incidente defendiera sus intereses.</w:t>
      </w:r>
    </w:p>
    <w:p w:rsidR="00B01F4A" w:rsidRDefault="00B01F4A" w:rsidP="00B01F4A">
      <w:pPr>
        <w:pStyle w:val="TextoNormal"/>
      </w:pPr>
    </w:p>
    <w:p w:rsidR="00B01F4A" w:rsidRDefault="00B01F4A" w:rsidP="00B01F4A">
      <w:pPr>
        <w:pStyle w:val="TextoNormal"/>
      </w:pPr>
      <w:r w:rsidRPr="00B01F4A">
        <w:rPr>
          <w:rStyle w:val="NumeroAFNegritaCaracter"/>
        </w:rPr>
        <w:lastRenderedPageBreak/>
        <w:t>6</w:t>
      </w:r>
      <w:r>
        <w:t>. Se alega por el recurrente la presunta existencia de la infracción constitucional relativa al art. 24.1 C.E., como consecuencia de la no notificación al mismo del licenciamiento de su condena, infracción que en su solicitud de amparo indica que le ha provocado indefensión, y que se hace extensiva igualmente a la resolución dictada por la Audiencia Provincial de Huesca.</w:t>
      </w:r>
    </w:p>
    <w:p w:rsidR="00B01F4A" w:rsidRDefault="00B01F4A" w:rsidP="00B01F4A">
      <w:pPr>
        <w:pStyle w:val="TextoNormal"/>
      </w:pPr>
    </w:p>
    <w:p w:rsidR="00B01F4A" w:rsidRDefault="00B01F4A" w:rsidP="00B01F4A">
      <w:pPr>
        <w:pStyle w:val="TextoNormal"/>
      </w:pPr>
      <w:r w:rsidRPr="00B01F4A">
        <w:rPr>
          <w:rStyle w:val="NumeroAFNegritaCaracter"/>
        </w:rPr>
        <w:t>7</w:t>
      </w:r>
      <w:r>
        <w:t>. Por providencia de 7 de octubre de 1996 a tenor de lo dispuesto en el artículo 50.3 LOTC, la Sección acordó conceder un plazo común de diez días al Ministerio Fiscal y a la representación del solicitante de amparo, para que dentro de dicho término alegaran lo que estimaren conveniente en relación con la posible existencia de un motivo de inadmisión de dicha demanda de amparo institucional, consistente en la carencia manifiesta de contenido que justifique una decisión por parte del Tribunal Constitucional, de conformidad con lo prevenido en el artículo 50.1 c) de su Ley Orgánica.</w:t>
      </w:r>
    </w:p>
    <w:p w:rsidR="00B01F4A" w:rsidRDefault="00B01F4A" w:rsidP="00B01F4A">
      <w:pPr>
        <w:pStyle w:val="TextoNormal"/>
      </w:pPr>
    </w:p>
    <w:p w:rsidR="00B01F4A" w:rsidRDefault="00B01F4A" w:rsidP="00B01F4A">
      <w:pPr>
        <w:pStyle w:val="TextoNormal"/>
      </w:pPr>
      <w:r w:rsidRPr="00B01F4A">
        <w:rPr>
          <w:rStyle w:val="NumeroAFNegritaCaracter"/>
        </w:rPr>
        <w:t>8</w:t>
      </w:r>
      <w:r>
        <w:t>. Por la representación del solicitante de amparo, mediante escrito de 23 de octubre de 1996, se reiteraron los argumentos manifestados en su demanda de amparo, manifestando la lesión constitucional denunciada en el procedimiento judicial de referencia.</w:t>
      </w:r>
    </w:p>
    <w:p w:rsidR="00B01F4A" w:rsidRDefault="00B01F4A" w:rsidP="00B01F4A">
      <w:pPr>
        <w:pStyle w:val="TextoNormal"/>
      </w:pPr>
    </w:p>
    <w:p w:rsidR="00B01F4A" w:rsidRDefault="00B01F4A" w:rsidP="00B01F4A">
      <w:pPr>
        <w:pStyle w:val="TextoNormal"/>
      </w:pPr>
      <w:r w:rsidRPr="00B01F4A">
        <w:rPr>
          <w:rStyle w:val="NumeroAFNegritaCaracter"/>
        </w:rPr>
        <w:t>9</w:t>
      </w:r>
      <w:r>
        <w:t>. Por providencia de 4 de noviembre de 1996 se acordó requerir a la Audiencia Provincial de Huesca para que remitiera testimonio del Auto dictado en el rollo penal núm. 3/92, -sumario núm. 1/1992-, con fecha de 6 de septiembre de 1993, así como de todas las actuaciones de la ejecutoria relativa al sumario 45/82.</w:t>
      </w:r>
    </w:p>
    <w:p w:rsidR="00B01F4A" w:rsidRDefault="00B01F4A" w:rsidP="00B01F4A">
      <w:pPr>
        <w:pStyle w:val="TextoNormal"/>
      </w:pPr>
    </w:p>
    <w:p w:rsidR="00B01F4A" w:rsidRDefault="00B01F4A" w:rsidP="00B01F4A">
      <w:pPr>
        <w:pStyle w:val="TextoNormal"/>
      </w:pPr>
      <w:r w:rsidRPr="00B01F4A">
        <w:rPr>
          <w:rStyle w:val="NumeroAFNegritaCaracter"/>
        </w:rPr>
        <w:t>10</w:t>
      </w:r>
      <w:r>
        <w:t>. Por providencia de 9 de diciembre de 1996, por la Sección Segunda de este Tribunal, se acordó, a tenor de lo dispuesto en el artículo 50.3 LOTC, conceder un nuevo plazo común de diez días al Ministerio Fiscal y a la representación del solicitante de amparo para que dentro de dicho término alegaran lo que estimaren conveniente, con relación con la posible existencia de un motivo de inadmisión de dicha demanda de amparo constitucional, consistente en la carencia manifiesta de contenido que justifique una decisión por parte del Tribunal Constitucional, de conformidad con lo prevenido do en el artículo 50.1 c) de su Ley Orgánica.</w:t>
      </w:r>
    </w:p>
    <w:p w:rsidR="00B01F4A" w:rsidRDefault="00B01F4A" w:rsidP="00B01F4A">
      <w:pPr>
        <w:pStyle w:val="TextoNormal"/>
      </w:pPr>
    </w:p>
    <w:p w:rsidR="00B01F4A" w:rsidRDefault="00B01F4A" w:rsidP="00B01F4A">
      <w:pPr>
        <w:pStyle w:val="TextoNormal"/>
      </w:pPr>
      <w:r w:rsidRPr="00B01F4A">
        <w:rPr>
          <w:rStyle w:val="NumeroAFNegritaCaracter"/>
        </w:rPr>
        <w:t>11</w:t>
      </w:r>
      <w:r>
        <w:t>. Por el Ministerio Fiscal, mediante escrito registrado el día 17 de enero de 1997, de acuerdo con lo dispuesto en los arts. 86.1, inciso segundo, y 80 LOTC, en relación con el art. 245.1 b) L.O.P.J., se solicitó de este Tribunal la inadmisión del presente recurso de amparo, en aplicación del art. 50.1 c), al carecer de contenido constitucional que motivara una decisión sobre el fondo del asunto.</w:t>
      </w:r>
    </w:p>
    <w:p w:rsidR="00B01F4A" w:rsidRDefault="00B01F4A" w:rsidP="00B01F4A">
      <w:pPr>
        <w:pStyle w:val="TextoNormal"/>
      </w:pPr>
    </w:p>
    <w:p w:rsidR="00B01F4A" w:rsidRDefault="00B01F4A" w:rsidP="00B01F4A">
      <w:pPr>
        <w:pStyle w:val="TextoNormal"/>
      </w:pPr>
      <w:r w:rsidRPr="00B01F4A">
        <w:rPr>
          <w:rStyle w:val="NumeroAFNegritaCaracter"/>
        </w:rPr>
        <w:t>12</w:t>
      </w:r>
      <w:r>
        <w:t>. Por la representación procesal del demandante de amparo no se formularon nuevas alegaciones, en relación con el trámite procesalmente concedido.</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xml:space="preserve">. El demandante en las presentes actuaciones cuando solicita el amparo de este Tribunal se encuentra interno en el Centro Penitenciario de Logroño, alegando la lesión de su derecho </w:t>
      </w:r>
      <w:r>
        <w:lastRenderedPageBreak/>
        <w:t>a la tutela judicial efectiva (art. 24.1 C.E.)  como consecuencia de la indefensión sufrida, toda vez que no le fue notificada la extinción de la pena privativa de libertad que estaba cumpliendo en virtud de la Sentencia dictada por la Audiencia Provincial de Huesca en fecha 29 de junio de 1.982, en la causa 45/82 del Juzgado de Instrucción núm.  2 de aquella ciudad.</w:t>
      </w:r>
    </w:p>
    <w:p w:rsidR="00B01F4A" w:rsidRDefault="00B01F4A" w:rsidP="00B01F4A">
      <w:pPr>
        <w:pStyle w:val="TextoNormal"/>
      </w:pPr>
      <w:r>
        <w:t>La pena impuesta en la indicada Sentencia fue la de siete años de prisión mayor por delito de homicidio frustrado, con la circunstancia agravante de reincidencia y la atenuante de embriaguez, y una vez declarada firme la Sentencia dictada, mediante Auto de 21 de diciembre de 1982, al haberse tenido por desierto el recurso de casación interpuesto ante la Sala Segunda del Tribunal Supremo, se aprobó por providencia de 5 de enero de 1983 su liquidación de condena, que preveía su extinción para el día 4 de junio de 1989. A la entrada en vigor de la L.O. 8/1983, por Auto de 8 de junio de 1983 se declaró no haber lugar a revisar la condena impuesta. Instado, entonces, por el penado incidente de refundición de penas por razón de otras condenas sufridas -de conformidad con lo que dispone el art. 988 L.E.Crim.-, por Auto de 6 de septiembre de 1993 -dictado en rollo 3/92; sumario 1/92, del Juzgado de Instrucción núm. 2 de Huesca, en razón de la competencia que confiere el precepto citado-, la Audiencia Provincial de Huesca excluyo la pena impuesta de la refundición, no interponiendo finalmente, contra tal resolución recurso de casación, pese a autorizarlo el referido art. 988 L.E.Crim.</w:t>
      </w:r>
    </w:p>
    <w:p w:rsidR="00B01F4A" w:rsidRDefault="00B01F4A" w:rsidP="00B01F4A">
      <w:pPr>
        <w:pStyle w:val="TextoNormal"/>
      </w:pPr>
      <w:r>
        <w:t>Sin embargo, por providencia de 17 de diciembre de 1992, la Audiencia Provincial de Huesca aprobó el licenciamiento definitivo del penado por la causa 45/82 para el día 3 de octubre de 1987, constando en autos notificada la referida providencia al Ministerio Fiscal y a las partes, e incluso se llegó a acusar recibo por el Establecimiento Penitenciario mediante oficio de 7 de enero de 1993.</w:t>
      </w:r>
    </w:p>
    <w:p w:rsidR="00B01F4A" w:rsidRDefault="00B01F4A" w:rsidP="00B01F4A">
      <w:pPr>
        <w:pStyle w:val="TextoNormal"/>
      </w:pPr>
    </w:p>
    <w:p w:rsidR="00B01F4A" w:rsidRDefault="00B01F4A" w:rsidP="00B01F4A">
      <w:pPr>
        <w:pStyle w:val="TextoNormal"/>
      </w:pPr>
      <w:r w:rsidRPr="00B01F4A">
        <w:rPr>
          <w:rStyle w:val="NumeroAFNegritaCaracter"/>
        </w:rPr>
        <w:t>2</w:t>
      </w:r>
      <w:r>
        <w:t>. El recurrente, en su demanda de amparo, no concreta con precisión cuál es la indefensión que le ha provocado la quiebra de su derecho a la tutela judicial efectiva (art. 24.1 C.E.), por ello debe tenerse en consideración, a los efectos de concretar tal pretensión, tal como pone de relieve el Ministerio Fiscal -con cita de las SSTC 48/1984, 93/1987, 194/1988, y 35/1989-, que ninguna indefensión material con trascendencia constitucional se le ha producido al penado como consecuencia de que continuara interno en el mencionado Centro Penitenciario, toda vez que por el mismo se debía dar cumplimiento a otras penas privativas de la libertad, y ello sin perjuicio de que la solicitud de amparo formulada en tal sentido ser extemporánea, ya que en este caso la impugnación se dirige contra la providencia de 17 de diciembre de 1992, resolución que le fue notificada al demandante antes del día 7 de enero de 1993, habiendo transcurrido en exceso en el momento de la presentación de su queja constitucional el plazo establecido a tal efecto en el art. 44.2 LOTC.</w:t>
      </w:r>
    </w:p>
    <w:p w:rsidR="00B01F4A" w:rsidRDefault="00B01F4A" w:rsidP="00B01F4A">
      <w:pPr>
        <w:pStyle w:val="TextoNormal"/>
      </w:pPr>
    </w:p>
    <w:p w:rsidR="00B01F4A" w:rsidRDefault="00B01F4A" w:rsidP="00B01F4A">
      <w:pPr>
        <w:pStyle w:val="TextoNormal"/>
      </w:pPr>
      <w:r w:rsidRPr="00B01F4A">
        <w:rPr>
          <w:rStyle w:val="NumeroAFNegritaCaracter"/>
        </w:rPr>
        <w:t>3</w:t>
      </w:r>
      <w:r>
        <w:t>. Si, por el contrario, la indefensión denunciada por el demandante se refiere a la refundición de todas las penas que le han sido impuestas desde 1982 a 1991 habría de tenerse en cuenta, como resulta de los antecedentes expuestos, que en junio de 1993 instó el incidente de refundición de condenas que fue resuelto por Auto de 6 de septiembre de 1993, contra el cual no interpuso recurso de casación, pese a tener la oportunidad procesal de hacerlo. Ello determina que conforme al art. 44.1 a) LOTC, tampoco cabe la admisión del presente recurso de amparo, al no haberse procedido por el recurrente al agotamiento de la vía judicial previa.</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virtud de lo expuesto, la Sala acuerda la inadmisión a trámite del recurso de amparo y el archivo de las presentes actuaciones.</w:t>
      </w:r>
    </w:p>
    <w:p w:rsidR="00B01F4A" w:rsidRDefault="00B01F4A" w:rsidP="00B01F4A">
      <w:pPr>
        <w:pStyle w:val="TextoNormal"/>
      </w:pPr>
    </w:p>
    <w:p w:rsidR="00B01F4A" w:rsidRDefault="00B01F4A" w:rsidP="00B01F4A">
      <w:pPr>
        <w:pStyle w:val="TextoNormal"/>
      </w:pPr>
      <w:r>
        <w:t>Madrid, a diecinueve de marzo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81" w:name="AUTO_1997_91"/>
      <w:r>
        <w:lastRenderedPageBreak/>
        <w:t>AUTO 91/1997, de 19 de marzo de 1997</w:t>
      </w:r>
    </w:p>
    <w:bookmarkEnd w:id="181"/>
    <w:p w:rsidR="00B01F4A" w:rsidRDefault="00B01F4A" w:rsidP="00B01F4A">
      <w:pPr>
        <w:pStyle w:val="TtuloResolucin"/>
      </w:pPr>
      <w:r>
        <w:t>Sección Segunda</w:t>
      </w:r>
    </w:p>
    <w:p w:rsidR="00B01F4A" w:rsidRDefault="00B01F4A" w:rsidP="00B01F4A">
      <w:pPr>
        <w:pStyle w:val="TtuloResolucin"/>
      </w:pPr>
    </w:p>
    <w:p w:rsidR="00B01F4A" w:rsidRDefault="00B01F4A" w:rsidP="00B01F4A">
      <w:pPr>
        <w:pStyle w:val="SntesisDescriptiva"/>
      </w:pPr>
      <w:r>
        <w:t>ECLI:ES:TC:1997:91A</w:t>
      </w:r>
    </w:p>
    <w:p w:rsidR="00B01F4A" w:rsidRDefault="00B01F4A" w:rsidP="00B01F4A">
      <w:pPr>
        <w:pStyle w:val="SntesisDescriptiva"/>
      </w:pPr>
    </w:p>
    <w:p w:rsidR="00B01F4A" w:rsidRDefault="00B01F4A" w:rsidP="00B01F4A">
      <w:pPr>
        <w:pStyle w:val="SntesisDescriptiva"/>
      </w:pPr>
      <w:r>
        <w:t>Excms. Srs. don José Vicente Gimeno Sendra, don Manuel Jiménez de Parga y Cabrera y don Pablo García Manzano.</w:t>
      </w:r>
    </w:p>
    <w:p w:rsidR="00B01F4A" w:rsidRDefault="00B01F4A" w:rsidP="00B01F4A">
      <w:pPr>
        <w:pStyle w:val="SntesisDescriptiva"/>
      </w:pPr>
    </w:p>
    <w:p w:rsidR="00B01F4A" w:rsidRDefault="00B01F4A" w:rsidP="00B01F4A">
      <w:pPr>
        <w:pStyle w:val="SntesisDescriptiva"/>
      </w:pPr>
      <w:r>
        <w:t>Acordando la inadmisión a trámite del recurso de amparo 3.105/1996.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xml:space="preserve">. Por escrito registrado en este Tribunal el 31 de julio de 1996, la representación procesal de la Comunidad de Propietarios de Hernán Cortés, número 12, de Madrid, formuló demanda de amparo contra al Auto de 16 de julio de 1996 de la Sala Primera del Tribunal Supremo que inadmite el recurso de casación 169/96, con fundamento en los siguientes hechos: </w:t>
      </w:r>
    </w:p>
    <w:p w:rsidR="00B01F4A" w:rsidRDefault="00B01F4A" w:rsidP="00B01F4A">
      <w:pPr>
        <w:pStyle w:val="TextoNormal"/>
      </w:pPr>
      <w:r>
        <w:t xml:space="preserve">a) La Comunidad recurrente promovió un juicio de menor cuantía contra uno de los propietarios del edificio, constituido bajo el régimen de la propiedad horizontal, acumulando dos acciones, una acción reivindicatoria respecto de determinadas buhardillas, y una acción de reclamación de cantidad por diversos conceptos. </w:t>
      </w:r>
    </w:p>
    <w:p w:rsidR="00B01F4A" w:rsidRDefault="00B01F4A" w:rsidP="00B01F4A">
      <w:pPr>
        <w:pStyle w:val="TextoNormal"/>
      </w:pPr>
      <w:r>
        <w:t xml:space="preserve">b) El demandado se opuso a la demanda, y el Juzgado, tras la oportuna tramitación, dictó Sentencia en la que desestimó la pretensión referida a las buhardillas y estimó, en parte, la pretensión de reclamación de cantidad, condenando al demandado a pagar a la actora la suma de 576.896 pesetas, más los intereses legales. </w:t>
      </w:r>
    </w:p>
    <w:p w:rsidR="00B01F4A" w:rsidRDefault="00B01F4A" w:rsidP="00B01F4A">
      <w:pPr>
        <w:pStyle w:val="TextoNormal"/>
      </w:pPr>
      <w:r>
        <w:t xml:space="preserve">c) Ambas partes interpusieron recurso de apelación que la Audiencia desestimó, confirmando la Sentencia apelada en todos sus extremos. </w:t>
      </w:r>
    </w:p>
    <w:p w:rsidR="00B01F4A" w:rsidRDefault="00B01F4A" w:rsidP="00B01F4A">
      <w:pPr>
        <w:pStyle w:val="TextoNormal"/>
      </w:pPr>
      <w:r>
        <w:t>d) Contra la Sentencia de la Audiencia, la Comunidad actora preparó recurso de casación con cita del art. 1.687.1 c) de la L.E.C., que se tuvo por preparado y formulado el recurso, la Sala Primera del Tribunal Supremo, mediante Auto de 16 de julio de 1996, lo inadmitió.</w:t>
      </w:r>
    </w:p>
    <w:p w:rsidR="00B01F4A" w:rsidRDefault="00B01F4A" w:rsidP="00B01F4A">
      <w:pPr>
        <w:pStyle w:val="TextoNormal"/>
      </w:pPr>
    </w:p>
    <w:p w:rsidR="00B01F4A" w:rsidRDefault="00B01F4A" w:rsidP="00B01F4A">
      <w:pPr>
        <w:pStyle w:val="TextoNormal"/>
      </w:pPr>
      <w:r w:rsidRPr="00B01F4A">
        <w:rPr>
          <w:rStyle w:val="NumeroAFNegritaCaracter"/>
        </w:rPr>
        <w:t>2</w:t>
      </w:r>
      <w:r>
        <w:t>. La demanda denuncia la violación del derecho a la tutela judicial efectiva, en su vertiente de derecho de acceso a los recursos legalmente establecidos que, a juicio de la recurrente, se ha producido como consecuencia de una interpretación de las normas que regulan el recurso de casación contraria al art. 24.1 C.E., pues la Sala Primera del Tribunal Supremo entiende que si existe conformidad entre las Sentencias de primera y segunda instancias, procede la inadmisión sin más, con arreglo al art. 1.687.1 b) L.E.C., sin necesidad de proceder a la determinación de la cuantía por el incidente previsto en el art. 1.694 L.E.C., cuando lo procedente sería lo contrario, es decir, que la conformidad de las Sentencias para excluir la casación sólo debe operar en el caso de la cuantía inestimable; en el caso de cuantía estimable, se debe determinar ésta para ver si supera o no el límite de los 6.000.000 de pesetas. En el caso que nos ocupa, el Auto recurrido excluye la casación sin determinar plenamente la cuantía del pleito.</w:t>
      </w:r>
    </w:p>
    <w:p w:rsidR="00B01F4A" w:rsidRDefault="00B01F4A" w:rsidP="00B01F4A">
      <w:pPr>
        <w:pStyle w:val="TextoNormal"/>
      </w:pPr>
    </w:p>
    <w:p w:rsidR="00B01F4A" w:rsidRDefault="00B01F4A" w:rsidP="00B01F4A">
      <w:pPr>
        <w:pStyle w:val="TextoNormal"/>
      </w:pPr>
      <w:r w:rsidRPr="00B01F4A">
        <w:rPr>
          <w:rStyle w:val="NumeroAFNegritaCaracter"/>
        </w:rPr>
        <w:t>3</w:t>
      </w:r>
      <w:r>
        <w:t>. Por providencia de 19 de diciembre de 1996, la Sección acordó, a los efectos del art. 50.3 LOTC, conceder a la parte recurrente y al Ministerio Fiscal un plazo de diez días para que pudieran formular las alegaciones que estimasen procedentes en relación con la concurrencia del siguiente motivo de inadmisión: carecer la demanda manifiestamente de contenido que justifique una decisión sobre el fondo por parte de este Tribunal [art. 50.1 c) LOTC].</w:t>
      </w:r>
    </w:p>
    <w:p w:rsidR="00B01F4A" w:rsidRDefault="00B01F4A" w:rsidP="00B01F4A">
      <w:pPr>
        <w:pStyle w:val="TextoNormal"/>
      </w:pPr>
    </w:p>
    <w:p w:rsidR="00B01F4A" w:rsidRDefault="00B01F4A" w:rsidP="00B01F4A">
      <w:pPr>
        <w:pStyle w:val="TextoNormal"/>
      </w:pPr>
      <w:r w:rsidRPr="00B01F4A">
        <w:rPr>
          <w:rStyle w:val="NumeroAFNegritaCaracter"/>
        </w:rPr>
        <w:t>4</w:t>
      </w:r>
      <w:r>
        <w:t>. Por escrito registrado en este Tribunal el 3 de febrero de 1997, el Fiscal interesa la inadmisión del recurso de amparo por carecer la demanda manifiestamente de contenido constitucional [art. 50.1 c) LOTC]. El Tribunal Constitucional ha establecido una doctrina constante respecto al contenido del derecho fundamental a la tutela judicial efectiva en lo que se refiere al derecho de acceso al recurso, afirmando que no existe en la Constitución ninguna norma o principio que imponga la necesidad de una doble instancia o de unos determinados recursos, siendo posible en abstracto su inexistencia o condicionar su admisibilidad al cumplimiento de ciertos requisitos. El establecimiento y regulación de esta materia pertenece al ámbito de la libertad del legislador (STC 3/1983). Esto significa que el principio hermenéutico pro actione no opera con igual intensidad en la fase inicial del proceso para acceder al sistema judicial que en las sucesivas instancias. Conseguida que fue la primera respuesta judicial a la pretensión que es la sustancia medular de la tutela y su contenido esencial, es distinto el enjuiciamiento que pueden recibir las normas obstaculizadoras o impeditivas del acceso a la jurisdicción o aquellas otras que limitan la admisibilidad de un recurso extraordinario contra una sentencia anterior en un proceso celebrado con todas las garantías (SSTC 3/1983 y 294/1994). El Auto del Tribunal Supremo interpreta el art. 1.687.1 b) de la L.E.C., y esta interpretación aplicada al supuesto concreto que plantea la recurrente conduce a la declaración de que no concurren las condiciones que la ley exige para la admisión del recurso de casación. El Tribunal Supremo entiende que concurre una causa de inadmisibilidad -conformidad de las dos Sentencias y pretensión de cuantía inestimable- y esta apreciación se motiva racionalmente y se funda en derecho -determinación de la cuantía al tiempo de la interposición de la demanda sin que pueda variarse caprichosamente dependiendo del resultado del pleito-. Esta interpretación y aplicación de la norma no es irracional ni arbitraria. La interpretación del Tribunal Supremo es admisible cualquiera que fuere su grado de exactitud respecto de la voluntad objetivada de la ley o la subjetiva del legislador. Lo que hay que afirmar como conclusión es que la interpretación del Tribunal Supremo, a la que se le imputa la violación constitucional, no es arbitraria, irracional, no es intuitu persona y está fundamentada en derecho por lo que se puede afirmar que no existe la violación denunciada del art. 24 de la C.E., porque es al Tribunal Supremo a quien corresponde el examen y la decisión sobre la admisión del recurso de casación salvo, como dice la STC 37/1995, lo dispuesto en materia de garantías constitucionales.</w:t>
      </w:r>
    </w:p>
    <w:p w:rsidR="00B01F4A" w:rsidRDefault="00B01F4A" w:rsidP="00B01F4A">
      <w:pPr>
        <w:pStyle w:val="TextoNormal"/>
      </w:pPr>
    </w:p>
    <w:p w:rsidR="00B01F4A" w:rsidRDefault="00B01F4A" w:rsidP="00B01F4A">
      <w:pPr>
        <w:pStyle w:val="TextoNormal"/>
      </w:pPr>
      <w:r w:rsidRPr="00B01F4A">
        <w:rPr>
          <w:rStyle w:val="NumeroAFNegritaCaracter"/>
        </w:rPr>
        <w:t>5</w:t>
      </w:r>
      <w:r>
        <w:t xml:space="preserve">. Por escrito registrado el 8 de enero de 1997, la representación procesal de la recurrente entiende que no concurre el motivo de inadmisión planteado. Insiste en que la interpretación llevada a cabo por la Sala Primera del Tribunal Supremo infringe el derecho a la tutela judicial efectiva. A efectos del recurso de casación la ley exige, para los procesos de cuantía estimable, que se superen los 6.000.000 de pesetas y prevé la posibilidad de que no se haya determinado su importe, fijando para ello un trámite de evaluación en el art. 1.694 L.E.C. Por ello, cuando la cuantía puede determinarse, el criterio que excluye la casación en el </w:t>
      </w:r>
      <w:r>
        <w:lastRenderedPageBreak/>
        <w:t>supuesto de que las Sentencias de instancia y de apelación sean conformes de toda conformidad, sólo puede aplicarse a los procesos de cuantía inestimable, pero no a los procesos en los que la cuantía es determinable. En consecuencia, el Tribunal Supremo al denegar el acceso a la casación por este último criterio, sin previamente determinar la cuantía, está realizando una interpretación de la ley procesal que restringe el acceso a la casación de forma contraria al art. 24.1 C.E.</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La demanda de amparo se dirige contra el Auto de la Sala Primera del Tribunal Supremo que acordó la inadmisión del recurso de casación civil interpuesto por la Comunidad recurrente con fundamento en el art. 1.710.1.2.ª, en relación con los arts. 1.697 y 1.687.1.º, letras b) y c), todos de la L.E.C. Entiende la recurrente que la interpretación efectuada por el órgano judicial vulnera el derecho a la tutela judicial efectiva, en su vertiente de derecho de acceso a los recursos legalmente establecidos.</w:t>
      </w:r>
    </w:p>
    <w:p w:rsidR="00B01F4A" w:rsidRDefault="00B01F4A" w:rsidP="00B01F4A">
      <w:pPr>
        <w:pStyle w:val="TextoNormal"/>
      </w:pPr>
    </w:p>
    <w:p w:rsidR="00B01F4A" w:rsidRDefault="00B01F4A" w:rsidP="00B01F4A">
      <w:pPr>
        <w:pStyle w:val="TextoNormal"/>
      </w:pPr>
      <w:r w:rsidRPr="00B01F4A">
        <w:rPr>
          <w:rStyle w:val="NumeroAFNegritaCaracter"/>
        </w:rPr>
        <w:t>2</w:t>
      </w:r>
      <w:r>
        <w:t>. Este Tribunal, tratando de precisar el contenido del art. 24 C.E., ha distinguido entre el derecho a acceso a la jurisdicción, que nace directamente de la Constitución y es un elemento esencial del contenido del derecho a la tutela judicial efectiva reconocido en dicho precepto, y el derecho de acceso a los recursos contra las resoluciones judiciales, que es un derecho de configuración legal que no nace ex Constitutione sino de lo que, en cada momento, hayan dispuesto las leyes procesales. Como ya dijimos en la STC 37/1995, «El sistema de recursos se incorpora a la tutela judicial en la configuración que le dé cada una de esas leyes de enjuiciamiento reguladoras de los diferentes órdenes jurisdiccionales, sin que ni siquiera exista un derecho constitucional al disponer de tales medios de impugnación, siendo imaginable, posible y real la eventualidad de que no existan, salvo en lo penal (SSTC 140/1985, 37/1988 y 106/1988). No puede encontrarse en la Constitución ninguna norma o principio que imponga la necesidad de una doble instancia o de unos determinados recursos, siendo posible en abstracto su inexistencia o condicionar su admisibilidad al cumplimiento de ciertos requisitos. El establecimiento y regulación, de esta materia, pertenece al ámbito de libertad del legislador (STC 3/1983)».</w:t>
      </w:r>
    </w:p>
    <w:p w:rsidR="00B01F4A" w:rsidRDefault="00B01F4A" w:rsidP="00B01F4A">
      <w:pPr>
        <w:pStyle w:val="TextoNormal"/>
      </w:pPr>
      <w:r>
        <w:t>Asimismo, este Tribunal ha afirmado, en reiteradas ocasiones, que la interpretación</w:t>
      </w:r>
    </w:p>
    <w:p w:rsidR="00B01F4A" w:rsidRDefault="00B01F4A" w:rsidP="00B01F4A">
      <w:pPr>
        <w:pStyle w:val="TextoNormal"/>
      </w:pPr>
      <w:r>
        <w:t>y aplicación de las reglas que regulan el acceso a los recursos es una cuestión de legalidad ordinaria, por lo que corresponde a los órganos judiciales la determinación de cuáles son los requisitos y presupuestos que la ley exige para el acceso a los recursos que establece, así como la verificación y control de su concurrencia en cada caso concreto [art. 117.3 C.E. y art. 44.1 b) LOTC], por lo que sus decisiones sobre la admisión o inadmisión de los recursos no son revisables en la vía de amparo salvo que carezcan de motivación o razonamiento alguno, se basen en una causa legal manifiestamente inexistente o en un error patente, desconozcan arbitrariamente uno de los presupuestos o requisitos legales para el acceso al recurso o, en fin, se trate de resoluciones manifiestamente arbitrarias o irrazonables (SSTC 255/1994 y 37/1995, por todas).</w:t>
      </w:r>
    </w:p>
    <w:p w:rsidR="00B01F4A" w:rsidRDefault="00B01F4A" w:rsidP="00B01F4A">
      <w:pPr>
        <w:pStyle w:val="TextoNormal"/>
      </w:pPr>
      <w:r>
        <w:t>En la misma línea hemos declarado que la cuantía del pleito es la fijada en la demanda o en los escritos rectores del proceso, correspondiendo al Tribunal Supremo la última palabra a la hora de determinar la cuantía litigiosa a los efectos de acceder al recurso de casación (SSTC 93/1993 y 255/1994).</w:t>
      </w:r>
    </w:p>
    <w:p w:rsidR="00B01F4A" w:rsidRDefault="00B01F4A" w:rsidP="00B01F4A">
      <w:pPr>
        <w:pStyle w:val="TextoNormal"/>
      </w:pPr>
      <w:r>
        <w:lastRenderedPageBreak/>
        <w:t>Con arreglo a la doctrina constitucional expuesta es claro que la demanda de amparo incurre en la causa de inadmisión prevista en el art. 50.1 c) LOTC que ya anunciamos. En el Auto recurrido, el Tribunal Supremo, mediante una resolución motivada, entiende que la exclusión del acceso a la casación prevista en el inciso final del art. 1.687.1 b) L.E.C., cuando se trate de procesos en los que las Sentencias de instancia y de apelación sean conformes de toda conformidad, es aplicable tanto a los procesos en los que la cuantía sea inestimable, como a aquellos otros en que, aun siendo estimable, se hayan seguido como de cuantía indeterminada por voluntad de las partes, de forma que en estos casos no procede el incidente de fijación de cuantía del art. 1.694 L.E.C. para ver si la cuantía supera o no el límite de los seis millones de pesetas de art. 1.687.1 c) L.E.C.</w:t>
      </w:r>
    </w:p>
    <w:p w:rsidR="00B01F4A" w:rsidRDefault="00B01F4A" w:rsidP="00B01F4A">
      <w:pPr>
        <w:pStyle w:val="TextoNormal"/>
      </w:pPr>
      <w:r>
        <w:t>Esta interpretación, que se apoya en una doctrina consolidada de la Sala, como expresamente se razona en el Auto recurrido, puede compartirse o no, pero está dentro de las facultades que la ley y la Constitución atribuyen a Tribunal Supremo a la hora de fijar el alcance y contenido de las leyes (art. 123 C.E.  y art. 1.6. C.C.), por lo que al no ser arbitraria ni irrazonable y estar suficientemente motivada no vulnera el art. 24.1 C.E. y no puede ser revisada por este Tribunal.</w:t>
      </w:r>
    </w:p>
    <w:p w:rsidR="00B01F4A" w:rsidRDefault="00B01F4A" w:rsidP="00B01F4A">
      <w:pPr>
        <w:pStyle w:val="TextoNormal"/>
      </w:pPr>
      <w:r>
        <w:t>En el presente caso, la Sala inadmite el recurso razonando que el juicio de menor cuantía se siguió por expresa indicación del escrito de demanda como de cuantía inestimable o indeterminable en cuanto a la pretensión relativa a la acción reivindicatoria sobre las buhardillas litigiosas, y en lo concerniente a la pretensión de reclamación de cantidad, ésta se determinó en 2.721.896 pesetas, por lo que la cuantía no superaba, respecto de esta pretensión, el límite de los 6.000.000 de pesetas. Todo ello hace que la inadmisión del recurso de casación no puede tildarse de arbitraria ni de irrazonable, estando suficientemente motivada, lo que excluye la vulneración del derecho a la tutela judicial efectiva invocada en la demanda, que incurre, por este motivo en la causa de inadmisión prevista en el art. 50.1 c) LOTC.</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virtud de lo expuesto, la Sección acuerda inadmitir al trámite el recurso de amparo formulado por la Comunidad de Propietarios de Hernán Cortes, núm.  12, de Madrid, y el consiguiente archivo de las actuaciones.</w:t>
      </w:r>
    </w:p>
    <w:p w:rsidR="00B01F4A" w:rsidRDefault="00B01F4A" w:rsidP="00B01F4A">
      <w:pPr>
        <w:pStyle w:val="TextoNormal"/>
      </w:pPr>
    </w:p>
    <w:p w:rsidR="00B01F4A" w:rsidRDefault="00B01F4A" w:rsidP="00B01F4A">
      <w:pPr>
        <w:pStyle w:val="TextoNormal"/>
      </w:pPr>
      <w:r>
        <w:t>Madrid, a diecinueve de marzo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82" w:name="AUTO_1997_92"/>
      <w:r>
        <w:lastRenderedPageBreak/>
        <w:t>AUTO 92/1997, de 20 de marzo de 1997</w:t>
      </w:r>
    </w:p>
    <w:bookmarkEnd w:id="182"/>
    <w:p w:rsidR="00B01F4A" w:rsidRDefault="00B01F4A" w:rsidP="00B01F4A">
      <w:pPr>
        <w:pStyle w:val="TtuloResolucin"/>
      </w:pPr>
      <w:r>
        <w:t>Sección Cuarta</w:t>
      </w:r>
    </w:p>
    <w:p w:rsidR="00B01F4A" w:rsidRDefault="00B01F4A" w:rsidP="00B01F4A">
      <w:pPr>
        <w:pStyle w:val="TtuloResolucin"/>
      </w:pPr>
    </w:p>
    <w:p w:rsidR="00B01F4A" w:rsidRDefault="00B01F4A" w:rsidP="00B01F4A">
      <w:pPr>
        <w:pStyle w:val="SntesisDescriptiva"/>
      </w:pPr>
      <w:r>
        <w:t>ECLI:ES:TC:1997:92A</w:t>
      </w:r>
    </w:p>
    <w:p w:rsidR="00B01F4A" w:rsidRDefault="00B01F4A" w:rsidP="00B01F4A">
      <w:pPr>
        <w:pStyle w:val="SntesisDescriptiva"/>
      </w:pPr>
    </w:p>
    <w:p w:rsidR="00B01F4A" w:rsidRDefault="00B01F4A" w:rsidP="00B01F4A">
      <w:pPr>
        <w:pStyle w:val="SntesisDescriptiva"/>
      </w:pPr>
      <w:r>
        <w:t>Excms. Srs. don Rafael de Mendizábal Allende, don Carles Viver Pi-Sunyer y don Tomás Salvador Vives Antón.</w:t>
      </w:r>
    </w:p>
    <w:p w:rsidR="00B01F4A" w:rsidRDefault="00B01F4A" w:rsidP="00B01F4A">
      <w:pPr>
        <w:pStyle w:val="SntesisDescriptiva"/>
      </w:pPr>
    </w:p>
    <w:p w:rsidR="00B01F4A" w:rsidRDefault="00B01F4A" w:rsidP="00B01F4A">
      <w:pPr>
        <w:pStyle w:val="SntesisDescriptiva"/>
      </w:pPr>
      <w:r>
        <w:t>Estimando recurso de súplica contra providencia de 29 de enero de 1997, dictada en el recurso de amparo 3.789/1996, y acordando la admisión de éste.</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de demanda registrado ante este Tribunal el día 22 de octubre de 1996, la representación procesal de los demandantes formuló recurso de amparo contra la Sentencia de la Sala Primera del Tribunal Supremo de 18 de septiembre de 1996, mediante la que se declara haber lugar a la casación entablado contra la dictada por la Audiencia Provincial de La Rioja de 7 de julio de 1992, revocándola y confirmando la dictada en primera instancia por el Juzgado de Haro de 23 de mayo de 1991.</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La demanda se fundamenta en los siguientes antecedentes de hecho: </w:t>
      </w:r>
    </w:p>
    <w:p w:rsidR="00B01F4A" w:rsidRDefault="00B01F4A" w:rsidP="00B01F4A">
      <w:pPr>
        <w:pStyle w:val="TextoNormal"/>
      </w:pPr>
      <w:r>
        <w:t xml:space="preserve">a) En el marco del juicio ejecutivo 258/87 seguido ante el Juzgado de Primera Instancia de Haro contra la mercantil «Forjados Riojanos S. A.», se embargaron diversas viviendas que los recurrentes habían adquirido de dicha sociedad, en virtud de sendos contratos privados, durante los años 1985 y 1986, lo que les condujo a interponer la correspondiente demanda de tercería de dominio. </w:t>
      </w:r>
    </w:p>
    <w:p w:rsidR="00B01F4A" w:rsidRDefault="00B01F4A" w:rsidP="00B01F4A">
      <w:pPr>
        <w:pStyle w:val="TextoNormal"/>
      </w:pPr>
      <w:r>
        <w:t xml:space="preserve">b) Dicha tercería fue desestimada por el Juez de Haro, cuyo pronunciamiento fue revocado en apelación por la Audiencia Provincial de La Rioja, al considerar ésta que mediante la suscripción de los contratos privados de compraventa antes citados, los recurrentes ya habían adquirido la titularidad dominical de los inmuebles a todos los efectos. </w:t>
      </w:r>
    </w:p>
    <w:p w:rsidR="00B01F4A" w:rsidRDefault="00B01F4A" w:rsidP="00B01F4A">
      <w:pPr>
        <w:pStyle w:val="TextoNormal"/>
      </w:pPr>
      <w:r>
        <w:t>c) Interpuesta casación, el Tribunal Supremo, a través de sentencia fechada el 18 de septiembre de 1996, declaró haber lugar al recurso, revocando la sentencia de segunda instancia y confirmando la dictada por el Juez de Haro, por entender el Alto Tribunal que la formalización de los contratos privados de compraventa no implicaban la traditio exigida por los arts. 609 y 1.095 C.C., tomando como dato básico el hecho de que, al momento de suscribirse aquellos contratos privados, las viviendas se encontraban aún en construcción, así como la circunstancia de no haberse podido obtener el enganche de la energía eléctrica para las viviendas o el visado de calificación definitiva hasta después de trabados de embargo los inmuebles en cuestión.</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Los recurrentes aducen que la impugnada Sentencia de la Sala Primera del Tribunal Supremo de 18 de septiembre de 1996, vulnera el art. 14 C.E., en su vertiente de igualdad </w:t>
      </w:r>
      <w:r>
        <w:lastRenderedPageBreak/>
        <w:t>en la aplicación judicial del derecho, por cuanto dicho mismo órgano judicial dictó Sentencia el 17 de septiembre de 1996, en la que, ante embargos trabados en el mismo juicio ejecutivo, ante tercerías de dominio planteadas frente a los mismos demandados y ante idénticos contenidos de las Sentencias de segunda instancia recurridas en casación, ha resuelto el problema de forma contradictoria: a) En la Sentencia de 18 de septiembre de 1996 declara haber lugar a la casación y confirma la dictada en primera instancia, que había desestimado la demanda de tercería; y b) En la Sentencia de 17 de septiembre de 1996, declara no haber lugar a la casación y confirma la dictada en segunda instancia, que había estimado la demanda de tercería.</w:t>
      </w:r>
    </w:p>
    <w:p w:rsidR="00B01F4A" w:rsidRDefault="00B01F4A" w:rsidP="00B01F4A">
      <w:pPr>
        <w:pStyle w:val="TextoNormal"/>
      </w:pPr>
    </w:p>
    <w:p w:rsidR="00B01F4A" w:rsidRDefault="00B01F4A" w:rsidP="00B01F4A">
      <w:pPr>
        <w:pStyle w:val="TextoNormal"/>
      </w:pPr>
      <w:r w:rsidRPr="00B01F4A">
        <w:rPr>
          <w:rStyle w:val="NumeroAFNegritaCaracter"/>
        </w:rPr>
        <w:t>4</w:t>
      </w:r>
      <w:r>
        <w:t>. La Sección, a través de providencia fechada el 29 de enero de 1997, acordó la inadmisión a trámite de la demanda de amparo al entender que la misma carecía manifiestamente del contenido constitucional requerido por el art. 50.1 e) LOTC.</w:t>
      </w:r>
    </w:p>
    <w:p w:rsidR="00B01F4A" w:rsidRDefault="00B01F4A" w:rsidP="00B01F4A">
      <w:pPr>
        <w:pStyle w:val="TextoNormal"/>
      </w:pPr>
    </w:p>
    <w:p w:rsidR="00B01F4A" w:rsidRDefault="00B01F4A" w:rsidP="00B01F4A">
      <w:pPr>
        <w:pStyle w:val="TextoNormal"/>
      </w:pPr>
      <w:r w:rsidRPr="00B01F4A">
        <w:rPr>
          <w:rStyle w:val="NumeroAFNegritaCaracter"/>
        </w:rPr>
        <w:t>5</w:t>
      </w:r>
      <w:r>
        <w:t>. El Ministerio Fiscal, mediante escrito registrado en día 13 de febrero de 1997, interpone recurso de súplica contra la anterior providencia puesto que, a su juicio, «el término de comparación reúne los requisitos exigidos por la doctrina constitucional para poder llegar al contraste entre las dos resoluciones y poder concluir que existe contradicción entre ambas. El supuesto fáctico de las dos sentencias es substancialmente idéntico porque los contratos de compraventa han sido visados por una autoridad administrativa e ingresados en un archivo público antes de la traba judicial», aduciendo, además, que ya la Sala Primera de este Tribunal ha sido admitido a trámite el recurso de amparo núm. 3.702/96, recurso que «es idéntico al que estamos estudiando porque se deduce igualmente contra la misma sentencia del Tribunal Supremo, siendo el supuesto fáctico substancialmente idéntico alega el mismo derecho fundamental -desigualdad- y se aporta como término de comparación la misma sentencia del Tribunal Supremo».</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EB5FD0" w:rsidP="00B01F4A">
      <w:pPr>
        <w:pStyle w:val="TextoNormal"/>
      </w:pPr>
      <w:r w:rsidRPr="00EB5FD0">
        <w:rPr>
          <w:rStyle w:val="NumeroAFNegritaCaracter"/>
        </w:rPr>
        <w:t>Ú</w:t>
      </w:r>
      <w:r w:rsidR="00B01F4A" w:rsidRPr="00EB5FD0">
        <w:rPr>
          <w:rStyle w:val="NumeroAFNegritaCaracter"/>
        </w:rPr>
        <w:t>nico.</w:t>
      </w:r>
      <w:r w:rsidR="00B01F4A">
        <w:t xml:space="preserve"> La argumentación expuesta por el Ministerio Fiscal en su recurso de súplica evidencia que, contrariamente a lo declarado por esta Sección en la providencia de 29 de enero de 1997, la demanda de amparo inadmitida a trámite mediante dicha resolución</w:t>
      </w:r>
    </w:p>
    <w:p w:rsidR="00B01F4A" w:rsidRDefault="00B01F4A" w:rsidP="00B01F4A">
      <w:pPr>
        <w:pStyle w:val="TextoNormal"/>
      </w:pPr>
      <w:r>
        <w:t>no incurre en la causa de inadmisibilidad prevista en el art. 50.1 c) LOTC.</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virtud de lo expuesto, la Sección acuerda estimar el recurso de súplica interpuesto por el Ministerio Fiscal y, en consecuencia:</w:t>
      </w:r>
    </w:p>
    <w:p w:rsidR="00B01F4A" w:rsidRDefault="00B01F4A" w:rsidP="00B01F4A">
      <w:pPr>
        <w:pStyle w:val="TextoNormal"/>
      </w:pPr>
      <w:r>
        <w:t>1.º Dejar sin efecto la providencia de 29 de enero de 1997.</w:t>
      </w:r>
    </w:p>
    <w:p w:rsidR="00B01F4A" w:rsidRDefault="00B01F4A" w:rsidP="00B01F4A">
      <w:pPr>
        <w:pStyle w:val="TextoNormal"/>
      </w:pPr>
      <w:r>
        <w:t>2.º Admitir a trámite el recurso de amparo núm. 3.789/96, y en aplicación de lo dispuesto en el artículo 51 de la Ley Orgánica de este Tribunal, diríjase atenta comunicación a la Sala Primera del Tribunal Supremo y Audiencia Provincial de La Rioja a fin</w:t>
      </w:r>
    </w:p>
    <w:p w:rsidR="00B01F4A" w:rsidRDefault="00B01F4A" w:rsidP="00B01F4A">
      <w:pPr>
        <w:pStyle w:val="TextoNormal"/>
      </w:pPr>
      <w:r>
        <w:lastRenderedPageBreak/>
        <w:t>de que, en plazo que no exceda de diez días, remita certificación o fotocopia adverada de las actuaciones correspondientes al recurso de casación núm. 2.989/92 y rollo de apelación núm. 517/91, respectivamente.</w:t>
      </w:r>
    </w:p>
    <w:p w:rsidR="00B01F4A" w:rsidRDefault="00B01F4A" w:rsidP="00B01F4A">
      <w:pPr>
        <w:pStyle w:val="TextoNormal"/>
      </w:pPr>
      <w:r>
        <w:t>Diríjase igualmente atenta comunicación al Juzgado de Primera Instancia de Haro a fin de que, en plazo que no exceda de diez días, remita certificación o fotocopia adverada de las actuaciones correspondientes al juicio ejecutivo núm. 258/87 y juicio de</w:t>
      </w:r>
    </w:p>
    <w:p w:rsidR="00B01F4A" w:rsidRDefault="00B01F4A" w:rsidP="00B01F4A">
      <w:pPr>
        <w:pStyle w:val="TextoNormal"/>
      </w:pPr>
      <w:r>
        <w:t>mayor cuantía 269/89, sobre tercería de dominio; debiendo previamente emplazarse, para que en el plazo de diez días puedan comparecer, sí lo desean, en el recurso de amparo y defender sus derechos, a quienes hubieran sido parte en el procedimiento,</w:t>
      </w:r>
    </w:p>
    <w:p w:rsidR="00B01F4A" w:rsidRDefault="00B01F4A" w:rsidP="00B01F4A">
      <w:pPr>
        <w:pStyle w:val="TextoNormal"/>
      </w:pPr>
      <w:r>
        <w:t>excepto la parte recurrente en amparo.</w:t>
      </w:r>
    </w:p>
    <w:p w:rsidR="00B01F4A" w:rsidRDefault="00B01F4A" w:rsidP="00B01F4A">
      <w:pPr>
        <w:pStyle w:val="TextoNormal"/>
      </w:pPr>
    </w:p>
    <w:p w:rsidR="00B01F4A" w:rsidRDefault="00B01F4A" w:rsidP="00B01F4A">
      <w:pPr>
        <w:pStyle w:val="TextoNormal"/>
      </w:pPr>
      <w:r>
        <w:t>Madrid, a veinte de marzo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83" w:name="AUTO_1997_93"/>
      <w:r>
        <w:lastRenderedPageBreak/>
        <w:t>AUTO 93/1997, de 7 de abril de 1997</w:t>
      </w:r>
    </w:p>
    <w:bookmarkEnd w:id="183"/>
    <w:p w:rsidR="00B01F4A" w:rsidRDefault="00B01F4A" w:rsidP="00B01F4A">
      <w:pPr>
        <w:pStyle w:val="TtuloResolucin"/>
      </w:pPr>
      <w:r>
        <w:t>Sala Primera</w:t>
      </w:r>
    </w:p>
    <w:p w:rsidR="00B01F4A" w:rsidRDefault="00B01F4A" w:rsidP="00B01F4A">
      <w:pPr>
        <w:pStyle w:val="TtuloResolucin"/>
      </w:pPr>
    </w:p>
    <w:p w:rsidR="00B01F4A" w:rsidRDefault="00B01F4A" w:rsidP="00B01F4A">
      <w:pPr>
        <w:pStyle w:val="SntesisDescriptiva"/>
      </w:pPr>
      <w:r>
        <w:t>ECLI:ES:TC:1997:93A</w:t>
      </w:r>
    </w:p>
    <w:p w:rsidR="00B01F4A" w:rsidRDefault="00B01F4A" w:rsidP="00B01F4A">
      <w:pPr>
        <w:pStyle w:val="SntesisDescriptiva"/>
      </w:pPr>
    </w:p>
    <w:p w:rsidR="00B01F4A" w:rsidRDefault="00B01F4A" w:rsidP="00B01F4A">
      <w:pPr>
        <w:pStyle w:val="SntesisDescriptiva"/>
      </w:pPr>
      <w:r>
        <w:t>Excms. Srs. don Álvaro Rodríguez Bereijo, don José Vicente Gimeno Sendra, don Pedro Cruz Villalón, don Enrique Ruiz Vadillo, don Manuel Jiménez de Parga y Cabrera y don Pablo García Manzano.</w:t>
      </w:r>
    </w:p>
    <w:p w:rsidR="00B01F4A" w:rsidRDefault="00B01F4A" w:rsidP="00B01F4A">
      <w:pPr>
        <w:pStyle w:val="SntesisDescriptiva"/>
      </w:pPr>
    </w:p>
    <w:p w:rsidR="00B01F4A" w:rsidRDefault="00B01F4A" w:rsidP="00B01F4A">
      <w:pPr>
        <w:pStyle w:val="SntesisDescriptiva"/>
      </w:pPr>
      <w:r>
        <w:t>Acuerda el desistimiento en el recurso de amparo 1.246/1995, promovido en pleito civil.</w:t>
      </w:r>
    </w:p>
    <w:p w:rsidR="00B01F4A" w:rsidRDefault="00B01F4A" w:rsidP="00B01F4A">
      <w:pPr>
        <w:pStyle w:val="SntesisDescriptiva"/>
      </w:pPr>
    </w:p>
    <w:p w:rsidR="00B01F4A" w:rsidRDefault="00B01F4A" w:rsidP="00B01F4A">
      <w:pPr>
        <w:pStyle w:val="SntesisAnaltica"/>
      </w:pPr>
      <w:r>
        <w:t>Desistimiento de recurso de amparo: procede.</w:t>
      </w:r>
    </w:p>
    <w:p w:rsidR="00B01F4A" w:rsidRDefault="00B01F4A" w:rsidP="00B01F4A">
      <w:pPr>
        <w:pStyle w:val="SntesisAnaltica"/>
      </w:pPr>
    </w:p>
    <w:p w:rsidR="00B01F4A" w:rsidRDefault="00B01F4A" w:rsidP="00B01F4A">
      <w:pPr>
        <w:pStyle w:val="SntesisAnaltica"/>
      </w:pPr>
    </w:p>
    <w:p w:rsidR="00B01F4A" w:rsidRDefault="00B01F4A" w:rsidP="00B01F4A">
      <w:pPr>
        <w:pStyle w:val="SntesisAnaltic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84" w:name="AUTO_1997_94"/>
      <w:r>
        <w:lastRenderedPageBreak/>
        <w:t>AUTO 94/1997, de 7 de abril de 1997</w:t>
      </w:r>
    </w:p>
    <w:bookmarkEnd w:id="184"/>
    <w:p w:rsidR="00B01F4A" w:rsidRDefault="00B01F4A" w:rsidP="00B01F4A">
      <w:pPr>
        <w:pStyle w:val="TtuloResolucin"/>
      </w:pPr>
      <w:r>
        <w:t>Sección Tercera</w:t>
      </w:r>
    </w:p>
    <w:p w:rsidR="00B01F4A" w:rsidRDefault="00B01F4A" w:rsidP="00B01F4A">
      <w:pPr>
        <w:pStyle w:val="TtuloResolucin"/>
      </w:pPr>
    </w:p>
    <w:p w:rsidR="00B01F4A" w:rsidRDefault="00B01F4A" w:rsidP="00B01F4A">
      <w:pPr>
        <w:pStyle w:val="SntesisDescriptiva"/>
      </w:pPr>
      <w:r>
        <w:t>ECLI:ES:TC:1997:94A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y don Julio D. González Campos.</w:t>
      </w:r>
    </w:p>
    <w:p w:rsidR="00B01F4A" w:rsidRDefault="00B01F4A" w:rsidP="00B01F4A">
      <w:pPr>
        <w:pStyle w:val="SntesisDescriptiva"/>
      </w:pPr>
    </w:p>
    <w:p w:rsidR="00B01F4A" w:rsidRDefault="00B01F4A" w:rsidP="00B01F4A">
      <w:pPr>
        <w:pStyle w:val="SntesisDescriptiva"/>
      </w:pPr>
      <w:r>
        <w:t>Acordando la inadmisión a trámite del recurso de amparo 1.516/1995.</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xml:space="preserve">. Mediante escrito registrado en este Tribunal el día 26 de abril de 1995, el Graduado Social don José Alonso Sánchez, anunció en nombre de don Mohamed Bouzaig la interposición de recurso de amparo contra la Sentencia del Tribunal Superior de Justicia de Andalucía (sede Málaga), de 11 de febrero de 1994, así como contra el Auto del Tribunal Supremo de 11 de enero de 1995, por considerar que dichas resoluciones judiciales han vulnerado sus derechos a la tutela judicial efectiva, al Juez predeterminado por la ley y a no sufrir discriminación. Solicitó para ello el nombramiento de Abogado y Procurador de oficio. </w:t>
      </w:r>
    </w:p>
    <w:p w:rsidR="00B01F4A" w:rsidRDefault="00B01F4A" w:rsidP="00B01F4A">
      <w:pPr>
        <w:pStyle w:val="TextoNormal"/>
      </w:pPr>
      <w:r>
        <w:t>Tras los trámites correspondientes, por providencia de 21 de marzo de 1996, la Sección acordó denegar el beneficio de justicia gratuita y otorgó un plazo de diez días para que el recurrente pudiera comparecer con Procurador y Abogado de su designación. Finalmente, mediante escrito presentado en el Juzgado de Guardia de Madrid el día 16 de mayo de 1996 y registrado en este Tribunal el día 17 siguiente, la Procuradora de los Tribunales doña María Concepción Arroyo Morollón interpuso, en nombre y representación de don Mohamed Bouzaig, recurso de amparo contra las resoluciones arriba mencionadas por considerarlas lesivas de los arts. 14 y 24 C.E.</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Los hechos en que se fundamenta la pretensión de amparo son los siguientes: </w:t>
      </w:r>
    </w:p>
    <w:p w:rsidR="00B01F4A" w:rsidRDefault="00B01F4A" w:rsidP="00B01F4A">
      <w:pPr>
        <w:pStyle w:val="TextoNormal"/>
      </w:pPr>
      <w:r>
        <w:t xml:space="preserve">a) El recurrente de amparo, trabajador extranjero, prestó servicios para el empresario don Andrés Cabrero desde el 1 de agosto de 1980, fecha en la que obtuvo el preceptivo permiso de trabajo, cuya vigencia se extendió hasta el día 15 de febrero de 1992, sin que el empresario solicitase en ese momento la renovación del permiso. A la vista de ello fue el propio trabajador el que requirió a la Administración correspondiente dicha renovación el día 4 de marzo de 1992, al tiempo que pretendió reincorporarse al trabajo. Sin embargo, el empresario le comunicó verbalmente que había perdido su puesto de trabajo, lo que motivó la presentación de una demanda por despido. La Sentencia del Juzgado de lo Social de Melilla de 6 de mayo de 1992, declaró que el contrato de trabajo no se extinguía con la pérdida de vigencia del permiso de trabajo, sino únicamente si éste se denegaba, dado que ello determina la nulidad del contrato. Puesto que la renovación del permiso corresponde solicitarla al empleador a fin de evitar que la duración del contrato quede a su arbitrio, el órgano judicial concluyó que el cese de que había sido objeto el recurrente constituía un despido nulo por falta de forma, condenando al empresario a la readmisión del trabajador. </w:t>
      </w:r>
    </w:p>
    <w:p w:rsidR="00B01F4A" w:rsidRDefault="00B01F4A" w:rsidP="00B01F4A">
      <w:pPr>
        <w:pStyle w:val="TextoNormal"/>
      </w:pPr>
      <w:r>
        <w:lastRenderedPageBreak/>
        <w:t xml:space="preserve">b) La Sentencia fue recurrida en suplicación, y por Auto de 10 de junio de 1992, el Juzgado accedió a la solicitud de su ejecución provisional ex art. 295 de la Ley de Procedimiento Laboral (en adelante, L.P.L.). Requirió con ello a la empresa para la readmisión del trabajador, así como el pago de los salarios de tramitación y la remoción de obstáculos si optaba por la prestación de servicios en referencia al permiso de trabajo. </w:t>
      </w:r>
    </w:p>
    <w:p w:rsidR="00B01F4A" w:rsidRDefault="00B01F4A" w:rsidP="00B01F4A">
      <w:pPr>
        <w:pStyle w:val="TextoNormal"/>
      </w:pPr>
      <w:r>
        <w:t xml:space="preserve">El empresario recurrió en reposición este Auto alegando que el permiso de trabajo ya le había sido denegado al trabajador con fecha 18 de marzo de 1992, de modo que no procedía la ejecución provisional. Sin embargo, por Auto de 22 de julio de 1992, se desestimó la reposición, fundándose en que la resolución administrativa que había denegado el permiso se había debido a que el empresario no había colaborado con la Dirección Provincial de Trabajo cuando esta le solicitó cierta documentación, según viene establecido en la normativa vigente sobre Derechos y Libertades de los Extranjeros en España, manteniendo con ello su decisión de ejecutar provisionalmente la Sentencia. </w:t>
      </w:r>
    </w:p>
    <w:p w:rsidR="00B01F4A" w:rsidRDefault="00B01F4A" w:rsidP="00B01F4A">
      <w:pPr>
        <w:pStyle w:val="TextoNormal"/>
      </w:pPr>
      <w:r>
        <w:t xml:space="preserve">c) La Sentencia del Tribunal Superior de Justicia de Andalucía (sede Málaga), de 20 de noviembre de 1992, desestimó el recurso de suplicación interpuesto por el empresario contra la Sentencia de instancia. Confirmó la vigencia del contrato tras haberse solicitado la renovación del permiso por el trabajador, así como la calificación de nulidad para el cese comunicado a aquél verbalmente. Mantuvo la condena a la readmisión, si bien añadiendo que ésta sólo podría hacerse efectiva hasta la denegación de la renovación del permiso, si es que tal fuese la decisión administrativa. </w:t>
      </w:r>
    </w:p>
    <w:p w:rsidR="00B01F4A" w:rsidRDefault="00B01F4A" w:rsidP="00B01F4A">
      <w:pPr>
        <w:pStyle w:val="TextoNormal"/>
      </w:pPr>
      <w:r>
        <w:t xml:space="preserve">d) Ya en trámite de ejecución definitiva y tras acreditarse que el empresario no había procedido a la readmisión del trabajador, el Auto del Juzgado de lo Social de Melilla de 31 de marzo de 1993, declaró resuelta la relación laboral tras comprobarse que la readmisión efectiva resultaba ya imposible puesto que con fecha 18 de marzo de 1992 la Administración había denegado el permiso de trabajo. Sin embargo, considerando que la denegación del permiso se había debido a que el empresario había manifestado expresamente que no tenía intención de colaborar en su tramitación, le condenó al pago de una indemnización sustitutiva de la readmisión, aplicando analógicamente las cuantías establecidas en el art. 110 L.P.L. para el despido. </w:t>
      </w:r>
    </w:p>
    <w:p w:rsidR="00B01F4A" w:rsidRDefault="00B01F4A" w:rsidP="00B01F4A">
      <w:pPr>
        <w:pStyle w:val="TextoNormal"/>
      </w:pPr>
      <w:r>
        <w:t xml:space="preserve">Tras la desestimación del recurso de reposición interpuesto contra este Auto, el empresario acudió en suplicación al Tribunal Superior de Justicia de Andalucía (sede Málaga), recurso éste que fue estimado por Sentencia de 11 de febrero de 1994. El órgano judicial destaca que el permiso de trabajo fue denegado con fecha 18 de marzo de 1992, momento a partir del cual el contrato carecía de un elemento sustancial que determinaba su nulidad, según la doctrina mantenida por el Tribunal Supremo. Que en dicha denegación no cabe atribuir ninguna responsabilidad al empresario, ya que fue acordada por un órgano administrativo ajeno a él, mencionando la mala fe del trabajador al no haber dejado constancia en su momento de la denegación administrativa. Decide asimismo el Tribunal Superior que, siendo ello así, el contrato quedó extinguido en tal fecha, por lo que no procede ni la readmisión del trabajador ni el abono de ninguna indemnización. En este sentido, el órgano judicial aclara previamente que su decisión no altera el contenido de lo ejecutado, ya que la Sentencia condenó a la readmisión pero limitó la efectividad de ésta al momento, si era el caso, en que se denegase la renovación del permiso de trabajo. </w:t>
      </w:r>
    </w:p>
    <w:p w:rsidR="00B01F4A" w:rsidRDefault="00B01F4A" w:rsidP="00B01F4A">
      <w:pPr>
        <w:pStyle w:val="TextoNormal"/>
      </w:pPr>
      <w:r>
        <w:t>e) El trabajador interpuso recurso de casación para la unificación de doctrina, inadmitido por Auto de la Sala de lo Social del Tribunal Supremo de 11 de enero de 1995, por falta de relación precisa y circunstanciada de la contradicción alegada y por falta de determinación de la infracción legal.</w:t>
      </w:r>
    </w:p>
    <w:p w:rsidR="00B01F4A" w:rsidRDefault="00B01F4A" w:rsidP="00B01F4A">
      <w:pPr>
        <w:pStyle w:val="TextoNormal"/>
      </w:pPr>
    </w:p>
    <w:p w:rsidR="00B01F4A" w:rsidRDefault="00B01F4A" w:rsidP="00B01F4A">
      <w:pPr>
        <w:pStyle w:val="TextoNormal"/>
      </w:pPr>
      <w:r w:rsidRPr="00B01F4A">
        <w:rPr>
          <w:rStyle w:val="NumeroAFNegritaCaracter"/>
        </w:rPr>
        <w:lastRenderedPageBreak/>
        <w:t>3</w:t>
      </w:r>
      <w:r>
        <w:t xml:space="preserve">. En su demanda de amparo, el recurrente considera que las resoluciones judiciales impugnadas han vulnerado los arts. 24 y 14 C.E. </w:t>
      </w:r>
    </w:p>
    <w:p w:rsidR="00B01F4A" w:rsidRDefault="00B01F4A" w:rsidP="00B01F4A">
      <w:pPr>
        <w:pStyle w:val="TextoNormal"/>
      </w:pPr>
      <w:r>
        <w:t xml:space="preserve">a) En primer término, entiende vulnerado su derecho al Juez predeterminado por la Ley (art. 24.2 C.E.), ya que el Tribunal Superior de Justicia de Andalucía (sede Málaga), no tiene competencia territorial sobre Melilla. Considera que el art. 2.5 de la Ley 38/1988, de 28 de diciembre, de Demarcación y Planta Judicial, que atribuye competencia a dicho Tribunal Superior para conocer de los recursos de suplicación contra Sentencias dictadas por el Juzgado de lo Social de Melilla, contradice el art. 152 C.E., por lo que aquel precepto debió ser inaplicado, tal como se alegó en el escrito de impugnación del recurso de suplicación. </w:t>
      </w:r>
    </w:p>
    <w:p w:rsidR="00B01F4A" w:rsidRDefault="00B01F4A" w:rsidP="00B01F4A">
      <w:pPr>
        <w:pStyle w:val="TextoNormal"/>
      </w:pPr>
      <w:r>
        <w:t xml:space="preserve">b) En segundo lugar denuncia vulneración del derecho a la tutela judicial efectiva en su manifestación de acceso a los recursos (art. 24.1 C.E.), por considerar formalista la inadmisión de su recurso de casación para la unificación de doctrina por el Tribunal Supremo, ya que, a su juicio, se habían cumplido con los requisitos de admisión establecidos legalmente. </w:t>
      </w:r>
    </w:p>
    <w:p w:rsidR="00B01F4A" w:rsidRDefault="00B01F4A" w:rsidP="00B01F4A">
      <w:pPr>
        <w:pStyle w:val="TextoNormal"/>
      </w:pPr>
      <w:r>
        <w:t xml:space="preserve">c) Finalmente, considera que la decisión del Tribunal Superior de Justicia lesiona el art. 14 C.E., al habérsele discriminado por su condición de trabajador con nacionalidad marroquí. Alega el recurrente que los trabajadores extranjeros tienen derecho a la igualdad en las condiciones de trabajo, citando nuestra STC 130/1995, de manera que su contrato de trabajo únicamente podía extinguirse según las causas y forma previstas legalmente para todos los trabajadores. Habiéndose acreditado que fue el empresario el que no procedió a renovar el permiso de trabajo, que se negó a colaborar con el organismo administrativo cuando el trabajador solicitó él mismo la renovación, así como que la denegación final se debió a esta falta de colaboración, se ha evidenciado así que el contrato se extinguió por voluntad del empresario. </w:t>
      </w:r>
    </w:p>
    <w:p w:rsidR="00B01F4A" w:rsidRDefault="00B01F4A" w:rsidP="00B01F4A">
      <w:pPr>
        <w:pStyle w:val="TextoNormal"/>
      </w:pPr>
      <w:r>
        <w:t>En consecuencia, siempre según el recurrente, la decisión del Tribunal Superior de Justicia de considerar extinguida la relación laboral por la denegación del permiso de trabajo y negar con ello el derecho a la indemnización, supone consolidar un claro abuso de derecho y abre la posibilidad de un trato desigual entre trabajadores españoles y extranjeros en tanto para éstos basta con que el empresario se niegue a colaborar en la renovación del permiso para que la denegación de éste aboque a la extinción del contrato sin derecho a la indemnización prevista legalmente para el despido. Alega que, en su caso, además, no resulta cierto que no aportase la denegación administrativa, que lo fue en el incidente de no readmisión si bien considera que su conocimiento tampoco habría alterado la decisión del Tribunal Superior.</w:t>
      </w:r>
    </w:p>
    <w:p w:rsidR="00B01F4A" w:rsidRDefault="00B01F4A" w:rsidP="00B01F4A">
      <w:pPr>
        <w:pStyle w:val="TextoNormal"/>
      </w:pPr>
    </w:p>
    <w:p w:rsidR="00B01F4A" w:rsidRDefault="00B01F4A" w:rsidP="00B01F4A">
      <w:pPr>
        <w:pStyle w:val="TextoNormal"/>
      </w:pPr>
      <w:r w:rsidRPr="00B01F4A">
        <w:rPr>
          <w:rStyle w:val="NumeroAFNegritaCaracter"/>
        </w:rPr>
        <w:t>4</w:t>
      </w:r>
      <w:r>
        <w:t xml:space="preserve">. Por providencia de 17 de julio de 1996, la Sección acordó abrir el trámite previsto en el art. 50.3 LOTC, dando un plazo común de diez días al recurrente y al Ministerio Fiscal para que formulasen alegaciones en relación a la causa de inadmisión prevista en el art. 50.1 c) LOTC, consistente en carecer manifiestamente la demanda de contenido que justifique una decisión por parte de este Tribunal. </w:t>
      </w:r>
    </w:p>
    <w:p w:rsidR="00B01F4A" w:rsidRDefault="00B01F4A" w:rsidP="00B01F4A">
      <w:pPr>
        <w:pStyle w:val="TextoNormal"/>
      </w:pPr>
      <w:r>
        <w:t>El recurrente reiteró las alegaciones hechas en su demanda de amparo, insistiendo en el carácter discriminatorio de la Sentencia dictada en suplicación, que le ha negado una indemnización por extinción del contrato por el único motivo de ser extranjero. Por su parte, el Ministerio Fiscal solicitó que se aportasen actuaciones y se abriese un nuevo plazo de diez días para, a la vista de aquéllas, volviesen a hacerse alegaciones.</w:t>
      </w:r>
    </w:p>
    <w:p w:rsidR="00B01F4A" w:rsidRDefault="00B01F4A" w:rsidP="00B01F4A">
      <w:pPr>
        <w:pStyle w:val="TextoNormal"/>
      </w:pPr>
    </w:p>
    <w:p w:rsidR="00B01F4A" w:rsidRDefault="00B01F4A" w:rsidP="00B01F4A">
      <w:pPr>
        <w:pStyle w:val="TextoNormal"/>
      </w:pPr>
      <w:r w:rsidRPr="00B01F4A">
        <w:rPr>
          <w:rStyle w:val="NumeroAFNegritaCaracter"/>
        </w:rPr>
        <w:lastRenderedPageBreak/>
        <w:t>5</w:t>
      </w:r>
      <w:r>
        <w:t xml:space="preserve">. Por providencia de 12 de diciembre de 1996, la Sección acordó dar vista de las actuaciones recibidas y conceder un plazo común de diez días al recurrente y al Ministerio Fiscal para formular las alegaciones pertinentes. </w:t>
      </w:r>
    </w:p>
    <w:p w:rsidR="00B01F4A" w:rsidRDefault="00B01F4A" w:rsidP="00B01F4A">
      <w:pPr>
        <w:pStyle w:val="TextoNormal"/>
      </w:pPr>
      <w:r>
        <w:t>El recurrente reitera las ya efectuadas anteriormente. Por su parte, el Ministerio Fiscal interesa la inadmisión de la demanda de amparo por concurrir la causa prevista en el art. 50.1 c) LOTC. Manifiesta en su informe que la demanda carece de contenido en relación al derecho de acceso a los recursos, puesto que sólo al Tribunal Supremo corresponde el control de los requisitos legalmente exigidos para la admisión del recurso de casación para la unificación de doctrina, sin que este Tribunal pueda modificar tales apreciaciones, realizadas de modo razonable en el caso del recurrente. Por lo que respecta al derecho al Juez predeterminado por la ley, estima que la competencia del Tribunal Superior está establecida con anterioridad al enjuiciamiento del caso, de modo que aquél no resulta afectado. Finalmente, en relación a la discriminación alegada por el recurrente, señala que no se aporta un término de comparación adecuado por cuanto no se acredita que otros trabajadores extranjeros en idéntica situación hayan recibido un trato jurídico distinto, así como que la cuestión fue incorrectamente planteada en el recurso de casación para la unificación de doctrina, de donde se derivaría una falta de agotamiento de la vía jurisdiccional. No obstante, el Ministerio Público sugiere la inadmisión por falta de contenido que justifique una decisión en forma de Sentencia del Tribunal Constitucional.</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Constituye reiterada jurisprudencia de este Tribunal que el derecho al Juez predeterminado por la Ley, reconocido en el art. 24.2 C.E., configura la garantía de que el órgano judicial llamado a conocer del asunto haya sido creado previamente por la norma, esté investido de jurisdicción y competencia antes del hecho que motiva su actuación y de que su régimen orgánico no permita ser calificado de especial o excepcional (entre otras muchas, SSTC 47/1983, 148/1987, 39/1994 y 6/1997).</w:t>
      </w:r>
    </w:p>
    <w:p w:rsidR="00B01F4A" w:rsidRDefault="00B01F4A" w:rsidP="00B01F4A">
      <w:pPr>
        <w:pStyle w:val="TextoNormal"/>
      </w:pPr>
      <w:r>
        <w:t>Siendo tal el contenido del derecho, resulta evidente que no se corresponde con él la queja planteada por el recurrente en amparo, que cuestiona la competencia del Tribunal Superior de Justicia de Andalucía (sede Málaga) para conocer de los recursos de suplicación contra resoluciones emanadas del Juzgado de lo Social de Melilla, en tanto la entiende contradictoria con el art. 152 C.E. Ahora bien, fijada claramente tal competencia por el art. 2.5 de la Ley 38/1988, de 28 de diciembre, de Demarcación y Planta Judicial, así como en la disposición transitoria trigésima de la Ley Orgánica 6/1985, del Poder Judicial, la cuestión de sí aquélla se ajusta o no a lo establecido en el art.  152 C.E. queda extramuros del objeto de un recurso de amparo invocando una pretendida vulneración del derecho al Juez predeterminado por la ley, ajeno por completo, como se ha dicho, a la interpretación sobre las reglas de competencia judiciales mantenidas por el recurrente. En consecuencia, la demanda carece manifiestamente, respecto a esta alegación, de contenido que justifique una decisión de fondo por parte de este Tribunal, incurriendo así en la causa de inadmisión prevista en el art. 50.1 c) LOTC.</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La misma causa de inadmisión se aprecia en la supuesta vulneración del derecho a la tutela judicial efectiva en su manifestación de acceso a los recursos (art. 24.1). Es también doctrina reiterada de este Tribunal que la valoración de los requisitos para recurrir -y específicamente en relación al recurso de casación para la unificación de doctrina- corresponde </w:t>
      </w:r>
      <w:r>
        <w:lastRenderedPageBreak/>
        <w:t>exclusivamente al órgano judicial competente, de manera que la eventual decisión de inadmitir el recurso sólo resulta revisable en sede constitucional si la respuesta ha sido arbitraria o inmotivada manifiestamente irrazonable (STC 148/1994, por todas).</w:t>
      </w:r>
    </w:p>
    <w:p w:rsidR="00B01F4A" w:rsidRDefault="00B01F4A" w:rsidP="00B01F4A">
      <w:pPr>
        <w:pStyle w:val="TextoNormal"/>
      </w:pPr>
      <w:r>
        <w:t>Ninguna de tales circunstancias cabe apreciar en la inadmisión del recurso para la unificación de doctrina decidida por el Tribunal Supremo con base en causas legalmente establecidas como son la falta de relación precisa y circunstanciada de la contradicción alegada y la de fundamentación de la infracción legal cometida (arts. 216, 221 y 222 L.P.L., que se corresponden en el texto vigente con los arts. 217, 222 y 223), que han sido razonadas al recurrente en la resolución impugnada. La discrepancia de aquél con la decisión del órgano judicial no integra, como es sabido, el contenido del derecho a la tutela judicial efectiva.</w:t>
      </w:r>
    </w:p>
    <w:p w:rsidR="00B01F4A" w:rsidRDefault="00B01F4A" w:rsidP="00B01F4A">
      <w:pPr>
        <w:pStyle w:val="TextoNormal"/>
      </w:pPr>
    </w:p>
    <w:p w:rsidR="00B01F4A" w:rsidRDefault="00B01F4A" w:rsidP="00B01F4A">
      <w:pPr>
        <w:pStyle w:val="TextoNormal"/>
      </w:pPr>
      <w:r w:rsidRPr="00B01F4A">
        <w:rPr>
          <w:rStyle w:val="NumeroAFNegritaCaracter"/>
        </w:rPr>
        <w:t>3</w:t>
      </w:r>
      <w:r>
        <w:t>. Tampoco cabe hacer, finalmente, ningún reproche a la Sentencia del Tribunal Superior en relación a la discriminación en la que incurre, a juicio del recurrente, al negarle la indemnización por extinción de contrato por su condición de trabajador extranjero.</w:t>
      </w:r>
    </w:p>
    <w:p w:rsidR="00B01F4A" w:rsidRDefault="00B01F4A" w:rsidP="00B01F4A">
      <w:pPr>
        <w:pStyle w:val="TextoNormal"/>
      </w:pPr>
      <w:r>
        <w:t>Conviene para ello recordar que la invocación de una lesión del derecho a no sufrir discriminación precisa, por el propio contenido de este derecho, acreditar que se ha producido un tratamiento diferenciado en relación a un principio jurídico del que deriva la exigencia de igualdad de trato (SSTC 59/82 y 34/84), o bien en relación al tratamiento dado en situaciones idénticas que actúan como termino de comparación (SSTC 113/1984, 29/1987 y 68/1989), que deben ser aportados por el recurrente puesto que no son suficientes las invocaciones genéricas de discriminación (SSTC 307/1993, 11/1995 y 1/1997, entre otras muchas). Dicha diferencia de trato tan sólo resultará discriminatoria, en segundo término cuando, habiendo ocasionado un menoscabo en el disfrute de los derechos o ventajas derivados de aquel principio, no responde a una razón objetiva, justificada y proporcional, ya que de concurrir tales circunstancias, tampoco resultaría discriminatoria (entre la reiterada jurisprudencia de este Tribunal SSTC 22/1981, 19/1982, 103/1983, 34/1984, 20/1985, 128/1987, 236/1988, 145/1991, 229/1992 y 147/1995).</w:t>
      </w:r>
    </w:p>
    <w:p w:rsidR="00B01F4A" w:rsidRDefault="00B01F4A" w:rsidP="00B01F4A">
      <w:pPr>
        <w:pStyle w:val="TextoNormal"/>
      </w:pPr>
      <w:r>
        <w:t>Desde las premisas que se acaban de recordar, se desprende que la queja planteada por el recurrente resulta por completo ajena a una eventual afectación de este derecho, por más que aquél -aun cuando no aporta un término de comparación adecuado, según señala el Ministerio Fiscal- sí acredita un principio jurídico que exige igualdad de trato, como es la aplicación de la normativa laboral en condiciones, de igualdad tanto a trabajadores españoles como a trabajadores extranjeros debidamente autorizados. Dicha exigencia de igualdad no se ha quebrado por el órgano judicial en el presente supuesto en función, como alega el recurrente, de su nacionalidad extranjera, y así cabría deducirlo, sin más, de la lectura de la resolución impugnada, que en ningún momento funda su decisión en la mencionada extranjería, lo que habría de llevar, ya de por sí, a rechazar la alegación del recurrente. Pero tampoco cabe deducirla por vía indirecta de las razones esgrimidas por el órgano judicial.</w:t>
      </w:r>
    </w:p>
    <w:p w:rsidR="00B01F4A" w:rsidRDefault="00B01F4A" w:rsidP="00B01F4A">
      <w:pPr>
        <w:pStyle w:val="TextoNormal"/>
      </w:pPr>
      <w:r>
        <w:t xml:space="preserve">Debe recordarse que la resolución impugnada se dicta en el trámite de ejecución de una Sentencia por despido que declaró éste nulo y condenó a la readmisión del trabajador, limitando la efectividad de la readmisión al momento en el que, en su caso, se produjera la denegación del permiso de trabajo. Tal es el problema que se plantea en la fase de ejecución, al constatarse que con una fecha muy anterior (18 de marzo de 1992) a la que se dictó la Sentencia (20 de noviembre de 1992) y se instó su ejecución (marzo de 1993), el organismo administrativo correspondiente ya había denegado la renovación del citado permiso. Cuando el Juzgado de lo Social resuelve el incidente de no readmisión, manifiesta la imposibilidad de la readmisión anudada a la nulidad del despido por concurrir una circunstancia </w:t>
      </w:r>
      <w:r>
        <w:lastRenderedPageBreak/>
        <w:t>como la denegación del permiso de trabajo; sin embargo, para el Juzgado de lo Social aquella denegación fue debida a la falta de colaboración del empresario en su renovación, por lo que mantiene la tesis de que el contrato en realidad se extinguió por voluntad de aquél y le condena a pagar una indemnización equivalente a la que se debe en los casos de despido.</w:t>
      </w:r>
    </w:p>
    <w:p w:rsidR="00B01F4A" w:rsidRDefault="00B01F4A" w:rsidP="00B01F4A">
      <w:pPr>
        <w:pStyle w:val="TextoNormal"/>
      </w:pPr>
      <w:r>
        <w:t>Frente a esta decisión, la del Tribunal Superior de Justicia, en uso de su propia competencia al revisar en suplicación la decisión del Juzgado de lo Social, valora de modo distinto las consecuencias que hayan de seguirse del hecho de que el permiso de trabajo fuese denegado el 18 de marzo de 1992, puesto que, según, la jurisprudencia del Tribunal Supremo, desde aquel momento el contrato es nulo por carecer de un elemento esencial. Para el Tribunal Superior es irrelevante el motivo por el que fue denegado, ya que a su entender no cabe atribuir la responsabilidad de la denegación al empresario en tanto fue acordada por un organismo administrativo. Siendo así, el órgano judicial considera extinguido el contrato por denegación, sin más, del permiso de trabajo, derivando las correspondientes consecuencias jurídicas, entre las que no se encuentra el abono de ninguna indemnización, al rechazar que la extinción de la relación se haya debido a la voluntad del empresario tras producirse aquella circunstancia. Se deduce de ello que el Tribunal Superior no niega arbitrariamente y, menos aún, en función de la condición de extranjero del trabajador, las indemnizaciones debidas cuando el contrato se extingue por voluntad del empresario, sino que aplica un régimen jurídico distinto al apreciar una diferente causa de extinción. Este cambio de criterio en la causa que determina el fin de la relación laboral podrá discutirse desde otros puntos de vista, pero no porque resulte discriminatorio para el trabajador en función de su personal condición de extranjero.</w:t>
      </w:r>
    </w:p>
    <w:p w:rsidR="00B01F4A" w:rsidRDefault="00B01F4A" w:rsidP="00B01F4A">
      <w:pPr>
        <w:pStyle w:val="TextoNormal"/>
      </w:pPr>
      <w:r>
        <w:t>Bajo la invocación del art. 14, el recurrente manifiesta en realidad su discrepancia con la decisión del órgano judicial de no atribuir al empresario la responsabilidad de la denegación del permiso de trabajo. Pero tal discrepancia, no sólo no integra el contenido del derecho a la tutela judicial efectiva, sino que su resolución es materia de legalidad ordinaria ajena a la competencia de este Tribunal, que no puede resolver acerca de los motivos por los que realmente el permiso fue denegado por la Administración ni si ante ella se hizo valer la actitud obstruccionista del empresario a los efectos oportunos.</w:t>
      </w:r>
    </w:p>
    <w:p w:rsidR="00B01F4A" w:rsidRDefault="00B01F4A" w:rsidP="00B01F4A">
      <w:pPr>
        <w:pStyle w:val="TextoNormal"/>
      </w:pPr>
      <w:r>
        <w:t>El demandante de amparo alega, asimismo, que la decisión del órgano judicial, al no reconocer al empresario ninguna responsabilidad en la denegación del permiso, supone consolidar una situación de abuso de derecho a la vista de la acreditada falta de colaboración de aquél en la renovación, así como que, indirectamente, abre la posibilidad de que se puedan extinguirse por esta vía los contratos de trabajo de los extranjeros sin tener que abonar ninguna indemnización. Según parece deducirse de la argumentación esgrimida por el recurrente, bastaría con que el empresario no colaborase en la renovación del permiso de trabajo para que, constatada la denegación de éste, el contrato se extinguiera sin más, desconociendo la real voluntad extintiva del empresario, que en cualquier otro caso daría lugar, según la ley, a un despido. Sin embargo, esta alegación no plantea sino un problema de hipotético abuso de derecho o fraude de ley que, en su caso y por tratarse de una cuestión de legalidad, correspondería resolver a los Tribunales ordinarios en función de la prueba que se aportase, pero en modo alguno, constituye en este momento un problema de alcance constitucional de discriminación por razón de extranjería.</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lastRenderedPageBreak/>
        <w:t>En virtud de lo expuesto, la Sección acuerda la inadmisión de la demanda de amparo por carecer manifiestamente de contenido que justifique una decisión de fondo por parte de este Tribunal, incurriendo así en la causa prevista en el art. 50.1 c) LOTC.</w:t>
      </w:r>
    </w:p>
    <w:p w:rsidR="00B01F4A" w:rsidRDefault="00B01F4A" w:rsidP="00B01F4A">
      <w:pPr>
        <w:pStyle w:val="TextoNormal"/>
      </w:pPr>
    </w:p>
    <w:p w:rsidR="00B01F4A" w:rsidRDefault="00B01F4A" w:rsidP="00B01F4A">
      <w:pPr>
        <w:pStyle w:val="TextoNormal"/>
      </w:pPr>
      <w:r>
        <w:t>Madrid, a siete de abril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85" w:name="AUTO_1997_95"/>
      <w:r>
        <w:lastRenderedPageBreak/>
        <w:t>AUTO 95/1997, de 7 de abril de 1997</w:t>
      </w:r>
    </w:p>
    <w:bookmarkEnd w:id="185"/>
    <w:p w:rsidR="00B01F4A" w:rsidRDefault="00B01F4A" w:rsidP="00B01F4A">
      <w:pPr>
        <w:pStyle w:val="TtuloResolucin"/>
      </w:pPr>
      <w:r>
        <w:t>Sección Primera</w:t>
      </w:r>
    </w:p>
    <w:p w:rsidR="00B01F4A" w:rsidRDefault="00B01F4A" w:rsidP="00B01F4A">
      <w:pPr>
        <w:pStyle w:val="TtuloResolucin"/>
      </w:pPr>
    </w:p>
    <w:p w:rsidR="00B01F4A" w:rsidRDefault="00B01F4A" w:rsidP="00B01F4A">
      <w:pPr>
        <w:pStyle w:val="SntesisDescriptiva"/>
      </w:pPr>
      <w:r>
        <w:t>ECLI:ES:TC:1997:95A</w:t>
      </w:r>
    </w:p>
    <w:p w:rsidR="00B01F4A" w:rsidRDefault="00B01F4A" w:rsidP="00B01F4A">
      <w:pPr>
        <w:pStyle w:val="SntesisDescriptiva"/>
      </w:pPr>
    </w:p>
    <w:p w:rsidR="00B01F4A" w:rsidRDefault="00B01F4A" w:rsidP="00B01F4A">
      <w:pPr>
        <w:pStyle w:val="SntesisDescriptiva"/>
      </w:pPr>
      <w:r>
        <w:t>Excms. Srs. don Álvaro Rodríguez Bereijo, don Pedro Cruz Villalón y don Enrique Ruiz Vadillo.</w:t>
      </w:r>
    </w:p>
    <w:p w:rsidR="00B01F4A" w:rsidRDefault="00B01F4A" w:rsidP="00B01F4A">
      <w:pPr>
        <w:pStyle w:val="SntesisDescriptiva"/>
      </w:pPr>
    </w:p>
    <w:p w:rsidR="00B01F4A" w:rsidRDefault="00B01F4A" w:rsidP="00B01F4A">
      <w:pPr>
        <w:pStyle w:val="SntesisDescriptiva"/>
      </w:pPr>
      <w:r>
        <w:t>Acordando la inadmisión a trámite del recurso de amparo 4.469/1995.</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Por escrito presentado en este Tribunal el día 29 de diciembre 1995, la representación procesal de doña María del Pilar Ramírez Mora interpuso recurso de amparo frente al Acuerdo de 24 de noviembre de 1995 del Juez Decano de Toledo sobre reclamación frente a su inclusión en lista de candidatos a Jurado.</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Los presupuestos de hecho en que se funda el recurso son los siguientes: </w:t>
      </w:r>
    </w:p>
    <w:p w:rsidR="00B01F4A" w:rsidRDefault="00B01F4A" w:rsidP="00B01F4A">
      <w:pPr>
        <w:pStyle w:val="TextoNormal"/>
      </w:pPr>
      <w:r>
        <w:t xml:space="preserve">a) La demandante de amparo fue incluida mediante sorteo en las listas a candidatos a Jurado para los juicios a celebrar en la Audiencia de Toledo, de conformidad con el art. 13 de la Ley Orgánica del Tribunal del Jurado (en adelante, L.O.T.J.). </w:t>
      </w:r>
    </w:p>
    <w:p w:rsidR="00B01F4A" w:rsidRDefault="00B01F4A" w:rsidP="00B01F4A">
      <w:pPr>
        <w:pStyle w:val="TextoNormal"/>
      </w:pPr>
      <w:r>
        <w:t xml:space="preserve">b) El día 13 de noviembre de 1995 presentó reclamación ante el Juez Decano alegando, como único motivo para ser excluida de la lista, el grave trastorno que le supondría su designación como Jurado en razón de sus cargas familiares, al ser madre de cinco hijos que residían en el domicilio familiar, que ella atendía sin ningún tipo de ayuda auxiliar. </w:t>
      </w:r>
    </w:p>
    <w:p w:rsidR="00B01F4A" w:rsidRDefault="00B01F4A" w:rsidP="00B01F4A">
      <w:pPr>
        <w:pStyle w:val="TextoNormal"/>
      </w:pPr>
      <w:r>
        <w:t>c) En virtud del Acuerdo ahora recurrido, el Juez Decano desestimó su reclamación con base en la no concurrencia de alguna de las causas de excusa contempladas en el art. 12.3 L.O.T.J.</w:t>
      </w:r>
    </w:p>
    <w:p w:rsidR="00B01F4A" w:rsidRDefault="00B01F4A" w:rsidP="00B01F4A">
      <w:pPr>
        <w:pStyle w:val="TextoNormal"/>
      </w:pPr>
    </w:p>
    <w:p w:rsidR="00B01F4A" w:rsidRDefault="00B01F4A" w:rsidP="00B01F4A">
      <w:pPr>
        <w:pStyle w:val="TextoNormal"/>
      </w:pPr>
      <w:r w:rsidRPr="00B01F4A">
        <w:rPr>
          <w:rStyle w:val="NumeroAFNegritaCaracter"/>
        </w:rPr>
        <w:t>3</w:t>
      </w:r>
      <w:r>
        <w:t>. La demandante alega vulneración del art. 16.1 C.E., pues entiende que la función de Jurado no puede asumirse por obligación, sino por voluntad libre de quien decida desarrollar ese cometido. La libertad ideológica impide que se pueda obligar a una persona a juzgar a otra. Frente a ello no puede oponerse ni el art. 23 C.E., pues configura la participación en los asuntos públicos como un derecho; ni el 31.3 C.E. toda vez que las prestaciones exigibles al ciudadano nunca pueden quebrar la libertad de sus convicciones íntimas; ni el art. 125 C.E., que prevé la intervención de los ciudadanos en el Jurado como facultativa.</w:t>
      </w:r>
    </w:p>
    <w:p w:rsidR="00B01F4A" w:rsidRDefault="00B01F4A" w:rsidP="00B01F4A">
      <w:pPr>
        <w:pStyle w:val="TextoNormal"/>
      </w:pPr>
    </w:p>
    <w:p w:rsidR="00B01F4A" w:rsidRDefault="00B01F4A" w:rsidP="00B01F4A">
      <w:pPr>
        <w:pStyle w:val="TextoNormal"/>
      </w:pPr>
      <w:r w:rsidRPr="00B01F4A">
        <w:rPr>
          <w:rStyle w:val="NumeroAFNegritaCaracter"/>
        </w:rPr>
        <w:t>4</w:t>
      </w:r>
      <w:r>
        <w:t>. Mediante providencia de 18 de julio de 1996, la Sección Primera de este Tribunal acordó, a tenor de lo dispuesto en el art. 50.3 LOTC, conceder un plazo de diez días al Ministerio Fiscal y a la solicitante de amparo para que formulasen las alegaciones que estimasen pertinentes acerca de la posible existencia del motivo de inadmisión recogido en el art. 50.1 a), en relación con el 44.1 a) LOTC, consistente en no haberse agotado todos los recursos utilizables dentro de la vía judicial.</w:t>
      </w:r>
    </w:p>
    <w:p w:rsidR="00B01F4A" w:rsidRDefault="00B01F4A" w:rsidP="00B01F4A">
      <w:pPr>
        <w:pStyle w:val="TextoNormal"/>
      </w:pPr>
    </w:p>
    <w:p w:rsidR="00B01F4A" w:rsidRDefault="00B01F4A" w:rsidP="00B01F4A">
      <w:pPr>
        <w:pStyle w:val="TextoNormal"/>
      </w:pPr>
      <w:r w:rsidRPr="00B01F4A">
        <w:rPr>
          <w:rStyle w:val="NumeroAFNegritaCaracter"/>
        </w:rPr>
        <w:t>5</w:t>
      </w:r>
      <w:r>
        <w:t>. Mediante escrito presentado el día 30 de julio de 1996, la demandante de amparo formuló alegaciones, sosteniendo que no concurría la causa de inadmisión planteada. Entiende que interpuso la única reclamación posible ante el Juez Decano, toda vez que la Ley establece que contra ésta no cabe recurso alguno. Así le fue comunicado por el propio Juzgado, pues el Acuerdo recurrido expresa que «contra la presente resolución no cabe recurso alguno».</w:t>
      </w:r>
    </w:p>
    <w:p w:rsidR="00B01F4A" w:rsidRDefault="00B01F4A" w:rsidP="00B01F4A">
      <w:pPr>
        <w:pStyle w:val="TextoNormal"/>
      </w:pPr>
    </w:p>
    <w:p w:rsidR="00B01F4A" w:rsidRDefault="00B01F4A" w:rsidP="00B01F4A">
      <w:pPr>
        <w:pStyle w:val="TextoNormal"/>
      </w:pPr>
      <w:r w:rsidRPr="00B01F4A">
        <w:rPr>
          <w:rStyle w:val="NumeroAFNegritaCaracter"/>
        </w:rPr>
        <w:t>6</w:t>
      </w:r>
      <w:r>
        <w:t>. Por escrito presentado el día 11 de septiembre de 1996, el Fiscal interesó que, de acuerdo con el art. 50.1 a) LOTC, se inadmitiese el presente recurso. Considera que el Juez Decano, al resolver la cuestión planteada, ejerce una función no jurisdiccional, sino administrativa, por lo que debería haberse intentado el correspondiente recurso contencioso-administrativo, debiendo entenderse la prescripción del art. 15, in fine, L.O.T.J. referida a los recursos gubernativos, pero no a los jurisdiccionales.</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En el presente recurso de amparo se impugna el Acuerdo del Juez Decano de Toledo que rechazó la reclamación que presentó la demandante de amparo frente a su inclusión en la lista de candidatos a Jurado, a resultas del correspondiente sorteo efectuado por la Delegación Provincial de la oficina del Censo Electoral.</w:t>
      </w:r>
    </w:p>
    <w:p w:rsidR="00B01F4A" w:rsidRDefault="00B01F4A" w:rsidP="00B01F4A">
      <w:pPr>
        <w:pStyle w:val="TextoNormal"/>
      </w:pPr>
      <w:r>
        <w:t>La Sección planteó, al amparo del art. 50.3 LOTC, la posible existencia de una causa de inadmisibilidad del recurso por no haberse agotado los recursos utilizables dentro de la vía judicial. El fiscal entiende que la misma concurre basándose en que, frente al Acuerdo del Juez Decano, era procedente la vía contencioso-administrativa. La recurrente, contrariamente, alega que el único recurso posible era precisamente la reclamación ante ese Juez, que regulan los arts. 14 y 15 L.O.T.J., con lo que ha cumplido con tal requisito.  Ambos planteamientos deben ser rechazados; el del Fiscal porque no es razonable exigir a la demandante de amparo que intente un recurso no previsto en la Ley y que el propio órgano judicial ha excluido; el de la demandante porque el agotamiento de la vía judicial ante el Juez Decano, a los efectos del amparo, ha sido meramente aparente toda vez que no planteó ante el órgano judicial la vulneración del derecho fundamental que ahora invoca.</w:t>
      </w:r>
    </w:p>
    <w:p w:rsidR="00B01F4A" w:rsidRDefault="00B01F4A" w:rsidP="00B01F4A">
      <w:pPr>
        <w:pStyle w:val="TextoNormal"/>
      </w:pPr>
    </w:p>
    <w:p w:rsidR="00B01F4A" w:rsidRDefault="00B01F4A" w:rsidP="00B01F4A">
      <w:pPr>
        <w:pStyle w:val="TextoNormal"/>
      </w:pPr>
      <w:r w:rsidRPr="00B01F4A">
        <w:rPr>
          <w:rStyle w:val="NumeroAFNegritaCaracter"/>
        </w:rPr>
        <w:t>2</w:t>
      </w:r>
      <w:r>
        <w:t>. En efecto, no podemos acoger la posición del Ministerio Fiscal, toda vez que, a los efectos de agotar la vía judicial previa, «no es relevante que la solicitante de amparo hubiera podido intentar otras vías procesales más o menos ingeniosas, puesto que tal artículo [el 44.1 a) LOTC] no obliga a utilizar, en cada caso, más que los medios de impugnación normales que, de manera clara, se manifiestan ejercitables y razonablemente exigibles» (STC 103/1996).</w:t>
      </w:r>
    </w:p>
    <w:p w:rsidR="00B01F4A" w:rsidRDefault="00B01F4A" w:rsidP="00B01F4A">
      <w:pPr>
        <w:pStyle w:val="TextoNormal"/>
      </w:pPr>
      <w:r>
        <w:t xml:space="preserve">Ello nos lleva a que, para resolver la presente cuestión, no sea preciso realizar un pronunciamiento acerca de la exigencia en términos de constitucionalidad de una revisión contencioso-administrativa del Acuerdo del Juez Decano ni resolver acerca de la viabilidad legal de un hipotético recurso contencioso-administrativo que la demandante de amparo hubiese intentado con carácter previo al amparo. Contrariamente, hemos de tomar en consideración, como dato especialmente relevante (STC 155/1991), que la resolución judicial recurrida expresaba que frente a ella «no cabe recurso alguno», con lo que «no resulta justo </w:t>
      </w:r>
      <w:r>
        <w:lastRenderedPageBreak/>
        <w:t>exigir a quien ha seguido tal advertencia la utilización de los recursos que en su personal opinión fueran viables, dado el peso de la auctoritas inherente a las resoluciones judiciales» (STC 50/1995).</w:t>
      </w:r>
    </w:p>
    <w:p w:rsidR="00B01F4A" w:rsidRDefault="00B01F4A" w:rsidP="00B01F4A">
      <w:pPr>
        <w:pStyle w:val="TextoNormal"/>
      </w:pPr>
      <w:r>
        <w:t>A ello debe añadirse, sin que ello suponga prejuzgar cuál sea la solución que se haya de fijar jurisprudencialmente como correcta, que no puede entenderse que el recurso contencioso-administrativo se manifieste ejercitable «de manera clara», toda vez que estamos en presencia de un acto, cualquiera que sea su naturaleza material, de un órgano judicial, siendo así que, como, ya declaró la STC 3/1983, «la citada jurisdicción se extiende a los actos de la Administración Pública sujetos al Derecho Administrativo (art. l), calificación no sólo material, sino subjetiva que en ningún caso podría aplicarse al Auto de la Sala de Gobierno de una Audiencia que no se incluye obviamente dentro de la Administración Pública a que se refiere esta Ley (art.  1.2), por lo que para que un acto de dicha Sala fuera impugnable ante tal jurisdicción sería necesario que una Ley lo dijera expresamente». Este planteamiento es plenamente coincidente con lo que luego dispuso el art. 24 L.O.P.J., que, tras asignar a este orden jurisdiccional el control de los actos de las Administraciones Públicas, lo extiende a los de otros Poderes Públicos, «de acuerdo con lo que dispongan las leyes», siendo así que no existe Ley que, al menos de forma clara y expresa, atribuya a estos Tribunales el conocimiento de pretensiones de revisión de este tipo de acuerdos, sino que más bien el art. 15, in fine, L.O.T.J. parece excluirlo.</w:t>
      </w:r>
    </w:p>
    <w:p w:rsidR="00B01F4A" w:rsidRDefault="00B01F4A" w:rsidP="00B01F4A">
      <w:pPr>
        <w:pStyle w:val="TextoNormal"/>
      </w:pPr>
    </w:p>
    <w:p w:rsidR="00B01F4A" w:rsidRDefault="00B01F4A" w:rsidP="00B01F4A">
      <w:pPr>
        <w:pStyle w:val="TextoNormal"/>
      </w:pPr>
      <w:r w:rsidRPr="00B01F4A">
        <w:rPr>
          <w:rStyle w:val="NumeroAFNegritaCaracter"/>
        </w:rPr>
        <w:t>3</w:t>
      </w:r>
      <w:r>
        <w:t>. Con independencia de lo anterior, la demanda de amparo incurre en el defecto insubsanable, muy próximo al anterior pero, no coincidente con aquél, relativo al no agotamiento de la vía judicial procedente, de acuerdo con el art. 53.2 LOTC (art. 43.1, in fine). Este último precepto de la LOTC, en consonancia con la estratificación de la jurisdicción de amparo diseñada en el art. 53.2 C.E., impone que no se acuda ante este Tribunal per saltum, sino sólo una vez que se ha intentado, sin éxito, el amparo por, parte de la jurisdicción ordinaria (SSTC 168/1995 y 143/1996, entre las más recientes). En el presente caso no puede afirmarse que la demandante de amparo haya cumplimentado esta fundamental exigencia, inspiradora de nuestro sistema de garantías de los derechos fundamentales, que sitúa al recurso de amparo constitucional en una posición de subsidiariedad. La recurrente, si bien formuló la reclamación ante el Juez Decano prevista en el art. 14.1 L.O.T.J., no lo hizo en modo alguno en demanda de amparo del derecho fundamental a la libertad ideológica cuya lesión ante nosotros ahora denuncia, basando, por el contrario, su reclamación contra la inclusión en la lista de candidatos a jurados en consideraciones del todo ajenas a dicho derecho, cual era el trastorno doméstico que le causaría el tener que atender a las funciones de Jurado. La falta, por tanto, de correlación entre el contenido formal del procedimiento seguido en sede judicial y el subsiguiente proceso constitucional «permite considerar que aquél no constituía vía judicial precedente de éste y que, por consiguiente, no puede decirse que se haya agotado tal vía (STC 209/1992).</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lo expuesto, la Sección acuerda la inadmisión a trámite del presente recurso de amparo.</w:t>
      </w:r>
    </w:p>
    <w:p w:rsidR="00B01F4A" w:rsidRDefault="00B01F4A" w:rsidP="00B01F4A">
      <w:pPr>
        <w:pStyle w:val="TextoNormal"/>
      </w:pPr>
    </w:p>
    <w:p w:rsidR="00B01F4A" w:rsidRDefault="00B01F4A" w:rsidP="00B01F4A">
      <w:pPr>
        <w:pStyle w:val="TextoNormal"/>
      </w:pPr>
      <w:r>
        <w:lastRenderedPageBreak/>
        <w:t>Madrid, a siete de abril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86" w:name="AUTO_1997_96"/>
      <w:r>
        <w:lastRenderedPageBreak/>
        <w:t>AUTO 96/1997, de 7 de abril de 1997</w:t>
      </w:r>
    </w:p>
    <w:bookmarkEnd w:id="186"/>
    <w:p w:rsidR="00B01F4A" w:rsidRDefault="00B01F4A" w:rsidP="00B01F4A">
      <w:pPr>
        <w:pStyle w:val="TtuloResolucin"/>
      </w:pPr>
      <w:r>
        <w:t>Sección Cuarta</w:t>
      </w:r>
    </w:p>
    <w:p w:rsidR="00B01F4A" w:rsidRDefault="00B01F4A" w:rsidP="00B01F4A">
      <w:pPr>
        <w:pStyle w:val="TtuloResolucin"/>
      </w:pPr>
    </w:p>
    <w:p w:rsidR="00B01F4A" w:rsidRDefault="00B01F4A" w:rsidP="00B01F4A">
      <w:pPr>
        <w:pStyle w:val="SntesisDescriptiva"/>
      </w:pPr>
      <w:r>
        <w:t>ECLI:ES:TC:1997:96A</w:t>
      </w:r>
    </w:p>
    <w:p w:rsidR="00B01F4A" w:rsidRDefault="00B01F4A" w:rsidP="00B01F4A">
      <w:pPr>
        <w:pStyle w:val="SntesisDescriptiva"/>
      </w:pPr>
    </w:p>
    <w:p w:rsidR="00B01F4A" w:rsidRDefault="00B01F4A" w:rsidP="00B01F4A">
      <w:pPr>
        <w:pStyle w:val="SntesisDescriptiva"/>
      </w:pPr>
      <w:r>
        <w:t>Excms. Srs. don Rafael de Mendizábal Allende, don Carles Viver Pi-Sunyer y don Tomás Salvador Vives Antón.</w:t>
      </w:r>
    </w:p>
    <w:p w:rsidR="00B01F4A" w:rsidRDefault="00B01F4A" w:rsidP="00B01F4A">
      <w:pPr>
        <w:pStyle w:val="SntesisDescriptiva"/>
      </w:pPr>
    </w:p>
    <w:p w:rsidR="00B01F4A" w:rsidRDefault="00B01F4A" w:rsidP="00B01F4A">
      <w:pPr>
        <w:pStyle w:val="SntesisDescriptiva"/>
      </w:pPr>
      <w:r>
        <w:t>Acuerda el desistimiento en el recurso de amparo 1.607/1996, promovido en proceso contencioso-administrativo.</w:t>
      </w:r>
    </w:p>
    <w:p w:rsidR="00B01F4A" w:rsidRDefault="00B01F4A" w:rsidP="00B01F4A">
      <w:pPr>
        <w:pStyle w:val="SntesisDescriptiva"/>
      </w:pPr>
    </w:p>
    <w:p w:rsidR="00B01F4A" w:rsidRDefault="00B01F4A" w:rsidP="00B01F4A">
      <w:pPr>
        <w:pStyle w:val="SntesisAnaltica"/>
      </w:pPr>
      <w:r>
        <w:t>Desistimiento de recurso de amparo:procede.</w:t>
      </w:r>
    </w:p>
    <w:p w:rsidR="00B01F4A" w:rsidRDefault="00B01F4A" w:rsidP="00B01F4A">
      <w:pPr>
        <w:pStyle w:val="SntesisAnaltica"/>
      </w:pPr>
    </w:p>
    <w:p w:rsidR="00B01F4A" w:rsidRDefault="00B01F4A" w:rsidP="00B01F4A">
      <w:pPr>
        <w:pStyle w:val="SntesisAnaltica"/>
      </w:pPr>
    </w:p>
    <w:p w:rsidR="00B01F4A" w:rsidRDefault="00B01F4A" w:rsidP="00B01F4A">
      <w:pPr>
        <w:pStyle w:val="SntesisAnaltic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87" w:name="AUTO_1997_97"/>
      <w:r>
        <w:lastRenderedPageBreak/>
        <w:t>AUTO 97/1997, de 7 de abril de 1997</w:t>
      </w:r>
    </w:p>
    <w:bookmarkEnd w:id="187"/>
    <w:p w:rsidR="00B01F4A" w:rsidRDefault="00B01F4A" w:rsidP="00B01F4A">
      <w:pPr>
        <w:pStyle w:val="TtuloResolucin"/>
      </w:pPr>
      <w:r>
        <w:t>Sala Segunda</w:t>
      </w:r>
    </w:p>
    <w:p w:rsidR="00B01F4A" w:rsidRDefault="00B01F4A" w:rsidP="00B01F4A">
      <w:pPr>
        <w:pStyle w:val="TtuloResolucin"/>
      </w:pPr>
    </w:p>
    <w:p w:rsidR="00B01F4A" w:rsidRDefault="00B01F4A" w:rsidP="00B01F4A">
      <w:pPr>
        <w:pStyle w:val="SntesisDescriptiva"/>
      </w:pPr>
      <w:r>
        <w:t>ECLI:ES:TC:1997:97A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don Rafael de Mendizábal Allende, don Julio D. González Campos, don Carles Viver Pi-Sunyer y don Tomás Salvador Vives Antón.</w:t>
      </w:r>
    </w:p>
    <w:p w:rsidR="00B01F4A" w:rsidRDefault="00B01F4A" w:rsidP="00B01F4A">
      <w:pPr>
        <w:pStyle w:val="SntesisDescriptiva"/>
      </w:pPr>
    </w:p>
    <w:p w:rsidR="00B01F4A" w:rsidRDefault="00B01F4A" w:rsidP="00B01F4A">
      <w:pPr>
        <w:pStyle w:val="SntesisDescriptiva"/>
      </w:pPr>
      <w:r>
        <w:t>Acordando la suspensión parcial de la ejecución del acto que origina el recurso de amparo 2.770/1996.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en este Tribunal el 9 de julio de 1996, don Florencio Aráez Martínez, en nombre y representación de don Ginés Coy Vivancos, y bajo la dirección letrada de don Diego Bonilla Serrano, interpuso recurso de amparo contra la Sentencia núm. 339 del Juzgado de lo Penal núm. 1 de Cartagena, recaída en el juicio oral 963/92, por delito de receptación.</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El recurso se fundamenta, en síntesis, en los siguientes hechos: </w:t>
      </w:r>
    </w:p>
    <w:p w:rsidR="00B01F4A" w:rsidRDefault="00B01F4A" w:rsidP="00B01F4A">
      <w:pPr>
        <w:pStyle w:val="TextoNormal"/>
      </w:pPr>
      <w:r>
        <w:t xml:space="preserve">a) Habiendo sustraído don Pedro Pastor Gracia un martillo pilón, éste se lo vendió en enero de 1987 al ahora recurrente de amparo por el precio de 50.000 pesetas. En todas las declaraciones prestadas por don Pedro Pastor Gracia, éste manifiesta que el segundo conocía el origen ilícito del objeto mencionado. El atestado de la Guardia Civil de la diligencia de detención y lectura de derechos del recurrente lleva fecha de 16 de febrero de 1987. </w:t>
      </w:r>
    </w:p>
    <w:p w:rsidR="00B01F4A" w:rsidRDefault="00B01F4A" w:rsidP="00B01F4A">
      <w:pPr>
        <w:pStyle w:val="TextoNormal"/>
      </w:pPr>
      <w:r>
        <w:t xml:space="preserve">b) Por providencia de 26 de octubre de 1992 se remite el procedimiento al Juzgado de lo Penal núm. 1 de Cartagena para su enjuiciamiento y fallo. </w:t>
      </w:r>
    </w:p>
    <w:p w:rsidR="00B01F4A" w:rsidRDefault="00B01F4A" w:rsidP="00B01F4A">
      <w:pPr>
        <w:pStyle w:val="TextoNormal"/>
      </w:pPr>
      <w:r>
        <w:t xml:space="preserve">c) El día 14 de mayo de 1996 el Juzgado de lo Penal envía sendos telegramas al recurrente y a don Diego Bonilla, su Letrado defensor, anunciándoles que el día 16 siguiente, a las dieciocho cuarenta y cinco horas, tendría lugar la vista preliminar. </w:t>
      </w:r>
    </w:p>
    <w:p w:rsidR="00B01F4A" w:rsidRDefault="00B01F4A" w:rsidP="00B01F4A">
      <w:pPr>
        <w:pStyle w:val="TextoNormal"/>
      </w:pPr>
      <w:r>
        <w:t xml:space="preserve">d) El mismo día 16 por la mañana comparece el Abogado del recurrente en la Secretaría del Juzgado y solícita nueva vista para el juicio, alegando la imposibilidad de conformarse con las penas solicitadas por la acusación y haciendo constar que tanto él como su defendido y actual demandante en amparo no podrán asistir a la vista preliminar por hallarse ambos en Madrid. Asimismo pone en conocimiento del Juzgado que han sido citados con poco tiempo y que no ha podido preparar la defensa de su cliente. </w:t>
      </w:r>
    </w:p>
    <w:p w:rsidR="00B01F4A" w:rsidRDefault="00B01F4A" w:rsidP="00B01F4A">
      <w:pPr>
        <w:pStyle w:val="TextoNormal"/>
      </w:pPr>
      <w:r>
        <w:t xml:space="preserve">e) Según se expresa en la demanda, «llegada la hora de la vista preliminar el Magistrado que presidía el Tribunal obliga a uno de los Letrados que se encontraban en el pasillo a la espera de su turno a comparecer asumiendo la defensa del señor Coy». En la hora señalada se celebra, pues, el acto del juicio oral, sin la presencia de don Ginés Coy Vivancos ni la de su Abogado don Diego Bonilla. </w:t>
      </w:r>
    </w:p>
    <w:p w:rsidR="00B01F4A" w:rsidRDefault="00B01F4A" w:rsidP="00B01F4A">
      <w:pPr>
        <w:pStyle w:val="TextoNormal"/>
      </w:pPr>
      <w:r>
        <w:lastRenderedPageBreak/>
        <w:t xml:space="preserve">f) La Sentencia condenó al recurrente como autor responsable de un delito de receptación a las penas de dos meses de arresto mayor y 100.000 pesetas de multa, accesorias y costas. Y condenó asimismo a don Pedro Pastor Gracia como autor responsable de un delito de hurto a la pena de un mes y un día de arresto mayor. Debiendo ambos indemnizar al propietario del martillo pilón en la cantidad de 108.000 pesetas. </w:t>
      </w:r>
    </w:p>
    <w:p w:rsidR="00B01F4A" w:rsidRDefault="00B01F4A" w:rsidP="00B01F4A">
      <w:pPr>
        <w:pStyle w:val="TextoNormal"/>
      </w:pPr>
      <w:r>
        <w:t xml:space="preserve">En el fallo de la Sentencia se contiene el siguiente pronunciamiento: </w:t>
      </w:r>
    </w:p>
    <w:p w:rsidR="00B01F4A" w:rsidRDefault="00B01F4A" w:rsidP="00B01F4A">
      <w:pPr>
        <w:pStyle w:val="TextoNormal"/>
      </w:pPr>
      <w:r>
        <w:t>«La presente Sentencia es firme y no cabe recurso alguno contra ella al haberse notificado en el acto de la finalización del juicio a las partes implicadas la presente parte dispositiva y haber manifestado todos que estaban conformes con la misma y que no pensaban interponer recurso contra ella.»</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La demanda de amparo solicita la declaración de nulidad de la resolución impugnada, bien con retroacción de las actuaciones para una nueva celebración de vista, bien decretándose la nulidad de la firmeza de la Sentencia para permitir interponer recurso de apelación contra ella. Suplica asimismo la suspensión de la ejecución de la misma, tanto en lo relativo a la pena privativa de libertad, cuanto en lo referente a la de multa, costas e indemnización, alegando que el recurrente ha puesto a disposición del Juzgado una parte de una vivienda. </w:t>
      </w:r>
    </w:p>
    <w:p w:rsidR="00B01F4A" w:rsidRDefault="00B01F4A" w:rsidP="00B01F4A">
      <w:pPr>
        <w:pStyle w:val="TextoNormal"/>
      </w:pPr>
      <w:r>
        <w:t xml:space="preserve">El demandante, aun reconociendo los errores cometidos por su parte en la defensa de sus legítimos intereses, aduce que se han quebrantado los siguientes derechos fundamentales: </w:t>
      </w:r>
    </w:p>
    <w:p w:rsidR="00B01F4A" w:rsidRDefault="00B01F4A" w:rsidP="00B01F4A">
      <w:pPr>
        <w:pStyle w:val="TextoNormal"/>
      </w:pPr>
      <w:r>
        <w:t xml:space="preserve">a) Derecho a la tutela judicial efectiva sin producir indefensión (art. 24.1 C.E.) en relación con las garantías procesales (art. 24.2 C.E.), puesto que al celebrarse el juicio oral con la mera presencia de un Abogado que andaba por los pasillos se ha impedido la defensa contradictoria y la igualdad de armas entre las partes. La celebración del juicio sin la comparecencia del ahora recurrente y entonces imputado le impidió contradecir la declaración incriminatoria del coimputado y ejercer el derecho contemplado en el art. 6.3 d) del C.E.D.H., que concede al acusado el de interrogar o hacer interrogar a los testigos que declaren contra él. </w:t>
      </w:r>
    </w:p>
    <w:p w:rsidR="00B01F4A" w:rsidRDefault="00B01F4A" w:rsidP="00B01F4A">
      <w:pPr>
        <w:pStyle w:val="TextoNormal"/>
      </w:pPr>
      <w:r>
        <w:t xml:space="preserve">b) Derecho a la defensa y asistencia de Letrado (art. 24.2 C.E.), cuya vulneración se habría producido por diversas circunstancias. En primer lugar, por el hecho de que el recurrente y su Abogado fueron citados para una vista preliminar -y no para la celebración de juicio oral- y además con escasísimo margen de tiempo; hasta el punto de que no estaba garantizada la citación personal, pues el acuse de recibo del telegrama no podía estar unida a los autos. Ante la ausencia del acusado y su defensor, el Juzgado debía haber suspendido el juicio oral, de conformidad con el art. 793.1 de la L.E.Crim., sin perjuicio de la imposición de las correcciones disciplinarias que estimare merecidas. Y en segundo lugar, porque hacer cargo de la defensa del imputado a un Abogado que estaba cerca del Tribunal, supone una simple «designación» o «nombramiento» de Letrado y no una verdadera y efectiva «asistencia» de éste, lo que provoca indefensión material (SSTC 37/1988, 216/1988, 53/1990 y 178/1991) e infringe además lo dispuesto en el art. 6.3 c) del C.E.D.H. (Sentencia del T.E.D.H. de 13 de mayo de 1980, caso Artico). Por otro lado, sólo la parte tiene capacidad para elegir y designar al Abogado que ejerza su defensa. </w:t>
      </w:r>
    </w:p>
    <w:p w:rsidR="00B01F4A" w:rsidRDefault="00B01F4A" w:rsidP="00B01F4A">
      <w:pPr>
        <w:pStyle w:val="TextoNormal"/>
      </w:pPr>
      <w:r>
        <w:t xml:space="preserve">c) Derecho a defenderse por sí mismo y a la última palabra [art. 24.2 C.E., art. 6.3 c) C.E.D.H. y art. 14.3.d) del Pacto Internacional de Derechos Civiles y Políticos], que se habrían lesionado en cuanto que el recurrente fue condenado sin haber sido previamente oído (STC 181/1994). </w:t>
      </w:r>
    </w:p>
    <w:p w:rsidR="00B01F4A" w:rsidRDefault="00B01F4A" w:rsidP="00B01F4A">
      <w:pPr>
        <w:pStyle w:val="TextoNormal"/>
      </w:pPr>
      <w:r>
        <w:t xml:space="preserve">d) Derecho a la presunción de inocencia y a la prueba (art. 24.2 C.E.): su lesión vendría derivada del hecho de no haber sido citado el recurrente para el acto del juicio oral, lo que </w:t>
      </w:r>
      <w:r>
        <w:lastRenderedPageBreak/>
        <w:t xml:space="preserve">impidió la posibilidad de aportar pruebas de descargo y que las pruebas reputadas de cargo hubieran podido ser contrarrestadas con inmediación y contradicción. </w:t>
      </w:r>
    </w:p>
    <w:p w:rsidR="00B01F4A" w:rsidRDefault="00B01F4A" w:rsidP="00B01F4A">
      <w:pPr>
        <w:pStyle w:val="TextoNormal"/>
      </w:pPr>
      <w:r>
        <w:t xml:space="preserve">Dentro de este mismo motivo de amparo se incluye la vulneración del derecho al recurso, pues la declaración de firmeza de la Sentencia imposibilitó un novum iuditium ante un Tribunal Superior. </w:t>
      </w:r>
    </w:p>
    <w:p w:rsidR="00B01F4A" w:rsidRDefault="00B01F4A" w:rsidP="00B01F4A">
      <w:pPr>
        <w:pStyle w:val="TextoNormal"/>
      </w:pPr>
      <w:r>
        <w:t xml:space="preserve">e) Derecho a un proceso sin dilaciones indebidas (art. 24.2 C.E.), ya que desde la detención del recurrente hasta el momento de ser dictada la Sentencia han transcurrido más de nueve años, y desde la remisión del procedimiento al Juzgado de lo Penal hasta que éste pronuncia el fallo han transcurrido tres años, seis meses y diecinueve días, habiéndose dictado diligencias innecesarias para impedir que se cumpliera el plazo de prescripción. </w:t>
      </w:r>
    </w:p>
    <w:p w:rsidR="00B01F4A" w:rsidRDefault="00B01F4A" w:rsidP="00B01F4A">
      <w:pPr>
        <w:pStyle w:val="TextoNormal"/>
      </w:pPr>
      <w:r>
        <w:t>f) Derecho a un Juez imparcial, que el recurrente estima transgredido en virtud de diferentes datos, como, por ejemplo, la mayor gravedad de la condena al receptador que al autor del delito receptado, con infracción del art. 546 bis a) del Código Penal.</w:t>
      </w:r>
    </w:p>
    <w:p w:rsidR="00B01F4A" w:rsidRDefault="00B01F4A" w:rsidP="00B01F4A">
      <w:pPr>
        <w:pStyle w:val="TextoNormal"/>
      </w:pPr>
    </w:p>
    <w:p w:rsidR="00B01F4A" w:rsidRDefault="00B01F4A" w:rsidP="00B01F4A">
      <w:pPr>
        <w:pStyle w:val="TextoNormal"/>
      </w:pPr>
      <w:r w:rsidRPr="00B01F4A">
        <w:rPr>
          <w:rStyle w:val="NumeroAFNegritaCaracter"/>
        </w:rPr>
        <w:t>4</w:t>
      </w:r>
      <w:r>
        <w:t>. Por providencia de 6 de febrero de 1997 la Sección Cuarta de este Tribunal acordó admitir a trámite la demanda de amparo. Mediante otra providencia de la misma fecha acordó formar la oportuna pieza separada de suspensión y, de conformidad con el art. 56 de la LOTC, conceder un plazo de tres días a la parte recurrente y al Ministerio Fiscal para que alegasen lo que estimaran pertinente sobre dicha suspensión.</w:t>
      </w:r>
    </w:p>
    <w:p w:rsidR="00B01F4A" w:rsidRDefault="00B01F4A" w:rsidP="00B01F4A">
      <w:pPr>
        <w:pStyle w:val="TextoNormal"/>
      </w:pPr>
    </w:p>
    <w:p w:rsidR="00B01F4A" w:rsidRDefault="00B01F4A" w:rsidP="00B01F4A">
      <w:pPr>
        <w:pStyle w:val="TextoNormal"/>
      </w:pPr>
      <w:r w:rsidRPr="00B01F4A">
        <w:rPr>
          <w:rStyle w:val="NumeroAFNegritaCaracter"/>
        </w:rPr>
        <w:t>5</w:t>
      </w:r>
      <w:r>
        <w:t>. La representación del recurrente presentó sus alegaciones en escrito de 18 de febrero de 1997, reiterando la solicitud de suspensión. Se puntualiza que de tal suspensión no puede seguirse perturbación grave de los intereses generales ni de los derechos fundamentales o libertades públicas de terceras personas. Y se pone en conocimiento de la Sala que la ejecutoria de la Sentencia ha sido recurrida y que se ha solicitado la revisión de la misma en aplicación de los preceptos del nuevo Código Penal en materia de prescripción.</w:t>
      </w:r>
    </w:p>
    <w:p w:rsidR="00B01F4A" w:rsidRDefault="00B01F4A" w:rsidP="00B01F4A">
      <w:pPr>
        <w:pStyle w:val="TextoNormal"/>
      </w:pPr>
    </w:p>
    <w:p w:rsidR="00B01F4A" w:rsidRDefault="00B01F4A" w:rsidP="00B01F4A">
      <w:pPr>
        <w:pStyle w:val="TextoNormal"/>
      </w:pPr>
      <w:r w:rsidRPr="00B01F4A">
        <w:rPr>
          <w:rStyle w:val="NumeroAFNegritaCaracter"/>
        </w:rPr>
        <w:t>6</w:t>
      </w:r>
      <w:r>
        <w:t>. El Ministerio Fiscal ante este Tribunal, por escrito registrado en el mismo el 21 de febrero de 1997, interesó la suspensión de la pena privativa de libertad, pero no de la multa, de las costas ni de la indemnización, razonando que el criterio general es el de la no suspensión de las resoluciones judiciales, excepcionado en el caso de ejecuciones que puedan causar difícil o imposible reparación, pero no en el caso de condenas pecuniarias, dada la fácil reparación de las mismas.</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EB5FD0">
        <w:rPr>
          <w:rStyle w:val="NumeroAFNegritaCaracter"/>
        </w:rPr>
        <w:t>Único.</w:t>
      </w:r>
      <w:r>
        <w:t xml:space="preserve"> Según la doctrina de este Tribunal acerca del art. 56.1 de la LOTC, la regla general en materia de resoluciones judiciales es la no suspensión, habida cuenta del interés general que se deriva de su ejecución y como consecuencia de la presunción de</w:t>
      </w:r>
    </w:p>
    <w:p w:rsidR="00B01F4A" w:rsidRDefault="00B01F4A" w:rsidP="00B01F4A">
      <w:pPr>
        <w:pStyle w:val="TextoNormal"/>
      </w:pPr>
      <w:r>
        <w:t>legitimidad de las actuaciones de los poderes públicos (AATC 269/1995, 288/1995, 302/1995 y 344/1995, entre los más recientes). El mismo precepto prevé como excepción el acuerdo de la suspensión «cuando la ejecución hubiere de ocasionar un perjuicio que</w:t>
      </w:r>
    </w:p>
    <w:p w:rsidR="00B01F4A" w:rsidRDefault="00B01F4A" w:rsidP="00B01F4A">
      <w:pPr>
        <w:pStyle w:val="TextoNormal"/>
      </w:pPr>
      <w:r>
        <w:t>haría perder al amparo su finalidad».</w:t>
      </w:r>
    </w:p>
    <w:p w:rsidR="00B01F4A" w:rsidRDefault="00B01F4A" w:rsidP="00B01F4A">
      <w:pPr>
        <w:pStyle w:val="TextoNormal"/>
      </w:pPr>
      <w:r>
        <w:t xml:space="preserve">En el presente caso se da precisamente esta circunstancia, pero sólo y exclusivamente respecto de la pena de dos meses de arresto mayor, porque su ejecución podría ocasionar un perjuicio que haría perder al amparo su finalidad y porque tal suspensión no origina una </w:t>
      </w:r>
      <w:r>
        <w:lastRenderedPageBreak/>
        <w:t>perturbación grave de los intereses generales ni de los derechos de un tercero. La misma decisión ha de ser adoptada respecto a las penas accesorias de las privativas de libertad, por entender que han de seguir la misma suerte que la pena principal a la que acompañan (ATC 321/1995).</w:t>
      </w:r>
    </w:p>
    <w:p w:rsidR="00B01F4A" w:rsidRDefault="00B01F4A" w:rsidP="00B01F4A">
      <w:pPr>
        <w:pStyle w:val="TextoNormal"/>
      </w:pPr>
      <w:r>
        <w:t>No obstante, resulta improcedente la suspensión de la pena de multa (impuesta ésta sin previsión del llamado «arresto sustitutorio» en caso de impago), de las costas y de la indemnización, como con razón sostiene el Ministerio Fiscal, porque en tales supuestos los perjuicios no suelen ser de imposible o difícil reparación. Sin que las alegaciones del recurrente en el sentido de que ha puesto a disposición del Juzgado una parte de una vivienda o que ha interpuesto recurso o solicitado la revisión por aplicación del nuevo Código Penal, tengan entidad para modificar la doctrina de este Tribunal, pues tales vías impugnatorias son ajenas a este Tribunal.</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virtud de lo anteriormente expuesto, la Sala acuerda suspender la ejecución de la Sentencia núm. 339 del Juzgado de lo Penal núm. 1 de Cartagena, de fecha 6 de junio de 1996, dictada en el juicio oral 963/92, pero sólo y exclusivamente respecto de la</w:t>
      </w:r>
    </w:p>
    <w:p w:rsidR="00B01F4A" w:rsidRDefault="00B01F4A" w:rsidP="00B01F4A">
      <w:pPr>
        <w:pStyle w:val="TextoNormal"/>
      </w:pPr>
      <w:r>
        <w:t>pena privativa de libertad y accesorias correspondientes.</w:t>
      </w:r>
    </w:p>
    <w:p w:rsidR="00B01F4A" w:rsidRDefault="00B01F4A" w:rsidP="00B01F4A">
      <w:pPr>
        <w:pStyle w:val="TextoNormal"/>
      </w:pPr>
    </w:p>
    <w:p w:rsidR="00B01F4A" w:rsidRDefault="00B01F4A" w:rsidP="00B01F4A">
      <w:pPr>
        <w:pStyle w:val="TextoNormal"/>
      </w:pPr>
      <w:r>
        <w:t>Madrid, a siete de abril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88" w:name="AUTO_1997_98"/>
      <w:r>
        <w:lastRenderedPageBreak/>
        <w:t>AUTO 98/1997, de 7 de abril de 1997</w:t>
      </w:r>
    </w:p>
    <w:bookmarkEnd w:id="188"/>
    <w:p w:rsidR="00B01F4A" w:rsidRDefault="00B01F4A" w:rsidP="00B01F4A">
      <w:pPr>
        <w:pStyle w:val="TtuloResolucin"/>
      </w:pPr>
      <w:r>
        <w:t>Sala Segunda</w:t>
      </w:r>
    </w:p>
    <w:p w:rsidR="00B01F4A" w:rsidRDefault="00B01F4A" w:rsidP="00B01F4A">
      <w:pPr>
        <w:pStyle w:val="TtuloResolucin"/>
      </w:pPr>
    </w:p>
    <w:p w:rsidR="00B01F4A" w:rsidRDefault="00B01F4A" w:rsidP="00B01F4A">
      <w:pPr>
        <w:pStyle w:val="SntesisDescriptiva"/>
      </w:pPr>
      <w:r>
        <w:t>ECLI:ES:TC:1997:98A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don Rafael de Mendizábal Allende, don Julio D. González Campos, don Carles Viver Pi-Sunyer y don Tomás Salvador Vives Antón.</w:t>
      </w:r>
    </w:p>
    <w:p w:rsidR="00B01F4A" w:rsidRDefault="00B01F4A" w:rsidP="00B01F4A">
      <w:pPr>
        <w:pStyle w:val="SntesisDescriptiva"/>
      </w:pPr>
    </w:p>
    <w:p w:rsidR="00B01F4A" w:rsidRDefault="00B01F4A" w:rsidP="00B01F4A">
      <w:pPr>
        <w:pStyle w:val="SntesisDescriptiva"/>
      </w:pPr>
      <w:r>
        <w:t>Acordando la suspensión parcial de la ejecución del acto que origina el recurso de amparo 3.029/1996.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en este Tribunal el 25 de julio de 1996, el Procurador don Manuel Infante Sánchez, en nombre y representación de don Vicente Colomo Sueiro y doña Carolina Soria Yubero, interpuso recurso de amparo contra el Auto del Juzgado de Primera Instancia núm. 6 de Burgos de 27 de marzo de 1996, recaído en juicio ejecutivo 333/1991, sobre reclamación de cantidad.</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Los hechos en que se fundamenta la demanda son, en síntesis, los siguientes: </w:t>
      </w:r>
    </w:p>
    <w:p w:rsidR="00B01F4A" w:rsidRDefault="00B01F4A" w:rsidP="00B01F4A">
      <w:pPr>
        <w:pStyle w:val="TextoNormal"/>
      </w:pPr>
      <w:r>
        <w:t xml:space="preserve">a) La entidad mercantil «Casablanca Miranda, S. L.», domiciliada en Miranda de Ebro y representada por don Vicente Colomo, concertó una póliza de préstamo con el Banco Popular Español, siendo afianzada esta operación por la «Sociedad de Garantía Recíproca Castellano-Leonesa, S. G. R.». Como consecuencia del aval recién citado, se realizó asimismo una póliza de afianzamiento por la que la entidad mercantil «Casablanca Miranda, S. L.», los solicitantes de amparo y don José Ramos Jiménez Plaza avalaban, a su vez, a la sociedad de garantía recíproca. </w:t>
      </w:r>
    </w:p>
    <w:p w:rsidR="00B01F4A" w:rsidRDefault="00B01F4A" w:rsidP="00B01F4A">
      <w:pPr>
        <w:pStyle w:val="TextoNormal"/>
      </w:pPr>
      <w:r>
        <w:t xml:space="preserve">b) Ante el impago parcial del préstamo se formuló por parte de la sociedad de garantía recíproca demanda de juicio ejecutivo contra la mercantil anteriormente referida y sus avalistas, que se tramitó en el Juzgado de Primera Instancia núm. 6 de Burgos. Los solicitantes de amparo, si bien fueron citados a través del Juzgado de Primera Instancia de Miranda de Ebro, no se personaron en los autos, siendo declarados en rebeldía. No obstante, se notificó personalmente al Sr. Colomo Sueiro la Sentencia estimatoria de la demanda, y, en adelante, los diversos trámites procesales le fueron notificados personalmente por el Juzgado de Miranda de Ebro. </w:t>
      </w:r>
    </w:p>
    <w:p w:rsidR="00B01F4A" w:rsidRDefault="00B01F4A" w:rsidP="00B01F4A">
      <w:pPr>
        <w:pStyle w:val="TextoNormal"/>
      </w:pPr>
      <w:r>
        <w:t xml:space="preserve">c) Empero, la providencia mediante la cual el Juzgado de Primera Instancia núm. 6 de Burgos acordó se sacaran a subasta los bienes embargados -una vivienda y un vehículo- no se notificó de este modo, sino que se remitió una carta al domicilio de «Casablanca Miranda, S. L.». En la notificación efectuada por el servicio de correos se observa como único destinatario de la misma y se hace constar con una cruz que dicha carta fue rehusada por dicha sociedad. En consecuencia, afirman los solicitantes de amparo que la subasta se celebró sin que tuvieran conocimiento de la misma. </w:t>
      </w:r>
    </w:p>
    <w:p w:rsidR="00B01F4A" w:rsidRDefault="00B01F4A" w:rsidP="00B01F4A">
      <w:pPr>
        <w:pStyle w:val="TextoNormal"/>
      </w:pPr>
      <w:r>
        <w:lastRenderedPageBreak/>
        <w:t>d) Con fecha 27 de marzo de 1996 se dictó Auto adjudicando a un tercero los bienes subastados.</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En la demanda se entiende vulnerado el art. 24.1 C.E., toda vez que el órgano judicial no actuó con la razonable diligencia que, según la jurisprudencia constitucional, debe exigirse en lo tocante a los actos de comunicación. Sostienen los recurrentes que, como se había venido haciendo repetidamente, también debió haberse notificado personalmente la fecha de celebración de la subasta; por lo que, al no procederse de este modo, se lesionó claramente el derecho a la tutela judicial efectiva. </w:t>
      </w:r>
    </w:p>
    <w:p w:rsidR="00B01F4A" w:rsidRDefault="00B01F4A" w:rsidP="00B01F4A">
      <w:pPr>
        <w:pStyle w:val="TextoNormal"/>
      </w:pPr>
      <w:r>
        <w:t>Asimismo, en la demanda se solicitó por otrosí la suspensión de la ejecución del Auto de adjudicación, en concreto, del desalojo de la vivienda por tratarse del domicilio habitual de los demandantes.</w:t>
      </w:r>
    </w:p>
    <w:p w:rsidR="00B01F4A" w:rsidRDefault="00B01F4A" w:rsidP="00B01F4A">
      <w:pPr>
        <w:pStyle w:val="TextoNormal"/>
      </w:pPr>
    </w:p>
    <w:p w:rsidR="00B01F4A" w:rsidRDefault="00B01F4A" w:rsidP="00B01F4A">
      <w:pPr>
        <w:pStyle w:val="TextoNormal"/>
      </w:pPr>
      <w:r w:rsidRPr="00B01F4A">
        <w:rPr>
          <w:rStyle w:val="NumeroAFNegritaCaracter"/>
        </w:rPr>
        <w:t>4</w:t>
      </w:r>
      <w:r>
        <w:t>. Por sendas providencias de 20 de febrero de 1997, la Sección Cuarta admitió a trámite el recurso y acordó formar la oportuna pieza separada de suspensión, concediendo a la parte recurrente y al Ministerio Fiscal un plazo común de tres días para que pudieran alegar lo pertinente sobre la suspensión.</w:t>
      </w:r>
    </w:p>
    <w:p w:rsidR="00B01F4A" w:rsidRDefault="00B01F4A" w:rsidP="00B01F4A">
      <w:pPr>
        <w:pStyle w:val="TextoNormal"/>
      </w:pPr>
    </w:p>
    <w:p w:rsidR="00B01F4A" w:rsidRDefault="00B01F4A" w:rsidP="00B01F4A">
      <w:pPr>
        <w:pStyle w:val="TextoNormal"/>
      </w:pPr>
      <w:r w:rsidRPr="00B01F4A">
        <w:rPr>
          <w:rStyle w:val="NumeroAFNegritaCaracter"/>
        </w:rPr>
        <w:t>5</w:t>
      </w:r>
      <w:r>
        <w:t>. Por escrito registrado el 5 de marzo de 1997, la parte demandante reiteró la solicitud de suspensión en lo relativo al bien inmueble objeto de subasta, por tratarse de una vivienda que constituye el domicilio habitual del matrimonio y sus tres hijos.</w:t>
      </w:r>
    </w:p>
    <w:p w:rsidR="00B01F4A" w:rsidRDefault="00B01F4A" w:rsidP="00B01F4A">
      <w:pPr>
        <w:pStyle w:val="TextoNormal"/>
      </w:pPr>
    </w:p>
    <w:p w:rsidR="00B01F4A" w:rsidRDefault="00B01F4A" w:rsidP="00B01F4A">
      <w:pPr>
        <w:pStyle w:val="TextoNormal"/>
      </w:pPr>
      <w:r w:rsidRPr="00B01F4A">
        <w:rPr>
          <w:rStyle w:val="NumeroAFNegritaCaracter"/>
        </w:rPr>
        <w:t>6</w:t>
      </w:r>
      <w:r>
        <w:t>. Mediante escrito registrado el 11 de marzo de 1997, el Ministerio Fiscal interesó que se acordase la suspensión solicitada en lo tocante a la vivienda, ya que, de lo contrario, se ocasionaría a los demandantes un perjuicio irreparable, resultando desproporcionado en relación con el fin pretendido. Perjuicio que, sin embargo, concluye el Ministerio Público, no tendría lugar en relación con el vehículo adjudicado.</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art. 56.1 LOTC dispone que la Sala que conozca de un recurso de amparo suspenderá la ejecución del acto o resolución impugnado «cuando la ejecución hubiera de ocasionar un perjuicio que haría perder al amparo su finalidad», si bien no procederá la suspensión cuando de ella «pueda seguirse perturbación grave de los intereses generales o de los derechos fundamentales o libertades públicas de un tercero».</w:t>
      </w:r>
    </w:p>
    <w:p w:rsidR="00B01F4A" w:rsidRDefault="00B01F4A" w:rsidP="00B01F4A">
      <w:pPr>
        <w:pStyle w:val="TextoNormal"/>
      </w:pPr>
      <w:r>
        <w:t>En la interpretación de la referida norma, este Tribunal viene manteniendo que cuando se trata de resoluciones judiciales, la suspensión de la ejecución entraña siempre, en sí misma, una perturbación de la función jurisdiccional que comprende la potestad de hacer ejecutar lo juzgado (art. 117.3 C.E.), a la vez que afecta al derecho a la tutela judicial efectiva del litigante victorioso, que se ve privado de la efectividad del pronunciamiento favorable a sus pretensiones por lo que la regla general debe ser la improcedencia de la suspensión y la excepción la suspensión.</w:t>
      </w:r>
    </w:p>
    <w:p w:rsidR="00B01F4A" w:rsidRDefault="00B01F4A" w:rsidP="00B01F4A">
      <w:pPr>
        <w:pStyle w:val="TextoNormal"/>
      </w:pPr>
      <w:r>
        <w:t xml:space="preserve">Conforme al citado criterio interpretativo, este Tribunal ha entendido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w:t>
      </w:r>
      <w:r>
        <w:lastRenderedPageBreak/>
        <w:t>haría perder al amparo su finalidad, distinguiendo a tal fin entre aquellos fallos judiciales cuya efectividad no impide devolver las cosas al ser y estado en que se hallaban antes de la ejecución y que admiten, por tanto, una posterior restitutio in integrum, lo que sucede en principio con la ejecución de las condenas pecuniarias salvo que, por su importancia o cuantía o por las circunstancias que concurran en el caso, su cumplimiento pueda causar daños irreparables, en los que no procede acordar la suspensión, y aquellos otros fallos judiciales que por afectar a bienes y derechos del recurrente de imposible restitución a su estado anterior, tales como las condenas penales privativas de libertad o de privación o limitación de ciertos derechos, es procedente la suspensión de la ejecución de la resolución judicial.</w:t>
      </w:r>
    </w:p>
    <w:p w:rsidR="00B01F4A" w:rsidRDefault="00B01F4A" w:rsidP="00B01F4A">
      <w:pPr>
        <w:pStyle w:val="TextoNormal"/>
      </w:pPr>
    </w:p>
    <w:p w:rsidR="00B01F4A" w:rsidRDefault="00B01F4A" w:rsidP="00B01F4A">
      <w:pPr>
        <w:pStyle w:val="TextoNormal"/>
      </w:pPr>
      <w:r w:rsidRPr="00B01F4A">
        <w:rPr>
          <w:rStyle w:val="NumeroAFNegritaCaracter"/>
        </w:rPr>
        <w:t>2</w:t>
      </w:r>
      <w:r>
        <w:t>. En el presente supuesto, en el que los demandantes solicitan la suspensión de la resolución en lo concerniente específicamente al inmueble adjudicado, es evidente que la ejecución de ésta ocasionaría a los recurrentes un perjuicio irreparable o de difícil reparación que haría perder al amparo su finalidad.  Pues, como atinadamente señala el Ministerio Fiscal, al constituir dicho inmueble su domicilio habitual, de otorgarse el amparo en los términos interesados, se dejaría sin efecto el Auto de adjudicación con retroacción de los efectos, lo que podría suponer la liberación del bien por pago de la deuda. Perjuicio irreparable que, por el contrario, como es palmario, no se produce en relación con el vehículo adjudicado.</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atención a lo expuesto, la Sala acuerda suspender la ejecución del Auto de 27 de marzo de 1996, dictado por el Juzgado de Primera Instancia núm. 6 de Burgos en autos de juicio ejecutivo 333/91, en lo concerniente exclusivamente al bien inmueble</w:t>
      </w:r>
    </w:p>
    <w:p w:rsidR="00B01F4A" w:rsidRDefault="00B01F4A" w:rsidP="00B01F4A">
      <w:pPr>
        <w:pStyle w:val="TextoNormal"/>
      </w:pPr>
      <w:r>
        <w:t>adjudicado.</w:t>
      </w:r>
    </w:p>
    <w:p w:rsidR="00B01F4A" w:rsidRDefault="00B01F4A" w:rsidP="00B01F4A">
      <w:pPr>
        <w:pStyle w:val="TextoNormal"/>
      </w:pPr>
    </w:p>
    <w:p w:rsidR="00B01F4A" w:rsidRDefault="00B01F4A" w:rsidP="00B01F4A">
      <w:pPr>
        <w:pStyle w:val="TextoNormal"/>
      </w:pPr>
      <w:r>
        <w:t>Madrid, a siete de abril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89" w:name="AUTO_1997_99"/>
      <w:r>
        <w:lastRenderedPageBreak/>
        <w:t>AUTO 99/1997, de 7 de abril de 1997</w:t>
      </w:r>
    </w:p>
    <w:bookmarkEnd w:id="189"/>
    <w:p w:rsidR="00B01F4A" w:rsidRDefault="00B01F4A" w:rsidP="00B01F4A">
      <w:pPr>
        <w:pStyle w:val="TtuloResolucin"/>
      </w:pPr>
      <w:r>
        <w:t>Sección Tercera</w:t>
      </w:r>
    </w:p>
    <w:p w:rsidR="00B01F4A" w:rsidRDefault="00B01F4A" w:rsidP="00B01F4A">
      <w:pPr>
        <w:pStyle w:val="TtuloResolucin"/>
      </w:pPr>
    </w:p>
    <w:p w:rsidR="00B01F4A" w:rsidRDefault="00B01F4A" w:rsidP="00B01F4A">
      <w:pPr>
        <w:pStyle w:val="SntesisDescriptiva"/>
      </w:pPr>
      <w:r>
        <w:t>ECLI:ES:TC:1997:99A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y don Julio D. González Campos.</w:t>
      </w:r>
    </w:p>
    <w:p w:rsidR="00B01F4A" w:rsidRDefault="00B01F4A" w:rsidP="00B01F4A">
      <w:pPr>
        <w:pStyle w:val="SntesisDescriptiva"/>
      </w:pPr>
    </w:p>
    <w:p w:rsidR="00B01F4A" w:rsidRDefault="00B01F4A" w:rsidP="00B01F4A">
      <w:pPr>
        <w:pStyle w:val="SntesisDescriptiva"/>
      </w:pPr>
      <w:r>
        <w:t>Acordando la inadmisión a trámite del recurso de amparo 3.132/1996.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Por escrito registrado en este Tribunal el día 31 de julio de 1996, doña Mercedes Albi Murcia, Procuradora de los Tribunales y de doña Manuela Márquez García, interpone recurso de amparo contra la Sentencia de 21 de octubre de 1989, dictada por el Juzgado de Primera Instancia núm. 3 de Barcelona y contra la confirmatoria de la anterior de fecha 6 de julio de 1996 dictada por la Audiencia Provincial de la misma ciudad.</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La demanda se fundamenta, en síntesis, en los siguientes hechos: </w:t>
      </w:r>
    </w:p>
    <w:p w:rsidR="00B01F4A" w:rsidRDefault="00B01F4A" w:rsidP="00B01F4A">
      <w:pPr>
        <w:pStyle w:val="TextoNormal"/>
      </w:pPr>
      <w:r>
        <w:t xml:space="preserve">a) El 30 de noviembre de 1983, se suscribió por el ex marido de la recurrente, don José Molina Diego, una póliza de préstamo con garantía personal con el Banco de Vizcaya (hoy Bilbao-Vizcaya), por importe de 1.000.000 de pesetas, y en la que actuó como garante «Fomento Nacional, S. A.». La recurrente ya se encontraba separada legalmente de su marido, el señor Molina, en virtud de sentencia de separación dictada el 29 de abril de 1981 por el Juzgado de Primera Instancia núm. 2 de Valencia. La demanda de separación la interpuso la recurrente ante el abandono del hogar por su marido en 1974. </w:t>
      </w:r>
    </w:p>
    <w:p w:rsidR="00B01F4A" w:rsidRDefault="00B01F4A" w:rsidP="00B01F4A">
      <w:pPr>
        <w:pStyle w:val="TextoNormal"/>
      </w:pPr>
      <w:r>
        <w:t xml:space="preserve">b) Disuelta la sociedad de gananciales por efecto de la separación judicial, no se efectuó la liquidación de la misma hasta el día 9 de diciembre de 1987, fecha en que se aprobó el cuaderno particional por Auto judicial dictado por el citado Juzgado de Valencia. </w:t>
      </w:r>
    </w:p>
    <w:p w:rsidR="00B01F4A" w:rsidRDefault="00B01F4A" w:rsidP="00B01F4A">
      <w:pPr>
        <w:pStyle w:val="TextoNormal"/>
      </w:pPr>
      <w:r>
        <w:t xml:space="preserve">Como consecuencia de dichas operaciones liquidatorias, en rebeldía de su ex marido, se adjudicó a la recurrente, con aprobación judicial, la vivienda conyugal objeto de esta litis, sita en la avenida de la Constitución, núm. 2, de Valencia, e inscrita en 1970 en el Registro de la Propiedad núm. 1 de Valencia, a nombre de ambos cónyuges con carácter ganancial; vivienda que viene habitando doña Manuela con su hija desde 1964 hasta la fecha. </w:t>
      </w:r>
    </w:p>
    <w:p w:rsidR="00B01F4A" w:rsidRDefault="00B01F4A" w:rsidP="00B01F4A">
      <w:pPr>
        <w:pStyle w:val="TextoNormal"/>
      </w:pPr>
      <w:r>
        <w:t xml:space="preserve">c) Tras el impago por el señor Molina de la deuda contraída por el citado préstamo, el entonces Banco de Vizcaya planteó contra él el correspondiente juicio ejecutivo que se tramitó por el Juzgado de Primera Instancia núm. 3 de Barcelona. </w:t>
      </w:r>
    </w:p>
    <w:p w:rsidR="00B01F4A" w:rsidRDefault="00B01F4A" w:rsidP="00B01F4A">
      <w:pPr>
        <w:pStyle w:val="TextoNormal"/>
      </w:pPr>
      <w:r>
        <w:t xml:space="preserve">d) El señor Molina designó como bien susceptible de embargo la que en su día fue vivienda conyugal y, además, silenció su condición de separado legalmente. El procedimiento ejecutivo concluyó con el embargo de dicha vivienda por estimarse que tenía carácter ganancial. </w:t>
      </w:r>
    </w:p>
    <w:p w:rsidR="00B01F4A" w:rsidRDefault="00B01F4A" w:rsidP="00B01F4A">
      <w:pPr>
        <w:pStyle w:val="TextoNormal"/>
      </w:pPr>
      <w:r>
        <w:t xml:space="preserve">e) Según la recurrente la primera noticia que tuvo del embargo fue a mediados del mes de octubre de 1987, cuando acudió al Registro de la Propiedad para inscribir la sentencia de </w:t>
      </w:r>
      <w:r>
        <w:lastRenderedPageBreak/>
        <w:t xml:space="preserve">separación matrimonial Manifiesta que es entonces cuando advirtió que sobre su vivienda pesaba una anotación preventiva de embargo, y que ya era tarde para oponerse o interponer tercería, puesto que el piso ya había sido subastado y adjudicado al banco ejecutante en escritura pública de 19 de marzo de 1986. </w:t>
      </w:r>
    </w:p>
    <w:p w:rsidR="00B01F4A" w:rsidRDefault="00B01F4A" w:rsidP="00B01F4A">
      <w:pPr>
        <w:pStyle w:val="TextoNormal"/>
      </w:pPr>
      <w:r>
        <w:t xml:space="preserve">f) Interpuesto por la recurrente juicio declarativo de menor cuantía solicitando la nulidad de las actuaciones del referido juicio ejecutivo, a partir de la fecha en que debió ser notificada del embargo, el Juzgado de Primera Instancia núm. 3 de Barcelona, en autos 862/88, dictó Sentencia desestimando la demanda por entender que no hubo indefensión y no se vulneró el art. 24 de la Constitución. </w:t>
      </w:r>
    </w:p>
    <w:p w:rsidR="00B01F4A" w:rsidRDefault="00B01F4A" w:rsidP="00B01F4A">
      <w:pPr>
        <w:pStyle w:val="TextoNormal"/>
      </w:pPr>
      <w:r>
        <w:t>g) Contra la referida Sentencia interpuso recurso de apelación ante la Sección Catorce de la Audiencia Provincial de Barcelona, la cual mediante Sentencia de 6 de julio de 1996, lo desestimó íntegramente confirmando la resolución recurrida.</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Según la recurrente, los derechos fundamentales violados son de los tutelados y protegidos por la presente vía de amparo constitucional, según lo dispuesto en el art. 24.1 de la Constitución. </w:t>
      </w:r>
    </w:p>
    <w:p w:rsidR="00B01F4A" w:rsidRDefault="00B01F4A" w:rsidP="00B01F4A">
      <w:pPr>
        <w:pStyle w:val="TextoNormal"/>
      </w:pPr>
      <w:r>
        <w:t xml:space="preserve">Alega que en el juicio ejecutivo que se celebró en el Juzgado de la Instancia núm. 3 de Barcelona, claramente se ventilaban intereses que le concernían, concretamente el embargo y subasta de su única vivienda. En ningún momento le fue notificado el embargo, y ello debido claramente a una omisión del órgano judicial. Si bien la recurrente no podía ser parte en el proceso, si que debía haber sido notificada de forma real y directa del embargo y la subasta para defenderse interviniendo como tercera, interesada, oponiéndose al mismo. </w:t>
      </w:r>
    </w:p>
    <w:p w:rsidR="00B01F4A" w:rsidRDefault="00B01F4A" w:rsidP="00B01F4A">
      <w:pPr>
        <w:pStyle w:val="TextoNormal"/>
      </w:pPr>
      <w:r>
        <w:t xml:space="preserve">A mayor abundamiento, en la Sentencia de Juzgado de Primera Instancia núm. 3 de Barcelona, se dice literalmente que «la indefensión, como concepto jurídico que es, no supone cualquier situación en la que una persona crea subjetivamente que no ha podido defenderse». </w:t>
      </w:r>
    </w:p>
    <w:p w:rsidR="00B01F4A" w:rsidRDefault="00B01F4A" w:rsidP="00B01F4A">
      <w:pPr>
        <w:pStyle w:val="TextoNormal"/>
      </w:pPr>
      <w:r>
        <w:t xml:space="preserve">En este caso, no es que crea subjetivamente que no ha podido defenderse, sino que efectivamente no pudo hacer valer sus derechos debido a la falta de notificación por parte del Juzgado. Circunstancia que posteriormente fue reconocida en la sentencia dictada en apelación. </w:t>
      </w:r>
    </w:p>
    <w:p w:rsidR="00B01F4A" w:rsidRDefault="00B01F4A" w:rsidP="00B01F4A">
      <w:pPr>
        <w:pStyle w:val="TextoNormal"/>
      </w:pPr>
      <w:r>
        <w:t xml:space="preserve">Para la recurrente lo que sí que queda claro es que la sentencia supone una modificación de una situación jurídica individualizada: se ve privada de su vivienda. Por tanto, esa falta de notificación es lo que origina una verdadera indefensión. </w:t>
      </w:r>
    </w:p>
    <w:p w:rsidR="00B01F4A" w:rsidRDefault="00B01F4A" w:rsidP="00B01F4A">
      <w:pPr>
        <w:pStyle w:val="TextoNormal"/>
      </w:pPr>
      <w:r>
        <w:t>Por último, interesa la suspensión de los efectos del proceso ejecutivo sin dar posesión de la casa al ejecutante.</w:t>
      </w:r>
    </w:p>
    <w:p w:rsidR="00B01F4A" w:rsidRDefault="00B01F4A" w:rsidP="00B01F4A">
      <w:pPr>
        <w:pStyle w:val="TextoNormal"/>
      </w:pPr>
    </w:p>
    <w:p w:rsidR="00B01F4A" w:rsidRDefault="00B01F4A" w:rsidP="00B01F4A">
      <w:pPr>
        <w:pStyle w:val="TextoNormal"/>
      </w:pPr>
      <w:r w:rsidRPr="00B01F4A">
        <w:rPr>
          <w:rStyle w:val="NumeroAFNegritaCaracter"/>
        </w:rPr>
        <w:t>4</w:t>
      </w:r>
      <w:r>
        <w:t>. La Sección Tercera, por providencia de 24 de febrero de 1997, acordó, de conformidad con lo dispuesto en el núm. 3 del art. 50 de la Ley Orgánica del Tribunal Constitucional, conceder a la demandante de amparo y al Ministerio Fiscal el plazo común de diez días para que formulasen, con las aportaciones documentales procedentes, las alegaciones que estimaran pertinentes en relación con la carencia manifiesta de contenido constitucional de la demanda art. 50.1 c).</w:t>
      </w:r>
    </w:p>
    <w:p w:rsidR="00B01F4A" w:rsidRDefault="00B01F4A" w:rsidP="00B01F4A">
      <w:pPr>
        <w:pStyle w:val="TextoNormal"/>
      </w:pPr>
    </w:p>
    <w:p w:rsidR="00B01F4A" w:rsidRDefault="00B01F4A" w:rsidP="00B01F4A">
      <w:pPr>
        <w:pStyle w:val="TextoNormal"/>
      </w:pPr>
      <w:r w:rsidRPr="00B01F4A">
        <w:rPr>
          <w:rStyle w:val="NumeroAFNegritaCaracter"/>
        </w:rPr>
        <w:t>5</w:t>
      </w:r>
      <w:r>
        <w:t xml:space="preserve">. Por escrito registrado en los Juzgados de Guardia de Madrid el 11 de marzo de 1997 y el día siguiente en este Tribunal, la recurrente en amparo reitera, en síntesis, lo manifestado en su demanda, interesando con arreglo a lo dispuesto en el art. 89.1 LOTC la apertura </w:t>
      </w:r>
      <w:r>
        <w:lastRenderedPageBreak/>
        <w:t>del proceso a prueba a fin de acreditar la falta de notificación legal y efectiva del embargo y de la subasta.</w:t>
      </w:r>
    </w:p>
    <w:p w:rsidR="00B01F4A" w:rsidRDefault="00B01F4A" w:rsidP="00B01F4A">
      <w:pPr>
        <w:pStyle w:val="TextoNormal"/>
      </w:pPr>
    </w:p>
    <w:p w:rsidR="00B01F4A" w:rsidRDefault="00B01F4A" w:rsidP="00B01F4A">
      <w:pPr>
        <w:pStyle w:val="TextoNormal"/>
      </w:pPr>
      <w:r w:rsidRPr="00B01F4A">
        <w:rPr>
          <w:rStyle w:val="NumeroAFNegritaCaracter"/>
        </w:rPr>
        <w:t>6</w:t>
      </w:r>
      <w:r>
        <w:t xml:space="preserve">. El Ministerio Fiscal por escrito registrado en este Tribunal el 13 de marzo de 1997, interesa se inadmita la demanda por carencia de contenido que justifique una decisión en forma de sentencia por parte del Tribunal Constitucional. </w:t>
      </w:r>
    </w:p>
    <w:p w:rsidR="00B01F4A" w:rsidRDefault="00B01F4A" w:rsidP="00B01F4A">
      <w:pPr>
        <w:pStyle w:val="TextoNormal"/>
      </w:pPr>
      <w:r>
        <w:t xml:space="preserve">Para el Ministerio Fiscal «en este caso ocurrió que, según las sentencias, el Juzgado actuó conforme a Derecho en la realización de la notificación prevista en el Reglamento Hipotecario a los efectos limitados que tal notificación tiene, por lo que no se puede incardinar la lesión en un supuesto de los previstos en los arts. 238 y siguientes de la L.O.P.J., lo que determinó la desestimación de la demanda y su confirmación, ya que, tanto la acción como la prueba de los hechos se revelaron como insuficientes para enervar los efectos de una sentencia declarada firme doce años antes. </w:t>
      </w:r>
    </w:p>
    <w:p w:rsidR="00B01F4A" w:rsidRDefault="00B01F4A" w:rsidP="00B01F4A">
      <w:pPr>
        <w:pStyle w:val="TextoNormal"/>
      </w:pPr>
      <w:r>
        <w:t>Con fundamento en lo hasta aquí expuesto, el Fiscal interesa que, de acuerdo con lo dispuesto en los arts. 86.1, inciso segundo, y 80 LOTC, en relación con el art. 245.1 b) de la Ley Orgánica del Poder Judicial, por el Tribunal Constitucional se dicte Auto inadmitiendo la demanda.</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EB5FD0" w:rsidP="00B01F4A">
      <w:pPr>
        <w:pStyle w:val="TextoNormal"/>
      </w:pPr>
      <w:r>
        <w:rPr>
          <w:rStyle w:val="NumeroAFNegritaCaracter"/>
        </w:rPr>
        <w:t>Ú</w:t>
      </w:r>
      <w:r w:rsidR="00B01F4A" w:rsidRPr="00EB5FD0">
        <w:rPr>
          <w:rStyle w:val="NumeroAFNegritaCaracter"/>
        </w:rPr>
        <w:t>nico.</w:t>
      </w:r>
      <w:r w:rsidR="00B01F4A">
        <w:t xml:space="preserve"> La pretensión ejercitada por la recurrente no es sino un problema derivado del carácter ganancial de la vivienda que fue objeto de adjudicación judicial en virtud de juicio ejecutivo promovido por una entidad bancaria contra su marido. Los órganos</w:t>
      </w:r>
    </w:p>
    <w:p w:rsidR="00B01F4A" w:rsidRDefault="00B01F4A" w:rsidP="00B01F4A">
      <w:pPr>
        <w:pStyle w:val="TextoNormal"/>
      </w:pPr>
      <w:r>
        <w:t>judiciales tuvieron en cuenta que, con independencia de cuándo tuvo lugar la separación de los cónyuges (1974), la adjudicación judicial del inmueble se realizó tres meses antes que el cuaderno particional para la liquidación de la sociedad de</w:t>
      </w:r>
    </w:p>
    <w:p w:rsidR="00B01F4A" w:rsidRDefault="00B01F4A" w:rsidP="00B01F4A">
      <w:pPr>
        <w:pStyle w:val="TextoNormal"/>
      </w:pPr>
      <w:r>
        <w:t>gananciales. En definitiva, para los órganos judiciales, la liquidación de la sociedad de gananciales se realizó tarde y, por tanto, la adjudicación íntegra del piso a la recurrente no podía perjudicar a terceros de buena fe. Las alegaciones de la</w:t>
      </w:r>
    </w:p>
    <w:p w:rsidR="00B01F4A" w:rsidRDefault="00B01F4A" w:rsidP="00B01F4A">
      <w:pPr>
        <w:pStyle w:val="TextoNormal"/>
      </w:pPr>
      <w:r>
        <w:t>recurrente sobre que no se le hicieron las notificaciones pertinentes, singularmente las del embargo y subasta de la vivienda, quedan así sin contenido.</w:t>
      </w:r>
    </w:p>
    <w:p w:rsidR="00B01F4A" w:rsidRDefault="00B01F4A" w:rsidP="00B01F4A">
      <w:pPr>
        <w:pStyle w:val="TextoNormal"/>
      </w:pPr>
      <w:r>
        <w:t>En conclusión, sólo a la actora es imputable que, habiendo obtenido Sentencia de separación en 1981, sin embargo no se efectuara la liquidación de la sociedad de gananciales hasta diciembre de 1987, es decir, cuando ya había sido adjudicado el piso como consecuencia del juicio ejecutivo cuya nulidad demandó después en el correspondiente juicio declarativo, lo cual manifiesta que ni en el juicio ejecutivo se le produjo indefensión ni después en ese juicio declarativo faltó una suficiente motivación de la decisión adoptada por lo que debe excluirse la denunciada vulneración del derecho garantizado en el art. 24.1 C.E. (SSTC 50/1988, 210/1991 y 198/1994, entre otras).</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lo expuesto, la Sección acuerda no admitir a trámite este recurso de amparo y que se archiven las actuaciones.</w:t>
      </w:r>
    </w:p>
    <w:p w:rsidR="00B01F4A" w:rsidRDefault="00B01F4A" w:rsidP="00B01F4A">
      <w:pPr>
        <w:pStyle w:val="TextoNormal"/>
      </w:pPr>
    </w:p>
    <w:p w:rsidR="00B01F4A" w:rsidRDefault="00B01F4A" w:rsidP="00B01F4A">
      <w:pPr>
        <w:pStyle w:val="TextoNormal"/>
      </w:pPr>
      <w:r>
        <w:t>Madrid, a siete de abril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90" w:name="AUTO_1997_100"/>
      <w:r>
        <w:lastRenderedPageBreak/>
        <w:t>AUTO 100/1997, de 7 de abril de 1997</w:t>
      </w:r>
    </w:p>
    <w:bookmarkEnd w:id="190"/>
    <w:p w:rsidR="00B01F4A" w:rsidRDefault="00B01F4A" w:rsidP="00B01F4A">
      <w:pPr>
        <w:pStyle w:val="TtuloResolucin"/>
      </w:pPr>
      <w:r>
        <w:t>Sección Tercera</w:t>
      </w:r>
    </w:p>
    <w:p w:rsidR="00B01F4A" w:rsidRDefault="00B01F4A" w:rsidP="00B01F4A">
      <w:pPr>
        <w:pStyle w:val="TtuloResolucin"/>
      </w:pPr>
    </w:p>
    <w:p w:rsidR="00B01F4A" w:rsidRDefault="00B01F4A" w:rsidP="00B01F4A">
      <w:pPr>
        <w:pStyle w:val="SntesisDescriptiva"/>
      </w:pPr>
      <w:r>
        <w:t>ECLI:ES:TC:1997:100A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y don Julio D. González Campos.</w:t>
      </w:r>
    </w:p>
    <w:p w:rsidR="00B01F4A" w:rsidRDefault="00B01F4A" w:rsidP="00B01F4A">
      <w:pPr>
        <w:pStyle w:val="SntesisDescriptiva"/>
      </w:pPr>
    </w:p>
    <w:p w:rsidR="00B01F4A" w:rsidRDefault="00B01F4A" w:rsidP="00B01F4A">
      <w:pPr>
        <w:pStyle w:val="SntesisDescriptiva"/>
      </w:pPr>
      <w:r>
        <w:t>Acordando la inadmisión a trámite del recurso de amparo 3.568/1996.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en este Tribunal el 3 de octubre de 1996, el Procurador de los Tribunales don Carmelo Olmo Gómez, en nombre y representación de don Roque González Padilla, interpone recurso de amparo contra la Sentencia de la Sala de lo Contencioso-Administrativo del Tribunal Superior de Justicia de Canarias, de 6 de septiembre de 1996, que desestimó solicitud de reconocimiento de complemento de productividad.</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La demanda se fundamenta, en síntesis, en los siguientes hechos: </w:t>
      </w:r>
    </w:p>
    <w:p w:rsidR="00B01F4A" w:rsidRDefault="00B01F4A" w:rsidP="00B01F4A">
      <w:pPr>
        <w:pStyle w:val="TextoNormal"/>
      </w:pPr>
      <w:r>
        <w:t xml:space="preserve">a) Con fecha 10 de junio de 1994, el recurrente, Guardia 2.º con destino en la Primera Compañía de la 152 Comandancia de la Guardia Civil de Las Palmas, dirigió escrito al Director general de la Guardia Civil solicitando se le reconociera el derecho al complemento de productividad de acuerdo con la legislación vigente, así como los atrasos que pudieran corresponderle. La referida petición fue desestimada por resolución del Subdirector general de Personal de la Guardia Civil, de 21 de julio de 1994, lo que motivó que el día 7 de octubre de 1994 interpusiera recurso contencioso-administrativo. </w:t>
      </w:r>
    </w:p>
    <w:p w:rsidR="00B01F4A" w:rsidRDefault="00B01F4A" w:rsidP="00B01F4A">
      <w:pPr>
        <w:pStyle w:val="TextoNormal"/>
      </w:pPr>
      <w:r>
        <w:t xml:space="preserve">b) Con fecha 21 de enero de 1994 formalizó demanda en la que, tras la exposición de los hechos y de los fundamentos de derecho, se concluyó con la súplica de que: 1.1 Se declarara no ajustado a Derecho el acto impugnado. 2.º Se declarara el derecho del demandante al percibo del complemento de productividad desde el 1 de enero de 1988 en las cuantías señaladas en la demanda. 3.ª Se condenara a la Dirección General de la Guardia Civil al pago de la cuantía resultante e intereses legales desde la fecha de la sentencia hasta su efectivo pago. </w:t>
      </w:r>
    </w:p>
    <w:p w:rsidR="00B01F4A" w:rsidRDefault="00B01F4A" w:rsidP="00B01F4A">
      <w:pPr>
        <w:pStyle w:val="TextoNormal"/>
      </w:pPr>
      <w:r>
        <w:t xml:space="preserve">c) La Administración contestó a la demanda oponiéndose a ella e interesando una sentencia por la que se desestimara el recurso al ser ajustado a Derecho el acto recurrido. </w:t>
      </w:r>
    </w:p>
    <w:p w:rsidR="00B01F4A" w:rsidRDefault="00B01F4A" w:rsidP="00B01F4A">
      <w:pPr>
        <w:pStyle w:val="TextoNormal"/>
      </w:pPr>
      <w:r>
        <w:t>d) Se dictó Sentencia por la Sala de lo Contencioso del Tribunal Superior de Justicia de Canarias el 6 de septiembre de 1996, desestimando el recurso contencioso-administrativo.</w:t>
      </w:r>
    </w:p>
    <w:p w:rsidR="00B01F4A" w:rsidRDefault="00B01F4A" w:rsidP="00B01F4A">
      <w:pPr>
        <w:pStyle w:val="TextoNormal"/>
      </w:pPr>
    </w:p>
    <w:p w:rsidR="00B01F4A" w:rsidRDefault="00B01F4A" w:rsidP="00B01F4A">
      <w:pPr>
        <w:pStyle w:val="TextoNormal"/>
      </w:pPr>
      <w:r w:rsidRPr="00B01F4A">
        <w:rPr>
          <w:rStyle w:val="NumeroAFNegritaCaracter"/>
        </w:rPr>
        <w:t>3</w:t>
      </w:r>
      <w:r>
        <w:t>. El recurrente en amparo considera vulnerado el principio de igualdad (art. 14 C.E.). En primer lugar, entiende que la Dirección General de la Guardia Civil vulneró el art. 14 C.E., pues hubo guardias civiles que cobraron la productividad durante cinco meses consecutivos, incluso un año, mientras que otros compañeros, en idéntica situación a los anterio</w:t>
      </w:r>
      <w:r>
        <w:lastRenderedPageBreak/>
        <w:t>res, nunca han cobrado ese plus o lo han cobrado durante menos meses. Además, esta circunstancia fue impugnada ante la Sala de lo Contencioso del Tribunal Superior de Justicia de Canarias en varias ocasiones, estimando la pretensión de los recurrentes y reconociendo su derecho a percibir el complemento de productividad en la misma forma, períodos y cuantías que sus respectivos compañeros. Sin embargo, en últimas sentencias otros litigantes, entre los que se encuentra el recurrente, en idéntica situación, han obtenido pronunciamientos distintos por parte de esa Sala, esto es, se les ha desestimado el recurso contencioso-administrativo, por lo que ha sido vulnerado, según el recurrente, el art. 14 C.E.</w:t>
      </w:r>
    </w:p>
    <w:p w:rsidR="00B01F4A" w:rsidRDefault="00B01F4A" w:rsidP="00B01F4A">
      <w:pPr>
        <w:pStyle w:val="TextoNormal"/>
      </w:pPr>
    </w:p>
    <w:p w:rsidR="00B01F4A" w:rsidRDefault="00B01F4A" w:rsidP="00B01F4A">
      <w:pPr>
        <w:pStyle w:val="TextoNormal"/>
      </w:pPr>
      <w:r w:rsidRPr="00B01F4A">
        <w:rPr>
          <w:rStyle w:val="NumeroAFNegritaCaracter"/>
        </w:rPr>
        <w:t>4</w:t>
      </w:r>
      <w:r>
        <w:t>. Por providencia de 24 de febrero de 1997, la Sección Tercera de este Tribunal acordó, de conformidad con lo dispuesto en el núm. 3 del art. 50 de la Ley Orgánica del Tribunal Constitucional,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 c).</w:t>
      </w:r>
    </w:p>
    <w:p w:rsidR="00B01F4A" w:rsidRDefault="00B01F4A" w:rsidP="00B01F4A">
      <w:pPr>
        <w:pStyle w:val="TextoNormal"/>
      </w:pPr>
    </w:p>
    <w:p w:rsidR="00B01F4A" w:rsidRDefault="00B01F4A" w:rsidP="00B01F4A">
      <w:pPr>
        <w:pStyle w:val="TextoNormal"/>
      </w:pPr>
      <w:r w:rsidRPr="00B01F4A">
        <w:rPr>
          <w:rStyle w:val="NumeroAFNegritaCaracter"/>
        </w:rPr>
        <w:t>5</w:t>
      </w:r>
      <w:r>
        <w:t xml:space="preserve">. El Ministerio Fiscal por escrito que tuvo entrada en este Tribunal el 13 de marzo de 1997, interesa se inadmita la demanda de amparo por falta manifiesta de contenido constitucional, conforme al art. 50.1 c) de la LOTC. </w:t>
      </w:r>
    </w:p>
    <w:p w:rsidR="00B01F4A" w:rsidRDefault="00B01F4A" w:rsidP="00B01F4A">
      <w:pPr>
        <w:pStyle w:val="TextoNormal"/>
      </w:pPr>
      <w:r>
        <w:t xml:space="preserve">Según el Ministerio Fiscal, «la Sentencia deniega que los actos administrativos impugnados hayan infringido el derecho a la igualdad, con una explicación razonada y fundada que hemos de asumir para llegar a la conclusión de que este recurso carece manifiestamente de contenido constitucional: en efecto, tras indicar que en dicha Sentencia se va a revisar la doctrina sentada por otros pronunciamientos anteriores -lo que determina que no podamos considerar término de comparación válido la aportada de 17 de octubre de 1994-, comienza estableciendo que el sistema de reparto del complemento, tal como se configuró, era, en sí mismo, ilegal, pues resultaba contrario a la propia naturaleza de la citada retribución, ya que ésta estará destinada a retribuir el especial rendimiento, la actividad y dedicación extraordinaria no contemplados a través del complemento específico y el interés o iniciativa en el desempeño de puestos de trabajo, siempre que redunden en mejorar el resultado del mismo (art. 4.3 del R.D. 311/1988), de modo que la generalización a todo un colectivo de funcionarios y su ulterior prorrateo entre ellos -dada la lógica falta de dotación presupuestaria al efecto- es contraria a la normativa vigente. </w:t>
      </w:r>
    </w:p>
    <w:p w:rsidR="00B01F4A" w:rsidRDefault="00B01F4A" w:rsidP="00B01F4A">
      <w:pPr>
        <w:pStyle w:val="TextoNormal"/>
      </w:pPr>
      <w:r>
        <w:t>Esta ilegalidad de situaciones determina que el término de comparación aportado por el demandante no sea válido, pues, como indica la Sala, citando a este Tribunal, el principio de igualdad ante la Ley no significa un imposible derecho a la igualdad en la ilegalidad, lo que se traduce asimismo en que, partiendo de la base de legalidad del sistema de rotación, el incumplimiento del mismo que, por otra parte considera, puede justificarse en un criterio de discrecionalidad a la hora de apreciar en qué funcionarios concurre la especial productividad y no es susceptible de control, ni menos aún de la pretensión de un trato igualitario».</w:t>
      </w:r>
    </w:p>
    <w:p w:rsidR="00B01F4A" w:rsidRDefault="00B01F4A" w:rsidP="00B01F4A">
      <w:pPr>
        <w:pStyle w:val="TextoNormal"/>
      </w:pPr>
    </w:p>
    <w:p w:rsidR="00B01F4A" w:rsidRDefault="00B01F4A" w:rsidP="00B01F4A">
      <w:pPr>
        <w:pStyle w:val="TextoNormal"/>
      </w:pPr>
      <w:r w:rsidRPr="00B01F4A">
        <w:rPr>
          <w:rStyle w:val="NumeroAFNegritaCaracter"/>
        </w:rPr>
        <w:t>6</w:t>
      </w:r>
      <w:r>
        <w:t>. Por escrito de 20 de marzo de 1997, el Secretario de Justicia hace constar que se ha recibido el anterior escrito del Ministerio Fiscal en el trámite de alegaciones del art. 50.3 LOTC, sin que se haya recibido escrito de la parte recurrente.</w:t>
      </w:r>
    </w:p>
    <w:p w:rsidR="00B01F4A" w:rsidRDefault="00B01F4A" w:rsidP="00B01F4A">
      <w:pPr>
        <w:pStyle w:val="TextoNormal"/>
      </w:pPr>
    </w:p>
    <w:p w:rsidR="00B01F4A" w:rsidRDefault="00B01F4A" w:rsidP="00B01F4A">
      <w:pPr>
        <w:pStyle w:val="TextoNormalNegritaCentrado"/>
        <w:keepNext/>
      </w:pPr>
      <w:r>
        <w:lastRenderedPageBreak/>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Por Sentencia de la Sala de lo Contencioso-Administrativo del Tribunal Superior de Justicia de Canarias, de 6 de septiembre de 1996, se desestimó al recurrente su pretensión de reconocimiento del complemento de productividad en su momento instado en vía administrativa. Entiende el recurrente que la denegación de ese complemento contraviene las exigencias inherentes al art. 14 C.E., en la medida en que determinados compañeros que venían desempeñando unos cometidos idénticos a los por él desarrollados fueron beneficiados con el otorgamiento del mismo. Además afirma que esa misma Sala de lo Contencioso ha quebrado su línea jurisprudencial desestimando pretensiones idénticas a las ejercitadas en otros procesos en los que las estimó, vulnerándose así el art.  14 C.E.</w:t>
      </w:r>
    </w:p>
    <w:p w:rsidR="00B01F4A" w:rsidRDefault="00B01F4A" w:rsidP="00B01F4A">
      <w:pPr>
        <w:pStyle w:val="TextoNormal"/>
      </w:pPr>
    </w:p>
    <w:p w:rsidR="00B01F4A" w:rsidRDefault="00B01F4A" w:rsidP="00B01F4A">
      <w:pPr>
        <w:pStyle w:val="TextoNormal"/>
      </w:pPr>
      <w:r w:rsidRPr="00B01F4A">
        <w:rPr>
          <w:rStyle w:val="NumeroAFNegritaCaracter"/>
        </w:rPr>
        <w:t>2</w:t>
      </w:r>
      <w:r>
        <w:t>. La demanda de amparo ha de ser inadmitida en virtud de que la Sentencia razona debidamente que va a revisar su doctrina anterior, concluyendo que el anterior sistema de reparto de complemento era ilegal al ser contrario a la propia naturaleza del mismo, lo que después argumenta cumplidamente de tal forma que debe excluirse la invocada vulneración del derecho a la igualdad.  Nada impide a los órganos judiciales cambiar sus propios criterios cuando lo hacen razonada y motivadamente, sin atisbo de arbitrariedad, y, a mayor abundamiento, cuando entienden, como ocurre en este caso, que la legalidad exige una interpretación distinta a la que hasta ese momento habían realizado.</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lo expuesto, la Sección acuerda inadmitir el recurso de amparo y el archivo de las actuaciones.</w:t>
      </w:r>
    </w:p>
    <w:p w:rsidR="00B01F4A" w:rsidRDefault="00B01F4A" w:rsidP="00B01F4A">
      <w:pPr>
        <w:pStyle w:val="TextoNormal"/>
      </w:pPr>
    </w:p>
    <w:p w:rsidR="00B01F4A" w:rsidRDefault="00B01F4A" w:rsidP="00B01F4A">
      <w:pPr>
        <w:pStyle w:val="TextoNormal"/>
      </w:pPr>
      <w:r>
        <w:t>Madrid, a siete de abril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91" w:name="AUTO_1997_101"/>
      <w:r>
        <w:lastRenderedPageBreak/>
        <w:t>AUTO 101/1997, de 7 de abril de 1997</w:t>
      </w:r>
    </w:p>
    <w:bookmarkEnd w:id="191"/>
    <w:p w:rsidR="00B01F4A" w:rsidRDefault="00B01F4A" w:rsidP="00B01F4A">
      <w:pPr>
        <w:pStyle w:val="TtuloResolucin"/>
      </w:pPr>
      <w:r>
        <w:t>Sección Cuarta</w:t>
      </w:r>
    </w:p>
    <w:p w:rsidR="00B01F4A" w:rsidRDefault="00B01F4A" w:rsidP="00B01F4A">
      <w:pPr>
        <w:pStyle w:val="TtuloResolucin"/>
      </w:pPr>
    </w:p>
    <w:p w:rsidR="00B01F4A" w:rsidRDefault="00B01F4A" w:rsidP="00B01F4A">
      <w:pPr>
        <w:pStyle w:val="SntesisDescriptiva"/>
      </w:pPr>
      <w:r>
        <w:t>ECLI:ES:TC:1997:101A</w:t>
      </w:r>
    </w:p>
    <w:p w:rsidR="00B01F4A" w:rsidRDefault="00B01F4A" w:rsidP="00B01F4A">
      <w:pPr>
        <w:pStyle w:val="SntesisDescriptiva"/>
      </w:pPr>
    </w:p>
    <w:p w:rsidR="00B01F4A" w:rsidRDefault="00B01F4A" w:rsidP="00B01F4A">
      <w:pPr>
        <w:pStyle w:val="SntesisDescriptiva"/>
      </w:pPr>
      <w:r>
        <w:t>Excms. Srs. don Rafael de Mendizábal Allende, don Carles Viver Pi-Sunyer y don Tomás Salvador Vives Antón.</w:t>
      </w:r>
    </w:p>
    <w:p w:rsidR="00B01F4A" w:rsidRDefault="00B01F4A" w:rsidP="00B01F4A">
      <w:pPr>
        <w:pStyle w:val="SntesisDescriptiva"/>
      </w:pPr>
    </w:p>
    <w:p w:rsidR="00B01F4A" w:rsidRDefault="00B01F4A" w:rsidP="00B01F4A">
      <w:pPr>
        <w:pStyle w:val="SntesisDescriptiva"/>
      </w:pPr>
      <w:r>
        <w:t>Acuerda el desistimiento en el recurso de amparo 3.912/1996, promovido en causa penal.</w:t>
      </w:r>
    </w:p>
    <w:p w:rsidR="00B01F4A" w:rsidRDefault="00B01F4A" w:rsidP="00B01F4A">
      <w:pPr>
        <w:pStyle w:val="SntesisDescriptiva"/>
      </w:pPr>
    </w:p>
    <w:p w:rsidR="00B01F4A" w:rsidRDefault="00B01F4A" w:rsidP="00B01F4A">
      <w:pPr>
        <w:pStyle w:val="SntesisAnaltica"/>
      </w:pPr>
      <w:r>
        <w:t>Desistimiento de recurso de amparo: procede.</w:t>
      </w:r>
    </w:p>
    <w:p w:rsidR="00B01F4A" w:rsidRDefault="00B01F4A" w:rsidP="00B01F4A">
      <w:pPr>
        <w:pStyle w:val="SntesisAnaltica"/>
      </w:pPr>
    </w:p>
    <w:p w:rsidR="00B01F4A" w:rsidRDefault="00B01F4A" w:rsidP="00B01F4A">
      <w:pPr>
        <w:pStyle w:val="SntesisAnaltica"/>
      </w:pPr>
    </w:p>
    <w:p w:rsidR="00B01F4A" w:rsidRDefault="00B01F4A" w:rsidP="00B01F4A">
      <w:pPr>
        <w:pStyle w:val="SntesisAnaltic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92" w:name="AUTO_1997_102"/>
      <w:r>
        <w:lastRenderedPageBreak/>
        <w:t>AUTO 102/1997, de 7 de abril de 1997</w:t>
      </w:r>
    </w:p>
    <w:bookmarkEnd w:id="192"/>
    <w:p w:rsidR="00B01F4A" w:rsidRDefault="00B01F4A" w:rsidP="00B01F4A">
      <w:pPr>
        <w:pStyle w:val="TtuloResolucin"/>
      </w:pPr>
      <w:r>
        <w:t>Sala Primera</w:t>
      </w:r>
    </w:p>
    <w:p w:rsidR="00B01F4A" w:rsidRDefault="00B01F4A" w:rsidP="00B01F4A">
      <w:pPr>
        <w:pStyle w:val="TtuloResolucin"/>
      </w:pPr>
    </w:p>
    <w:p w:rsidR="00B01F4A" w:rsidRDefault="00B01F4A" w:rsidP="00B01F4A">
      <w:pPr>
        <w:pStyle w:val="SntesisDescriptiva"/>
      </w:pPr>
      <w:r>
        <w:t>ECLI:ES:TC:1997:102A</w:t>
      </w:r>
    </w:p>
    <w:p w:rsidR="00B01F4A" w:rsidRDefault="00B01F4A" w:rsidP="00B01F4A">
      <w:pPr>
        <w:pStyle w:val="SntesisDescriptiva"/>
      </w:pPr>
    </w:p>
    <w:p w:rsidR="00B01F4A" w:rsidRDefault="00B01F4A" w:rsidP="00B01F4A">
      <w:pPr>
        <w:pStyle w:val="SntesisDescriptiva"/>
      </w:pPr>
      <w:r>
        <w:t>Excms. Srs. don Álvaro Rodríguez Bereijo, don José Vicente Gimeno Sendra, don Pedro Cruz Villalón, don Enrique Ruiz Vadillo, don Manuel Jiménez de Parga y Cabrera y don Pablo García Manzano.</w:t>
      </w:r>
    </w:p>
    <w:p w:rsidR="00B01F4A" w:rsidRDefault="00B01F4A" w:rsidP="00B01F4A">
      <w:pPr>
        <w:pStyle w:val="SntesisDescriptiva"/>
      </w:pPr>
    </w:p>
    <w:p w:rsidR="00B01F4A" w:rsidRDefault="00B01F4A" w:rsidP="00B01F4A">
      <w:pPr>
        <w:pStyle w:val="SntesisDescriptiva"/>
      </w:pPr>
      <w:r>
        <w:t>Denegando la suspensión de la ejecución del acto que origina el recurso de amparo 4.777/1996.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Con fecha 28 de diciembre de 1996 tuvo entrada en el Registro General de este Tribunal escrito de la representación procesal de don Pedro Sola Fernández, por medio del cual interpone recurso de amparo frente al Auto de 4 de noviembre de 1996 de la Sala Tercera del Tribunal Supremo, que inadmite recurso de casación para unificación de doctrina número 4.211/96.</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Los hechos que fundamentan la demanda de amparo, brevemente expuestos, son los siguientes: </w:t>
      </w:r>
    </w:p>
    <w:p w:rsidR="00B01F4A" w:rsidRDefault="00B01F4A" w:rsidP="00B01F4A">
      <w:pPr>
        <w:pStyle w:val="TextoNormal"/>
      </w:pPr>
      <w:r>
        <w:t xml:space="preserve">a) El demandante de amparo interpuso recurso extraordinario de casación para unificación de doctrina frente a la Sentencia de 29 de abril de 1996 de la Sala de lo Contencioso-Administrativo, con sede en Granada, del Tribunal Superior de Justicia de Andalucía, por la cual se desestimaba el recurso contencioso-administrativo que en su día interpuso frente a liquidación correspondiente al impuesto sobre el incremento de valor de los terrenos girada por el Ayuntamiento de Úbeda. </w:t>
      </w:r>
    </w:p>
    <w:p w:rsidR="00B01F4A" w:rsidRDefault="00B01F4A" w:rsidP="00B01F4A">
      <w:pPr>
        <w:pStyle w:val="TextoNormal"/>
      </w:pPr>
      <w:r>
        <w:t>b) El referido recurso fue inadmitido en virtud del Auto ahora recurrido por incumplir el escrito de preparación los requisitos exigidos por el art. 102.a.4 L.J.C.A., lo que legalmente acarrea tal efecto, de conformidad con el art. 100.3 de dicha Ley.</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En la demanda se alega vulneración del art. 24 de la Constitución, al habérsele generado indefensión, según alega, por la asunción de un criterio de «estrictísimo» formalismo en la admisión del recurso, aparejando al defecto apreciado unas consecuencias desproporcionadas. </w:t>
      </w:r>
    </w:p>
    <w:p w:rsidR="00B01F4A" w:rsidRDefault="00B01F4A" w:rsidP="00B01F4A">
      <w:pPr>
        <w:pStyle w:val="TextoNormal"/>
      </w:pPr>
      <w:r>
        <w:t>Mediante otrosí se solicita la suspensión de la ejecución del Auto impugnado, expresando que de la misma se podrían derivar perjuicios de difícil reparación.</w:t>
      </w:r>
    </w:p>
    <w:p w:rsidR="00B01F4A" w:rsidRDefault="00B01F4A" w:rsidP="00B01F4A">
      <w:pPr>
        <w:pStyle w:val="TextoNormal"/>
      </w:pPr>
    </w:p>
    <w:p w:rsidR="00B01F4A" w:rsidRDefault="00B01F4A" w:rsidP="00B01F4A">
      <w:pPr>
        <w:pStyle w:val="TextoNormal"/>
      </w:pPr>
      <w:r w:rsidRPr="00B01F4A">
        <w:rPr>
          <w:rStyle w:val="NumeroAFNegritaCaracter"/>
        </w:rPr>
        <w:t>4</w:t>
      </w:r>
      <w:r>
        <w:t xml:space="preserve">. Mediante providencia de 24 de febrero de 1997, la Sección Segunda de este Tribunal acordó admitir a trámite la demanda de amparo y, a tenor de lo dispuesto en el art. 51 LOTC, requerir a los órganos judiciales que conocieron del asunto para que remitan testimonio de </w:t>
      </w:r>
      <w:r>
        <w:lastRenderedPageBreak/>
        <w:t>las actuaciones, interesando asimismo el emplazamiento de cuantos fueron parte en el proceso judicial antecedente, excepto el recurrente de amparo.</w:t>
      </w:r>
    </w:p>
    <w:p w:rsidR="00B01F4A" w:rsidRDefault="00B01F4A" w:rsidP="00B01F4A">
      <w:pPr>
        <w:pStyle w:val="TextoNormal"/>
      </w:pPr>
    </w:p>
    <w:p w:rsidR="00B01F4A" w:rsidRDefault="00B01F4A" w:rsidP="00B01F4A">
      <w:pPr>
        <w:pStyle w:val="TextoNormal"/>
      </w:pPr>
      <w:r w:rsidRPr="00B01F4A">
        <w:rPr>
          <w:rStyle w:val="NumeroAFNegritaCaracter"/>
        </w:rPr>
        <w:t>5</w:t>
      </w:r>
      <w:r>
        <w:t>. Por otra providencia de esa misma fecha, se acordó tener por formada la pieza de suspensión y, a tenor de lo dispuesto en el art. 56 de la LOTC, conceder un plazo de tres días al Ministerio Fiscal y al solicitante del amparo para que formulen las alegaciones que estimen pertinentes sobre la suspensión solicitada.</w:t>
      </w:r>
    </w:p>
    <w:p w:rsidR="00B01F4A" w:rsidRDefault="00B01F4A" w:rsidP="00B01F4A">
      <w:pPr>
        <w:pStyle w:val="TextoNormal"/>
      </w:pPr>
    </w:p>
    <w:p w:rsidR="00B01F4A" w:rsidRDefault="00B01F4A" w:rsidP="00B01F4A">
      <w:pPr>
        <w:pStyle w:val="TextoNormal"/>
      </w:pPr>
      <w:r w:rsidRPr="00B01F4A">
        <w:rPr>
          <w:rStyle w:val="NumeroAFNegritaCaracter"/>
        </w:rPr>
        <w:t>6</w:t>
      </w:r>
      <w:r>
        <w:t>. Por escrito presentado el 11 de marzo de 1997, el Fiscal interesó la no suspensión de la resolución impugnada, por cuanto el demandante de amparo se ha limitado a invocar la existencia de un perjuicio de difícil reparación, pero sin aportar la más mínima explicación o razonamiento sobre tal extremo, lo que es una carga que pesa sobre él; por otra parte, recuerda que se trata de un acto negativo la inadmisión de un recurso, siendo así que ya la propia admisión a trámite del recurso de amparo tiene la eficacia de mantener el status quo jurídico hasta que se resuelva sobre su otorgamiento. Por último razona acerca de que, en ningún caso, podría extenderse la suspensión a la Sentencia frente a la que se interpuso la casación para unificación de doctrina, dado que no es objeto de impugnación en este proceso y que, en última instancia, se trata de una resolución de consecuencias exclusivamente económicas.</w:t>
      </w:r>
    </w:p>
    <w:p w:rsidR="00B01F4A" w:rsidRDefault="00B01F4A" w:rsidP="00B01F4A">
      <w:pPr>
        <w:pStyle w:val="TextoNormal"/>
      </w:pPr>
    </w:p>
    <w:p w:rsidR="00B01F4A" w:rsidRDefault="00B01F4A" w:rsidP="00B01F4A">
      <w:pPr>
        <w:pStyle w:val="TextoNormal"/>
      </w:pPr>
      <w:r w:rsidRPr="00B01F4A">
        <w:rPr>
          <w:rStyle w:val="NumeroAFNegritaCaracter"/>
        </w:rPr>
        <w:t>7</w:t>
      </w:r>
      <w:r>
        <w:t>. Según se hace constar en diligencia de 13 de marzo de 1997, el demandante de amparo no ha evacuado el trámite conferido en esta pieza.</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De conformidad con el art. 56 LOTC, procede la suspensión del acto de los poderes públicos por razón del cual se reclame el amparo constitucional cuando la ejecución hubiere de ocasionar un perjuicio que haría perder al amparo su finalidad.</w:t>
      </w:r>
    </w:p>
    <w:p w:rsidR="00B01F4A" w:rsidRDefault="00B01F4A" w:rsidP="00B01F4A">
      <w:pPr>
        <w:pStyle w:val="TextoNormal"/>
      </w:pPr>
      <w:r>
        <w:t>No obstante, podrá denegarse cuando de ella pueda seguirse perturbación grave de los intereses generales, o de los derechos fundamentales o libertades públicas de un tercero.</w:t>
      </w:r>
    </w:p>
    <w:p w:rsidR="00B01F4A" w:rsidRDefault="00B01F4A" w:rsidP="00B01F4A">
      <w:pPr>
        <w:pStyle w:val="TextoNormal"/>
      </w:pPr>
      <w:r>
        <w:t>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aún en este caso, condicionado a que la suspensión no produzca las perturbaciones aludidas en el mismo» (ATC 35/1996). Para justificar la suspensión no es suficiente cualquier tipo de perjuicio, molestia o dificultad, por lo que se ha estimado que, como las resoluciones judiciales con efectos meramente económicos, en principio, no causan ningún perjuicio irreparable, no procede su suspensión (ATC 275/1990).</w:t>
      </w:r>
    </w:p>
    <w:p w:rsidR="00B01F4A" w:rsidRDefault="00B01F4A" w:rsidP="00B01F4A">
      <w:pPr>
        <w:pStyle w:val="TextoNormal"/>
      </w:pPr>
      <w:r>
        <w:t>Junto a ello, debe tenerse en cuenta que el interés general ínsito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00B01F4A" w:rsidRDefault="00B01F4A" w:rsidP="00B01F4A">
      <w:pPr>
        <w:pStyle w:val="TextoNormal"/>
      </w:pPr>
    </w:p>
    <w:p w:rsidR="00B01F4A" w:rsidRDefault="00B01F4A" w:rsidP="00B01F4A">
      <w:pPr>
        <w:pStyle w:val="TextoNormal"/>
      </w:pPr>
      <w:r w:rsidRPr="00B01F4A">
        <w:rPr>
          <w:rStyle w:val="NumeroAFNegritaCaracter"/>
        </w:rPr>
        <w:t>2</w:t>
      </w:r>
      <w:r>
        <w:t>. La aplicación de la doctrina anteriormente expuesta al presente caso debe conducir a la desestimación de la solicitud de suspensión, toda vez que no se aprecia que la inadmisión que se combate cause ningún perjuicio que pueda comprometer la finalidad del presente proceso constitucional, siendo. por lo demás evidente que, caso de prosperar el amparo, no existirá ningún impedimento para la tramitación y resolución del recurso extraordinario de casación para unificación de doctrina con cuya admisión se restablecería al recurrente en la integridad del derecho que dice vulnerado.</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lo expuesto, la Sala acuerda denegar la suspensión solicitada.</w:t>
      </w:r>
    </w:p>
    <w:p w:rsidR="00B01F4A" w:rsidRDefault="00B01F4A" w:rsidP="00B01F4A">
      <w:pPr>
        <w:pStyle w:val="TextoNormal"/>
      </w:pPr>
    </w:p>
    <w:p w:rsidR="00B01F4A" w:rsidRDefault="00B01F4A" w:rsidP="00B01F4A">
      <w:pPr>
        <w:pStyle w:val="TextoNormal"/>
      </w:pPr>
      <w:r>
        <w:t>Madrid, a siete de abril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93" w:name="AUTO_1997_103"/>
      <w:r>
        <w:lastRenderedPageBreak/>
        <w:t>AUTO 103/1997, de 8 de abril de 1997</w:t>
      </w:r>
    </w:p>
    <w:bookmarkEnd w:id="193"/>
    <w:p w:rsidR="00B01F4A" w:rsidRDefault="00B01F4A" w:rsidP="00B01F4A">
      <w:pPr>
        <w:pStyle w:val="TtuloResolucin"/>
      </w:pPr>
      <w:r>
        <w:t>Pleno</w:t>
      </w:r>
    </w:p>
    <w:p w:rsidR="00B01F4A" w:rsidRDefault="00B01F4A" w:rsidP="00B01F4A">
      <w:pPr>
        <w:pStyle w:val="TtuloResolucin"/>
      </w:pPr>
    </w:p>
    <w:p w:rsidR="00B01F4A" w:rsidRDefault="00B01F4A" w:rsidP="00B01F4A">
      <w:pPr>
        <w:pStyle w:val="SntesisDescriptiva"/>
      </w:pPr>
      <w:r>
        <w:t>ECLI:ES:TC:1997:103A</w:t>
      </w:r>
    </w:p>
    <w:p w:rsidR="00B01F4A" w:rsidRDefault="00B01F4A" w:rsidP="00B01F4A">
      <w:pPr>
        <w:pStyle w:val="SntesisDescriptiva"/>
      </w:pPr>
    </w:p>
    <w:p w:rsidR="00B01F4A" w:rsidRDefault="00B01F4A" w:rsidP="00B01F4A">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B01F4A" w:rsidRDefault="00B01F4A" w:rsidP="00B01F4A">
      <w:pPr>
        <w:pStyle w:val="SntesisDescriptiva"/>
      </w:pPr>
    </w:p>
    <w:p w:rsidR="00B01F4A" w:rsidRDefault="00B01F4A" w:rsidP="00B01F4A">
      <w:pPr>
        <w:pStyle w:val="SntesisDescriptiva"/>
      </w:pPr>
      <w:r>
        <w:t>Acordanto la extinción del proceso, por desaparición sobrevenida del objeto, en el recurso de inconstitucionalidad 2.986/1995</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xml:space="preserve">. El Abogado del Estado, mediante escrito presentado en este Tribunal el 12 de agosto de 1995, interpuso, en representación del Presidente del Gobierno, recurso de inconstitucionalidad contra los arts. 1, apartado 1; 2, apartado 2; y 20 apartados 1 y 2, de la Ley de la Asamblea de Extremadura 4/1995, de 20 de abril, del Crédito Cooperativo. </w:t>
      </w:r>
    </w:p>
    <w:p w:rsidR="00B01F4A" w:rsidRDefault="00B01F4A" w:rsidP="00B01F4A">
      <w:pPr>
        <w:pStyle w:val="TextoNormal"/>
      </w:pPr>
      <w:r>
        <w:t>Se hizo constar en el escrito la invocación expresa por el Gobierno el art. 161.2 de la Constitución a los efectos de que se acordase la suspensión de la vigencia y aplicación de los preceptos impugnados.</w:t>
      </w:r>
    </w:p>
    <w:p w:rsidR="00B01F4A" w:rsidRDefault="00B01F4A" w:rsidP="00B01F4A">
      <w:pPr>
        <w:pStyle w:val="TextoNormal"/>
      </w:pPr>
    </w:p>
    <w:p w:rsidR="00B01F4A" w:rsidRDefault="00B01F4A" w:rsidP="00B01F4A">
      <w:pPr>
        <w:pStyle w:val="TextoNormal"/>
      </w:pPr>
      <w:r w:rsidRPr="00B01F4A">
        <w:rPr>
          <w:rStyle w:val="NumeroAFNegritaCaracter"/>
        </w:rPr>
        <w:t>2</w:t>
      </w:r>
      <w:r>
        <w:t>. La Sección de Vacaciones, en providencia dictada el 18 de agosto siguiente, acordó la admisión a trámite del recurso de inconstitucionalidad promovido, dándose traslado de la demanda y documentos presentados, conforme establece el art. 34 LOTC, para que los legitimados pudieran personarse en el proceso y formular alegaciones. Asimismo, habiéndose invocado el art. 161.2 C.E., se dispuso la suspensión de la vigencia y aplicación de los preceptos impugnado, desde la fecha de interposición del recurso para las partes legitimadas y desde la publicación del correspondiente edicto en el «Boletín Oficial del Estado» para los terceros.</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Dentro del plazo conferido en la providencia anterior, compareció en el proceso la Junta de Extremadura, que formula alegaciones en solicitud de que en su día dicte el Tribunal Sentencia por la que se declare la constitucionalidad de los preceptos impugnados. </w:t>
      </w:r>
    </w:p>
    <w:p w:rsidR="00B01F4A" w:rsidRDefault="00B01F4A" w:rsidP="00B01F4A">
      <w:pPr>
        <w:pStyle w:val="TextoNormal"/>
      </w:pPr>
      <w:r>
        <w:t>En otrosí al citado escrito de personación y alegaciones, manifiesta la Junta de Extremadura que a pesar de haberse recurrido la totalidad del párrafo primero del art. 1, tan sólo respecto del segundo inciso del citado art. 1 se formulan alegaciones por parte de la representación del Gobierno de la Nación y que en cuanto al art. 2.2 recurrido, los reparos constitucionales solamente se dirigen en relación a la abreviatura utilizada para las cooperativas de crédito. Solicita, en consecuencia, se concrete y circunscriba el alcance de la suspensión acordada y limitándose en los términos señalados.</w:t>
      </w:r>
    </w:p>
    <w:p w:rsidR="00B01F4A" w:rsidRDefault="00B01F4A" w:rsidP="00B01F4A">
      <w:pPr>
        <w:pStyle w:val="TextoNormal"/>
      </w:pPr>
    </w:p>
    <w:p w:rsidR="00B01F4A" w:rsidRDefault="00B01F4A" w:rsidP="00B01F4A">
      <w:pPr>
        <w:pStyle w:val="TextoNormal"/>
      </w:pPr>
      <w:r w:rsidRPr="00B01F4A">
        <w:rPr>
          <w:rStyle w:val="NumeroAFNegritaCaracter"/>
        </w:rPr>
        <w:t>4</w:t>
      </w:r>
      <w:r>
        <w:t>. Previa audiencia de las partes, se acordó, en resolución dictada el 24 de octubre de 1995, acceder a la solicitud formulada por la Junta de Extremadura, disponiéndose que el alcance de la suspensión de la vigencia de los preceptos recurridos, publicada en el «Boletín Oficial del Estado», en lo que se refiere al apartado 1 del art. 1 y apartado 2 del art. 2, se circunscribirá al inciso segundo de dicho apartado 1 y a la expresión «su abreviatura Coop. de Cred.» del art. 2.2, lo que se publicó en el «Boletín Oficial del Estado» y en el «Diario Oficial de Extremadura».</w:t>
      </w:r>
    </w:p>
    <w:p w:rsidR="00B01F4A" w:rsidRDefault="00B01F4A" w:rsidP="00B01F4A">
      <w:pPr>
        <w:pStyle w:val="TextoNormal"/>
      </w:pPr>
    </w:p>
    <w:p w:rsidR="00B01F4A" w:rsidRDefault="00B01F4A" w:rsidP="00B01F4A">
      <w:pPr>
        <w:pStyle w:val="TextoNormal"/>
      </w:pPr>
      <w:r w:rsidRPr="00B01F4A">
        <w:rPr>
          <w:rStyle w:val="NumeroAFNegritaCaracter"/>
        </w:rPr>
        <w:t>5</w:t>
      </w:r>
      <w:r>
        <w:t>. La Asamblea de Extremadura, en escrito recibido dentro del plazo conferido en la providencia de admisión a trámite, se personó en el proceso al objeto de adquirir la condición de parte procesal y ser notificado en todas las actuaciones que se dicten, y pone a disposición del Tribunal los antecedentes parlamentarios obrante en la Cámara.</w:t>
      </w:r>
    </w:p>
    <w:p w:rsidR="00B01F4A" w:rsidRDefault="00B01F4A" w:rsidP="00B01F4A">
      <w:pPr>
        <w:pStyle w:val="TextoNormal"/>
      </w:pPr>
    </w:p>
    <w:p w:rsidR="00B01F4A" w:rsidRDefault="00B01F4A" w:rsidP="00B01F4A">
      <w:pPr>
        <w:pStyle w:val="TextoNormal"/>
      </w:pPr>
      <w:r w:rsidRPr="00B01F4A">
        <w:rPr>
          <w:rStyle w:val="NumeroAFNegritaCaracter"/>
        </w:rPr>
        <w:t>6</w:t>
      </w:r>
      <w:r>
        <w:t>. La Sección Tercera, mediante providencia de 27 de noviembre de 1995, acordó oír a las partes personadas para que pudieran alegar lo procedente acerca del mantenimiento o levantamiento de la suspensión acordada.</w:t>
      </w:r>
    </w:p>
    <w:p w:rsidR="00B01F4A" w:rsidRDefault="00B01F4A" w:rsidP="00B01F4A">
      <w:pPr>
        <w:pStyle w:val="TextoNormal"/>
      </w:pPr>
    </w:p>
    <w:p w:rsidR="00B01F4A" w:rsidRDefault="00B01F4A" w:rsidP="00B01F4A">
      <w:pPr>
        <w:pStyle w:val="TextoNormal"/>
      </w:pPr>
      <w:r w:rsidRPr="00B01F4A">
        <w:rPr>
          <w:rStyle w:val="NumeroAFNegritaCaracter"/>
        </w:rPr>
        <w:t>7</w:t>
      </w:r>
      <w:r>
        <w:t>. El Abogado del Estado, en escrito presentado el 4 de diciembre de 1995, cumplimentó la audiencia conferida y solicitó se mantuviese la suspensión, a cuyo efecto formuló las alegaciones que constan en el escrito.</w:t>
      </w:r>
    </w:p>
    <w:p w:rsidR="00B01F4A" w:rsidRDefault="00B01F4A" w:rsidP="00B01F4A">
      <w:pPr>
        <w:pStyle w:val="TextoNormal"/>
      </w:pPr>
    </w:p>
    <w:p w:rsidR="00B01F4A" w:rsidRDefault="00B01F4A" w:rsidP="00B01F4A">
      <w:pPr>
        <w:pStyle w:val="TextoNormal"/>
      </w:pPr>
      <w:r w:rsidRPr="00B01F4A">
        <w:rPr>
          <w:rStyle w:val="NumeroAFNegritaCaracter"/>
        </w:rPr>
        <w:t>8</w:t>
      </w:r>
      <w:r>
        <w:t>. El Letrado de la Asamblea de Extremadura, en escrito que se recibe el 11 de diciembre de 1995, cumplimentó la audiencia conferida y solicitó que se levantase la suspensión cautelar de los artículos objeto de este recurso de inconstitucionalidad.</w:t>
      </w:r>
    </w:p>
    <w:p w:rsidR="00B01F4A" w:rsidRDefault="00B01F4A" w:rsidP="00B01F4A">
      <w:pPr>
        <w:pStyle w:val="TextoNormal"/>
      </w:pPr>
    </w:p>
    <w:p w:rsidR="00B01F4A" w:rsidRDefault="00B01F4A" w:rsidP="00B01F4A">
      <w:pPr>
        <w:pStyle w:val="TextoNormal"/>
      </w:pPr>
      <w:r w:rsidRPr="00B01F4A">
        <w:rPr>
          <w:rStyle w:val="NumeroAFNegritaCaracter"/>
        </w:rPr>
        <w:t>9</w:t>
      </w:r>
      <w:r>
        <w:t>. Por escrito registrado el 13 de diciembre de 1995, el Letrado de la Junta de Extremadura solicitó el levantamiento íntegro de la suspensión en virtud de las alegaciones que en aquél se exponen.</w:t>
      </w:r>
    </w:p>
    <w:p w:rsidR="00B01F4A" w:rsidRDefault="00B01F4A" w:rsidP="00B01F4A">
      <w:pPr>
        <w:pStyle w:val="TextoNormal"/>
      </w:pPr>
    </w:p>
    <w:p w:rsidR="00B01F4A" w:rsidRDefault="00B01F4A" w:rsidP="00B01F4A">
      <w:pPr>
        <w:pStyle w:val="TextoNormal"/>
      </w:pPr>
      <w:r w:rsidRPr="00B01F4A">
        <w:rPr>
          <w:rStyle w:val="NumeroAFNegritaCaracter"/>
        </w:rPr>
        <w:t>10</w:t>
      </w:r>
      <w:r>
        <w:t>. Por Auto de 30 de enero de 1996 se acordó levantar la suspensión del art. 2.2 de la Ley de la Asamblea de Extremadura 4/1995, de 20 de abril, de Crédito Cooperativo y mantener la suspensión de los arts. 1. 1, segundo inciso, y 20, apartados 1 y 2, de la citada Ley.</w:t>
      </w:r>
    </w:p>
    <w:p w:rsidR="00B01F4A" w:rsidRDefault="00B01F4A" w:rsidP="00B01F4A">
      <w:pPr>
        <w:pStyle w:val="TextoNormal"/>
      </w:pPr>
    </w:p>
    <w:p w:rsidR="00B01F4A" w:rsidRDefault="00B01F4A" w:rsidP="00B01F4A">
      <w:pPr>
        <w:pStyle w:val="TextoNormal"/>
      </w:pPr>
      <w:r w:rsidRPr="00B01F4A">
        <w:rPr>
          <w:rStyle w:val="NumeroAFNegritaCaracter"/>
        </w:rPr>
        <w:t>11</w:t>
      </w:r>
      <w:r>
        <w:t xml:space="preserve">. El Abogado del Estado, en escrito que se recibe el 14 de febrero de 1997, manifiesta que ante la publicación de la Ley 2/96, de 30 de mayo, de la Asamblea de Extremadura, que en su art. único deroga la Ley 4/95, objeto del presente procedimiento, sin que suponga la disponibilidad de la acción de inconstitucionalidad en su día ejercitada, somete al Tribunal la posibilidad de dar lugar al trámite del art. 84 de la Ley Orgánica del Tribunal Constitucional, por si dicha derogación pudiera haber dejado sin objeto el presente recurso por los siguientes motivos: </w:t>
      </w:r>
    </w:p>
    <w:p w:rsidR="00B01F4A" w:rsidRDefault="00B01F4A" w:rsidP="00B01F4A">
      <w:pPr>
        <w:pStyle w:val="TextoNormal"/>
      </w:pPr>
      <w:r>
        <w:t xml:space="preserve">El recurso de inconstitucionalidad se dirigió contra los arts. 1.l, 2.2 y 20.1 y 2 de la Ley 4/95, de 20 de abril, del Crédito Cooperativo de la Comunidad Autónoma de Extremadura. Con independencia de las razones que lo fundaron resulta que la Asamblea de Extremadura ha publicado la Ley 2/1996, que en su art. único ha establecido su derogación total, afirmando en su exposición de motivos que la misma era consecuencia del presente recurso y </w:t>
      </w:r>
      <w:r>
        <w:lastRenderedPageBreak/>
        <w:t xml:space="preserve">de la improcedencia del contenido de aquella norma. Dado que no se ha dictado una nueva regulación sobre la materia y que, por lo tanto, hoy no existe en vigor ninguna disposición vigente que justifique el mantenimiento de esta acción de inconstitucionalidad, no parece procedente su continuación. </w:t>
      </w:r>
    </w:p>
    <w:p w:rsidR="00B01F4A" w:rsidRDefault="00B01F4A" w:rsidP="00B01F4A">
      <w:pPr>
        <w:pStyle w:val="TextoNormal"/>
      </w:pPr>
      <w:r>
        <w:t xml:space="preserve">Añade que, siendo manifiesto que al desaparecer la norma contra la que se dirigía el recurso de inconstitucionalidad desaparece su objeto, considera oportuna la aplicación de la doctrina contenida, entre otros, en el Auto de 20 de mayo de 1991, dictado en el recurso de inconstitucionalidad 775/85, que establece que es procedente dar por terminado el recurso por falta de objeto derivado de un cambio legislativo sobrevenido; siendo este. caso, si cabe, más evidente que el resuelto en el Auto citado, pues la norma jurídica recurrida ha desparecido del Ordenamiento jurídico. </w:t>
      </w:r>
    </w:p>
    <w:p w:rsidR="00B01F4A" w:rsidRDefault="00B01F4A" w:rsidP="00B01F4A">
      <w:pPr>
        <w:pStyle w:val="TextoNormal"/>
      </w:pPr>
      <w:r>
        <w:t>Solicita, en consecuencia, la representación del Gobierno, que el Tribunal dicte resolución por la que se de el trámite previsto en el art. 84 de la LOTC sobre la desaparición del objeto por la derogación de la norma recurrida.</w:t>
      </w:r>
    </w:p>
    <w:p w:rsidR="00B01F4A" w:rsidRDefault="00B01F4A" w:rsidP="00B01F4A">
      <w:pPr>
        <w:pStyle w:val="TextoNormal"/>
      </w:pPr>
    </w:p>
    <w:p w:rsidR="00B01F4A" w:rsidRDefault="00B01F4A" w:rsidP="00B01F4A">
      <w:pPr>
        <w:pStyle w:val="TextoNormal"/>
      </w:pPr>
      <w:r w:rsidRPr="00B01F4A">
        <w:rPr>
          <w:rStyle w:val="NumeroAFNegritaCaracter"/>
        </w:rPr>
        <w:t>12</w:t>
      </w:r>
      <w:r>
        <w:t>. Por providencia de 18 de febrero siguiente se acordó dar traslado al Consejo de Gobierno y a la Asamblea de Extremadura del escrito presentado por el Abogado del Estado para que, de conformidad con lo establecido en el art. 84 E.T.C., puedan alegar lo que estimen oportuno acerca de la desaparición del objeto del presente recurso.</w:t>
      </w:r>
    </w:p>
    <w:p w:rsidR="00B01F4A" w:rsidRDefault="00B01F4A" w:rsidP="00B01F4A">
      <w:pPr>
        <w:pStyle w:val="TextoNormal"/>
      </w:pPr>
    </w:p>
    <w:p w:rsidR="00B01F4A" w:rsidRDefault="00B01F4A" w:rsidP="00B01F4A">
      <w:pPr>
        <w:pStyle w:val="TextoNormal"/>
      </w:pPr>
      <w:r w:rsidRPr="00B01F4A">
        <w:rPr>
          <w:rStyle w:val="NumeroAFNegritaCaracter"/>
        </w:rPr>
        <w:t>13</w:t>
      </w:r>
      <w:r>
        <w:t>. La Asamblea de Extremadura, en escrito de 3 de marzo de 1997, manifiesta, conforme al trámite acordado en virtud de lo previsto en el art. 84 LOTC, que la Ley objeto del recurso de inconstitucionalidad ha sido derogada por la Ley 2/1996, afirmándose en su exposición de motivos que entre las razones que originan la derogación está el recurso de inconstitucionalidad interpuesto por la Presidencia del Gobierno contra determinados artículos de la Ley 4/1995.</w:t>
      </w:r>
    </w:p>
    <w:p w:rsidR="00B01F4A" w:rsidRDefault="00B01F4A" w:rsidP="00B01F4A">
      <w:pPr>
        <w:pStyle w:val="TextoNormal"/>
      </w:pPr>
    </w:p>
    <w:p w:rsidR="00B01F4A" w:rsidRDefault="00B01F4A" w:rsidP="00B01F4A">
      <w:pPr>
        <w:pStyle w:val="TextoNormal"/>
      </w:pPr>
      <w:r w:rsidRPr="00B01F4A">
        <w:rPr>
          <w:rStyle w:val="NumeroAFNegritaCaracter"/>
        </w:rPr>
        <w:t>14</w:t>
      </w:r>
      <w:r>
        <w:t>. La Junta de Extremadura no ha formulado alegaciones en el trámite abierto con la providencia de 18 de febrero, a la que se hace referencia anteriormente.</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Aunque la LOTC no prevé de modo expreso la terminación del proceso en virtud de la llamada satisfacción extraprocesal de la pretensión, lo cierto es que este Tribunal ha considerado en otras ocasiones aplicable esa figura a los procesos constitucionales (AATC 49/1981, 165/1982, 349/1985, y 146/1991). Ello hace que en este caso no sea necesario entrar en la cuestión de si los escritos formulados por las partes, el del Abogado del Estado solicitando la terminación del recurso por desaparición de su objeto, y el de la representación de la Asamblea de Extremadura que no se opone a aquella petición entrañan una renuncia a la acción o bien un desistimiento a proseguir el procedimiento o un allanamiento, con los problemas que tales figuras plantean.</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Lo cierto es que, como han señalado las partes en sus escritos, la Ley de la Asamblea de Extremadura 4/1995, de Crédito Cooperativo, ha sido derogada por la Ley 2/1996, de 30 de mayo, de dicha Asamblea. En la exposición de motivos de esta Ley 2/1996, se afirma que entre las razones que originan la derogación de la Ley 4/1995 está la existencia del </w:t>
      </w:r>
      <w:r>
        <w:lastRenderedPageBreak/>
        <w:t>recurso de inconstitucionalidad interpuesto por el Presidente del Gobierno contra determinados artículos de la misma. Resulta, pues, evidente que ha desaparecido el objeto del presente recurso de inconstitucionalidad, al haber sido derogada la Ley impugnada y haber entrado en vigor la Ley derogatoria al día siguiente de su publicación, que tuvo lugar el 16 de julio de 1996. Por otra parte, no consta que de los preceptos legales recurridos hayan derivado efectos que pudieran requerir una resolución sobre el fondo del problema planteado en el recurso ni se advierten tampoco motivos de interés constitucional que aconsejen la prosecución del proceso hasta su finalización por Sentencia.</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lo expuesto, el Pleno acuerda dar por terminado el recurso de inconstitucionalidad promovido por el Presidente del Gobierno contra los arts.  1, apartado 1; 2, apartado 2, y 20, apartados 1 y 2, de la Ley de la Asamblea de Extremadura 4/1995, de</w:t>
      </w:r>
    </w:p>
    <w:p w:rsidR="00B01F4A" w:rsidRDefault="00B01F4A" w:rsidP="00B01F4A">
      <w:pPr>
        <w:pStyle w:val="TextoNormal"/>
      </w:pPr>
      <w:r>
        <w:t>20 de abril, de Crédito Cooperativo.</w:t>
      </w:r>
    </w:p>
    <w:p w:rsidR="00B01F4A" w:rsidRDefault="00B01F4A" w:rsidP="00B01F4A">
      <w:pPr>
        <w:pStyle w:val="TextoNormal"/>
      </w:pPr>
    </w:p>
    <w:p w:rsidR="00B01F4A" w:rsidRDefault="00B01F4A" w:rsidP="00B01F4A">
      <w:pPr>
        <w:pStyle w:val="TextoNormal"/>
      </w:pPr>
      <w:r>
        <w:t>Publíquese esta Sentencia en el «Boletín Oficial del Estado».</w:t>
      </w:r>
    </w:p>
    <w:p w:rsidR="00B01F4A" w:rsidRDefault="00B01F4A" w:rsidP="00B01F4A">
      <w:pPr>
        <w:pStyle w:val="TextoNormal"/>
      </w:pPr>
      <w:r>
        <w:t>Madrid, a ocho de abril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94" w:name="AUTO_1997_104"/>
      <w:r>
        <w:lastRenderedPageBreak/>
        <w:t>AUTO 104/1997, de 8 de abril de 1997</w:t>
      </w:r>
    </w:p>
    <w:bookmarkEnd w:id="194"/>
    <w:p w:rsidR="00B01F4A" w:rsidRDefault="00B01F4A" w:rsidP="00B01F4A">
      <w:pPr>
        <w:pStyle w:val="TtuloResolucin"/>
      </w:pPr>
      <w:r>
        <w:t>Pleno</w:t>
      </w:r>
    </w:p>
    <w:p w:rsidR="00B01F4A" w:rsidRDefault="00B01F4A" w:rsidP="00B01F4A">
      <w:pPr>
        <w:pStyle w:val="TtuloResolucin"/>
      </w:pPr>
    </w:p>
    <w:p w:rsidR="00B01F4A" w:rsidRDefault="00B01F4A" w:rsidP="00B01F4A">
      <w:pPr>
        <w:pStyle w:val="SntesisDescriptiva"/>
      </w:pPr>
      <w:r>
        <w:t>ECLI:ES:TC:1997:104A</w:t>
      </w:r>
    </w:p>
    <w:p w:rsidR="00B01F4A" w:rsidRDefault="00B01F4A" w:rsidP="00B01F4A">
      <w:pPr>
        <w:pStyle w:val="SntesisDescriptiva"/>
      </w:pPr>
    </w:p>
    <w:p w:rsidR="00B01F4A" w:rsidRDefault="00B01F4A" w:rsidP="00B01F4A">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B01F4A" w:rsidRDefault="00B01F4A" w:rsidP="00B01F4A">
      <w:pPr>
        <w:pStyle w:val="SntesisDescriptiva"/>
      </w:pPr>
    </w:p>
    <w:p w:rsidR="00B01F4A" w:rsidRDefault="00B01F4A" w:rsidP="00B01F4A">
      <w:pPr>
        <w:pStyle w:val="SntesisDescriptiva"/>
      </w:pPr>
      <w:r>
        <w:t>Acordando la inadmisión a trámite de la cuestión de inconstitucionalidad 4.057/1996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11 de noviembre de 1996 tuvo entrada en el Registro de este Tribunal un escrito del titular del Juzgado de lo Penal núm. 2 de Ceuta al que se acompaña, junto al testimonio del correspondiente procedimiento, el Auto del referido Juzgado, de 10 de octubre de 1996, en el que se acuerda plantear cuestión de inconstitucionalidad en relación con los arts. 2.5 y 3.3 de la Ley 38/1988, de 28 de diciembre, de Demarcación y Planta Judicial, por su posible contradicción con los arts. 9.3, 141.1, inciso 2.º, de la C.E.; 4 de la Ley Orgánica 6/1981, de 30 de diciembre, de Estatuto de Autonomía para Andalucía, y 34, 70 y 71 de la Ley Orgánica 6/1985, de 1 de julio, del Poder Judicial.</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La cuestión trae causa del procedimiento penal abreviado seguido ante el Juzgado de lo Penal núm. 2 de Ceuta contra don Francisco Villalba Borrego y doña Mercedes Fernández Sotos por un presunto delito de robo con fuerza. </w:t>
      </w:r>
    </w:p>
    <w:p w:rsidR="00B01F4A" w:rsidRDefault="00B01F4A" w:rsidP="00B01F4A">
      <w:pPr>
        <w:pStyle w:val="TextoNormal"/>
      </w:pPr>
      <w:r>
        <w:t xml:space="preserve">Dictada Sentencia condenatoria, el Ministerio Fiscal promovió contra la misma recurso de apelación, que se tuvo por interpuesto y formulado por providencia del Juzgado de lo Penal núm. 2 de Ceuta, de 1 de junio de 1996, en la que se acordó, además, de conformidad con lo dispuesto en el art. 795.4 de la L.E.Crim., dar traslado del recurso a las partes personadas por un plazo común de diez días al objeto de su impugnación o adhesión, con remisión de las diligencias, una vez verificado el traslado a la Audiencia Provincial de Cádiz para su sustanciación. </w:t>
      </w:r>
    </w:p>
    <w:p w:rsidR="00B01F4A" w:rsidRDefault="00B01F4A" w:rsidP="00B01F4A">
      <w:pPr>
        <w:pStyle w:val="TextoNormal"/>
      </w:pPr>
      <w:r>
        <w:t>Contra la referida providencia interpuso recurso de reforma la representación procesal de doña Mercedes Fernández Soto, en el que se instaba al órgano judicial a plantear cuestión de inconstitucionalidad en relación con el art. 3.3 de la Ley 38/1988, de 28 de diciembre, de Demarcación y Planta Judicial.</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El Juzgado de lo Penal núm. 2 de Ceuta, por providencia de 31 de julio de 1996, acordó oír a las partes personadas y al Ministerio Fiscal sobre la pertinencia de plantear cuestión de inconstitucionalidad en relación con el art. «3.3 de la Ley 38/88, de 28 de diciembre, (por vulnerar) el art. 141.1 de la Constitución y los arts. 2.2, 48.1, 50 y 52 del </w:t>
      </w:r>
      <w:r>
        <w:lastRenderedPageBreak/>
        <w:t xml:space="preserve">Estatuto de Autonomía de la Comunidad Autónoma de Andalucía, aprobado por Ley Orgánica 6/81, de 30 de diciembre, siendo una aberración jurídica que una Comunidad Autónoma como la de Ceuta y Melilla dependan de una provincia de categoría inferior ... ». </w:t>
      </w:r>
    </w:p>
    <w:p w:rsidR="00B01F4A" w:rsidRDefault="00B01F4A" w:rsidP="00B01F4A">
      <w:pPr>
        <w:pStyle w:val="TextoNormal"/>
      </w:pPr>
      <w:r>
        <w:t>Evacuaron el trámite de alegaciones conferido al Ministerio Fiscal, quien se opuso al planteamiento de la cuestión de inconstitucionalidad por no ser el momento procesal oportuno, y la representación de doña Mercedes Fernández Soto, quien se ratificó en el escrito mediante el que interpuso recurso de reforma contra la providencia que acordó tener por interpuesto y formalizado el recurso de apelación promovido por el Ministerio Fiscal contra la Sentencia del Juzgado de lo Penal.</w:t>
      </w:r>
    </w:p>
    <w:p w:rsidR="00B01F4A" w:rsidRDefault="00B01F4A" w:rsidP="00B01F4A">
      <w:pPr>
        <w:pStyle w:val="TextoNormal"/>
      </w:pPr>
    </w:p>
    <w:p w:rsidR="00B01F4A" w:rsidRDefault="00B01F4A" w:rsidP="00B01F4A">
      <w:pPr>
        <w:pStyle w:val="TextoNormal"/>
      </w:pPr>
      <w:r w:rsidRPr="00B01F4A">
        <w:rPr>
          <w:rStyle w:val="NumeroAFNegritaCaracter"/>
        </w:rPr>
        <w:t>4</w:t>
      </w:r>
      <w:r>
        <w:t xml:space="preserve">. En la fundamentación del Auto de planteamiento el órgano judicial proponente realiza, en síntesis, las siguientes consideraciones: </w:t>
      </w:r>
    </w:p>
    <w:p w:rsidR="00B01F4A" w:rsidRDefault="00B01F4A" w:rsidP="00B01F4A">
      <w:pPr>
        <w:pStyle w:val="TextoNormal"/>
      </w:pPr>
      <w:r>
        <w:t xml:space="preserve">a) Comienza por referirse a la opinión del Ministerio Fiscal de que no es el momento procesal oportuno para plantear la cuestión de inconstitucionalidad, señalando al respecto que aquélla se basa en una interpretación restrictiva del art. 35 de la LOTC, al restringir la expresión legal «fallo» a la Sentencia de primera instancia, la cual no resulta acorde sobre todo con el art. 5.2 de la Ley Orgánica 6/1985, de 1 de julio, del Poder Judicial (L.O.P.J.), ya que lo que está en juego es la competencia de la Audiencia Provincial de Cádiz para conocer del recurso de apelación. </w:t>
      </w:r>
    </w:p>
    <w:p w:rsidR="00B01F4A" w:rsidRDefault="00B01F4A" w:rsidP="00B01F4A">
      <w:pPr>
        <w:pStyle w:val="TextoNormal"/>
      </w:pPr>
      <w:r>
        <w:t xml:space="preserve">b) En cuanto a la cuestión de fondo suscitada, recuerda que los arts. 2, 4, 48.1, 50 y 52 de la Ley Orgánica 6/1981, de 30 de diciembre, de Estatuto de Autonomía para Andalucía (E.A.A.) no incluyen a las ciudades de Ceuta y Melilla en el ámbito territorial de la Comunidad Autónoma, y que el art. 34 de la L.O.P.J. establece que «la Comunidad Autónoma será el ámbito territorial de los Tribunales Superiores de Justicia», por lo que es «una aberración jurídica que una Comunidad Autónoma dependa y esté, gobernada por una provincia andaluza». Circunstancia que también vulnera la previsión del art. 70 de la L.O.P.J. al disponer que «el Tribunal Superior de Justicia de la Comunidad Autónoma culminará la organización judicial en el ámbito territorial de aquélla, sin perjuicio de la jurisdicción que corresponde al Tribunal Supremo», así como su art. 71 al prever que el Tribunal Superior de Justicia tomará el nombre de la Comunidad Autónoma y extenderá su jurisdicción al ámbito territorial de ésta. </w:t>
      </w:r>
    </w:p>
    <w:p w:rsidR="00B01F4A" w:rsidRDefault="00B01F4A" w:rsidP="00B01F4A">
      <w:pPr>
        <w:pStyle w:val="TextoNormal"/>
      </w:pPr>
      <w:r>
        <w:t>Los preceptos legales cuestionados, en opinión del órgano promotor, infringen los principios de legalidad y jerarquía normativa (art. 9.3 C.E.), por contradecir otras normas de rango superior, y los arts. 141.1, inciso 2.º, de la C.E. y 4 del Estatuto de Autonomía para Andalucía, que establecen que cualquier alteración de los límites provinciales deberá ser aprobada por las Cortes Generales mediante Ley Orgánica, en cuanto aquellos prevén que a efectos de la demarcación judicial las ciudades de Ceuta y Melilla quedan integradas en la circunscripción territorial del Tribunal Superior de Justicia de Andalucía y en la de las Audiencias Provinciales de Cádiz y Málaga, respectivamente.</w:t>
      </w:r>
    </w:p>
    <w:p w:rsidR="00B01F4A" w:rsidRDefault="00B01F4A" w:rsidP="00B01F4A">
      <w:pPr>
        <w:pStyle w:val="TextoNormal"/>
      </w:pPr>
    </w:p>
    <w:p w:rsidR="00B01F4A" w:rsidRDefault="00B01F4A" w:rsidP="00B01F4A">
      <w:pPr>
        <w:pStyle w:val="TextoNormal"/>
      </w:pPr>
      <w:r w:rsidRPr="00B01F4A">
        <w:rPr>
          <w:rStyle w:val="NumeroAFNegritaCaracter"/>
        </w:rPr>
        <w:t>5</w:t>
      </w:r>
      <w:r>
        <w:t>. La Sección Cuarta de este Tribunal, por providencia de 28 de enero de 1997, acordó oír al Fiscal General del Estado para que, en el plazo de diez días y a los efectos que determina el art. 37.1 de la LOTC, alegase lo que estimare oportuno acerca de la admisibilidad de la cuestión de inconstitucionalidad por poder resultar notoriamente infundada.</w:t>
      </w:r>
    </w:p>
    <w:p w:rsidR="00B01F4A" w:rsidRDefault="00B01F4A" w:rsidP="00B01F4A">
      <w:pPr>
        <w:pStyle w:val="TextoNormal"/>
      </w:pPr>
    </w:p>
    <w:p w:rsidR="00B01F4A" w:rsidRDefault="00B01F4A" w:rsidP="00B01F4A">
      <w:pPr>
        <w:pStyle w:val="TextoNormal"/>
      </w:pPr>
      <w:r w:rsidRPr="00B01F4A">
        <w:rPr>
          <w:rStyle w:val="NumeroAFNegritaCaracter"/>
        </w:rPr>
        <w:t>6</w:t>
      </w:r>
      <w:r>
        <w:t xml:space="preserve">. El Fiscal General del Estado evacuó el trámite de alegaciones conferido mediante escrito registrado con fecha 5 de marzo de 1997, en el que interesa la inadmisión a trámite </w:t>
      </w:r>
      <w:r>
        <w:lastRenderedPageBreak/>
        <w:t xml:space="preserve">de la presente cuestión de inconstitucionalidad por ser notoriamente infundada (art. 37.1 LOTC). </w:t>
      </w:r>
    </w:p>
    <w:p w:rsidR="00B01F4A" w:rsidRDefault="00B01F4A" w:rsidP="00B01F4A">
      <w:pPr>
        <w:pStyle w:val="TextoNormal"/>
      </w:pPr>
      <w:r>
        <w:t xml:space="preserve">En su opinión debe de partirse, para analizar los preceptos cuestionados, de una valoración objetiva del Estatuto de Autonomía de la ciudad de Ceuta, que es estrictamente municipal (art. 144 b) C.E.), y, por lo que aquí importa, a diferencia de los demás Estatutos de Autonomía, no contiene previsión alguna acerca de la Administración de Justicia, su configuración orgánica y competencia. Aspectos que quedan, por consiguiente, sujetos a la legislación del Estado tanto por imperativo del art. 149.3 de la C.E., cuanto por el tenor de la disposición adicional primera del Estatuto de Autonomía de la Ciudad de Ceuta, al establecer que «en lo no previsto en el presente Estatuto... será de aplicación la legislación del Estado». </w:t>
      </w:r>
    </w:p>
    <w:p w:rsidR="00B01F4A" w:rsidRDefault="00B01F4A" w:rsidP="00B01F4A">
      <w:pPr>
        <w:pStyle w:val="TextoNormal"/>
      </w:pPr>
      <w:r>
        <w:t xml:space="preserve">Por otra parte, ha de tenerse en cuenta que el art. 34 de la L.O.P.J. -que podría ofrecer una apariencia de contradicción más clara con los preceptos cuestionados al disponer la identidad de los ámbitos territoriales de la Comunidad Autónoma y del Tribunal Superior de Justicia- viene complementado, como los que le preceden, por el art. 35, que remite a la Ley en orden a la demarcación judicial y determinación de la circunscripción territorial de los órganos judiciales, estableciendo, de conformidad con el art. 152 de la C.E., un procedimiento de participación de las Comunidades Autónomas en tal demarcación, que en el caso que nos ocupa no se ha producido. Desde esta perspectiva, entiende el Fiscal General del Estado, no resultan las incongruencias que el órgano judicial plantea. </w:t>
      </w:r>
    </w:p>
    <w:p w:rsidR="00B01F4A" w:rsidRDefault="00B01F4A" w:rsidP="00B01F4A">
      <w:pPr>
        <w:pStyle w:val="TextoNormal"/>
      </w:pPr>
      <w:r>
        <w:t xml:space="preserve">Asimismo, la adscripción de la ciudad de Ceuta, a los solos efectos de demarcación judicial, de ámbito del Tribunal Superior de Justicia de Andalucía y a la Audiencia Provincial de Cádiz no se opone a los principios generales que proclaman los art. 34, 70 y 71 de la L.O.P.J. Los preceptos cuestionados no alteran la culminación de la organización judicial en el ámbito de la Comunidad Autónoma por el Tribunal Superior de Justicia (art. 70); tampoco la denominación que establece el art. 71; y, en fin, la integración de Ceuta en la Audiencia Provincial de Cádiz, a los solos efectos la demarcación judicial, no contraviene el principio general de identidad de ámbitos territoriales entre el Tribunal Superior de Justicia y la Comunidad Autónoma, sino que obedece al fin de dar solución, seguramente transitoria y desde luego razonable, a una necesidad de organización. Por análogas razones a las aducidas por este Tribunal Constitucional en el ATC 307/1990, el Fiscal General del Estado entiende que tampoco en este caso se desconoce el principio de jerarquía normativa. </w:t>
      </w:r>
    </w:p>
    <w:p w:rsidR="00B01F4A" w:rsidRDefault="00B01F4A" w:rsidP="00B01F4A">
      <w:pPr>
        <w:pStyle w:val="TextoNormal"/>
      </w:pPr>
      <w:r>
        <w:t>Finalmente, por lo que se refiere al art. 141 de la C.E., estima que la adscripción de Ceuta, a efectos de demarcación judicial exclusivamente, a la Audiencia Provincial de Cádiz no entraña en modo alguno una alteración de los límites provinciales al margen de las exigencias de la C.E. El municipio de Ceuta y la provincia de Cádiz obvio es que permanecen en su propia conformación geográfica, aunque la segunda instancia de determinados procesos se atribuya por ministerio de la Ley al órgano más próximo y razonablemente idóneo. En tales circunstancias, la Ley de Demarcación y Planta ni vulnera el art. 141 de la C.E. ni el principio de jerarquía normativa.</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xml:space="preserve">. El Juzgado de lo Penal núm. 2 de Ceuta plantea cuestión de inconstitucionalidad en relación con los arts. 2.5 y 3.3 de la Ley 38/1988, de 28 de diciembre, de Demarcación y Planta Judicial. Dispone el primero de los preceptos cuestionados que «a efectos de la demarcación judicial, las ciudades de Ceuta y Melilla quedan integradas en la circunscripción </w:t>
      </w:r>
      <w:r>
        <w:lastRenderedPageBreak/>
        <w:t>territorial del Tribunal Superior de Justicia de Andalucía». Por su parte, el art. 3.3 establece que «a efectos de la demarcación judicial, las ciudades de Ceuta y Melilla quedan integradas en la circunscripción territorial de las Audiencias Provinciales de Cádiz y Málaga, respectivamente».</w:t>
      </w:r>
    </w:p>
    <w:p w:rsidR="00B01F4A" w:rsidRDefault="00B01F4A" w:rsidP="00B01F4A">
      <w:pPr>
        <w:pStyle w:val="TextoNormal"/>
      </w:pPr>
    </w:p>
    <w:p w:rsidR="00B01F4A" w:rsidRDefault="00B01F4A" w:rsidP="00B01F4A">
      <w:pPr>
        <w:pStyle w:val="TextoNormal"/>
      </w:pPr>
      <w:r w:rsidRPr="00B01F4A">
        <w:rPr>
          <w:rStyle w:val="NumeroAFNegritaCaracter"/>
        </w:rPr>
        <w:t>2</w:t>
      </w:r>
      <w:r>
        <w:t>. El objeto de la presente cuestión de inconstitucionalidad ha de quedar circunscrito al art. 3.3 de la Ley 38/1988, de 28 de diciembre, pues es el precepto aplicable y de cuya validez depende la decisión a adoptar por el Juez a quo para resolver el recurso de reforma interpuesto contra la providencia de 1 de julio de 1996. En efecto, contra la citada providencia, por la que se tuvo por interpuesto y formulado el recurso de apelación promovido por el Ministerio Fiscal contra la Sentencia condenatoria del Juzgado, la representación procesal de uno de los condenados interpuso recurso de reforma impugnando aquella providencia en el extremo relativo a la remisión de las actuaciones a la Audiencia Provincial de Cádiz, por considerar inconstitucionalidad el mencionado art. 3.3. Es, pues, este precepto legal, y en modo alguno el art. 2.5 de la Ley 38/1988, de 28 de diciembre, en cuanto determina que a efectos de la demarcación judicial la ciudad de Ceuta queda integrada en la circunscripción territorial de la Audiencia Provincial de Cádiz, el que resulta en el presente supuesto aplicable y de cuya validez depende la resolución del recurso de reforma.</w:t>
      </w:r>
    </w:p>
    <w:p w:rsidR="00B01F4A" w:rsidRDefault="00B01F4A" w:rsidP="00B01F4A">
      <w:pPr>
        <w:pStyle w:val="TextoNormal"/>
      </w:pPr>
      <w:r>
        <w:t>A mayor abundamiento, es reiterada doctrina constitucional que la duda de constitucionalidad debe ceñirse estrictamente a la norma o normas cuestionadas en la providencia que ofrece a las partes y al Ministerio Fiscal la posibilidad de formular alegaciones sobre la pertinencia de suscitar la cuestión (STC 83/1993, fundamento jurídico 1.º, por todas). Trámite de audiencia que en el presente caso el órgano promotor ha circunscrito al art.  3.3 de la Ley 38/1988, de 28 de diciembre, sobre el que, por tanto, han versado las alegaciones de las partes y del Ministerio Fiscal. La ampliación de la duda de constitucionalidad en el Auto de planteamiento al art. 2.5 de la citada Ley no puede admitirse -además de por no ser aplicable el mencionado precepto legal para la decisión a adoptar en el proceso a quo-, pues «la previa identificación de la norma cuestionable en la providencia que ofrece a las partes y al Ministerio Fiscal la oportunidad de alegar sobre la pertinencia de suscitar la cuestión constituye un límite objetivo que ha de respetar el eventual Auto de planteamiento de la misma so pena de transgredir el art. 35.2 de la LOTC al impedir a aquellos formular alegaciones sobre la norma o normas introducidas extemporáneamente» (STC 83/1993, fundamento jurídico 1.º).</w:t>
      </w:r>
    </w:p>
    <w:p w:rsidR="00B01F4A" w:rsidRDefault="00B01F4A" w:rsidP="00B01F4A">
      <w:pPr>
        <w:pStyle w:val="TextoNormal"/>
      </w:pPr>
    </w:p>
    <w:p w:rsidR="00B01F4A" w:rsidRDefault="00B01F4A" w:rsidP="00B01F4A">
      <w:pPr>
        <w:pStyle w:val="TextoNormal"/>
      </w:pPr>
      <w:r w:rsidRPr="00B01F4A">
        <w:rPr>
          <w:rStyle w:val="NumeroAFNegritaCaracter"/>
        </w:rPr>
        <w:t>3</w:t>
      </w:r>
      <w:r>
        <w:t>. El órgano judicial proponente considera, en primer término, que el art.  3.3. de la Ley 38/1988, de 28 de diciembre, de Demarcación y Planta Judicial, al prever que «a efectos de la demarcación judicial, las ciudades de Ceuta y Melilla quedarán integradas en la circunscripción territorial de las Audiencias Provinciales de Cádiz y Málaga, respectivamente», pudiera vulnerar el inciso segundo del art. 141 de la C.E., que dispone que «cualquier alteración de los límites provinciales habrá de ser aprobada por las Cortes Generales mediante Ley Orgánica», al implicar aquel precepto una alteración de los límites de la provincia en cuanto demarcación judicial, sin que la citada disposición legal tenga el rango de Ley Orgánica. En opinión del órgano judicial, la integración de la ciudad de Ceuta, a efectos de la demarcación judicial, en la circunscripción territorial de la Audiencia Provincial de Cádiz supone una alteración de los límites de la provincia en cuanto demarcación judicial contraria al inciso final, art. 141 de la C.E., por no revestir rango de Ley Orgánica la Ley 38/1988, de 28 de diciembre.</w:t>
      </w:r>
    </w:p>
    <w:p w:rsidR="00B01F4A" w:rsidRDefault="00B01F4A" w:rsidP="00B01F4A">
      <w:pPr>
        <w:pStyle w:val="TextoNormal"/>
      </w:pPr>
      <w:r>
        <w:lastRenderedPageBreak/>
        <w:t>Aun cuando la provincia, en el diseño constitucional que de la misma hace el art. 141, además de su primera y principal consideración como entidad local, sea también una división territorial para el cumplimiento de las actividades del Estado, entre las cuales, sin duda, se encuentra la Administración de Justicia (SSTC 32/1981; 84/1982; 38/1983; 56/1990 y 385/1993), como refleja la Ley Orgánica del Poder Judicial (Título 11, Capítulo Segundo, arts. 30 y 33).  Es claro que la vinculación de los Jueces de Ceuta a la Audiencia Provincial de Cádiz no modifica el territorio de esta última y, por tanto, no implica al art. 141 C.E., si se repara en que simplemente se da una solución funcional -procesal- a un problema de organización judicial.</w:t>
      </w:r>
    </w:p>
    <w:p w:rsidR="00B01F4A" w:rsidRDefault="00B01F4A" w:rsidP="00B01F4A">
      <w:pPr>
        <w:pStyle w:val="TextoNormal"/>
      </w:pPr>
      <w:r>
        <w:t>De lo dicho se desprende que la duda planteada sobre su constitucionalidad se despeja con la mera comprobación de que la antedicha Ley Orgánica lo ha previsto expresamente en su disposición trigésima, en cuya virtud mientras «la legislación de planta y demarcación no disponga otra cosa, las ciudades de Ceuta y Melilla conservarán la adscripción judicial que tienen en la actualidad». Se hace subsistir así la situación existente en ese momento que vinculaba judicialmente la ciudad de Ceuta a la Audiencia Provincial de Cádiz y la Audiencia Territorial de Sevilla (art. 2 de la Ley de 3 de marzo de 1917) con la lógica adaptación a la nueva organización judicial determinada a su vez por la Constitución. Por otra parte, en un juego constitucionalmente lícito de integración de Leyes Orgánicas por otras ordinarias (SSTC 137/1986; 224/1993 y 254/1994), se defiere a la Ley de Demarcación y Planta Judicial la posibilidad de alterar tal adscripción, que se mantiene en los mismos términos (art. 3.3 de la Ley 38/1988, de 28 de diciembre).</w:t>
      </w:r>
    </w:p>
    <w:p w:rsidR="00B01F4A" w:rsidRDefault="00B01F4A" w:rsidP="00B01F4A">
      <w:pPr>
        <w:pStyle w:val="TextoNormal"/>
      </w:pPr>
    </w:p>
    <w:p w:rsidR="00B01F4A" w:rsidRDefault="00B01F4A" w:rsidP="00B01F4A">
      <w:pPr>
        <w:pStyle w:val="TextoNormal"/>
      </w:pPr>
      <w:r w:rsidRPr="00B01F4A">
        <w:rPr>
          <w:rStyle w:val="NumeroAFNegritaCaracter"/>
        </w:rPr>
        <w:t>4</w:t>
      </w:r>
      <w:r>
        <w:t>. No estando afectado por dicho precepto, el art. 141, inciso segundo, de la C.E., como más arriba se dijo, cae por su base una hipotética contradicción de ambos y por tanto la eventual vulneración de éste por aquél, como consecuencia del principio de jerarquía normativa (art. 9.3 C.E.), como tampoco por el supuesto desconocimiento del Estatuto de Autonomía para Andalucía, donde se configura su ámbito territorial. La vinculación procesal de los órganos judiciales de la ciudad de Ceuta a los propios de esta Comunidad Autónoma no implica alteración alguna de su espacio geográfico. Se hace necesario recordar al respecto que los Jueces y Tribunales quedan extramuros de las Comunidades Autónomas, no sólo por la independencia de los demás Poderes que del Judicial predica la Constitución, sino porque su organización y funcionamiento han de responder al principio de unidad jurisdiccional (art. 117), para lo cual se configura una reserva de Ley Orgánica, única. Por otra parte, la relación de órganos jurisdiccionales con la Comunidad Autónoma no es orgánica, sino territorial, determinada por el lugar de su sede, y que las competencias de los órganos jurisdiccionales continúan siendo competencias del Poder Judicial único existente en el Estado» (STC 25/198l).</w:t>
      </w:r>
    </w:p>
    <w:p w:rsidR="00B01F4A" w:rsidRDefault="00B01F4A" w:rsidP="00B01F4A">
      <w:pPr>
        <w:pStyle w:val="TextoNormal"/>
      </w:pPr>
      <w:r>
        <w:t>Tampoco, en fin, cabe apreciar contradicción alguna entre el tantas veces aludido art. 3.3 de la Ley 38/1988 y la regulación que contiene la Ley Orgánica sobre la demarcación territorial de las Audiencias Provinciales (art.  80), pues aquél, como otros supuestos expresamente previstos en ella, no es sino una excepción a la regla general que implica la creación de demarcaciones singulares para determinados e individualizados órganos judiciales (STC 56/1990).</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lo expuesto, el Pleno acuerda declarar la inadmisión de la presente cuestión de inconstitucionalidad (art. 37.1 LOTC).</w:t>
      </w:r>
    </w:p>
    <w:p w:rsidR="00B01F4A" w:rsidRDefault="00B01F4A" w:rsidP="00B01F4A">
      <w:pPr>
        <w:pStyle w:val="TextoNormal"/>
      </w:pPr>
    </w:p>
    <w:p w:rsidR="00B01F4A" w:rsidRDefault="00B01F4A" w:rsidP="00B01F4A">
      <w:pPr>
        <w:pStyle w:val="TextoNormal"/>
      </w:pPr>
      <w:r>
        <w:t>Madrid, a ocho de abril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95" w:name="AUTO_1997_105"/>
      <w:r>
        <w:lastRenderedPageBreak/>
        <w:t>AUTO 105/1997, de 9 de abril de 1997</w:t>
      </w:r>
    </w:p>
    <w:bookmarkEnd w:id="195"/>
    <w:p w:rsidR="00B01F4A" w:rsidRDefault="00B01F4A" w:rsidP="00B01F4A">
      <w:pPr>
        <w:pStyle w:val="TtuloResolucin"/>
      </w:pPr>
      <w:r>
        <w:t>Sección Segunda</w:t>
      </w:r>
    </w:p>
    <w:p w:rsidR="00B01F4A" w:rsidRDefault="00B01F4A" w:rsidP="00B01F4A">
      <w:pPr>
        <w:pStyle w:val="TtuloResolucin"/>
      </w:pPr>
    </w:p>
    <w:p w:rsidR="00B01F4A" w:rsidRDefault="00B01F4A" w:rsidP="00B01F4A">
      <w:pPr>
        <w:pStyle w:val="SntesisDescriptiva"/>
      </w:pPr>
      <w:r>
        <w:t>ECLI:ES:TC:1997:105A</w:t>
      </w:r>
    </w:p>
    <w:p w:rsidR="00B01F4A" w:rsidRDefault="00B01F4A" w:rsidP="00B01F4A">
      <w:pPr>
        <w:pStyle w:val="SntesisDescriptiva"/>
      </w:pPr>
    </w:p>
    <w:p w:rsidR="00B01F4A" w:rsidRDefault="00B01F4A" w:rsidP="00B01F4A">
      <w:pPr>
        <w:pStyle w:val="SntesisDescriptiva"/>
      </w:pPr>
      <w:r>
        <w:t>Excms. Srs. don José Vicente Gimeno Sendra, don Manuel Jiménez de Parga y Cabrera y don Pablo García Manzano.</w:t>
      </w:r>
    </w:p>
    <w:p w:rsidR="00B01F4A" w:rsidRDefault="00B01F4A" w:rsidP="00B01F4A">
      <w:pPr>
        <w:pStyle w:val="SntesisDescriptiva"/>
      </w:pPr>
    </w:p>
    <w:p w:rsidR="00B01F4A" w:rsidRDefault="00B01F4A" w:rsidP="00B01F4A">
      <w:pPr>
        <w:pStyle w:val="SntesisDescriptiva"/>
      </w:pPr>
      <w:r>
        <w:t>Acordando la inadmisión a trámite del recurso de amparo 4.160/1996.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ante este Tribunal el día 15 de noviembre de 1996, la Procuradora de los Tribunales doña Amalia Jiménez Andosilla, en nombre y representación de don Rafael y doña Faustina Pascual Chavida, formula demanda de amparo constitucional contra la Sentencia de la Sala de lo Contencioso-Administrativo del Tribunal Superior de Justicia de Castilla y León, sede de Burgos, de 19 de septiembre de 1996, resolutoria del recurso núm. 449/95, así como contra el ulterior Auto, dictado en aclaración, de 18 de octubre de 1996, que, respectivamente, desestimó la pretensión deducida por los hoy actores sobre clasificación como terreno urbano de una finca de su propiedad, y se declaró no haber lugar a la indemnización solicitada, de resultas del pronunciamiento, contenido en la Sentencia meritada, sobre procedencia de que otra de las fincas propiedad de aquéllos fuera clasificada como suelo urbano.</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Los hechos de que trae causa la presente demanda de amparo relevantes para la resolución del caso son, en síntesis, los siguientes: </w:t>
      </w:r>
    </w:p>
    <w:p w:rsidR="00B01F4A" w:rsidRDefault="00B01F4A" w:rsidP="00B01F4A">
      <w:pPr>
        <w:pStyle w:val="TextoNormal"/>
      </w:pPr>
      <w:r>
        <w:t xml:space="preserve">a) Las normas subsidiarias de Planeamiento Municipal del Ayuntamiento de Sanchonuño (Segovia), aprobadas definitivamente por Acuerdo de la Comisión Provincial de Urbanismo del Servicio Territorial de Segovia de 17 de agosto de 1995, procedieron a clasificar la parcela, propiedad de los interesados, 9534-15 como «suelo apto para urbanizar», en tanto que la 9534-22, igualmente propiedad de aquéllos, recibía la clasificación de «suelo no urbanizable». Deducida la oportuna impugnación contencioso-administrativa, la Sentencia meritada en el encabezamiento, con estimación parcial de aquélla, atribuyó a la finca 9534-15 la clasificación de suelo urbano, así como la de no urbanizable a la 9534-22. </w:t>
      </w:r>
    </w:p>
    <w:p w:rsidR="00B01F4A" w:rsidRDefault="00B01F4A" w:rsidP="00B01F4A">
      <w:pPr>
        <w:pStyle w:val="TextoNormal"/>
      </w:pPr>
      <w:r>
        <w:t>b) Formulada aclaración, el Auto de 18 de octubre de 1996 estimó improcedente la atinente a la concreta calificación interesada por los actores en relación con la finca que la Sentencia había clasificado como suelo urbano, en tanto que justifica la omisión en aquélla de todo pronunciamiento sobre la indemnización pretendida en la no concreción en el escrito de demanda de los perjuicios a cuya reparación debía subvenir la meritada indemnización, respecto de los que, por otro lado, ninguna prueba había sido aportada acerca de su concurrencia y cuantía. Asimismo, se declara no haber lugar a la aclaración postulada en relación con los recursos pertinentes frente a la Sentencia, recursos, según se expone, improcedentes por razón de la cuantía.</w:t>
      </w:r>
    </w:p>
    <w:p w:rsidR="00B01F4A" w:rsidRDefault="00B01F4A" w:rsidP="00B01F4A">
      <w:pPr>
        <w:pStyle w:val="TextoNormal"/>
      </w:pPr>
    </w:p>
    <w:p w:rsidR="00B01F4A" w:rsidRDefault="00B01F4A" w:rsidP="00B01F4A">
      <w:pPr>
        <w:pStyle w:val="TextoNormal"/>
      </w:pPr>
      <w:r w:rsidRPr="00B01F4A">
        <w:rPr>
          <w:rStyle w:val="NumeroAFNegritaCaracter"/>
        </w:rPr>
        <w:t>3</w:t>
      </w:r>
      <w:r>
        <w:t>. Los recurrentes, que canalizan su queja en virtud del art. 44 LOTC, denuncian la conculcación del art. 24.1 C.E. por mor, en primer lugar, de la no consideración como suelo urbano de la finca 9534-22, en contravención, así, de la que se desprende de su sujeción a la Contribución Territorial Urbana, luego Impuesto de Bienes Inmuebles, de conformidad con lo en su momento prevenido en la Ley del Suelo de 1956 y en la 41/1964, de Reforma del Sistema Tributario; en segundo lugar, de la omisión en la Sentencia impugnada de un pronunciamiento, estimatorio, por ende, acerca de su pretensión de reconocimiento de la pertinente indemnización ex art. 42, en relación con el 84 b), de la Ley reguladora de la Jurisdicción Contencioso-Administrativa, pretensión cuyo basamento venta localizado en la minoración del valor de la finca como correlato de la clasificación urbanística fijada en las correspondientes normas subsidiarias; y, finalmente, de la no puesta a disposición de una instancia revisora de los pronunciamientos aquí recurridos.</w:t>
      </w:r>
    </w:p>
    <w:p w:rsidR="00B01F4A" w:rsidRDefault="00B01F4A" w:rsidP="00B01F4A">
      <w:pPr>
        <w:pStyle w:val="TextoNormal"/>
      </w:pPr>
    </w:p>
    <w:p w:rsidR="00B01F4A" w:rsidRDefault="00B01F4A" w:rsidP="00B01F4A">
      <w:pPr>
        <w:pStyle w:val="TextoNormal"/>
      </w:pPr>
      <w:r w:rsidRPr="00B01F4A">
        <w:rPr>
          <w:rStyle w:val="NumeroAFNegritaCaracter"/>
        </w:rPr>
        <w:t>4</w:t>
      </w:r>
      <w:r>
        <w:t>. Por providencia de 19 de diciembre de 1996, la Sección Segunda acordó conceder un plazo común de diez días al Ministerio Fiscal y a los solicitantes de amparo a fin de que alegasen lo que estimaran pertinente en relación con la eventual concurrencia del motivo de inadmisión prevenido en el art. 50.1 c) LOTC.</w:t>
      </w:r>
    </w:p>
    <w:p w:rsidR="00B01F4A" w:rsidRDefault="00B01F4A" w:rsidP="00B01F4A">
      <w:pPr>
        <w:pStyle w:val="TextoNormal"/>
      </w:pPr>
    </w:p>
    <w:p w:rsidR="00B01F4A" w:rsidRDefault="00B01F4A" w:rsidP="00B01F4A">
      <w:pPr>
        <w:pStyle w:val="TextoNormal"/>
      </w:pPr>
      <w:r w:rsidRPr="00B01F4A">
        <w:rPr>
          <w:rStyle w:val="NumeroAFNegritaCaracter"/>
        </w:rPr>
        <w:t>5</w:t>
      </w:r>
      <w:r>
        <w:t>. Mediante escrito registrado ante este Tribunal el día 7 de enero de 1997, y a virtud de una sustancial reproducción de lo expuesto en el de demanda, los interesados impetran, por no carecer manifiestamente de contenido, la admisión a trámite del presente recurso de amparo. Por su parte, el Fiscal, en 10 de enero de 1997, solicita la inadmisión por entender que las cuestiones a que se anuda la conculcación del art. 24.1 C.E. no traspasan los muros de la mera legalidad ordinaria.</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xml:space="preserve">. No cabe apreciar en las resoluciones aquí y ahora combatidas conculcación del art. 24.1 C.E. por mor de la desestimación de la pretensión articulada acerca de la consideración como suelo no urbanizable de la finca a que se contrae el debate, en la medida en que, de conformidad con lo reiteradamente expuesto por este Tribunal, el contenido del derecho a la tutela judicial efectiva esgrimible en amparo ex art. 24.1 C.E. se agota en la obtención por los órganos del Poder Judicial de un pronunciamiento motivado sobre el acervo de pretensiones ante ellos esgrimido, sin que aquel contenido extienda su manto protector a la garantía del acierto de la resolución adoptada en cada caso o quede a resguardo de eventuales errores en el razonamiento desplegado, extremos que, según el nomen al uso, integran cuestiones de estricta legalidad ordinaria. Doctrina cuyo basamento estriba, en definitiva, en la propia caracterización de la potestad jurisdiccional, a cuya esencia incumbe la atribución en exclusiva a los órganos en que aquélla se localiza (art. 117.3 C.E.)  de la adopción de las pertinentes resoluciones que sean inferencia del proceso de selección e interpretación de la norma aplicable (SSTC 76/1985, 126/1986, 119/1987, 50/1988, 211/1988, 24/1990, 127/1990, 210/1991, 55/1993 y 24/1994, 148/1994, 202/1994, 5/1995, 13/1995, 47/1995), y que, como igualmente ha proclamado este Tribunal, halla su contrapunto en el carácter arbitrario, infundado o incurso en error patente de la interpretación cumplida por el órgano judicial (SSTC 23/1987, 55/1987, 174/1987, 36/1988, 19/1983, 159/1989, 63/1990, </w:t>
      </w:r>
      <w:r>
        <w:lastRenderedPageBreak/>
        <w:t>131/1990, 192/1992, 55/1993, 124/1993, 22/1994, 107/1994, 126/1994, 203/1994, 5/1995 y 117/1996), quicio de la intervención revisora y correctora encomendada a este Tribunal en su labor de enjuiciamiento de las decisiones judiciales traídas a su conocimiento, en cuanto aquellos vicios, y, en particular, el error patente o a manifiesta irrazonabilidad, se traduzcan en una inmisión negativa en la esfera jurídica de los ciudadanos (SSTC 172/1985, 190/1990 y 101/1992). Hipótesis estas últimas que, en modo alguno, son de advertir en el supuesto considerado.</w:t>
      </w:r>
    </w:p>
    <w:p w:rsidR="00B01F4A" w:rsidRDefault="00B01F4A" w:rsidP="00B01F4A">
      <w:pPr>
        <w:pStyle w:val="TextoNormal"/>
      </w:pPr>
    </w:p>
    <w:p w:rsidR="00B01F4A" w:rsidRDefault="00B01F4A" w:rsidP="00B01F4A">
      <w:pPr>
        <w:pStyle w:val="TextoNormal"/>
      </w:pPr>
      <w:r w:rsidRPr="00B01F4A">
        <w:rPr>
          <w:rStyle w:val="NumeroAFNegritaCaracter"/>
        </w:rPr>
        <w:t>2</w:t>
      </w:r>
      <w:r>
        <w:t>. Asimismo, de improcedente asunción se toma la tacha de vulneración ex art.  24.1 C.E. por mor de la omisión en las decisiones impugnadas de todo pronunciamiento estimatorio sobre la pertinencia de fijar la correspondiente indemnización ex art. 42, en relación con el 84 b) de la Ley reguladora de la Jurisdicción Contencioso-Administrativa, en atención al basamento de la controvertida falta de reconocimiento, contraído a la no individualización de los daños y perjuicios indemnizables, así como ante la ausencia de todo principio de prueba encaminado a la fijación de aquéllos.</w:t>
      </w:r>
    </w:p>
    <w:p w:rsidR="00B01F4A" w:rsidRDefault="00B01F4A" w:rsidP="00B01F4A">
      <w:pPr>
        <w:pStyle w:val="TextoNormal"/>
      </w:pPr>
    </w:p>
    <w:p w:rsidR="00B01F4A" w:rsidRDefault="00B01F4A" w:rsidP="00B01F4A">
      <w:pPr>
        <w:pStyle w:val="TextoNormal"/>
      </w:pPr>
      <w:r w:rsidRPr="00B01F4A">
        <w:rPr>
          <w:rStyle w:val="NumeroAFNegritaCaracter"/>
        </w:rPr>
        <w:t>3</w:t>
      </w:r>
      <w:r>
        <w:t>. Finalmente, no ha lugar a acoger la queja articulada a propósito de la no puesta a disposición de los solicitantes de amparo del oportuno remedio procesal con que combatir los pronunciamiento aquí y ahora impugnados, en tanto que no cabe inferir del art. 24.1 C.E., en cuanto exigencia insoslayable de la tutela judicial efectiva, la necesidad de que, por lo que aquí interesa, en el orden de lo contencioso-administrativo se arbitre por el legislador en todo caso y para todos los supuestos impugnatorios una doble instancia de revisión de las decisiones administrativas (por todas, SSTC 58/1987 y 207/1991).</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virtud de cuanto antecede, la Sección acuerda declarar, de conformidad con lo prevenido en el art. 50.1 c) LOTC, la inadmisión del presente recurso de amparo.</w:t>
      </w:r>
    </w:p>
    <w:p w:rsidR="00B01F4A" w:rsidRDefault="00B01F4A" w:rsidP="00B01F4A">
      <w:pPr>
        <w:pStyle w:val="TextoNormal"/>
      </w:pPr>
    </w:p>
    <w:p w:rsidR="00B01F4A" w:rsidRDefault="00B01F4A" w:rsidP="00B01F4A">
      <w:pPr>
        <w:pStyle w:val="TextoNormal"/>
      </w:pPr>
      <w:r>
        <w:t>Madrid, a nueve de abril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96" w:name="AUTO_1997_106"/>
      <w:r>
        <w:lastRenderedPageBreak/>
        <w:t>AUTO 106/1997, de 17 de abril de 1997</w:t>
      </w:r>
    </w:p>
    <w:bookmarkEnd w:id="196"/>
    <w:p w:rsidR="00B01F4A" w:rsidRDefault="00B01F4A" w:rsidP="00B01F4A">
      <w:pPr>
        <w:pStyle w:val="TtuloResolucin"/>
      </w:pPr>
      <w:r>
        <w:t>Sección Segunda</w:t>
      </w:r>
    </w:p>
    <w:p w:rsidR="00B01F4A" w:rsidRDefault="00B01F4A" w:rsidP="00B01F4A">
      <w:pPr>
        <w:pStyle w:val="TtuloResolucin"/>
      </w:pPr>
    </w:p>
    <w:p w:rsidR="00B01F4A" w:rsidRDefault="00B01F4A" w:rsidP="00B01F4A">
      <w:pPr>
        <w:pStyle w:val="SntesisDescriptiva"/>
      </w:pPr>
      <w:r>
        <w:t>ECLI:ES:TC:1997:106A</w:t>
      </w:r>
    </w:p>
    <w:p w:rsidR="00B01F4A" w:rsidRDefault="00B01F4A" w:rsidP="00B01F4A">
      <w:pPr>
        <w:pStyle w:val="SntesisDescriptiva"/>
      </w:pPr>
    </w:p>
    <w:p w:rsidR="00B01F4A" w:rsidRDefault="00B01F4A" w:rsidP="00B01F4A">
      <w:pPr>
        <w:pStyle w:val="SntesisDescriptiva"/>
      </w:pPr>
      <w:r>
        <w:t>Excms. Srs. don José Vicente Gimeno Sendra, don Manuel Jiménez de Parga y Cabrera y don Pablo García Manzano.</w:t>
      </w:r>
    </w:p>
    <w:p w:rsidR="00B01F4A" w:rsidRDefault="00B01F4A" w:rsidP="00B01F4A">
      <w:pPr>
        <w:pStyle w:val="SntesisDescriptiva"/>
      </w:pPr>
    </w:p>
    <w:p w:rsidR="00B01F4A" w:rsidRDefault="00B01F4A" w:rsidP="00B01F4A">
      <w:pPr>
        <w:pStyle w:val="SntesisDescriptiva"/>
      </w:pPr>
      <w:r>
        <w:t>Acordando la inadmisión a trámite del recurso de amparo 4.614/1996.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presentado en el Juzgado de Guardia el 16 de diciembre de 1996 y registrado en este Tribunal el día 19 de ese mismo mes y año, la Procuradora de los Tribunales doña Irene Cuevas Aranda, en nombre y representación de don Alexander Bustos Luján, interpuesto recurso de amparo contra las resoluciones mencionadas en el encabezamiento, la última de las cuales le había sido notificada con fecha 21 de noviembre de 1996.</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El recurso se basa en los siguientes hechos: </w:t>
      </w:r>
    </w:p>
    <w:p w:rsidR="00B01F4A" w:rsidRDefault="00B01F4A" w:rsidP="00B01F4A">
      <w:pPr>
        <w:pStyle w:val="TextoNormal"/>
      </w:pPr>
      <w:r>
        <w:t xml:space="preserve">a) El señor Bustos Luján fue condenado como autor responsable de un delito de contrabando y de un delito contra la salud pública a la pena de dos años cuatro meses y un día de prisión menor y multa de 1.000.000 de pesetas por el primero de esos delitos, y a la pena de dos años cuatro meses y un día de prisión menor y multa de 2.000.000 de pesetas por el segundo. Todo ello por Sentencia de la Sección Decimosexta de la Audiencia Provincial de Madrid de 20 de septiembre de 1996. </w:t>
      </w:r>
    </w:p>
    <w:p w:rsidR="00B01F4A" w:rsidRDefault="00B01F4A" w:rsidP="00B01F4A">
      <w:pPr>
        <w:pStyle w:val="TextoNormal"/>
      </w:pPr>
      <w:r>
        <w:t xml:space="preserve">b) Con fecha de 4 de octubre de 1996, la representación del solicitante de amparo dirigió un escrito a la Sala en el que, no obstante de haberse conformado con el fallo antes descrito, sostenía que debía aplicársele el nuevo Código Penal, en tanto que ley más favorable, en lo relativo a la sustitución de las penas privativas de libertad que le habían sido impuestas por la expulsión del penado del territorio nacional, según lo dispuesto en el art. 21.2.2.º de la L.O. 7/1985, de 1 de julio (Ley de Extranjería), y en el art. 106.1 del R.D. 155/1996, de 2 de febrero, por el que se aprobó su reglamento de desarrollo. </w:t>
      </w:r>
    </w:p>
    <w:p w:rsidR="00B01F4A" w:rsidRDefault="00B01F4A" w:rsidP="00B01F4A">
      <w:pPr>
        <w:pStyle w:val="TextoNormal"/>
      </w:pPr>
      <w:r>
        <w:t>c) Por providencia de 11 de noviembre de 1996, la Sala declaró no haber lugar a lo solicitado. Presentado contra dicha providencia recurso de súplica, en el que ya se invocaba la vulneración de los arts. 24.1 y 25.2 C.E., fue desestimado por Auto de la Sección Decimosexta de la Audiencia Provincial de Madrid de 19 de noviembre de 1996, notificado a la representación del recurrente el día 21 de ese mismo mes y año.</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Se aduce en la demanda que las resoluciones recurridas han vulnerado los derechos del actor a la libertad, a la tutela judicial efectiva sin indefensión y a la resocialización y rehabilitación social, al no haber concedido al señor Bustos Luján la expulsión del territorio nacional solicitada en sustitución de las penas privativas de libertad a las que fue condenado, basándose para dicha negativa en una motivación que, a juicio del demandante, no puede </w:t>
      </w:r>
      <w:r>
        <w:lastRenderedPageBreak/>
        <w:t xml:space="preserve">considerarse fundada en Derecho dado que la alusión a la «alarma social» provocada por los delitos por él cometidos y a la gravedad de los mismos, si bien pudiera tener algún sentido en el momento de decretar la prisión provisional a que fue sometido, carecería por completo de justificación una vez dictada condena; y la referencia a la discriminación que padecerían los súbditos españoles condenados por esos mismos delitos a lo que conduciría es a vaciar de contenido el art. 89 del nuevo C.P. sin haber planteado previamente cuestión de inconstitucionalidad en relación con el art. 14 C.E. </w:t>
      </w:r>
    </w:p>
    <w:p w:rsidR="00B01F4A" w:rsidRDefault="00B01F4A" w:rsidP="00B01F4A">
      <w:pPr>
        <w:pStyle w:val="TextoNormal"/>
      </w:pPr>
      <w:r>
        <w:t>En consecuencia, se pide a este Tribunal que anule las resoluciones recurridas.</w:t>
      </w:r>
    </w:p>
    <w:p w:rsidR="00B01F4A" w:rsidRDefault="00B01F4A" w:rsidP="00B01F4A">
      <w:pPr>
        <w:pStyle w:val="TextoNormal"/>
      </w:pPr>
    </w:p>
    <w:p w:rsidR="00B01F4A" w:rsidRDefault="00B01F4A" w:rsidP="00B01F4A">
      <w:pPr>
        <w:pStyle w:val="TextoNormal"/>
      </w:pPr>
      <w:r w:rsidRPr="00B01F4A">
        <w:rPr>
          <w:rStyle w:val="NumeroAFNegritaCaracter"/>
        </w:rPr>
        <w:t>4</w:t>
      </w:r>
      <w:r>
        <w:t>. Por providencia de 5 de marzo de 1997, la Sección tuvo por recibido el precedente escrito y, de conformidad con lo dispuesto en el art. 50.3 de la LOTC, acordó conceder al Ministerio Fiscal y al solicitante de amparo un plazo de diez días para que formulasen cuantas alegaciones estimaran convenientes en relación con la posible existencia del siguiente motivo de inadmisión: carecer la demanda manifiestamente de contenido que justifique una decisión por parte de este Tribunal Constitucional, de conformidad con lo prevenido en el art. 50.1 c) de la LOTC.</w:t>
      </w:r>
    </w:p>
    <w:p w:rsidR="00B01F4A" w:rsidRDefault="00B01F4A" w:rsidP="00B01F4A">
      <w:pPr>
        <w:pStyle w:val="TextoNormal"/>
      </w:pPr>
    </w:p>
    <w:p w:rsidR="00B01F4A" w:rsidRDefault="00B01F4A" w:rsidP="00B01F4A">
      <w:pPr>
        <w:pStyle w:val="TextoNormal"/>
      </w:pPr>
      <w:r w:rsidRPr="00B01F4A">
        <w:rPr>
          <w:rStyle w:val="NumeroAFNegritaCaracter"/>
        </w:rPr>
        <w:t>5</w:t>
      </w:r>
      <w:r>
        <w:t>. La representación del demandante de amparo evacuó dicho trámite por escrito presentado en el Juzgado de Guardia el 18 de marzo de 1997 y registrado en este Tribunal el día 21 de ese mismo mes y ano, en él sustancialmente reproducía las alegaciones ya formuladas en la demanda.</w:t>
      </w:r>
    </w:p>
    <w:p w:rsidR="00B01F4A" w:rsidRDefault="00B01F4A" w:rsidP="00B01F4A">
      <w:pPr>
        <w:pStyle w:val="TextoNormal"/>
      </w:pPr>
    </w:p>
    <w:p w:rsidR="00B01F4A" w:rsidRDefault="00B01F4A" w:rsidP="00B01F4A">
      <w:pPr>
        <w:pStyle w:val="TextoNormal"/>
      </w:pPr>
      <w:r w:rsidRPr="00B01F4A">
        <w:rPr>
          <w:rStyle w:val="NumeroAFNegritaCaracter"/>
        </w:rPr>
        <w:t>6</w:t>
      </w:r>
      <w:r>
        <w:t>. Por su parte, el Fiscal ante el Tribunal Constitucional concluía su escrito de fecha 25 de marzo de 1997 interesando la inadmisión del presente recurso por falta de contenido constitucional de las cuestiones propuestas en el mismo, ya que, a su juicio, la efectiva carencia de motivación de la primera resolución recaída en forma de providencia no causó al actor indefensión alguna al haber sido subsanada por el posterior Auto de la Sala de 19 de noviembre de 1996, cuya fundamentación estima el Ministerio Fiscal ajustada a Derecho tanto desde el punto de vista formal como desde una perspectiva de justicia material.</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art. 89.1 del nuevo Código Penal de 1995 establece lo siguiente: «Las penas privativas de libertad inferiores a seis años impuestas a un extranjero no residente legalmente en España podrán ser sustituidas por su expulsión del territorio nacional. Igualmente, los Jueces o Tribunales, a instancia del Ministerio Fiscal, podrán acordar la expulsión del territorio nacional del extranjero condenado a pena de prisión igual o superior a seis años, siempre que haya cumplido las tres cuartas partes de la condena. En ambos casos será necesario oir previamente al penado».</w:t>
      </w:r>
    </w:p>
    <w:p w:rsidR="00B01F4A" w:rsidRDefault="00B01F4A" w:rsidP="00B01F4A">
      <w:pPr>
        <w:pStyle w:val="TextoNormal"/>
      </w:pPr>
      <w:r>
        <w:t xml:space="preserve">Este precepto ha venido a derogar la disposición contenida en el art. 21.2.2.º de la L.O. 7/1985, de 1 de julio, sobre derechos y libertades del extranjero en España, a cuyo tenor «si el extranjero fuere condenado por delito menos grave y en sentencia firme, el Juez o Tribunal podrán acordar, previa audiencia de aquél, su expulsión del territorio nacional como sustitutiva de las penas que le fueran aplicables, asegurando en todo caso la satisfacción de las responsabilidades civiles a que hubiere lugar, todo ello sin perjuicio de cumplir, si regresara a España, la pena que le fuere impuesta». Así se desprende de la previsión contenida </w:t>
      </w:r>
      <w:r>
        <w:lastRenderedPageBreak/>
        <w:t>en el apartado 2 de la Disposición derogatoria única del Código Penal de 1995 -«quedan también derogadas cuantas normas sean incompatibles con lo dispuesto en este Código»-, toda vez que el art. 89 del nuevo C.P. viene de un lado a ampliar las posibilidades de sustitución de la pena de hasta seis años de privación de libertad impuesta a un extranjero por la medida de expulsión del mismo del territorio nacional, ya que no se exige para ello que se asegure el cumplimiento de las responsabilidades civiles, y de otro lado la restringe, en comparación con el modelo anterior de la L.O. 7/1985, a los extranjeros no residentes legalmente en España.</w:t>
      </w:r>
    </w:p>
    <w:p w:rsidR="00B01F4A" w:rsidRDefault="00B01F4A" w:rsidP="00B01F4A">
      <w:pPr>
        <w:pStyle w:val="TextoNormal"/>
      </w:pPr>
      <w:r>
        <w:t>La cuestión que se plantea en el presente recurso de amparo debe, pues, ceñirse -no obstante la alusión en la demanda al art. 21.2.2.º de la L.O.  7/1985- a determinar si las resoluciones recurridas han vulnerado o no los derechos del actor a la libertad, a la tutela judicial efectiva sin indefensión y a la reeducación y reinserción social al no haber sustituido la pena privativa de libertad que le fue impuesta por Sentencia firme dictada de conformidad por su expulsión del territorio nacional.</w:t>
      </w:r>
    </w:p>
    <w:p w:rsidR="00B01F4A" w:rsidRDefault="00B01F4A" w:rsidP="00B01F4A">
      <w:pPr>
        <w:pStyle w:val="TextoNormal"/>
      </w:pPr>
    </w:p>
    <w:p w:rsidR="00B01F4A" w:rsidRDefault="00B01F4A" w:rsidP="00B01F4A">
      <w:pPr>
        <w:pStyle w:val="TextoNormal"/>
      </w:pPr>
      <w:r w:rsidRPr="00B01F4A">
        <w:rPr>
          <w:rStyle w:val="NumeroAFNegritaCaracter"/>
        </w:rPr>
        <w:t>2</w:t>
      </w:r>
      <w:r>
        <w:t>. Planteado en los indicados términos el objeto del presente recurso, ha de comenzarse por rechazar la pretensión del recurrente de que la negativa del órgano judicial a sustituir la pena privativa de libertad que le fue impuesta por su expulsión del territorio nacional haya supuesto la lesión de su derecho a la reeducación y reinserción social. Y ello no sólo debido a la constante jurisprudencia dictada por este Tribunal en el sentido de que el art. 25.2 C.E. no establece un derecho susceptible de ser invocado en vía de amparo constitucionalmente sino, simplemente, una orientación dirigida al legislador penal (SSTC 2/1987 y 28/1988 y AATC 15/1984, 486/1985, 1.112/1988 y 360/1990, entre otras muchas), sino, más precisamente, porque la medida de suspensión solicitada por el demandante de amparo no persigue, a diferencia de otros sustitutivos de las penas cortas privativas de libertad, surtir efectos positivos en orden a la reeducación y reinserción social del extranjero en España, pues ni en rigor puede decirse que tal expulsión sea una pena -lo que quedaría demostrado, entre otras cosas, por el hecho de no venir expresamente mencionada en el catálogo que de las mismas se establece en el art. 33 del Código Penal de 1995-, dado su carácter puntual o de agotamiento en un solo acto, puede considerarse adecuada para el cumplimiento de esas finalidades preventivo-especiales que, desde luego, no están absolutamente garantizadas por el simple regreso del penado extranjero a su país. Por último, aunque no en último lugar, debe recordarse que la finalidad preventivo-especial no es la única que corresponde cumplir a las penas (por todas, SSTC 19/1988 y 119/1996 y ATC 360/1990) y que, en particular, debe ceder siempre que resulte contrapuesta a las necesidades de carácter preventivo-general o de reafirmación del ordenamiento jurídico. Lo que, por otra parte, no es evidente que haya sucedido en el caso de autos, toda vez que no hay base suficiente para sostener que la expulsión del recurrente del territorio nacional hubiera sido más adecuada, desde el punto de vista preventivo-especial, que su mantenimiento en prisión con la consiguiente posibilidad de acceso a los efectos del tratamiento penitenciario.</w:t>
      </w:r>
    </w:p>
    <w:p w:rsidR="00B01F4A" w:rsidRDefault="00B01F4A" w:rsidP="00B01F4A">
      <w:pPr>
        <w:pStyle w:val="TextoNormal"/>
      </w:pPr>
    </w:p>
    <w:p w:rsidR="00B01F4A" w:rsidRDefault="00B01F4A" w:rsidP="00B01F4A">
      <w:pPr>
        <w:pStyle w:val="TextoNormal"/>
      </w:pPr>
      <w:r w:rsidRPr="00B01F4A">
        <w:rPr>
          <w:rStyle w:val="NumeroAFNegritaCaracter"/>
        </w:rPr>
        <w:t>3</w:t>
      </w:r>
      <w:r>
        <w:t>. Una vez descartada la aducida lesión del art. 25.2 C.E., procede examinar la supuesta quiebra del derecho del actor a la tutela judicial efectiva sin indefensión, que ha de entenderse relacionada en la demanda con la también alegada vulneración de su derecho a la libertad, por falta de motivación fundada en Derecho del Auto de la Audiencia por el que se le denegó la sustitución de la pena privativa de libertad que le había sido impuesta por la medida de expulsión del territorio nacional.</w:t>
      </w:r>
    </w:p>
    <w:p w:rsidR="00B01F4A" w:rsidRDefault="00B01F4A" w:rsidP="00B01F4A">
      <w:pPr>
        <w:pStyle w:val="TextoNormal"/>
      </w:pPr>
      <w:r>
        <w:lastRenderedPageBreak/>
        <w:t>Por más que en alguna otra ocasión haya declarado este Tribunal (por todas, STC 2/1987) que el condenado por Sentencia firme a pena de prisión no puede razonablemente invocar como lesionado su derecho a la libertad por la simple razón de que el contenido esencial de tal derecho se ha visto negado por el fallo condenatorio, resulta innegable que, en el caso de autos, la oposición manifestada por el órgano judicial respecto de la sustitución de la pena de esa índole, recaída sobre el recurrente, por la medida de expulsión del territorio nacional a que se refiere el art. 89.1 del nuevo C.P., afecta a su libertad personal en el medida en que, de haberle sido concedida dicha expulsión, su excarcelación habría sido inmediata.</w:t>
      </w:r>
    </w:p>
    <w:p w:rsidR="00B01F4A" w:rsidRDefault="00B01F4A" w:rsidP="00B01F4A">
      <w:pPr>
        <w:pStyle w:val="TextoNormal"/>
      </w:pPr>
      <w:r>
        <w:t>Debe, por consiguiente, reiterarse en este punto la doctrina sentada por este Tribunal respecto de las resoluciones judiciales que afectan a derechos fundamentales y, más concretamente al contenido en el art. 17.1 C.E., en el sentido de que toda denegación de acceso a la libertad debe ir acompañada de una precisión de las razones legales conducentes a dicha negativa, a fin de que el afectado pueda conocerlas «so pena de incurrir el órgano judicial... en una vulneración del derecho a obtener una resolución judicial motivada» (por todas, STC 154/1995, fundamento jurídico 4.º).</w:t>
      </w:r>
    </w:p>
    <w:p w:rsidR="00B01F4A" w:rsidRDefault="00B01F4A" w:rsidP="00B01F4A">
      <w:pPr>
        <w:pStyle w:val="TextoNormal"/>
      </w:pPr>
      <w:r>
        <w:t>Frente a ello no cabe aducir que el art. 89.1 del nuevo C.P. confiere a los Jueces y Tribunales la facultad discrecional de sustituir o no -siempre y cuando concurran los requisitos objetivos establecidos en esa norma respecto de la duración máxima de la pena privativa de libertad impuesta al extranjero y de su no residencia legal en España- la pena de prisión por la de expulsión del territorio nacional. Pues, como también ha dicho este Tribunal en relación con un caso semejante aunque no idéntico -ya que se trataba de una resolución denegatoria de la remisión condicional de la pena-, lo que no quita para que tal afirmación sea perfectamente trasladable al presente asunto, «la facultad legalmente atribuida a un órgano judicial para que adopte con carácter discrecional una decisión en un sentido o en otro no constituye por sí misma justificación suficiente de la decisión finalmente adoptada, sino que, por el contrario, el ejercicio de dicha facultad viene condicionada estrechamente a la exigencia de que tal resolución esté motivada, pues sólo así puede procederse a un control de la misma en evitación de toda posible arbitrariedad» (STC 224/1992, fundamento jurídico 3.º).</w:t>
      </w:r>
    </w:p>
    <w:p w:rsidR="00B01F4A" w:rsidRDefault="00B01F4A" w:rsidP="00B01F4A">
      <w:pPr>
        <w:pStyle w:val="TextoNormal"/>
      </w:pPr>
    </w:p>
    <w:p w:rsidR="00B01F4A" w:rsidRDefault="00B01F4A" w:rsidP="00B01F4A">
      <w:pPr>
        <w:pStyle w:val="TextoNormal"/>
      </w:pPr>
      <w:r w:rsidRPr="00B01F4A">
        <w:rPr>
          <w:rStyle w:val="NumeroAFNegritaCaracter"/>
        </w:rPr>
        <w:t>4</w:t>
      </w:r>
      <w:r>
        <w:t>. Lo que en verdad aduce el recurrente no es falta de motivación por parte del Auto recurrido en amparo, sino que lo que discute es la fundamentación que en el mismo se ofrece para explicar la decisión judicial contraria a la aplicación de lo prevenido en el art. 89.1 C.E., por considerarla no fundada en Derecho.</w:t>
      </w:r>
    </w:p>
    <w:p w:rsidR="00B01F4A" w:rsidRDefault="00B01F4A" w:rsidP="00B01F4A">
      <w:pPr>
        <w:pStyle w:val="TextoNormal"/>
      </w:pPr>
    </w:p>
    <w:p w:rsidR="00B01F4A" w:rsidRDefault="00B01F4A" w:rsidP="00B01F4A">
      <w:pPr>
        <w:pStyle w:val="TextoNormal"/>
      </w:pPr>
      <w:r w:rsidRPr="00B01F4A">
        <w:rPr>
          <w:rStyle w:val="NumeroAFNegritaCaracter"/>
        </w:rPr>
        <w:t>5</w:t>
      </w:r>
      <w:r>
        <w:t>. Incumbe a este Tribunal, en lo tocante a la motivación contenida en el Auto de la Sección Decimosexta de la Audiencia Provincial de Madrid de 19 de noviembre de 1996, tan sólo examinar si la misma es manifiestamente irrazonable o arbitraria.</w:t>
      </w:r>
    </w:p>
    <w:p w:rsidR="00B01F4A" w:rsidRDefault="00B01F4A" w:rsidP="00B01F4A">
      <w:pPr>
        <w:pStyle w:val="TextoNormal"/>
      </w:pPr>
      <w:r>
        <w:t xml:space="preserve">En el razonamiento jurídico primero del referido Auto, tras señalarse que tanto el art. 21.2 de la L.O. 7/1985 como el art. 89.1 del nuevo Código Penal dejan «a la discrecionalidad del Juez o Tribunal la sustitución de las penas inferiores a seis años por la expulsión del territorio nacional», no obstante lo cual esa facultad dispositiva, desprovista de todo carácter preceptivo, «debe ser ejercitada con ponderación de cuantas circunstancias concurren en el caso de autos», se dice textualmente lo siguiente: es «precisamente esa valoración particular de las circunstancias de este procedimiento, el de la naturaleza y gravedad de los delitos objeto de condena, salud pública y contrabando, de la alarma social que los mismos comportan, así como de la discriminación que, para los numerosos españoles que sufren prisión precisamente por estos tipos delictivos, representa que se dé a los extranjeros un trato de </w:t>
      </w:r>
      <w:r>
        <w:lastRenderedPageBreak/>
        <w:t>favor con la sustitución de las penas por la expulsión del territorio nacional, las que llevan a este Tribunal a no considerar pertinente tal sustitución de penas, las cuales, además, representan la posibilidad de someter al penado a un proceso de rehabilitación y reeducación que le preparen para su vida en libertad».</w:t>
      </w:r>
    </w:p>
    <w:p w:rsidR="00B01F4A" w:rsidRDefault="00B01F4A" w:rsidP="00B01F4A">
      <w:pPr>
        <w:pStyle w:val="TextoNormal"/>
      </w:pPr>
      <w:r>
        <w:t>Ante tal motivación no puede sino concluirse que el órgano judicial basó su decisión de no aplicar al recurrente el art. 89.1 del nuevo C.P. en el resultado de una correcta ponderación de las necesidades preventivo-generales -en las que, frente a lo que se mantiene en la demanda de amparo, es perfectamente encuadrable el criterio de «alarma social», entendido como efecto nocivo que, en relación con la finalidad de prevención general inherente a toda pena, tendría el hecho de la falta de reacción penal suficiente ante la comisión de un delito grave- y preventivo-especiales concurrentes en el caso de autos, sin que, por ello mismo, quepa calificarla de manifiestamente irrazonable o de arbitraria. Ni siquiera la alusión a la «discriminación» que la expulsión del recurrente supondría respecto de otros presos condenados por delitos de la misma índole que, por su condición de españoles, no pueden ser expulsados del territorio nacional, merece la lectura que le ha dado el solicitante de amparo. Ciertamente que, desvinculada de su contexto, tal afirmación vendría a vaciar de contenido al art. 89.1 del nuevo C.P., toda vez que dicho precepto permite establecer un trato punitivo desigual -de carácter favorable- para los extranjeros no residentes legalmente en España, en comparación con los españoles que cometieren esos mismos delitos. Mas, leída en relación con el resto del razonamiento, lo que viene a indicar es que tal situación no estaría legalmente justificada de procederse a una aplicación «indiscriminada» de la medida de expulsión, por el simple hecho de tener el condenado la condición de extranjero no residente legalmente en España, lo que no cabe predicar el Auto recurrido.</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virtud de lo expuesto, la Sección acuerda la inadmisión del presente recurso de amparo.</w:t>
      </w:r>
    </w:p>
    <w:p w:rsidR="00B01F4A" w:rsidRDefault="00B01F4A" w:rsidP="00B01F4A">
      <w:pPr>
        <w:pStyle w:val="TextoNormal"/>
      </w:pPr>
    </w:p>
    <w:p w:rsidR="00B01F4A" w:rsidRDefault="00B01F4A" w:rsidP="00B01F4A">
      <w:pPr>
        <w:pStyle w:val="TextoNormal"/>
      </w:pPr>
      <w:r>
        <w:t>Madrid, a diecisiete de abril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97" w:name="AUTO_1997_107"/>
      <w:r>
        <w:lastRenderedPageBreak/>
        <w:t>AUTO 107/1997, de 21 de abril de 1997</w:t>
      </w:r>
    </w:p>
    <w:bookmarkEnd w:id="197"/>
    <w:p w:rsidR="00B01F4A" w:rsidRDefault="00B01F4A" w:rsidP="00B01F4A">
      <w:pPr>
        <w:pStyle w:val="TtuloResolucin"/>
      </w:pPr>
      <w:r>
        <w:t>Sala Segunda</w:t>
      </w:r>
    </w:p>
    <w:p w:rsidR="00B01F4A" w:rsidRDefault="00B01F4A" w:rsidP="00B01F4A">
      <w:pPr>
        <w:pStyle w:val="TtuloResolucin"/>
      </w:pPr>
    </w:p>
    <w:p w:rsidR="00B01F4A" w:rsidRDefault="00B01F4A" w:rsidP="00B01F4A">
      <w:pPr>
        <w:pStyle w:val="SntesisDescriptiva"/>
      </w:pPr>
      <w:r>
        <w:t>ECLI:ES:TC:1997:107A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don Rafael de Mendizábal Allende, don Julio D. González Campos, don Carles Viver Pi-Sunyer y don Tomás Salvador Vives Antón.</w:t>
      </w:r>
    </w:p>
    <w:p w:rsidR="00B01F4A" w:rsidRDefault="00B01F4A" w:rsidP="00B01F4A">
      <w:pPr>
        <w:pStyle w:val="SntesisDescriptiva"/>
      </w:pPr>
    </w:p>
    <w:p w:rsidR="00B01F4A" w:rsidRDefault="00B01F4A" w:rsidP="00B01F4A">
      <w:pPr>
        <w:pStyle w:val="SntesisDescriptiva"/>
      </w:pPr>
      <w:r>
        <w:t>Declarando la falta de jurisdicción del Tribunal Constitucional en el procedimiento de jura de cuentas relativa al recurso de amparo 3.748/1994.</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Por medio de escrito registrado en este Tribunal el 22 de noviembre de 1994, la representación procesal de la entidad «Real Aeroclub de Vigo» interpuso recurso de amparo que fue inadmitido por esta Sala en providencia de fecha 22 de mayo de 1995, al considerar que la pretensión ejercitada carecía de contenido que justificase una decisión de fondo por parte de este Tribunal.</w:t>
      </w:r>
    </w:p>
    <w:p w:rsidR="00B01F4A" w:rsidRDefault="00B01F4A" w:rsidP="00B01F4A">
      <w:pPr>
        <w:pStyle w:val="TextoNormal"/>
      </w:pPr>
    </w:p>
    <w:p w:rsidR="00B01F4A" w:rsidRDefault="00B01F4A" w:rsidP="00B01F4A">
      <w:pPr>
        <w:pStyle w:val="TextoNormal"/>
      </w:pPr>
      <w:r w:rsidRPr="00B01F4A">
        <w:rPr>
          <w:rStyle w:val="NumeroAFNegritaCaracter"/>
        </w:rPr>
        <w:t>2</w:t>
      </w:r>
      <w:r>
        <w:t>. El 10 de enero de 1996, el Procurador del demandante de amparo promovió ante este Tribunal expediente de jura de cuentas en relación con el pago de la cantidad de 165.712 pesetas que afirmaba le eran adeudadas como consecuencia de su intervención en el recurso de amparo. Por providencia de 25 de enero se tuvo por formulada cuanta jurada, acordándose practicar requerimiento de pago al deudor bajo apercibimiento de exacción por la vía de apremio.</w:t>
      </w:r>
    </w:p>
    <w:p w:rsidR="00B01F4A" w:rsidRDefault="00B01F4A" w:rsidP="00B01F4A">
      <w:pPr>
        <w:pStyle w:val="TextoNormal"/>
      </w:pPr>
    </w:p>
    <w:p w:rsidR="00B01F4A" w:rsidRDefault="00B01F4A" w:rsidP="00B01F4A">
      <w:pPr>
        <w:pStyle w:val="TextoNormal"/>
      </w:pPr>
      <w:r w:rsidRPr="00B01F4A">
        <w:rPr>
          <w:rStyle w:val="NumeroAFNegritaCaracter"/>
        </w:rPr>
        <w:t>3</w:t>
      </w:r>
      <w:r>
        <w:t>. Hecho el requerimiento sin que se produjera el pago, el Procurador solicitó, mediante escrito de fecha 19 de febrero de 1996, que se embargaran bienes al deudor para hacer frente al pago debido. El 7 de marzo de 1996, la Sección Tercera acordó acceder a lo solicitado librando a tal efecto exhorto al Juzgado Decano de los de Vigo El exhorto correspondió al Juzgado de Primera Instancia núm. 9.</w:t>
      </w:r>
    </w:p>
    <w:p w:rsidR="00B01F4A" w:rsidRDefault="00B01F4A" w:rsidP="00B01F4A">
      <w:pPr>
        <w:pStyle w:val="TextoNormal"/>
      </w:pPr>
    </w:p>
    <w:p w:rsidR="00B01F4A" w:rsidRDefault="00B01F4A" w:rsidP="00B01F4A">
      <w:pPr>
        <w:pStyle w:val="TextoNormal"/>
      </w:pPr>
      <w:r w:rsidRPr="00B01F4A">
        <w:rPr>
          <w:rStyle w:val="NumeroAFNegritaCaracter"/>
        </w:rPr>
        <w:t>4</w:t>
      </w:r>
      <w:r>
        <w:t>. El 21 de junio de 1996 se persona la entidad «Real Aeroclub de Vigo» en este procedimiento e interpuso recurso de reposición contra la citada providencia en el cual solicitaba se declarase su nulidad y que se le diera traslado del escrito de solicitud de jura de cuentas y de los documentos aportados con el mismo.</w:t>
      </w:r>
    </w:p>
    <w:p w:rsidR="00B01F4A" w:rsidRDefault="00B01F4A" w:rsidP="00B01F4A">
      <w:pPr>
        <w:pStyle w:val="TextoNormal"/>
      </w:pPr>
    </w:p>
    <w:p w:rsidR="00B01F4A" w:rsidRDefault="00B01F4A" w:rsidP="00B01F4A">
      <w:pPr>
        <w:pStyle w:val="TextoNormal"/>
      </w:pPr>
      <w:r w:rsidRPr="00B01F4A">
        <w:rPr>
          <w:rStyle w:val="NumeroAFNegritaCaracter"/>
        </w:rPr>
        <w:t>5</w:t>
      </w:r>
      <w:r>
        <w:t>. Por providencia de 18 de julio de 1996 se inadmitió a trámite el recurso de reposición por haber actuado la entidad «Real Aeroclub de Vigo» mediante Procurador no colegiado en Madrid, por lo que se acordó nuevamente remitir exhorto al Juzgado vigués para que procediera al embargo de bienes acordado.</w:t>
      </w:r>
    </w:p>
    <w:p w:rsidR="00B01F4A" w:rsidRDefault="00B01F4A" w:rsidP="00B01F4A">
      <w:pPr>
        <w:pStyle w:val="TextoNormal"/>
      </w:pPr>
    </w:p>
    <w:p w:rsidR="00B01F4A" w:rsidRDefault="00B01F4A" w:rsidP="00B01F4A">
      <w:pPr>
        <w:pStyle w:val="TextoNormal"/>
      </w:pPr>
      <w:r w:rsidRPr="00B01F4A">
        <w:rPr>
          <w:rStyle w:val="NumeroAFNegritaCaracter"/>
        </w:rPr>
        <w:t>6</w:t>
      </w:r>
      <w:r>
        <w:t>. El 30 de julio de 1996, el Procurador de la entidad «Real Aeroclub de Vigo» interpuso recurso de reposición contra la providencia de 18 de julio de 1996, solicitando su nulidad y el archivo del proceso de jura de cuentas, alegando la inexistencia de la deuda reclamada. Al evacuar el traslado conferido, el Procurador señor Estévez Fernández Novoa solicitó la desestimación del recurso interpuesto. El Ministerio Fiscal, sin embargo, manifestó que no debía incluirse en la reclamación los honorarios del Letrado, ya que éste había renunciado previamente a su cobro, por lo que, al no ser debidos, no podían ser objeto del requerimiento de pago.</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EB5FD0">
        <w:rPr>
          <w:rStyle w:val="NumeroAFNegritaCaracter"/>
        </w:rPr>
        <w:t>Único.</w:t>
      </w:r>
      <w:r>
        <w:t xml:space="preserve"> El Pleno de este Tribunal, en ATC 45/1997, y esta misma Sala, en AATC 218/1996 y 17/1997, así como en ATC 66/1997, han declarado que la competencia del Tribunal Constitucional sólo se extiende a las materias recogidas en el art. 3 de la LOTC,</w:t>
      </w:r>
    </w:p>
    <w:p w:rsidR="00B01F4A" w:rsidRDefault="00B01F4A" w:rsidP="00B01F4A">
      <w:pPr>
        <w:pStyle w:val="TextoNormal"/>
      </w:pPr>
      <w:r>
        <w:t>entre las que no se comprende la jura de cuentas. Es este un procedimiento dirigido a resolver determinadas cuestiones económicas entre el Procurador y su cliente derivadas de la prestación de servicios profesionales concertada, que en modo alguno cabe</w:t>
      </w:r>
    </w:p>
    <w:p w:rsidR="00B01F4A" w:rsidRDefault="00B01F4A" w:rsidP="00B01F4A">
      <w:pPr>
        <w:pStyle w:val="TextoNormal"/>
      </w:pPr>
      <w:r>
        <w:t>entender como incidente de las materias de que conoce este Tribunal, ni guardan conexión alguna con el enjuiciamiento constitucional de tales materias.</w:t>
      </w:r>
    </w:p>
    <w:p w:rsidR="00B01F4A" w:rsidRDefault="00B01F4A" w:rsidP="00B01F4A">
      <w:pPr>
        <w:pStyle w:val="TextoNormal"/>
      </w:pPr>
      <w:r>
        <w:t>A mayor abundamiento, los preceptos reguladores de la jura de cuentas no se hallan entre los incluidos como de aplicación supletoria en el art. 80 de la LOTC. En la medida en que se aprecia la falta de jurisdicción de este Tribunal para conocer del procedimiento planteado no ha lugar a pronunciarse sobre las pretensiones de cada una de las partes, que han sido expuestas en los antecedentes de esta resolución, en orden a los conceptos que cabe o no incluir en el proceso de jura de cuentas.</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lo expuesto, la Sala acuerda declarar la falta de jurisdicción de este Tribunal para conocer del procedimiento planteado y archivar las actuaciones.</w:t>
      </w:r>
    </w:p>
    <w:p w:rsidR="00B01F4A" w:rsidRDefault="00B01F4A" w:rsidP="00B01F4A">
      <w:pPr>
        <w:pStyle w:val="TextoNormal"/>
      </w:pPr>
    </w:p>
    <w:p w:rsidR="00B01F4A" w:rsidRDefault="00B01F4A" w:rsidP="00B01F4A">
      <w:pPr>
        <w:pStyle w:val="TextoNormal"/>
      </w:pPr>
      <w:r>
        <w:t>Madrid, a veintiuno de abril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98" w:name="AUTO_1997_108"/>
      <w:r>
        <w:lastRenderedPageBreak/>
        <w:t>AUTO 108/1997, de 21 de abril de 1997</w:t>
      </w:r>
    </w:p>
    <w:bookmarkEnd w:id="198"/>
    <w:p w:rsidR="00B01F4A" w:rsidRDefault="00B01F4A" w:rsidP="00B01F4A">
      <w:pPr>
        <w:pStyle w:val="TtuloResolucin"/>
      </w:pPr>
      <w:r>
        <w:t>Sección Tercera</w:t>
      </w:r>
    </w:p>
    <w:p w:rsidR="00B01F4A" w:rsidRDefault="00B01F4A" w:rsidP="00B01F4A">
      <w:pPr>
        <w:pStyle w:val="TtuloResolucin"/>
      </w:pPr>
    </w:p>
    <w:p w:rsidR="00B01F4A" w:rsidRDefault="00B01F4A" w:rsidP="00B01F4A">
      <w:pPr>
        <w:pStyle w:val="SntesisDescriptiva"/>
      </w:pPr>
      <w:r>
        <w:t>ECLI:ES:TC:1997:108A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y don Julio D. González Campos.</w:t>
      </w:r>
    </w:p>
    <w:p w:rsidR="00B01F4A" w:rsidRDefault="00B01F4A" w:rsidP="00B01F4A">
      <w:pPr>
        <w:pStyle w:val="SntesisDescriptiva"/>
      </w:pPr>
    </w:p>
    <w:p w:rsidR="00B01F4A" w:rsidRDefault="00B01F4A" w:rsidP="00B01F4A">
      <w:pPr>
        <w:pStyle w:val="SntesisDescriptiva"/>
      </w:pPr>
      <w:r>
        <w:t>Acordando la inadmisión a trámite del recurso de amparo 1.374/1996.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presentado en el Registro General de este Tribunal, el Procurador de los Tribunales don Juan Antonio García San Miguel y Orueta, actuando en nombre y representación de «Digasa Distribuciones, S. A.», interpuso recurso de amparo contra la providencia del Juzgado de Instrucción núm. 37 de Madrid, de 5 de marzo de 1996, recaída en diligencias indeterminadas núm. 225/96, en virtud de la cual se autoriza a la Administración municipal de Madrid a entrar en el domicilio de la sociedad «Digasa Distribuciones, S. L.», sito en la calle Cañamar, núm. 11, de esta ciudad.</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Los hechos en que se fundamenta la pretensión de amparo son los siguientes: </w:t>
      </w:r>
    </w:p>
    <w:p w:rsidR="00B01F4A" w:rsidRDefault="00B01F4A" w:rsidP="00B01F4A">
      <w:pPr>
        <w:pStyle w:val="TextoNormal"/>
      </w:pPr>
      <w:r>
        <w:t xml:space="preserve">a) La Gerencia Municipal de Urbanismo del Ayuntamiento de Madrid solicitó autorización judicial para la entrada en el domicilio social de la entidad «Digasa Distribuciones, S. L.», sito en la calle Cañamar, núm. 11, de Madrid, a fin de proceder a la clausura y precintado de la actividad de almacén y comercio al por mayor de material de construcción, conforme se había resuelto por Decreto de 10 de marzo de 1995 dictado en el correspondiente expediente administrativo sancionador. </w:t>
      </w:r>
    </w:p>
    <w:p w:rsidR="00B01F4A" w:rsidRDefault="00B01F4A" w:rsidP="00B01F4A">
      <w:pPr>
        <w:pStyle w:val="TextoNormal"/>
      </w:pPr>
      <w:r>
        <w:t xml:space="preserve">b) El Juzgado de Instrucción núm. 37 de Madrid, al que correspondió el conocimiento del asunto, dictó Auto el día 18 de noviembre de 1995, autorizando la entrada en el domicilio de la sociedad «Digasa Distribuciones, S. L.», situado en mencionada calle Cañamar. </w:t>
      </w:r>
    </w:p>
    <w:p w:rsidR="00B01F4A" w:rsidRDefault="00B01F4A" w:rsidP="00B01F4A">
      <w:pPr>
        <w:pStyle w:val="TextoNormal"/>
      </w:pPr>
      <w:r>
        <w:t xml:space="preserve">c) Notificada tal resolución a la entidad ahora recurrente en amparo, «Digasa Distribuciones, S. A.», interpuso recurso de reforma contra el mencionado Auto, en el que se argumentaba que había formulado recurso contencioso-administrativo contra el Decreto municipal que acordó el cierre y precinto de la instalación, por lo que solicitaba la suspensión de la tramitación de la solicitud de entrada en el local formulada por la Corporación Municipal. </w:t>
      </w:r>
    </w:p>
    <w:p w:rsidR="00B01F4A" w:rsidRDefault="00B01F4A" w:rsidP="00B01F4A">
      <w:pPr>
        <w:pStyle w:val="TextoNormal"/>
      </w:pPr>
      <w:r>
        <w:t xml:space="preserve">d) El referido Juzgado de Instrucción dictó Auto el 28 de diciembre de 1995 desestimando el recurso de reforma al comprobar que la Sala de lo Contencioso-Administrativo del Tribunal Superior de Justicia de Madrid había denegado la suspensión solicitada por la actora. </w:t>
      </w:r>
    </w:p>
    <w:p w:rsidR="00B01F4A" w:rsidRDefault="00B01F4A" w:rsidP="00B01F4A">
      <w:pPr>
        <w:pStyle w:val="TextoNormal"/>
      </w:pPr>
      <w:r>
        <w:t xml:space="preserve">e) Notificada esta resolución, la representación procesal de la entidad actora «Digasa Distribuciones, S. A.», formuló el día 13 de enero de 1996 recurso de queja ante la Audiencia Provincial de Madrid, sin que conste la resolución dictada. </w:t>
      </w:r>
    </w:p>
    <w:p w:rsidR="00B01F4A" w:rsidRDefault="00B01F4A" w:rsidP="00B01F4A">
      <w:pPr>
        <w:pStyle w:val="TextoNormal"/>
      </w:pPr>
      <w:r>
        <w:lastRenderedPageBreak/>
        <w:t>f) Por providencia de 5 de marzo de 1996, el Juzgado de Instrucción acuerda expedir oficio al Ayuntamiento de Madrid para que llevara a efecto la entrada en el referido domicilio, que tuvo lugar el 25 de marzo de 1996.</w:t>
      </w:r>
    </w:p>
    <w:p w:rsidR="00B01F4A" w:rsidRDefault="00B01F4A" w:rsidP="00B01F4A">
      <w:pPr>
        <w:pStyle w:val="TextoNormal"/>
      </w:pPr>
    </w:p>
    <w:p w:rsidR="00B01F4A" w:rsidRDefault="00B01F4A" w:rsidP="00B01F4A">
      <w:pPr>
        <w:pStyle w:val="TextoNormal"/>
      </w:pPr>
      <w:r w:rsidRPr="00B01F4A">
        <w:rPr>
          <w:rStyle w:val="NumeroAFNegritaCaracter"/>
        </w:rPr>
        <w:t>3</w:t>
      </w:r>
      <w:r>
        <w:t>. La entidad demandante de amparo, «Digasa Distribuciones, S. A.», estima vulnerado su derecho a la inviolabilidad del domicilio reconocido en el art. 18.2 C.E., por cuanto el Juzgado de Instrucción ha concedido a la Administración municipal la autorización de entrada en su domicilio social, pero respecto de una persona jurídica distinta, cual es la entidad «Digasa Distribuciones, S. L.», autorización que, además, no se encuentra debidamente motivada. También, se afirma que la providencia en la que se acuerda la efectividad de la entrada omite cualquier referencia a la obligación de comunicar el resultado de la entrada y el reconocimiento del domicilio al Juez, necesarios para asegurar la garantía y el control judicial. Asimismo, se invoca que en el Auto de autorización no se expresa el deber de los funcionarios que practicaran la diligencia de levantar la oportuna acta y, finalmente, se omite determinar el día concreto en que debía llevarse a cabo la efectividad de la entrada.</w:t>
      </w:r>
    </w:p>
    <w:p w:rsidR="00B01F4A" w:rsidRDefault="00B01F4A" w:rsidP="00B01F4A">
      <w:pPr>
        <w:pStyle w:val="TextoNormal"/>
      </w:pPr>
    </w:p>
    <w:p w:rsidR="00B01F4A" w:rsidRDefault="00B01F4A" w:rsidP="00B01F4A">
      <w:pPr>
        <w:pStyle w:val="TextoNormal"/>
      </w:pPr>
      <w:r w:rsidRPr="00B01F4A">
        <w:rPr>
          <w:rStyle w:val="NumeroAFNegritaCaracter"/>
        </w:rPr>
        <w:t>4</w:t>
      </w:r>
      <w:r>
        <w:t>. Por providencia de 17 de julio de 1996, la Sección Tercera de la Sala Segunda de este Tribunal acordó, de conformidad con lo dispuesto en el art. 50.3 LOTC, conceder a los demandantes de amparo y al Ministerio Fiscal un plazo común de diez días para que formulasen, con las aportaciones documentales que procedieran, las alegaciones que estimasen pertinentes en relación con la carencia manifiesta de contenido constitucional de la demanda [art. 50.1 c) LOTC].</w:t>
      </w:r>
    </w:p>
    <w:p w:rsidR="00B01F4A" w:rsidRDefault="00B01F4A" w:rsidP="00B01F4A">
      <w:pPr>
        <w:pStyle w:val="TextoNormal"/>
      </w:pPr>
    </w:p>
    <w:p w:rsidR="00B01F4A" w:rsidRDefault="00B01F4A" w:rsidP="00B01F4A">
      <w:pPr>
        <w:pStyle w:val="TextoNormal"/>
      </w:pPr>
      <w:r w:rsidRPr="00B01F4A">
        <w:rPr>
          <w:rStyle w:val="NumeroAFNegritaCaracter"/>
        </w:rPr>
        <w:t>5</w:t>
      </w:r>
      <w:r>
        <w:t>. Por escrito presentado en el Registro de este Tribunal el día 4 de septiembre de 1996, la sociedad recurrente en amparo presentó sus alegaciones en relación con el art. 50.1 c) LOTC, manifestando, al respecto, que la entidad a cuyo nombre se expidió la autorización por el Juzgado de Instrucción núm. 37 de Madrid, era «Digasa Distribución, S. L.», a pesar de que el expediente sancionador se ha incoado a nombre de la sociedad recurrente en amparo, «Digasa Distribución, S. A.». En consecuencia, se afirma, se ha infringido lo dispuesto en el art. 18.2 C.E., pues la entrada en el domicilio fue concedida respecto a una entidad distinta, de manera que la Administración municipal ha procedido a la clausura y precinto de un local y una actividad, ubicada en la calle Cañamar, núm. 11, sin estar en posesión de la preceptiva autorización judicial de entrada en domicilio, conforme exige el art. 18.2 C.E.</w:t>
      </w:r>
    </w:p>
    <w:p w:rsidR="00B01F4A" w:rsidRDefault="00B01F4A" w:rsidP="00B01F4A">
      <w:pPr>
        <w:pStyle w:val="TextoNormal"/>
      </w:pPr>
    </w:p>
    <w:p w:rsidR="00B01F4A" w:rsidRDefault="00B01F4A" w:rsidP="00B01F4A">
      <w:pPr>
        <w:pStyle w:val="TextoNormal"/>
      </w:pPr>
      <w:r w:rsidRPr="00B01F4A">
        <w:rPr>
          <w:rStyle w:val="NumeroAFNegritaCaracter"/>
        </w:rPr>
        <w:t>6</w:t>
      </w:r>
      <w:r>
        <w:t xml:space="preserve">. Por su parte, el Ministerio Fiscal presentó sus alegaciones el día 20 de septiembre de 1996. Tras resumir los antecedentes del recurso, invoca de manera «cautelar» -al no haber aportado el actor el Auto resolutorio de la queja-, que el recurso podría incurrir en extemporaneidad, toda vez que no puede computarse el plazo de veinte días previsto en el art. 44.2 LOTC, desde la fecha de la realización del acto administrativo, ni siquiera desde la providencia que acuerda expedir el oficio para la práctica de la entrada (providencia de 25 de marzo de 1996), puesto que éste no es más que un acto de ejecución de las resoluciones judiciales recurridas. En todo caso, teniendo en cuenta su fecha y que la demandante no aporta documento que acredite su notificación, se desprende que desde dicha providencia hasta la presentación de la demanda de amparo, ha transcurrido, con creces, el plazo de veinte días señalado. </w:t>
      </w:r>
    </w:p>
    <w:p w:rsidR="00B01F4A" w:rsidRDefault="00B01F4A" w:rsidP="00B01F4A">
      <w:pPr>
        <w:pStyle w:val="TextoNormal"/>
      </w:pPr>
      <w:r>
        <w:t xml:space="preserve">Para el caso de no ser estimada la extemporaneidad, estima el Ministerio Público que la identidad del nombre de la persona física, así como del domicilio para el que se autoriza la </w:t>
      </w:r>
      <w:r>
        <w:lastRenderedPageBreak/>
        <w:t xml:space="preserve">entrada no son más que una confusión -incluso tipográfica- que podría determinar al consideración de la sociedad como anónima o limitada, lo que es intrascendente a efectos constitucionales, pues no afecta realmente a la identidad de la persona jurídica, sino a determinados aspectos de su configuración legal que no impiden su identificación. </w:t>
      </w:r>
    </w:p>
    <w:p w:rsidR="00B01F4A" w:rsidRDefault="00B01F4A" w:rsidP="00B01F4A">
      <w:pPr>
        <w:pStyle w:val="TextoNormal"/>
      </w:pPr>
      <w:r>
        <w:t>Además, considera que la alegación de que el Auto de entrada no se encuentra motivado carece de contenido constitucional, pues en el primer Auto se recoge la doctrina de este Tribunal Constitucional sobre las funciones de los Jueces de instrucción y de la jurisdicción contencioso-administrativa, y también, en el Auto resolutorio del recurso de reforma se hace referencia a la decisión de la Sala de lo Contencioso-Administrativo que denegó la suspensión del acto impugnado, de manera que, concluye, ambos autos son acordes con los requisitos exigidos por este Tribunal.</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Examinadas las alegaciones formuladas por la entidad recurrente y por el Ministerio Fiscal en el trámite previsto en el art. 50.3 LOTC, hemos de confirmar nuestra inicial apreciación de que la demanda carece manifiestamente de contenido constitucional, por lo que concurre la causa de inadmisión prevista en el art. 50.1 c) LOTC.</w:t>
      </w:r>
    </w:p>
    <w:p w:rsidR="00B01F4A" w:rsidRDefault="00B01F4A" w:rsidP="00B01F4A">
      <w:pPr>
        <w:pStyle w:val="TextoNormal"/>
      </w:pPr>
    </w:p>
    <w:p w:rsidR="00B01F4A" w:rsidRDefault="00B01F4A" w:rsidP="00B01F4A">
      <w:pPr>
        <w:pStyle w:val="TextoNormal"/>
      </w:pPr>
      <w:r w:rsidRPr="00B01F4A">
        <w:rPr>
          <w:rStyle w:val="NumeroAFNegritaCaracter"/>
        </w:rPr>
        <w:t>2</w:t>
      </w:r>
      <w:r>
        <w:t>. Como es sabido, la intervención del Juzgado llamado a garantizar la inviolabilidad del domicilio se limita, efectivamente, a autorizar a la Administración a que entre en él, entrada que debe estar justificada por una previa decisión administrativa cuya ejecución haga necesaria dicha inmisión (SSTC 22/1984, fundamento jurídico 5.º, y 60/1991, fundamento jurídico 8.º), y que reúna los requisitos propios de un título ejecutivo (STC 137/1985, fundamento jurídico 5.º). Al ejercerse esta atribución, otorgando o denegando la autorización de entrada, el Juzgado no asume el control de la legalidad de la actuación administrativa; y su función de garantía se agota al asegurar que la entrada domiciliaria es, efectivamente, necesaria para ejecutar un acto que, prima facie, parece fundado materialmente en un acto administrativo válido y dictado por autoridad competente en el ejercicio de su facultades propias (SSTC 144/1987 y 50/1996), garantizando al tiempo que esa irrupción en el ámbito de la intimidad se produzca sin más limitaciones (o de otros derechos fundamentales de los ocupantes) que aquellas que sean estrictamente indispensables para ejecutar la resolución administrativa. Intervención de la autoridad judicial que, aunque inserta en un procedimiento administrativo, no puede entenderse como automática (STC 137/1985, fundamento jurídico 5.º), de modo que prive al Juez de toda capacidad de formación de juicio sobre la adecuación de la medida respecto de la finalidad perseguida, pudiendo éste, en consecuencia, examinar, controlar y, en su caso, rechazar la entrada en el domicilio sin consentimiento del interesado. Ha de tratarse, pues, de una resolución motivada, ya que la autorización judicial no es meramente rituaria o mecánica, sino que el Juez debe realizar la ponderación de los intereses en juicio (STC 160/1991) y hace un análisis de las circunstancias concurrentes.  La autorización ha de estar motivada de forma apropiada a su contenido, consistente en la limitación de un derecho fundamental (SSTC 137/1985, 144/1987 y 50/1996).</w:t>
      </w:r>
    </w:p>
    <w:p w:rsidR="00B01F4A" w:rsidRDefault="00B01F4A" w:rsidP="00B01F4A">
      <w:pPr>
        <w:pStyle w:val="TextoNormal"/>
      </w:pPr>
      <w:r>
        <w:t xml:space="preserve">2. En el presente caso, la providencia impugnada se limita a dar cumplimiento a un resolución judicial anterior que ha cumplido las exigencias expuestas, pues específica y motivadamente el Juzgado de Instrucción otorga la autorización después de comprobar que existía un acto administrativo, aparentemente dictado por autoridad competente, y que la entrada era necesaria para la ejecución del acto dictado por la Gerencia Municipal de Urbanismo en </w:t>
      </w:r>
      <w:r>
        <w:lastRenderedPageBreak/>
        <w:t>el que se acordaba la clausura y precintado de la actividad de almacén y comercio al por mayor que venía realizando en tal lugar la entidad actora.</w:t>
      </w:r>
    </w:p>
    <w:p w:rsidR="00B01F4A" w:rsidRDefault="00B01F4A" w:rsidP="00B01F4A">
      <w:pPr>
        <w:pStyle w:val="TextoNormal"/>
      </w:pPr>
      <w:r>
        <w:t>Constatado lo anterior, cabe rechazar, por su inconsistencia, los argumentos aducidos en la demanda de amparo. En efecto, resulta intrascendente la diferente configuración jurídica de la entidad titular del local a cuya entrada se autorizaba, pues el hecho de que se trate de una sociedad anónima o limitada, es una diferencia jurídica que en nada afecta ni a su identificación ni a la titularidad del inmueble en el que debía practicarse la diligencia de entrada. Además, los autos a los que da cumplimiento la providencia impugnada resultan suficientemente motivados, y en los que se explicitan y se exponen las concretas razones que determinan la concesión de la autorización de entrada a la entidad municipal, conforme a las exigencias de la doctrina de este Tribunal Constitucional. Asimismo, se comprueba que en la parte dispositiva del Auto de autorización de la entrada se hace constar la necesidad de que la autoridad administrativa acuse recibo de su cumplimiento del resultado de las diligencias que se practiquen a fin de controlar la real ejecución de lo acordado. Finalmente, resulta incierta la alegación acerca de que exista una autorización indefinida a la Administración sino que, por el contrario, la autorización se restringe a la concreta ejecución del acto administrativo de cierre y clausura del local.</w:t>
      </w:r>
    </w:p>
    <w:p w:rsidR="00B01F4A" w:rsidRDefault="00B01F4A" w:rsidP="00B01F4A">
      <w:pPr>
        <w:pStyle w:val="TextoNormal"/>
      </w:pPr>
      <w:r>
        <w:t>En definitiva, la resolución recurrida da cumplimiento al Auto que, motivadamente, accedió a la solicitud municipal, Auto que no fue impugnado en sede constitucional, que se citó tras verificar el órgano judicial la concurrencia de los presupuestos constitucionalmente necesarios para autorizar la entrada en el inmueble ocupado por la entidad actora, limitándose la recurrente a denunciar una serie de irregularidades formales, respecto a los Autos de autorización, que, además de plantearse extemporáneamente, carecen de relevancia constitucional.</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virtud de lo expuesto, la Sala acuerda la inadmisión del presente recurso de amparo.</w:t>
      </w:r>
    </w:p>
    <w:p w:rsidR="00B01F4A" w:rsidRDefault="00B01F4A" w:rsidP="00B01F4A">
      <w:pPr>
        <w:pStyle w:val="TextoNormal"/>
      </w:pPr>
    </w:p>
    <w:p w:rsidR="00B01F4A" w:rsidRDefault="00B01F4A" w:rsidP="00B01F4A">
      <w:pPr>
        <w:pStyle w:val="TextoNormal"/>
      </w:pPr>
      <w:r>
        <w:t>Madrid, a veintiuno de abril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199" w:name="AUTO_1997_109"/>
      <w:r>
        <w:lastRenderedPageBreak/>
        <w:t>AUTO 109/1997, de 21 de abril de 1997</w:t>
      </w:r>
    </w:p>
    <w:bookmarkEnd w:id="199"/>
    <w:p w:rsidR="00B01F4A" w:rsidRDefault="00B01F4A" w:rsidP="00B01F4A">
      <w:pPr>
        <w:pStyle w:val="TtuloResolucin"/>
      </w:pPr>
      <w:r>
        <w:t>Sala Primera</w:t>
      </w:r>
    </w:p>
    <w:p w:rsidR="00B01F4A" w:rsidRDefault="00B01F4A" w:rsidP="00B01F4A">
      <w:pPr>
        <w:pStyle w:val="TtuloResolucin"/>
      </w:pPr>
    </w:p>
    <w:p w:rsidR="00B01F4A" w:rsidRDefault="00B01F4A" w:rsidP="00B01F4A">
      <w:pPr>
        <w:pStyle w:val="SntesisDescriptiva"/>
      </w:pPr>
      <w:r>
        <w:t>ECLI:ES:TC:1997:109A</w:t>
      </w:r>
    </w:p>
    <w:p w:rsidR="00B01F4A" w:rsidRDefault="00B01F4A" w:rsidP="00B01F4A">
      <w:pPr>
        <w:pStyle w:val="SntesisDescriptiva"/>
      </w:pPr>
    </w:p>
    <w:p w:rsidR="00B01F4A" w:rsidRDefault="00B01F4A" w:rsidP="00B01F4A">
      <w:pPr>
        <w:pStyle w:val="SntesisDescriptiva"/>
      </w:pPr>
      <w:r>
        <w:t>Excms. Srs. don Álvaro Rodríguez Bereijo, don José Vicente Gimeno Sendra, don Pedro Cruz Villalón, don Enrique Ruiz Vadillo, don Manuel Jiménez de Parga y Cabrera y don Pablo García Manzano.</w:t>
      </w:r>
    </w:p>
    <w:p w:rsidR="00B01F4A" w:rsidRDefault="00B01F4A" w:rsidP="00B01F4A">
      <w:pPr>
        <w:pStyle w:val="SntesisDescriptiva"/>
      </w:pPr>
    </w:p>
    <w:p w:rsidR="00B01F4A" w:rsidRDefault="00B01F4A" w:rsidP="00B01F4A">
      <w:pPr>
        <w:pStyle w:val="SntesisDescriptiva"/>
      </w:pPr>
      <w:r>
        <w:t>Denegando la suspensión de la ejecución del acto que origina el recurso de amparo 1.873/1996.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xml:space="preserve">. Por la solicitante de amparo se interpuso la correspondiente demanda en reclamación del mismo, la cual tensa como Antecedentes, los hechos que a continuación se describen: </w:t>
      </w:r>
    </w:p>
    <w:p w:rsidR="00B01F4A" w:rsidRDefault="00B01F4A" w:rsidP="00B01F4A">
      <w:pPr>
        <w:pStyle w:val="TextoNormal"/>
      </w:pPr>
      <w:r>
        <w:t xml:space="preserve">a) El día 16 de septiembre de 1994, el Juzgado de Primera Instancia núm. 5 de Alicante dictó Sentencia estimatoria en el juicio de cognición núm. 55/94 de las pretensiones de la ahora demandante de amparo, contra doña Ana Botella Ronda, doña Purificación Botella Ronda y doña Ángeles Tomás Rodríguez, quienes actuaron de manera independiente bajo la dirección de distintos Abogados y la representación de diferentes Procuradores de los Tribunales, toda vez que sus alegaciones fueron de distinto e incompatible contenido. Doña Ana Botella Ronda fue declarada, sin embargo, en la situación de rebeldía procesal. </w:t>
      </w:r>
    </w:p>
    <w:p w:rsidR="00B01F4A" w:rsidRDefault="00B01F4A" w:rsidP="00B01F4A">
      <w:pPr>
        <w:pStyle w:val="TextoNormal"/>
      </w:pPr>
      <w:r>
        <w:t xml:space="preserve">b) Por providencia de 1 de marzo de 1995 se admitió a trámite el recurso de apelación interpuesto por la representación de doña Purificación Botella contra la Sentencia dictada en la instancia, mientras que se inadmitía el formulado por doña Ángeles Tomás, al haberse formulado el mismo fuera de plazo. </w:t>
      </w:r>
    </w:p>
    <w:p w:rsidR="00B01F4A" w:rsidRDefault="00B01F4A" w:rsidP="00B01F4A">
      <w:pPr>
        <w:pStyle w:val="TextoNormal"/>
      </w:pPr>
      <w:r>
        <w:t xml:space="preserve">c) En el plazo concedido en la indicada providencia de 1 de marzo de 1995, por la representación de doña Ángeles Tomás se presentó escrito al Juzgado en el que manifestaba adherirse a la apelación admitida a trámite. No obstante, las alegaciones contenidas en dicha adhesión verdaderamente suponían la formulación de un nuevo y distinto recurso, ya que las alegaciones en él contenidas no sólo eran diferentes, sino que incluso tenían el carácter de incompatibles con las del anterior. </w:t>
      </w:r>
    </w:p>
    <w:p w:rsidR="00B01F4A" w:rsidRDefault="00B01F4A" w:rsidP="00B01F4A">
      <w:pPr>
        <w:pStyle w:val="TextoNormal"/>
      </w:pPr>
      <w:r>
        <w:t xml:space="preserve">d) La parte demandante de amparo impugnó la apelación interpuesta como principal dentro del plazo establecido al efecto en el art. 734 L.E.C., así como la adhesión a la apelación que había sido formulada, al constituir un verdadero recurso de apelación independiente, advirtiéndose la indefensión que a la ahora recurrente se ocasionaría si se admitía dicha «adhesión», sin conceder la oportunidad procesal de su impugnación. </w:t>
      </w:r>
    </w:p>
    <w:p w:rsidR="00B01F4A" w:rsidRDefault="00B01F4A" w:rsidP="00B01F4A">
      <w:pPr>
        <w:pStyle w:val="TextoNormal"/>
      </w:pPr>
      <w:r>
        <w:t xml:space="preserve">e) Por providencia de 29 de marzo de 1995 se inadmitió el escrito del solicitante de amparo, solicitando el trámite procesal de impugnación de la adhesión a la apelación indicada. </w:t>
      </w:r>
    </w:p>
    <w:p w:rsidR="00B01F4A" w:rsidRDefault="00B01F4A" w:rsidP="00B01F4A">
      <w:pPr>
        <w:pStyle w:val="TextoNormal"/>
      </w:pPr>
      <w:r>
        <w:t xml:space="preserve">f) Finalmente, por la Audiencia Provincial se produce una estimación parcial del recurso de apelación, y una estimación integra de la adhesión a la apelación, lo que motiva tanto la interposición del presente recurso de amparo, como la petición cautelar consistente en la suspensión de la ejecución dictada por la Sala, en la se declara la vigencia del contrato de </w:t>
      </w:r>
      <w:r>
        <w:lastRenderedPageBreak/>
        <w:t>arrendamiento urbano de local de negocio que vincula a la actora y a las demandadas, esta última en su calidad de socia de la mercantil irregular «Garage Tracy».</w:t>
      </w:r>
    </w:p>
    <w:p w:rsidR="00B01F4A" w:rsidRDefault="00B01F4A" w:rsidP="00B01F4A">
      <w:pPr>
        <w:pStyle w:val="TextoNormal"/>
      </w:pPr>
    </w:p>
    <w:p w:rsidR="00B01F4A" w:rsidRDefault="00B01F4A" w:rsidP="00B01F4A">
      <w:pPr>
        <w:pStyle w:val="TextoNormal"/>
      </w:pPr>
      <w:r w:rsidRPr="00B01F4A">
        <w:rPr>
          <w:rStyle w:val="NumeroAFNegritaCaracter"/>
        </w:rPr>
        <w:t>2</w:t>
      </w:r>
      <w:r>
        <w:t>. Por la recurrente en amparo se alega la vulneración en el procedimiento judicial del derecho a la tutela judicial efectiva (art. 24.1 C.E.), como consecuencia de la indefensión producida, por el hecho de no haber gozado de la oportunidad procesal tanto en la instancia como en apelación de haber procedido a la impugnación del recurso de apelación adhesivo formulado, en el que se contenían, como ha quedado dicho, no sólo pretensiones diferentes al interpuesto con el carácter de principal, sino incluso incompatibles con el mismo. Por ello solicita en el apartado c) del suplico de su escrito de demanda la suspensión de la Sentencia impugnada en lo referente a la condena en costas por los perjuicios irreparables que podría conllevar la ejecución de la misma.</w:t>
      </w:r>
    </w:p>
    <w:p w:rsidR="00B01F4A" w:rsidRDefault="00B01F4A" w:rsidP="00B01F4A">
      <w:pPr>
        <w:pStyle w:val="TextoNormal"/>
      </w:pPr>
    </w:p>
    <w:p w:rsidR="00B01F4A" w:rsidRDefault="00B01F4A" w:rsidP="00B01F4A">
      <w:pPr>
        <w:pStyle w:val="TextoNormal"/>
      </w:pPr>
      <w:r w:rsidRPr="00B01F4A">
        <w:rPr>
          <w:rStyle w:val="NumeroAFNegritaCaracter"/>
        </w:rPr>
        <w:t>3</w:t>
      </w:r>
      <w:r>
        <w:t>. Por providencia de 10 de marzo de 1996 se acordó formar pieza separada de suspensión con el precedente testimonio, y a tenor de lo dispuesto en el art. 56 de la LOTC, se acordó conceder un plazo de tres días al Ministerio Fiscal, y a la solicitante de amparo para que formularan las alegaciones que estimaran pertinentes sobre la suspensión solicitada.</w:t>
      </w:r>
    </w:p>
    <w:p w:rsidR="00B01F4A" w:rsidRDefault="00B01F4A" w:rsidP="00B01F4A">
      <w:pPr>
        <w:pStyle w:val="TextoNormal"/>
      </w:pPr>
    </w:p>
    <w:p w:rsidR="00B01F4A" w:rsidRDefault="00B01F4A" w:rsidP="00B01F4A">
      <w:pPr>
        <w:pStyle w:val="TextoNormal"/>
      </w:pPr>
      <w:r w:rsidRPr="00B01F4A">
        <w:rPr>
          <w:rStyle w:val="NumeroAFNegritaCaracter"/>
        </w:rPr>
        <w:t>4</w:t>
      </w:r>
      <w:r>
        <w:t>. Por la parte recurrente en amparo se presentó escrito ante el registro de este Tribunal el día 17 de marzo de 1997, en el que solicitó la suspensión de la resolución impugnada, pero no sólo en lo atinente a la condena en costas, sino a todos los pronunciamientos contenidos en la misma.</w:t>
      </w:r>
    </w:p>
    <w:p w:rsidR="00B01F4A" w:rsidRDefault="00B01F4A" w:rsidP="00B01F4A">
      <w:pPr>
        <w:pStyle w:val="TextoNormal"/>
      </w:pPr>
    </w:p>
    <w:p w:rsidR="00B01F4A" w:rsidRDefault="00B01F4A" w:rsidP="00B01F4A">
      <w:pPr>
        <w:pStyle w:val="TextoNormal"/>
      </w:pPr>
      <w:r w:rsidRPr="00B01F4A">
        <w:rPr>
          <w:rStyle w:val="NumeroAFNegritaCaracter"/>
        </w:rPr>
        <w:t>5</w:t>
      </w:r>
      <w:r>
        <w:t>. El Ministerio Fiscal, por escrito registrado el día 3 de abril de 1997, manifestó la no procedencia de la suspensión solicitada, ya que la actora no especifica los posibles perjuicios que harían perder al presente recurso de amparo constitucional su finalidad. El Ministerio Fiscal entiende que no es posible apreciar los perjuicios exigidos en la LOTC porque la ejecución de la Sentencia suponga el mantenimiento de la relación arrendaticia existente entre la sociedad irregular y la actora, quien recibe el correspondiente pago del precio del arrendamiento, por lo que la situación jurídica y fáctica del contrato no ha sufrido modificación alguna. Cautelarmente, según indica el Ministerio Fiscal, el Tribunal Constitucional podría ordenar la anotación preventiva de la demanda de amparo a los efectos legales pertinentes.</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B01F4A" w:rsidRDefault="00B01F4A" w:rsidP="00B01F4A">
      <w:pPr>
        <w:pStyle w:val="TextoNormal"/>
      </w:pPr>
      <w:r>
        <w:t xml:space="preserve">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w:t>
      </w:r>
      <w:r>
        <w:lastRenderedPageBreak/>
        <w:t>victorioso, que se ve privado de la efectividad del pronunciamiento favorable a sus pretensiones, por lo que la regla general ha de ser la improcedencia de la suspensión, siendo excepcional su adopción (ATC 275/1986, por todos).</w:t>
      </w:r>
    </w:p>
    <w:p w:rsidR="00B01F4A" w:rsidRDefault="00B01F4A" w:rsidP="00B01F4A">
      <w:pPr>
        <w:pStyle w:val="TextoNormal"/>
      </w:pPr>
      <w:r>
        <w:t>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en los que no procede acordar la suspensión, y aquellos otros fallos judiciales cuya ejecución, por afectar a bienes o derechos del recurrente de imposible restitución a su estado anterior (tales como las condenas penales privativas de libertad o de privación o limitación de ciertos derechos), en los que es procedente la suspensión de la ejecución de la resolución judicial (AATC 573/1985, 574/1985 y 275/1990, entre otros muchos).</w:t>
      </w:r>
    </w:p>
    <w:p w:rsidR="00B01F4A" w:rsidRDefault="00B01F4A" w:rsidP="00B01F4A">
      <w:pPr>
        <w:pStyle w:val="TextoNormal"/>
      </w:pPr>
    </w:p>
    <w:p w:rsidR="00B01F4A" w:rsidRDefault="00B01F4A" w:rsidP="00B01F4A">
      <w:pPr>
        <w:pStyle w:val="TextoNormal"/>
      </w:pPr>
      <w:r w:rsidRPr="00B01F4A">
        <w:rPr>
          <w:rStyle w:val="NumeroAFNegritaCaracter"/>
        </w:rPr>
        <w:t>2</w:t>
      </w:r>
      <w:r>
        <w:t>. En el presente caso no cabe acceder a la suspensión de la ejecución de la sentencia firme impugnada, dado que, en primer término, la recurrente en amparo no ha precisado en qué consisten los perjuicios irreparables que se le irrogarían por la ejecución cuya paralización pretende; y, en segundo lugar, por cuanto en el suplico de su demanda de amparo ha contraído la suspensión al extremo o pronunciamiento relativo a la condena en costas, por lo que no cabe apreciar la irreparabilidad del perjuicio, al tratarse de un simple detrimento económico que admitiría una íntegra restitución en el caso de eventual sentencia estimatoria del recurso de amparo, de tal modo que la ejecución de la sentencia impugnada no hace perder a aquél su finalidad.</w:t>
      </w:r>
    </w:p>
    <w:p w:rsidR="00B01F4A" w:rsidRDefault="00B01F4A" w:rsidP="00B01F4A">
      <w:pPr>
        <w:pStyle w:val="TextoNormal"/>
      </w:pPr>
    </w:p>
    <w:p w:rsidR="00B01F4A" w:rsidRDefault="00B01F4A" w:rsidP="00B01F4A">
      <w:pPr>
        <w:pStyle w:val="TextoNormal"/>
      </w:pPr>
      <w:r w:rsidRPr="00B01F4A">
        <w:rPr>
          <w:rStyle w:val="NumeroAFNegritaCaracter"/>
        </w:rPr>
        <w:t>3</w:t>
      </w:r>
      <w:r>
        <w:t>. En consecuencia procede, tal como interesa el Ministerio Fiscal y conforme a lo establecido por el art. 56.1 LOTC, la denegación de la suspensión solicitada.</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ello, la Sala acuerda denegar la suspensión solicitada.</w:t>
      </w:r>
    </w:p>
    <w:p w:rsidR="00B01F4A" w:rsidRDefault="00B01F4A" w:rsidP="00B01F4A">
      <w:pPr>
        <w:pStyle w:val="TextoNormal"/>
      </w:pPr>
    </w:p>
    <w:p w:rsidR="00B01F4A" w:rsidRDefault="00B01F4A" w:rsidP="00B01F4A">
      <w:pPr>
        <w:pStyle w:val="TextoNormal"/>
      </w:pPr>
      <w:r>
        <w:t>Madrid, a veintiuno de abril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200" w:name="AUTO_1997_110"/>
      <w:r>
        <w:lastRenderedPageBreak/>
        <w:t>AUTO 110/1997, de 21 de abril de 1997</w:t>
      </w:r>
    </w:p>
    <w:bookmarkEnd w:id="200"/>
    <w:p w:rsidR="00B01F4A" w:rsidRDefault="00B01F4A" w:rsidP="00B01F4A">
      <w:pPr>
        <w:pStyle w:val="TtuloResolucin"/>
      </w:pPr>
      <w:r>
        <w:t>Sección Tercera</w:t>
      </w:r>
    </w:p>
    <w:p w:rsidR="00B01F4A" w:rsidRDefault="00B01F4A" w:rsidP="00B01F4A">
      <w:pPr>
        <w:pStyle w:val="TtuloResolucin"/>
      </w:pPr>
    </w:p>
    <w:p w:rsidR="00B01F4A" w:rsidRDefault="00B01F4A" w:rsidP="00B01F4A">
      <w:pPr>
        <w:pStyle w:val="SntesisDescriptiva"/>
      </w:pPr>
      <w:r>
        <w:t>ECLI:ES:TC:1997:110A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y don Julio D. González Campos.</w:t>
      </w:r>
    </w:p>
    <w:p w:rsidR="00B01F4A" w:rsidRDefault="00B01F4A" w:rsidP="00B01F4A">
      <w:pPr>
        <w:pStyle w:val="SntesisDescriptiva"/>
      </w:pPr>
    </w:p>
    <w:p w:rsidR="00B01F4A" w:rsidRDefault="00B01F4A" w:rsidP="00B01F4A">
      <w:pPr>
        <w:pStyle w:val="SntesisDescriptiva"/>
      </w:pPr>
      <w:r>
        <w:t>Acuerda el desistimiento en el recurso de amparo 2.128/1996, promovido en causa penal.</w:t>
      </w:r>
    </w:p>
    <w:p w:rsidR="00B01F4A" w:rsidRDefault="00B01F4A" w:rsidP="00B01F4A">
      <w:pPr>
        <w:pStyle w:val="SntesisDescriptiva"/>
      </w:pPr>
    </w:p>
    <w:p w:rsidR="00B01F4A" w:rsidRDefault="00B01F4A" w:rsidP="00B01F4A">
      <w:pPr>
        <w:pStyle w:val="SntesisAnaltica"/>
      </w:pPr>
      <w:r>
        <w:t>Desistimiento del recurso de amparo: procede.</w:t>
      </w:r>
    </w:p>
    <w:p w:rsidR="00B01F4A" w:rsidRDefault="00B01F4A" w:rsidP="00B01F4A">
      <w:pPr>
        <w:pStyle w:val="SntesisAnaltica"/>
      </w:pPr>
    </w:p>
    <w:p w:rsidR="00B01F4A" w:rsidRDefault="00B01F4A" w:rsidP="00B01F4A">
      <w:pPr>
        <w:pStyle w:val="SntesisAnaltica"/>
      </w:pPr>
    </w:p>
    <w:p w:rsidR="00B01F4A" w:rsidRDefault="00B01F4A" w:rsidP="00B01F4A">
      <w:pPr>
        <w:pStyle w:val="SntesisAnaltic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201" w:name="AUTO_1997_111"/>
      <w:r>
        <w:lastRenderedPageBreak/>
        <w:t>AUTO 111/1997, de 21 de abril de 1997</w:t>
      </w:r>
    </w:p>
    <w:bookmarkEnd w:id="201"/>
    <w:p w:rsidR="00B01F4A" w:rsidRDefault="00B01F4A" w:rsidP="00B01F4A">
      <w:pPr>
        <w:pStyle w:val="TtuloResolucin"/>
      </w:pPr>
      <w:r>
        <w:t>Sección Tercera</w:t>
      </w:r>
    </w:p>
    <w:p w:rsidR="00B01F4A" w:rsidRDefault="00B01F4A" w:rsidP="00B01F4A">
      <w:pPr>
        <w:pStyle w:val="TtuloResolucin"/>
      </w:pPr>
    </w:p>
    <w:p w:rsidR="00B01F4A" w:rsidRDefault="00B01F4A" w:rsidP="00B01F4A">
      <w:pPr>
        <w:pStyle w:val="SntesisDescriptiva"/>
      </w:pPr>
      <w:r>
        <w:t>ECLI:ES:TC:1997:111A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y don Julio D. González Campos.</w:t>
      </w:r>
    </w:p>
    <w:p w:rsidR="00B01F4A" w:rsidRDefault="00B01F4A" w:rsidP="00B01F4A">
      <w:pPr>
        <w:pStyle w:val="SntesisDescriptiva"/>
      </w:pPr>
    </w:p>
    <w:p w:rsidR="00B01F4A" w:rsidRDefault="00B01F4A" w:rsidP="00B01F4A">
      <w:pPr>
        <w:pStyle w:val="SntesisDescriptiva"/>
      </w:pPr>
      <w:r>
        <w:t>Acordando la inadmisión a trámite del recurso de amparo 2.818/1996.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en este Tribunal el 11 de julio de 1996, el Procurador de los Tribunales don Guillermo García San Miguel Hoover, en nombre y representación de don Eugenio Martínez Jiménez, bajo la dirección letrada de don Juan García Alarcón, interpuso recurso de amparo contra diversas resoluciones judiciales, que relacionadas cronológicamente son las siguientes: Auto del Juzgado Central de Instrucción núm. 3 (bis), de 8 de abril de 1996, que decidió convertir las diligencias previas núm. 234/94-M en procedimiento abreviado; Auto del mismo Juzgado, fechado el 24 de abril de 1996, que desestimó el recurso de reforma interpuesto contra el anterior Auto; y Auto de la Sección Segunda de la Sala de lo Penal de la Audiencia Nacional, de fecha 12 de junio de 1996, que desestimó el recurso de queja contra el Auto denegatorio del recurso de reforma, que se acaba de mencionar.</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Los hechos en los que se basa la demanda son, en síntesis, los siguientes: </w:t>
      </w:r>
    </w:p>
    <w:p w:rsidR="00B01F4A" w:rsidRDefault="00B01F4A" w:rsidP="00B01F4A">
      <w:pPr>
        <w:pStyle w:val="TextoNormal"/>
      </w:pPr>
      <w:r>
        <w:t xml:space="preserve">a) En las diligencias previas núm. 234/94-M, incoadas a raíz de la querella interpuesta por el Ministerio Fiscal contra don Mario Conde y otros, se tomó declaración a don Eugenio Martínez Jiménez como testigo el día 5 de diciembre de 1994, y como imputado, y a instancia del Ministerio Fiscal, el 28 de marzo de 1996. </w:t>
      </w:r>
    </w:p>
    <w:p w:rsidR="00B01F4A" w:rsidRDefault="00B01F4A" w:rsidP="00B01F4A">
      <w:pPr>
        <w:pStyle w:val="TextoNormal"/>
      </w:pPr>
      <w:r>
        <w:t xml:space="preserve">b) Con fecha 1 de abril de 1996 el ahora recurrente de amparo solicitó al Juzgado Central de Instrucción núm. 3 (bis) que dictara el sobreseimiento de la causa respecto a él. El Juzgado, sin resolver expresamente esa petición, dictó el Auto de 8 de abril de 1996, decidiendo la conversión de las diligencias previas en procedimiento abreviado. El mismo órgano judicial, por providencia de 9 de abril de 1996, dispuso,. respecto a la solicitud de sobreseimiento, que «en el momento oportuno se acordará lo que proceda». </w:t>
      </w:r>
    </w:p>
    <w:p w:rsidR="00B01F4A" w:rsidRDefault="00B01F4A" w:rsidP="00B01F4A">
      <w:pPr>
        <w:pStyle w:val="TextoNormal"/>
      </w:pPr>
      <w:r>
        <w:t xml:space="preserve">c) El demandante interpuso recurso de reforma contra el Auto que había acordado la conversión de las diligencias previas en procedimiento abreviado, que fue desestimado por Auto del mismo Juzgado, de 24 de abril de 1996, por el que se rechazaba la solicitud de sobreseimiento, y se expresaba que «no se está haciendo por parte del instructor «ningún juicio de intenciones», sino dando estricto cumplimiento a la letra y al espíritu del procedimiento abreviado en que nos encontramos». La representación del Sr. Martínez entiende que esa expresión permitía deducir que no se le consideraba todavía formalmente imputado. </w:t>
      </w:r>
    </w:p>
    <w:p w:rsidR="00B01F4A" w:rsidRDefault="00B01F4A" w:rsidP="00B01F4A">
      <w:pPr>
        <w:pStyle w:val="TextoNormal"/>
      </w:pPr>
      <w:r>
        <w:lastRenderedPageBreak/>
        <w:t xml:space="preserve">d) Con fecha 27 de mayo de 1996, el Juzgado dictó el Auto de apertura del juicio oral, en el que sí se contenía expresa y formal imputación contra el recurrente. </w:t>
      </w:r>
    </w:p>
    <w:p w:rsidR="00B01F4A" w:rsidRDefault="00B01F4A" w:rsidP="00B01F4A">
      <w:pPr>
        <w:pStyle w:val="TextoNormal"/>
      </w:pPr>
      <w:r>
        <w:t xml:space="preserve">e) Interpuesto recurso de queja contra el Auto de 24 de abril de 1996, la Sección Segunda de la Sala de lo Penal de la Audiencia Nacional lo desestimó mediante Auto de 12 de junio de 1996. </w:t>
      </w:r>
    </w:p>
    <w:p w:rsidR="00B01F4A" w:rsidRDefault="00B01F4A" w:rsidP="00B01F4A">
      <w:pPr>
        <w:pStyle w:val="TextoNormal"/>
      </w:pPr>
      <w:r>
        <w:t xml:space="preserve">f) Contra dicho Auto presentó el demandante recurso de súplica que fue inadmitido a trámite mediante providencia de 25 de junio de 1996. </w:t>
      </w:r>
    </w:p>
    <w:p w:rsidR="00B01F4A" w:rsidRDefault="00B01F4A" w:rsidP="00B01F4A">
      <w:pPr>
        <w:pStyle w:val="TextoNormal"/>
      </w:pPr>
      <w:r>
        <w:t>g) El actor solicitó asimismo la nulidad de actuaciones respecto del Auto de apertura del juicio oral, lo que fue desestimado por el mismo Juzgado a través de Auto de 4 de julio de 1996.</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La demanda formula la solicitud de anulación de las resoluciones impugnadas, por entender que se ha vulnerado el derecho del recurrente a la tutela judicial efectiva, en su vertiente de derecho de defensa contradictoria y de ser informado de la acusación, que garantiza el art. 24.1 y 2 de la C.E. En opinión del demandante toda la instrucción se ha realizado a sus espaldas, sin tener la condición de imputado, lo que ha motivado su indefensión. Esta valoración genérica de la situación procesal del recurrente se apoya en los siguientes datos: </w:t>
      </w:r>
    </w:p>
    <w:p w:rsidR="00B01F4A" w:rsidRDefault="00B01F4A" w:rsidP="00B01F4A">
      <w:pPr>
        <w:pStyle w:val="TextoNormal"/>
      </w:pPr>
      <w:r>
        <w:t xml:space="preserve">a) Que la primera vez que declaró (5 de diciembre de 1994) lo hizo en calidad de testigo. </w:t>
      </w:r>
    </w:p>
    <w:p w:rsidR="00B01F4A" w:rsidRDefault="00B01F4A" w:rsidP="00B01F4A">
      <w:pPr>
        <w:pStyle w:val="TextoNormal"/>
      </w:pPr>
      <w:r>
        <w:t xml:space="preserve">b) Que quince meses después (28 de marzo de 1996) declaró como imputado a instancia del Ministerio Fiscal, respecto de otros hechos distintos respecto de los que había declarado -como testigo- anteriormente. De esta manera, el Sr. Martínez «siendo el primer intérprete de estas actuaciones, como testigo, lo es también el último, como imputado, sin posibilidad alguna de defenderse». </w:t>
      </w:r>
    </w:p>
    <w:p w:rsidR="00B01F4A" w:rsidRDefault="00B01F4A" w:rsidP="00B01F4A">
      <w:pPr>
        <w:pStyle w:val="TextoNormal"/>
      </w:pPr>
      <w:r>
        <w:t xml:space="preserve">c) Que esta declaración como imputado no vale como denuncia, ya que no puso en conocimiento del Instructor hechos que éste desconociera. </w:t>
      </w:r>
    </w:p>
    <w:p w:rsidR="00B01F4A" w:rsidRDefault="00B01F4A" w:rsidP="00B01F4A">
      <w:pPr>
        <w:pStyle w:val="TextoNormal"/>
      </w:pPr>
      <w:r>
        <w:t xml:space="preserve">d) Que el art. 118 L.E.Crim. no puede ser entendido literalmente, sino que debe ser completado con la imprescindible valoración circunstanciada del Instructor, lo que no ha existido antes de la apertura del juicio oral. </w:t>
      </w:r>
    </w:p>
    <w:p w:rsidR="00B01F4A" w:rsidRDefault="00B01F4A" w:rsidP="00B01F4A">
      <w:pPr>
        <w:pStyle w:val="TextoNormal"/>
      </w:pPr>
      <w:r>
        <w:t xml:space="preserve">e) Que el Juez declara que no realiza «ningún juicio de intenciones», lo que es interpretado por el recurrente en el sentido de que carece de la condición de imputado. </w:t>
      </w:r>
    </w:p>
    <w:p w:rsidR="00B01F4A" w:rsidRDefault="00B01F4A" w:rsidP="00B01F4A">
      <w:pPr>
        <w:pStyle w:val="TextoNormal"/>
      </w:pPr>
      <w:r>
        <w:t xml:space="preserve">f) Que entre la declaración como imputado (28 de marzo de 1996) y el Auto de la conversión de las diligencias previas en procedimiento abreviado (8 de abril de 1996) sólo mediaron diez días, de los cuales sólo tres fueron hábiles, por ser los demás sábados, domingos, así como jueves santo y viernes santo; por lo que en ese exiguo plazo mal se pudo ejercitar el derecho de defensa. </w:t>
      </w:r>
    </w:p>
    <w:p w:rsidR="00B01F4A" w:rsidRDefault="00B01F4A" w:rsidP="00B01F4A">
      <w:pPr>
        <w:pStyle w:val="TextoNormal"/>
      </w:pPr>
      <w:r>
        <w:t>En apoyo de la vulneración denunciada, la demanda cita las SSTC 186/1990 y 128/1993, donde se expresa que en el período de instrucción del procedimiento abreviado deben observarse las siguientes garantías: que el Juez determine quién es el presunto autor del delito, a fin de comunicarle el hecho ilícito que se le atribuye; que el Juez de Instrucción, tan pronto como efectúe una provisional ponderación de la verosimilitud de la imputación debe considerarle como imputado; que la imputación no ha de retrasarse más de lo estrictamente necesario; que no puede practicarse la investigación sumarial a sus espaldas; que el acusado haya gozado del derecho de defensa en la instrucción; y que el acusado pueda exculparse de la carga contra él existente.</w:t>
      </w:r>
    </w:p>
    <w:p w:rsidR="00B01F4A" w:rsidRDefault="00B01F4A" w:rsidP="00B01F4A">
      <w:pPr>
        <w:pStyle w:val="TextoNormal"/>
      </w:pPr>
    </w:p>
    <w:p w:rsidR="00B01F4A" w:rsidRDefault="00B01F4A" w:rsidP="00B01F4A">
      <w:pPr>
        <w:pStyle w:val="TextoNormal"/>
      </w:pPr>
      <w:r w:rsidRPr="00B01F4A">
        <w:rPr>
          <w:rStyle w:val="NumeroAFNegritaCaracter"/>
        </w:rPr>
        <w:lastRenderedPageBreak/>
        <w:t>4</w:t>
      </w:r>
      <w:r>
        <w:t>. La representación del recurrente, en escrito registrado en el Juzgado de Guardia el 25 de octubre de 1996, adjuntó a la demanda una resolución de otro órgano judicial, que, según su criterio, apoyaba sus alegaciones.</w:t>
      </w:r>
    </w:p>
    <w:p w:rsidR="00B01F4A" w:rsidRDefault="00B01F4A" w:rsidP="00B01F4A">
      <w:pPr>
        <w:pStyle w:val="TextoNormal"/>
      </w:pPr>
    </w:p>
    <w:p w:rsidR="00B01F4A" w:rsidRDefault="00B01F4A" w:rsidP="00B01F4A">
      <w:pPr>
        <w:pStyle w:val="TextoNormal"/>
      </w:pPr>
      <w:r w:rsidRPr="00B01F4A">
        <w:rPr>
          <w:rStyle w:val="NumeroAFNegritaCaracter"/>
        </w:rPr>
        <w:t>5</w:t>
      </w:r>
      <w:r>
        <w:t>. Mediante providencia de 14 de noviembre de 1996, la Sección Tercera de este Tribunal requirió al demandante de amparo para que subsanara la falta de acreditación de la fecha de notificación de la resolución impugnada.</w:t>
      </w:r>
    </w:p>
    <w:p w:rsidR="00B01F4A" w:rsidRDefault="00B01F4A" w:rsidP="00B01F4A">
      <w:pPr>
        <w:pStyle w:val="TextoNormal"/>
      </w:pPr>
    </w:p>
    <w:p w:rsidR="00B01F4A" w:rsidRDefault="00B01F4A" w:rsidP="00B01F4A">
      <w:pPr>
        <w:pStyle w:val="TextoNormal"/>
      </w:pPr>
      <w:r w:rsidRPr="00B01F4A">
        <w:rPr>
          <w:rStyle w:val="NumeroAFNegritaCaracter"/>
        </w:rPr>
        <w:t>6</w:t>
      </w:r>
      <w:r>
        <w:t>. Subsanado el defecto, la misma Sección dictó providencia de 24 de febrero de 1996, por la que se concedió al recurrente y al Ministerio Fiscal un plazo común de diez días para que formularan, con las aportaciones documentales procedentes, las alegaciones que estimasen pertinentes en relación con la carencia manifiesta de contenido constitucional de la demanda, de conformidad con el art. 50.1 c) de la LOTC.</w:t>
      </w:r>
    </w:p>
    <w:p w:rsidR="00B01F4A" w:rsidRDefault="00B01F4A" w:rsidP="00B01F4A">
      <w:pPr>
        <w:pStyle w:val="TextoNormal"/>
      </w:pPr>
    </w:p>
    <w:p w:rsidR="00B01F4A" w:rsidRDefault="00B01F4A" w:rsidP="00B01F4A">
      <w:pPr>
        <w:pStyle w:val="TextoNormal"/>
      </w:pPr>
      <w:r w:rsidRPr="00B01F4A">
        <w:rPr>
          <w:rStyle w:val="NumeroAFNegritaCaracter"/>
        </w:rPr>
        <w:t>7</w:t>
      </w:r>
      <w:r>
        <w:t>. Mediante escrito de 11 de marzo de 1997, la representación del recurrente dio cumplimiento al anterior proveído, reiterando la solicitud de concesión del amparo y alegando que la demanda no carecía de contenido constitucional, para cuya fundamentación se reiteraban los argumentos ya contenidos en ella y se aducían diversas resoluciones judiciales en apoyo de sus pretensiones.</w:t>
      </w:r>
    </w:p>
    <w:p w:rsidR="00B01F4A" w:rsidRDefault="00B01F4A" w:rsidP="00B01F4A">
      <w:pPr>
        <w:pStyle w:val="TextoNormal"/>
      </w:pPr>
    </w:p>
    <w:p w:rsidR="00B01F4A" w:rsidRDefault="00B01F4A" w:rsidP="00B01F4A">
      <w:pPr>
        <w:pStyle w:val="TextoNormal"/>
      </w:pPr>
      <w:r w:rsidRPr="00B01F4A">
        <w:rPr>
          <w:rStyle w:val="NumeroAFNegritaCaracter"/>
        </w:rPr>
        <w:t>8</w:t>
      </w:r>
      <w:r>
        <w:t>. El Fiscal ante el Tribunal Constitucional presentó su escrito de alegaciones en fecha 18 de marzo de 1997, en el que interesaba la inadmisión del recurso, por carecer manifiestamente la demanda de contenido que justifique una decisión sobre el fondo. Sustancialmente, fundamentaba esta propuesta en tres razones. La primera, que la demanda pretendía recurrir una resolución judicial interlocutoria, lo que la convertía a aquélla en prematura, pues el pretendido defecto que se le imputaba todavía podía ser remediado en la vía judicial ordinaria mediante su exposición en la vista regulada en el art. 793.2 de la L.E.Crim. La segunda, que puesto que el recurrente no fue inculpado en la querella presentada en su día por el Ministerio Fiscal, sólo adquirió la condición de imputado cuando fue llamado a declarar por la representación pública. Y la tercera, que desde ese momento transcurrieron días suficientes para que solicitara la práctica de las pruebas que a su derecho pudiera convenir, de manera que sólo su propia indiligencia permitió la apertura del juicio oral sin que hiciera tal solicitud; en cualquier caso -se añade- la misma es reproducible no sólo en el escrito de calificación sino en la fase previa del procedimiento, como indica el Auto de la Sala. En conclusión, no aprecia indefensión material en el caso de autos.</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EB5FD0" w:rsidP="00B01F4A">
      <w:pPr>
        <w:pStyle w:val="TextoNormal"/>
      </w:pPr>
      <w:r>
        <w:rPr>
          <w:rStyle w:val="NumeroAFNegritaCaracter"/>
        </w:rPr>
        <w:t>Ú</w:t>
      </w:r>
      <w:r w:rsidR="00B01F4A" w:rsidRPr="00EB5FD0">
        <w:rPr>
          <w:rStyle w:val="NumeroAFNegritaCaracter"/>
        </w:rPr>
        <w:t>nico.</w:t>
      </w:r>
      <w:r w:rsidR="00B01F4A">
        <w:t xml:space="preserve"> Interpuesto el recurso de amparo contra el Auto del Juzgado Central de Instrucción núm. 3 (bis), que decidió convertir las diligencias previas en procedimiento abreviado, procede su inadmisión a trámite por carecer manifiestamente de contenido que</w:t>
      </w:r>
    </w:p>
    <w:p w:rsidR="00B01F4A" w:rsidRDefault="00B01F4A" w:rsidP="00B01F4A">
      <w:pPr>
        <w:pStyle w:val="TextoNormal"/>
      </w:pPr>
      <w:r>
        <w:t>justifique una decisión de fondo por parte de este Tribunal, como anticipábamos en nuestra providencia de 24 de febrero de 1997 y como sostiene el Ministerio Fiscal.</w:t>
      </w:r>
    </w:p>
    <w:p w:rsidR="00B01F4A" w:rsidRDefault="00B01F4A" w:rsidP="00B01F4A">
      <w:pPr>
        <w:pStyle w:val="TextoNormal"/>
      </w:pPr>
      <w:r>
        <w:t xml:space="preserve">En efecto, el recurrente adquirió la condición procesal de imputado a raíz de la declaración efectuada a instancia del Ministerio Fiscal el día 28 de marzo de 1996, con las garantías procesales previstas en la Ley. Desde esta fecha hasta la de notificación del Auto de 8 de </w:t>
      </w:r>
      <w:r>
        <w:lastRenderedPageBreak/>
        <w:t>abril de 1996, al que antes se ha hecho referencia, transcurrió un período suficiente para que se propusieran cuantas diligencias se hubieran considerado oportunas. Hay que advertir que, frente a lo afirmado en la demanda, durante la fase sumarial o de instrucción de los procesos penales son hábiles todos los días del año y todas las horas, según lo previsto en el art. 184.1 de la L.O.P.J. y en el art. 201 de la L.E.Crim. El hecho de que durante ese tiempo no fueran propuestas tales diligencias es sólo imputable a su propia actuación.</w:t>
      </w:r>
    </w:p>
    <w:p w:rsidR="00B01F4A" w:rsidRDefault="00B01F4A" w:rsidP="00B01F4A">
      <w:pPr>
        <w:pStyle w:val="TextoNormal"/>
      </w:pPr>
      <w:r>
        <w:t>En todo caso, las vulneraciones alegadas pueden ser todavía planteadas en el curso del procedimiento, no sólo en el escrito de defensa a que alude el penúltimo párrafo del art. 790.6 de la L.E.Crim., sino además durante el turno de intervenciones con el que da comienzo al acto del juicio oral, según lo dispuesto por el art. 793.2 de la misma Ley, con el fin de que el órgano judicial, a quien corresponde en primer lugar la tutela de los derechos fundamentales, pueda conocer y, en su caso, restablecer los derechos invocados por el recurrente. La naturaleza subsidiaria del recurso de amparo que resulta del art. 53.2 C.E. y 41.1 de la LOTC, hace improcedente la intervención de este Tribunal en tanto no agote la vía judicial [art. 44.1 a) de la LOTC], según las SSTC 32/1994, 147/1994 y 174/1994, entre otras muchas.</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virtud de lo anteriormente expuesto, la Sección acuerda la inadmisión del presente recurso de amparo interpuesto por don Eugenio Martínez Jiménez y el archivo de las actuaciones.</w:t>
      </w:r>
    </w:p>
    <w:p w:rsidR="00B01F4A" w:rsidRDefault="00B01F4A" w:rsidP="00B01F4A">
      <w:pPr>
        <w:pStyle w:val="TextoNormal"/>
      </w:pPr>
    </w:p>
    <w:p w:rsidR="00B01F4A" w:rsidRDefault="00B01F4A" w:rsidP="00B01F4A">
      <w:pPr>
        <w:pStyle w:val="TextoNormal"/>
      </w:pPr>
      <w:r>
        <w:t>Madrid, a veintiuno de abril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202" w:name="AUTO_1997_112"/>
      <w:r>
        <w:lastRenderedPageBreak/>
        <w:t>AUTO 112/1997, de 21 de abril de 1997</w:t>
      </w:r>
    </w:p>
    <w:bookmarkEnd w:id="202"/>
    <w:p w:rsidR="00B01F4A" w:rsidRDefault="00B01F4A" w:rsidP="00B01F4A">
      <w:pPr>
        <w:pStyle w:val="TtuloResolucin"/>
      </w:pPr>
      <w:r>
        <w:t>Sala Segunda</w:t>
      </w:r>
    </w:p>
    <w:p w:rsidR="00B01F4A" w:rsidRDefault="00B01F4A" w:rsidP="00B01F4A">
      <w:pPr>
        <w:pStyle w:val="TtuloResolucin"/>
      </w:pPr>
    </w:p>
    <w:p w:rsidR="00B01F4A" w:rsidRDefault="00B01F4A" w:rsidP="00B01F4A">
      <w:pPr>
        <w:pStyle w:val="SntesisDescriptiva"/>
      </w:pPr>
      <w:r>
        <w:t>ECLI:ES:TC:1997:112A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don Rafael de Mendizábal Allende, don Julio D. González Campos, don Carles Viver Pi-Sunyer y don Tomás Salvador Vives Antón.</w:t>
      </w:r>
    </w:p>
    <w:p w:rsidR="00B01F4A" w:rsidRDefault="00B01F4A" w:rsidP="00B01F4A">
      <w:pPr>
        <w:pStyle w:val="SntesisDescriptiva"/>
      </w:pPr>
    </w:p>
    <w:p w:rsidR="00B01F4A" w:rsidRDefault="00B01F4A" w:rsidP="00B01F4A">
      <w:pPr>
        <w:pStyle w:val="TtuloResolucin"/>
      </w:pPr>
      <w:r>
        <w:t>*Este auto no incorpora doctrina constitucional.</w:t>
      </w:r>
    </w:p>
    <w:p w:rsidR="00B01F4A" w:rsidRDefault="00B01F4A">
      <w:pPr>
        <w:spacing w:after="160" w:line="259" w:lineRule="auto"/>
        <w:rPr>
          <w:rFonts w:ascii="Times New Roman" w:eastAsia="Times New Roman" w:hAnsi="Times New Roman" w:cs="Times New Roman"/>
          <w:b/>
          <w:sz w:val="24"/>
          <w:szCs w:val="24"/>
          <w:lang w:eastAsia="es-ES"/>
        </w:rPr>
      </w:pPr>
      <w:r>
        <w:br w:type="page"/>
      </w:r>
    </w:p>
    <w:p w:rsidR="00B01F4A" w:rsidRDefault="00B01F4A" w:rsidP="00B01F4A">
      <w:pPr>
        <w:pStyle w:val="TtuloResolucin"/>
      </w:pPr>
      <w:bookmarkStart w:id="203" w:name="AUTO_1997_113"/>
      <w:r>
        <w:lastRenderedPageBreak/>
        <w:t>AUTO 113/1997, de 21 de abril de 1997</w:t>
      </w:r>
    </w:p>
    <w:bookmarkEnd w:id="203"/>
    <w:p w:rsidR="00B01F4A" w:rsidRDefault="00B01F4A" w:rsidP="00B01F4A">
      <w:pPr>
        <w:pStyle w:val="TtuloResolucin"/>
      </w:pPr>
      <w:r>
        <w:t>Sección Tercera</w:t>
      </w:r>
    </w:p>
    <w:p w:rsidR="00B01F4A" w:rsidRDefault="00B01F4A" w:rsidP="00B01F4A">
      <w:pPr>
        <w:pStyle w:val="TtuloResolucin"/>
      </w:pPr>
    </w:p>
    <w:p w:rsidR="00B01F4A" w:rsidRDefault="00B01F4A" w:rsidP="00B01F4A">
      <w:pPr>
        <w:pStyle w:val="SntesisDescriptiva"/>
      </w:pPr>
      <w:r>
        <w:t>ECLI:ES:TC:1997:113A</w:t>
      </w:r>
    </w:p>
    <w:p w:rsidR="00B01F4A" w:rsidRDefault="00B01F4A" w:rsidP="00B01F4A">
      <w:pPr>
        <w:pStyle w:val="SntesisDescriptiva"/>
      </w:pPr>
    </w:p>
    <w:p w:rsidR="00B01F4A" w:rsidRDefault="00B01F4A" w:rsidP="00B01F4A">
      <w:pPr>
        <w:pStyle w:val="SntesisDescriptiva"/>
      </w:pPr>
      <w:r>
        <w:t>Excms. Srs. don José Gabaldón López, don Fernando García-Mon y González-Regueral y don Julio D. González Campos.</w:t>
      </w:r>
    </w:p>
    <w:p w:rsidR="00B01F4A" w:rsidRDefault="00B01F4A" w:rsidP="00B01F4A">
      <w:pPr>
        <w:pStyle w:val="SntesisDescriptiva"/>
      </w:pPr>
    </w:p>
    <w:p w:rsidR="00B01F4A" w:rsidRDefault="00B01F4A" w:rsidP="00B01F4A">
      <w:pPr>
        <w:pStyle w:val="SntesisDescriptiva"/>
      </w:pPr>
      <w:r>
        <w:t>Denegando la suspensión de la ejecución del acto que origina el recurso de amparo 3.956/1996.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de demanda registrado ante este Tribunal el 5 de noviembre de 1996, la representación procesal del «Banco Central Hispanoamericano S. A.», interpuso recurso de amparo contra el Auto de la Audiencia Provincial de Barcelona, de 1 de octubre de 1996, mediante el que se desestima el recurso de súplica interpuesto contra el de fecha 9 de julio de 1996, dictados ambos en el procedimiento de ejecución núm. 99/1993-CA.</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Del escrito de demanda y, fundamentalmente, de los documentos que la acompañan, se desprenden los siguientes hechos: </w:t>
      </w:r>
    </w:p>
    <w:p w:rsidR="00B01F4A" w:rsidRDefault="00B01F4A" w:rsidP="00B01F4A">
      <w:pPr>
        <w:pStyle w:val="TextoNormal"/>
      </w:pPr>
      <w:r>
        <w:t xml:space="preserve">a) La Sentencia dictada por la Audiencia Provincial de Barcelona, de fecha 3 de marzo de 1989, y en la que se enjuició penalmente el robo de un gran número de cajas de seguridad que había puesto a disposición de sus clientes la entidad bancaria ahora recurrente en amparo, declaró a ésta responsable civil subsidiaria del pago de las indemnizaciones que procediese satisfacer a los perjudicados. </w:t>
      </w:r>
    </w:p>
    <w:p w:rsidR="00B01F4A" w:rsidRDefault="00B01F4A" w:rsidP="00B01F4A">
      <w:pPr>
        <w:pStyle w:val="TextoNormal"/>
      </w:pPr>
      <w:r>
        <w:t xml:space="preserve">En concreto, el fallo de la referida Sentencia, en lo que a la determinación de la responsabilidad civil subsidiaria respecta, dice así: </w:t>
      </w:r>
    </w:p>
    <w:p w:rsidR="00B01F4A" w:rsidRDefault="00B01F4A" w:rsidP="00B01F4A">
      <w:pPr>
        <w:pStyle w:val="TextoNormal"/>
      </w:pPr>
      <w:r>
        <w:t xml:space="preserve">«Por vía de responsabilidad civil, abonarán a los perjudicados anteriormente expresados una indemnización equivalente al importe de la tasación pericial que se practique en ejecución de sentencia. Si no hubiere sido practicada, de los objetos que figuran en las relaciones de las ocho carpetas obrantes en la causa, numeradas del uno al ocho, referentes a cajas violentadas, previamente alquiladas, según se resume en el hecho segundo de esta resolución, con exclusión del dinero efectivo, sin que, en ningún caso, pueda exceder cada indemnización de la estimación de valor hecha por cada perjudicado, respecto a los que la hayan verificado, reduciéndose en tal supuesto de exceso, a dicho límite y con expresa deducción, asimismo, del importe de la valoración pericial de los objetos recuperados o que se recuperen que, en ejecución de Sentencia, sean definitivamente entregados a cada uno de ellos ... ». </w:t>
      </w:r>
    </w:p>
    <w:p w:rsidR="00B01F4A" w:rsidRDefault="00B01F4A" w:rsidP="00B01F4A">
      <w:pPr>
        <w:pStyle w:val="TextoNormal"/>
      </w:pPr>
      <w:r>
        <w:t xml:space="preserve">b) Una vez firme la anterior resolución (tras ser, en lo que aquí interesa, confirmada por la Sentencia de la Sala Segunda del Tribunal Supremo, de 26 de febrero, de 1993), mediante providencia de 16 de junio de 1993 se inició el procedimiento de ejecución, en el que se </w:t>
      </w:r>
      <w:r>
        <w:lastRenderedPageBreak/>
        <w:t xml:space="preserve">designó a un Perito judicial y, a instancia de la recurrente en amparo, a un segundo Perito propuesto por ésta, elaborando ambos técnicos sus respectivos informes y tasaciones. </w:t>
      </w:r>
    </w:p>
    <w:p w:rsidR="00B01F4A" w:rsidRDefault="00B01F4A" w:rsidP="00B01F4A">
      <w:pPr>
        <w:pStyle w:val="TextoNormal"/>
      </w:pPr>
      <w:r>
        <w:t xml:space="preserve">c) Una vez presentadas las dos referidas tasaciones periciales, la Audiencia acordó, mediante providencia de 23 de mayo de 1995, dar vista de ellas a las partes para que, en el plazo de quince días, alegasen lo que tuvieran por conveniente. </w:t>
      </w:r>
    </w:p>
    <w:p w:rsidR="00B01F4A" w:rsidRDefault="00B01F4A" w:rsidP="00B01F4A">
      <w:pPr>
        <w:pStyle w:val="TextoNormal"/>
      </w:pPr>
      <w:r>
        <w:t xml:space="preserve">d) A través de una ulterior providencia, fechada el 24 de julio de 1995, la Audiencia ordenó practicar la tasación de costas, con inclusión expresa en la misma de las indemnizaciones calculadas por los informes periciales. </w:t>
      </w:r>
    </w:p>
    <w:p w:rsidR="00B01F4A" w:rsidRDefault="00B01F4A" w:rsidP="00B01F4A">
      <w:pPr>
        <w:pStyle w:val="TextoNormal"/>
      </w:pPr>
      <w:r>
        <w:t xml:space="preserve">Dicha tasación de costas fue trasladada a las partes para que, en el plazo de tres días que se les otorgó al efecto, manifestasen lo que estimaran oportuno. La recurrente, a la que se había dado traslado de la tasación el día 21 de febrero de 1996, presentó al siguiente día 22 del mismo mes y año un escrito en el que, reclamando la aplicación del art. 929 L.E.C., solicitaba que se «amplíe el referido término concedido a esta parte prudencialmente, sin que pueda ser inferior a seis días hábiles». </w:t>
      </w:r>
    </w:p>
    <w:p w:rsidR="00B01F4A" w:rsidRDefault="00B01F4A" w:rsidP="00B01F4A">
      <w:pPr>
        <w:pStyle w:val="TextoNormal"/>
      </w:pPr>
      <w:r>
        <w:t xml:space="preserve">La Audiencia, mediante providencia de 29 de febrero de 1996 (notificada el día 1 de marzo siguiente), y tomando en consideración la circunstancia de que la recurrente tenía ya conocimiento de la tasación desde el día 21 de febrero de 1996, acordó concederle tres días más para que formulara de forma definitiva sus alegaciones. </w:t>
      </w:r>
    </w:p>
    <w:p w:rsidR="00B01F4A" w:rsidRDefault="00B01F4A" w:rsidP="00B01F4A">
      <w:pPr>
        <w:pStyle w:val="TextoNormal"/>
      </w:pPr>
      <w:r>
        <w:t xml:space="preserve">e) El día 4 de marzo de 1996, la entidad bancaria recurrente en amparo presentó escrito de impugnación de la tasación de costas, en el que denunciaban los tres siguientes defectos: a) la tasación ha adoptado la mayor de las valoraciones realizada por cada uno de los dos Peritos, no ateniéndose exclusivamente, pues, ni a uno ni al otro informe pericial como hubiera procedido; b) no se ha deducido de las indemnizaciones el valor de los objetos robados que han sido recuperados pero no entregados a sus propietarios, y c) debe excluirse de la tasación la partida «total peritaje», a cuyo pago no fue condenada en ningún momento la recurrente por la sentencia objeto de ejecución. </w:t>
      </w:r>
    </w:p>
    <w:p w:rsidR="00B01F4A" w:rsidRDefault="00B01F4A" w:rsidP="00B01F4A">
      <w:pPr>
        <w:pStyle w:val="TextoNormal"/>
      </w:pPr>
      <w:r>
        <w:t xml:space="preserve">f) La Audiencia desestimó la referida impugnación por medio de Auto de 9 de julio de 1996 (primera de las resoluciones contra las que se dirige el recurso de amparo), en cuya fundamentación declara que: a) no hay obligación legal de atenerse a uno solo de los dos informes periciales aportados, pues puede efectuarse una valoración global o conjunta de ambos; b) la recurrente no ha podido determinar, ni incluso a requerimiento del Tribunal efectuado con posterioridad a su escrito de impugnación, qué indemnizaciones en concreto hay que rebajar por haberse recuperado algunos objetos robados, y c) en la tasación no se condena a la impugnante a satisfacer la partida «total peritaje». </w:t>
      </w:r>
    </w:p>
    <w:p w:rsidR="00B01F4A" w:rsidRDefault="00B01F4A" w:rsidP="00B01F4A">
      <w:pPr>
        <w:pStyle w:val="TextoNormal"/>
      </w:pPr>
      <w:r>
        <w:t xml:space="preserve">g) Frente a dicho Auto interpuso la entidad bancaria afectada recurso de súplica, en el que, aparte de reproducir las alegaciones a) y b) de su anterior escrito de impugnación de la tasación de costas, novedosamente se incorporaba una nueva alegación: la de haber padecido indefensión, con cita del art. 24.1 C.E., como consecuencia de no haberse tramitado el procedimiento de ejecución, ni por los trámites de los arts. 928 y ss. de la L.E.C., ni por los previstos en el art. 798 L.E.Crim. </w:t>
      </w:r>
    </w:p>
    <w:p w:rsidR="00B01F4A" w:rsidRDefault="00B01F4A" w:rsidP="00B01F4A">
      <w:pPr>
        <w:pStyle w:val="TextoNormal"/>
      </w:pPr>
      <w:r>
        <w:t>h) La Audiencia rechazó el recurso de súplica mediante Auto fechado el 1 de octubre de 1996 (segunda de las resoluciones contra las que se dirige el amparo), reiterando, de un lado, lo ya declarado por el Auto de 9 de julio de 1996 respecto de las alegaciones reproducidas, y declarando, de otro lado, la inexistencia de lesión alguna del art. 24.1 C.E., al haber tenido la actora plenas posibilidades de alegación, prueba e impugnación a lo largo de todo el procedimiento.</w:t>
      </w:r>
    </w:p>
    <w:p w:rsidR="00B01F4A" w:rsidRDefault="00B01F4A" w:rsidP="00B01F4A">
      <w:pPr>
        <w:pStyle w:val="TextoNormal"/>
      </w:pPr>
    </w:p>
    <w:p w:rsidR="00B01F4A" w:rsidRDefault="00B01F4A" w:rsidP="00B01F4A">
      <w:pPr>
        <w:pStyle w:val="TextoNormal"/>
      </w:pPr>
      <w:r w:rsidRPr="00B01F4A">
        <w:rPr>
          <w:rStyle w:val="NumeroAFNegritaCaracter"/>
        </w:rPr>
        <w:lastRenderedPageBreak/>
        <w:t>3</w:t>
      </w:r>
      <w:r>
        <w:t xml:space="preserve">. En la demanda de amparo, sintéticamente expuestas, se denuncian tres distintas lesiones constitucionales. </w:t>
      </w:r>
    </w:p>
    <w:p w:rsidR="00B01F4A" w:rsidRDefault="00B01F4A" w:rsidP="00B01F4A">
      <w:pPr>
        <w:pStyle w:val="TextoNormal"/>
      </w:pPr>
      <w:r>
        <w:t xml:space="preserve">En primer término, la infracción del art. 24.1 C.E., por cuanto la tramitación de la ejecutoria, en lo que a la liquidación de las indemnizaciones respecta, como si se tratase de una tasación de costas, en lugar de utilizar el procedimiento de los arts. 928 y ss. L.E.C., o los trámites previstos por el art. 978 L.E.Crim., en los cuales se prevén mayores garantías de alegación, prueba e impugnación, ha generado indefensión a la recurrente. </w:t>
      </w:r>
    </w:p>
    <w:p w:rsidR="00B01F4A" w:rsidRDefault="00B01F4A" w:rsidP="00B01F4A">
      <w:pPr>
        <w:pStyle w:val="TextoNormal"/>
      </w:pPr>
      <w:r>
        <w:t xml:space="preserve">Subsidiariamente se invoca de nuevo como vulnerado el art. 24.1 C.E., dado que la sentencia que condena a la recurrente como responsable civil subsidiaria no se ha ejecutado en sus propios términos, porque no se han descontado de las indemnizaciones a cuyo pago fue condenado el valor de todos los objetos recuperados, que también debían haber sido objeto de tasación pericial. </w:t>
      </w:r>
    </w:p>
    <w:p w:rsidR="00B01F4A" w:rsidRDefault="00B01F4A" w:rsidP="00B01F4A">
      <w:pPr>
        <w:pStyle w:val="TextoNormal"/>
      </w:pPr>
      <w:r>
        <w:t>También subsidiariamente, en último lugar, se aduce la lesión del art. 24.1 C.E., esta vez porque la aceptación por parte de la Audiencia de la cantidad más elevada calculada para las indemnizaciones, extrayéndolas indistintamente de los dos informes periciales efectuados, es decir, sin atenerse a uno u otro en su integridad, constituye una decisión judicial arbitraria, lesiva del art. 24.1 C.E.</w:t>
      </w:r>
    </w:p>
    <w:p w:rsidR="00B01F4A" w:rsidRDefault="00B01F4A" w:rsidP="00B01F4A">
      <w:pPr>
        <w:pStyle w:val="TextoNormal"/>
      </w:pPr>
    </w:p>
    <w:p w:rsidR="00B01F4A" w:rsidRDefault="00B01F4A" w:rsidP="00B01F4A">
      <w:pPr>
        <w:pStyle w:val="TextoNormal"/>
      </w:pPr>
      <w:r w:rsidRPr="00B01F4A">
        <w:rPr>
          <w:rStyle w:val="NumeroAFNegritaCaracter"/>
        </w:rPr>
        <w:t>4</w:t>
      </w:r>
      <w:r>
        <w:t xml:space="preserve">. La Sección, por medio de providencia fechada el 5 de marzo de 1997, acordó admitir a trámite la demanda de amparo y, mediante otra providencia de la misma fecha, la apertura de la pieza separada de suspensión, en la cual se confirió a las partes el plazo de alegaciones legalmente establecido en el art. 56 LOTC. </w:t>
      </w:r>
    </w:p>
    <w:p w:rsidR="00B01F4A" w:rsidRDefault="00B01F4A" w:rsidP="00B01F4A">
      <w:pPr>
        <w:pStyle w:val="TextoNormal"/>
      </w:pPr>
      <w:r>
        <w:t xml:space="preserve">En dicho trámite la entidad recurrente insistió de nuevo en su solicitud de suspensión de la ejecución de las resoluciones judiciales impugnadas en amparo, reiterando los hechos y fundamentos inicialmente consignados en su escrito de demanda. </w:t>
      </w:r>
    </w:p>
    <w:p w:rsidR="00B01F4A" w:rsidRDefault="00B01F4A" w:rsidP="00B01F4A">
      <w:pPr>
        <w:pStyle w:val="TextoNormal"/>
      </w:pPr>
      <w:r>
        <w:t>El Ministerio Fiscal, en cambio, se opuso a la suspensión al entender que nos encontramos en presencia de resoluciones de carácter meramente económico, cuyas peculiaridades no resultan suficientes para determinar que una eventual decisión de no suspensión pueda hacer perder al amparo su finalidad.</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Según dispone el art. 56.1 LOTC, la Sala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limite a esta facultad al disponer que, no obstante, la suspensión podrá denegarse cuando de ella pueda seguirse «perturbación grave de los intereses generales, o de los derechos fundamentales o libertades públicas de un tercero».</w:t>
      </w:r>
    </w:p>
    <w:p w:rsidR="00B01F4A" w:rsidRDefault="00B01F4A" w:rsidP="00B01F4A">
      <w:pPr>
        <w:pStyle w:val="TextoNormal"/>
      </w:pPr>
      <w:r>
        <w:t xml:space="preserve">A la luz de dichas previsiones de nuestra Ley Orgánica, este Tribunal ha declarado reiteradamente que la suspensión de la ejecución entraña siempre una perturbación del ejercicio de la potestad jurisdiccional, dado que, tratándose de una resolución judicial, existe un interés general en mantener su eficacia (AATC 81/1981 y 36/1983). De tal manera que, en atención al interés general que toda ejecución comporta (AATC 365/1983 y 275/1986), habrá de acordarse en principio la no suspensión de la ejecución salvo que el demandante acredite suficientemente la irreparabilidad que para sus derechos fundamentales pudiera tener la ejecución, privando al amparo de su finalidad y, en tal caso, que la suspensión no </w:t>
      </w:r>
      <w:r>
        <w:lastRenderedPageBreak/>
        <w:t>produzca las perturbaciones graves a las que se refiere el mencionado precepto de la LOTC. Debiendo entenderse por perjuicio irreparable aquel que provoque que el restablecimiento del recurrente en el derecho constitucional vulnerado sea tardía e impida definitivamente que tal restauración sea efectiva (AATC 51/1989 y 20/1992).</w:t>
      </w:r>
    </w:p>
    <w:p w:rsidR="00B01F4A" w:rsidRDefault="00B01F4A" w:rsidP="00B01F4A">
      <w:pPr>
        <w:pStyle w:val="TextoNormal"/>
      </w:pPr>
    </w:p>
    <w:p w:rsidR="00B01F4A" w:rsidRDefault="00B01F4A" w:rsidP="00B01F4A">
      <w:pPr>
        <w:pStyle w:val="TextoNormal"/>
      </w:pPr>
      <w:r w:rsidRPr="00B01F4A">
        <w:rPr>
          <w:rStyle w:val="NumeroAFNegritaCaracter"/>
        </w:rPr>
        <w:t>2</w:t>
      </w:r>
      <w:r>
        <w:t>. En el presente caso se nos solicita la suspensión de la ejecutividad de la resolución judicial por la que se desestima la impugnación interpuesta frente a una tasación de costas que incluye la determinación de las cantidades que, en concepto de indemnización por responsabilidad civil subsidiaria, ha de satisfacer la entidad recurrente en amparo.</w:t>
      </w:r>
    </w:p>
    <w:p w:rsidR="00B01F4A" w:rsidRDefault="00B01F4A" w:rsidP="00B01F4A">
      <w:pPr>
        <w:pStyle w:val="TextoNormal"/>
      </w:pPr>
      <w:r>
        <w:t>Pues bien, a la vista del contenido de las resoluciones impugnadas, es preciso concluir, tal y como ha argumentado el Ministerio Fiscal, que la no suspensión de la ejecutividad de las decisiones judiciales impugnadas no pueda hacer perder al amparo su finalidad dada la índole puramente patrimonial de los perjuicios que la recurrente puede experimentar con la ejecución de tales resoluciones, sin que la posibilidad de que pueda variar la cuantía de aquellas indemnizaciones pueda alzarse como criterio determinante de la suspensión, la cual, además de ser adoptada, originaría una demora en el pago que podría ocasionar considerables perjuicios a los derechos de las terceras personas que han de percibir dichas cantidades de dinero.</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virtud de todo lo expuesto, la Sala acuerda denegar la solicitud de suspensión.</w:t>
      </w:r>
    </w:p>
    <w:p w:rsidR="00B01F4A" w:rsidRDefault="00B01F4A" w:rsidP="00B01F4A">
      <w:pPr>
        <w:pStyle w:val="TextoNormal"/>
      </w:pPr>
    </w:p>
    <w:p w:rsidR="00B01F4A" w:rsidRDefault="00B01F4A" w:rsidP="00B01F4A">
      <w:pPr>
        <w:pStyle w:val="TextoNormal"/>
      </w:pPr>
      <w:r>
        <w:t>Madrid, a veintiuno de abril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204" w:name="AUTO_1997_114"/>
      <w:r>
        <w:lastRenderedPageBreak/>
        <w:t>AUTO 114/1997, de 21 de abril de 1997</w:t>
      </w:r>
    </w:p>
    <w:bookmarkEnd w:id="204"/>
    <w:p w:rsidR="00B01F4A" w:rsidRDefault="00B01F4A" w:rsidP="00B01F4A">
      <w:pPr>
        <w:pStyle w:val="TtuloResolucin"/>
      </w:pPr>
      <w:r>
        <w:t>Sección Segunda</w:t>
      </w:r>
    </w:p>
    <w:p w:rsidR="00B01F4A" w:rsidRDefault="00B01F4A" w:rsidP="00B01F4A">
      <w:pPr>
        <w:pStyle w:val="TtuloResolucin"/>
      </w:pPr>
    </w:p>
    <w:p w:rsidR="00B01F4A" w:rsidRDefault="00B01F4A" w:rsidP="00B01F4A">
      <w:pPr>
        <w:pStyle w:val="SntesisDescriptiva"/>
      </w:pPr>
      <w:r>
        <w:t>ECLI:ES:TC:1997:114A</w:t>
      </w:r>
    </w:p>
    <w:p w:rsidR="00B01F4A" w:rsidRDefault="00B01F4A" w:rsidP="00B01F4A">
      <w:pPr>
        <w:pStyle w:val="SntesisDescriptiva"/>
      </w:pPr>
    </w:p>
    <w:p w:rsidR="00B01F4A" w:rsidRDefault="00B01F4A" w:rsidP="00B01F4A">
      <w:pPr>
        <w:pStyle w:val="SntesisDescriptiva"/>
      </w:pPr>
      <w:r>
        <w:t>Excms. Srs. don José Vicente Gimeno Sendra, don Manuel Jiménez de Parga y Cabrera y don Pablo García Manzano.</w:t>
      </w:r>
    </w:p>
    <w:p w:rsidR="00B01F4A" w:rsidRDefault="00B01F4A" w:rsidP="00B01F4A">
      <w:pPr>
        <w:pStyle w:val="SntesisDescriptiva"/>
      </w:pPr>
    </w:p>
    <w:p w:rsidR="00B01F4A" w:rsidRDefault="00B01F4A" w:rsidP="00B01F4A">
      <w:pPr>
        <w:pStyle w:val="SntesisDescriptiva"/>
      </w:pPr>
      <w:r>
        <w:t>Acordando la inadmisión a trámite del recurso de amparo 4.390/1996.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xml:space="preserve">. Por el solicitante de amparo se interpuso la correspondiente demanda en reclamación del mismo, la cual tenía como antecedentes los hechos que a continuación se describen: </w:t>
      </w:r>
    </w:p>
    <w:p w:rsidR="00B01F4A" w:rsidRDefault="00B01F4A" w:rsidP="00B01F4A">
      <w:pPr>
        <w:pStyle w:val="TextoNormal"/>
      </w:pPr>
      <w:r>
        <w:t xml:space="preserve">a) Por el Juzgado de Vigilancia Penitenciaría núm. 2 de Ocaña (Toledo) el día 24 de mayo de 1996 se dictó Auto cuya parte dispositiva decía así: «Se desestima el recurso de reforma interpuesto por el interno don Luis Miguel Rodríguez Pueyo contra el indicado Auto, confirmando íntegramente la resolución y admitiéndose el recurso de apelación contra este Auto teniendo por designado al Letrado don José Ramón García García, el cual en el plazo de cinco días desde su notificación deberá sustanciar dicho recurso y presentarlo ante este Juzgado». </w:t>
      </w:r>
    </w:p>
    <w:p w:rsidR="00B01F4A" w:rsidRDefault="00B01F4A" w:rsidP="00B01F4A">
      <w:pPr>
        <w:pStyle w:val="TextoNormal"/>
      </w:pPr>
      <w:r>
        <w:t xml:space="preserve">b) Contra la anterior resolución y por el Letrado don José Ramón García García, en defensa del interno don Luis Miguel Rodríguez Pueyo, ahora recurrente en amparo, se interpuso en tiempo y forma recurso de apelación, que fue admitido a trámite, remitiéndose los autos a la Audiencia Provincial de Toledo a los efectos correspondientes. </w:t>
      </w:r>
    </w:p>
    <w:p w:rsidR="00B01F4A" w:rsidRDefault="00B01F4A" w:rsidP="00B01F4A">
      <w:pPr>
        <w:pStyle w:val="TextoNormal"/>
      </w:pPr>
      <w:r>
        <w:t xml:space="preserve">c) Por Auto de 28 de octubre de 1996, la Audiencia Provincial de Toledo resolvió el recurso formulado, desestimándolo y confirmando el Auto del Juzgado de Vigilancia Penitenciaria núm. 2, con sede en Ocaña (Toledo). </w:t>
      </w:r>
    </w:p>
    <w:p w:rsidR="00B01F4A" w:rsidRDefault="00B01F4A" w:rsidP="00B01F4A">
      <w:pPr>
        <w:pStyle w:val="TextoNormal"/>
      </w:pPr>
      <w:r>
        <w:t>d) Contra dicha resolución se formula el presente recurso de amparo constitucional.</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El recurrente en amparo alega la vulneración producida en el procedimiento judicial de referencia del derecho fundamental reconocido en el art. 25.2 de la Constitución, ya que al revocarse la situación de libertad condicional se imposibilita la reeducación social y la reinserción del penado, ya que el método más adecuado para conseguir la misma se produce por medio del disfrute de la libertad condicional, no siendo aconsejable la revocación de dicha situación por el hecho de aparecer el ahora demandante en nuevas diligencias penales, pues éstas no han finalizado, y no se puede presumir su condena. </w:t>
      </w:r>
    </w:p>
    <w:p w:rsidR="00B01F4A" w:rsidRDefault="00B01F4A" w:rsidP="00B01F4A">
      <w:pPr>
        <w:pStyle w:val="TextoNormal"/>
      </w:pPr>
      <w:r>
        <w:t xml:space="preserve">Igualmente, el recurrente manifiesta la vulneración de su derecho a la presunción de inocencia (art. 24.2 C.E.). Fundamenta esta alegación en el hecho de que el Auto ahora impugnado razona la decisión relativa a la revocación de la libertad condicional en que constituye un indicio inequívoco de mala conducta su implicación en hechos delictivos, que han originado la tramitación de tres diversas causas judiciales penales en las que interviene en concepto de imputado, y en las que llegó a acordarse su prisión provisional. </w:t>
      </w:r>
    </w:p>
    <w:p w:rsidR="00B01F4A" w:rsidRDefault="00B01F4A" w:rsidP="00B01F4A">
      <w:pPr>
        <w:pStyle w:val="TextoNormal"/>
      </w:pPr>
      <w:r>
        <w:lastRenderedPageBreak/>
        <w:t>Alega que los requisitos previstos en el art. 93 del Código Penal de 1973 deben interpretarse de manera restrictiva, y que incluso la expresión «mala conducta», ha sido sustituida en el nuevo texto penal por la de «inobservar las reglas de conducta impuestas», para concluir afirmando la improcedencia de la revocación de la libertad condicional.</w:t>
      </w:r>
    </w:p>
    <w:p w:rsidR="00B01F4A" w:rsidRDefault="00B01F4A" w:rsidP="00B01F4A">
      <w:pPr>
        <w:pStyle w:val="TextoNormal"/>
      </w:pPr>
    </w:p>
    <w:p w:rsidR="00B01F4A" w:rsidRDefault="00B01F4A" w:rsidP="00B01F4A">
      <w:pPr>
        <w:pStyle w:val="TextoNormal"/>
      </w:pPr>
      <w:r w:rsidRPr="00B01F4A">
        <w:rPr>
          <w:rStyle w:val="NumeroAFNegritaCaracter"/>
        </w:rPr>
        <w:t>3</w:t>
      </w:r>
      <w:r>
        <w:t>. Por providencia de 16 de diciembre de 1996 se acordó tener por personada a doña María del Carmen Cabezas Maya, Procuradora de los Tribunales, en nombre y representación de don Luis Miguel Rodríguez Pueyo, y a tenor de lo dispuesto en el art. 50.5 LOTC se le concedió un plazo de diez días a dicha parte litigante a los efectos de que aportara al presente procedimiento constitucional, entre otras, copias de los Autos dictados tanto por la Audiencia Provincial como por el Juzgado de Vigilancia Penitenciaria.</w:t>
      </w:r>
    </w:p>
    <w:p w:rsidR="00B01F4A" w:rsidRDefault="00B01F4A" w:rsidP="00B01F4A">
      <w:pPr>
        <w:pStyle w:val="TextoNormal"/>
      </w:pPr>
    </w:p>
    <w:p w:rsidR="00B01F4A" w:rsidRDefault="00B01F4A" w:rsidP="00B01F4A">
      <w:pPr>
        <w:pStyle w:val="TextoNormal"/>
      </w:pPr>
      <w:r w:rsidRPr="00B01F4A">
        <w:rPr>
          <w:rStyle w:val="NumeroAFNegritaCaracter"/>
        </w:rPr>
        <w:t>4</w:t>
      </w:r>
      <w:r>
        <w:t>. Aportados los testimonios solicitados, por providencia del 14 de marzo de 1997, a tenor de lo dispuesto en el art. 50.3 LOTC, la Sección acordó conceder un plazo común de diez días al Ministerio Fiscal y a la representación del solicitante de amparo, para que dentro de dicho término alegaran lo que estimaren conveniente con relación con la posible existencia de un motivo de inadmisión de dicha demanda de amparo constitucional, consistente en la carencia manifiesta de contenido, que justifique una decisión por parte del Tribunal Constitucional, de conformidad con lo prevenido en el artículo 50.1 c) de su Ley Orgánica.</w:t>
      </w:r>
    </w:p>
    <w:p w:rsidR="00B01F4A" w:rsidRDefault="00B01F4A" w:rsidP="00B01F4A">
      <w:pPr>
        <w:pStyle w:val="TextoNormal"/>
      </w:pPr>
    </w:p>
    <w:p w:rsidR="00B01F4A" w:rsidRDefault="00B01F4A" w:rsidP="00B01F4A">
      <w:pPr>
        <w:pStyle w:val="TextoNormal"/>
      </w:pPr>
      <w:r w:rsidRPr="00B01F4A">
        <w:rPr>
          <w:rStyle w:val="NumeroAFNegritaCaracter"/>
        </w:rPr>
        <w:t>5</w:t>
      </w:r>
      <w:r>
        <w:t>. Por el Ministerio Fiscal, mediante escrito registrado el día 8 de abril de 1997, de acuerdo con lo dispuesto en los arts. 86.1 inciso segundo, y 80 LOTC, en relación con el art. 245.1 b) L.O.P.J., se solicitó de este Tribunal la inadmisión del presente recurso de amparo, en aplicación del art. 50.1 c), al carecer de contenido constitucional, que motivara una decisión sobre el fondo del asunto.</w:t>
      </w:r>
    </w:p>
    <w:p w:rsidR="00B01F4A" w:rsidRDefault="00B01F4A" w:rsidP="00B01F4A">
      <w:pPr>
        <w:pStyle w:val="TextoNormal"/>
      </w:pPr>
    </w:p>
    <w:p w:rsidR="00B01F4A" w:rsidRDefault="00B01F4A" w:rsidP="00B01F4A">
      <w:pPr>
        <w:pStyle w:val="TextoNormal"/>
      </w:pPr>
      <w:r w:rsidRPr="00B01F4A">
        <w:rPr>
          <w:rStyle w:val="NumeroAFNegritaCaracter"/>
        </w:rPr>
        <w:t>6</w:t>
      </w:r>
      <w:r>
        <w:t>. Por la representación procesal del demandante de amparo no se formularon alegaciones en relación con el trámite procesalmente concedido.</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El demandante en las presentes actuaciones cuando solicita el amparo de este Tribunal se encuentra interno en el Centro Penitenciario de Ocaña, alega la lesión de sus derechos a la presunción de inocencia (art. 24.1 C.E.)  y a la función reeducadora de la pena (art. 25.2 C.E.)  por las resoluciones ahora impugnadas, como consecuencia de la revocación de la situación de libertad condicional en la que el mismo se encontraba, al encontrarse imputado en tres nuevas diligencias penales, en las que incluso se había decretado su prisión provisional.</w:t>
      </w:r>
    </w:p>
    <w:p w:rsidR="00B01F4A" w:rsidRDefault="00B01F4A" w:rsidP="00B01F4A">
      <w:pPr>
        <w:pStyle w:val="TextoNormal"/>
      </w:pPr>
    </w:p>
    <w:p w:rsidR="00B01F4A" w:rsidRDefault="00B01F4A" w:rsidP="00B01F4A">
      <w:pPr>
        <w:pStyle w:val="TextoNormal"/>
      </w:pPr>
      <w:r w:rsidRPr="00B01F4A">
        <w:rPr>
          <w:rStyle w:val="NumeroAFNegritaCaracter"/>
        </w:rPr>
        <w:t>2</w:t>
      </w:r>
      <w:r>
        <w:t>. Seguidamente procede analizar las lesiones constitucionales denunciadas por el ahora recurrente en amparo:</w:t>
      </w:r>
    </w:p>
    <w:p w:rsidR="00B01F4A" w:rsidRDefault="00B01F4A" w:rsidP="00B01F4A">
      <w:pPr>
        <w:pStyle w:val="TextoNormal"/>
      </w:pPr>
      <w:r>
        <w:t>a) En cuanto a la alegación relativa a la lesión producida en su derecho a la presunción de inocencia (art. 24.2 C.E.), la Sección ha acordado por unanimidad la inadmisión de este motivo de recurso de acuerdo con el art. 50.1 c) de la Ley orgánica de este Tribunal Constitucional, por carecer manifiestamente de contenido que justifique una decisión mediante sentencia.</w:t>
      </w:r>
    </w:p>
    <w:p w:rsidR="00B01F4A" w:rsidRDefault="00B01F4A" w:rsidP="00B01F4A">
      <w:pPr>
        <w:pStyle w:val="TextoNormal"/>
      </w:pPr>
      <w:r>
        <w:lastRenderedPageBreak/>
        <w:t>Como ha quedado dicho y señala el Ministerio Fiscal, el recurrente estima vulnerado este derecho fundamental por considerar que la revocación de la libertad condicional decretada se funda en que la Audiencia Provincial estimó que era responsable de delitos aún imprejuzgados. Sin embargo, tal alegación carece en absoluto de fundamento, pues el Auto recurrido y los confirmados por éste excluyen expresamente esta interpretación al señalar que la revocación de la libertad condicional se funda en la mala conducta observada por el penado durante el disfrute de ese beneficio y no en una presunción de culpabilidad penal.</w:t>
      </w:r>
    </w:p>
    <w:p w:rsidR="00B01F4A" w:rsidRDefault="00B01F4A" w:rsidP="00B01F4A">
      <w:pPr>
        <w:pStyle w:val="TextoNormal"/>
      </w:pPr>
      <w:r>
        <w:t>La cuestión por él planteada es en realidad una cuestión de legalidad ordinaria, donde se discute la valoración realizada por el Juez de los datos y elementos de hecho de que disponía para calificar la conducta de aquél, así como de la interpretación realizada de las normas reguladoras de la libertad condicional contenidas tanto en el nuevo Código Penal como en el vigente al tiempo de la concesión del beneficio y de su revocación por el Juzgado de Vigilancia Penitenciaria.</w:t>
      </w:r>
    </w:p>
    <w:p w:rsidR="00B01F4A" w:rsidRDefault="00B01F4A" w:rsidP="00B01F4A">
      <w:pPr>
        <w:pStyle w:val="TextoNormal"/>
      </w:pPr>
      <w:r>
        <w:t>b) En cuanto a la vulneración que alega sobre la lesión producida del derecho que atribuye a los penados el art. 25.2 de la Constitución Española, en relación con la finalidad que ha de orientar la aplicación de las penas privativas de libertad, debe señalarse según manifiesta el Ministerio Fiscal, que de la documentación aportada no resulta acreditado que la supuesta infracción haya sido alegada por el recurrente en los recursos procesales que siguieron a la revocación decretada por el Juzgado de Vigilancia Penitenciaria y que dan paso al presente recurso, lo que permite entender que esta petición, al igual que la anterior, se encuentran incursas en la causa de inadmisibilidad regulada por el artículo 50.1 a) en relación con el 44.1 c) de la Ley Orgánica del Tribunal Constitucional. No obstante ello, tal lesión constitucional tampoco se ha producido, puesto que tanto el Juzgado de Vigilancia Penitenciaría como la Audiencia Provincial, han aplicado de una manera razonable y lógica, no merecedora, desde luego, de reproche constitucional alguno, los preceptos legales que regulan la concesión de la libertad condicional, y que al mismo tiempo constituyen los límites que determinan la permanencia del penado en dicha situación personal, sin que se haya aplicado al ahora recurrente un efecto distinto al que las propias normas citadas prevén para la cesación de la situación de libertad condicional.</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virtud de lo expuesto, la Sección acuerda la inadmisión a trámite del recurso de amparo y el archivo de las presentes actuaciones.</w:t>
      </w:r>
    </w:p>
    <w:p w:rsidR="00B01F4A" w:rsidRDefault="00B01F4A" w:rsidP="00B01F4A">
      <w:pPr>
        <w:pStyle w:val="TextoNormal"/>
      </w:pPr>
    </w:p>
    <w:p w:rsidR="00B01F4A" w:rsidRDefault="00B01F4A" w:rsidP="00B01F4A">
      <w:pPr>
        <w:pStyle w:val="TextoNormal"/>
      </w:pPr>
      <w:r>
        <w:t>Madrid, a veintiuno de abril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205" w:name="AUTO_1997_115"/>
      <w:r>
        <w:lastRenderedPageBreak/>
        <w:t>AUTO 115/1997, de 21 de abril de 1997</w:t>
      </w:r>
    </w:p>
    <w:bookmarkEnd w:id="205"/>
    <w:p w:rsidR="00B01F4A" w:rsidRDefault="00B01F4A" w:rsidP="00B01F4A">
      <w:pPr>
        <w:pStyle w:val="TtuloResolucin"/>
      </w:pPr>
      <w:r>
        <w:t>Sección Primera</w:t>
      </w:r>
    </w:p>
    <w:p w:rsidR="00B01F4A" w:rsidRDefault="00B01F4A" w:rsidP="00B01F4A">
      <w:pPr>
        <w:pStyle w:val="TtuloResolucin"/>
      </w:pPr>
    </w:p>
    <w:p w:rsidR="00B01F4A" w:rsidRDefault="00B01F4A" w:rsidP="00B01F4A">
      <w:pPr>
        <w:pStyle w:val="SntesisDescriptiva"/>
      </w:pPr>
      <w:r>
        <w:t>ECLI:ES:TC:1997:115A</w:t>
      </w:r>
    </w:p>
    <w:p w:rsidR="00B01F4A" w:rsidRDefault="00B01F4A" w:rsidP="00B01F4A">
      <w:pPr>
        <w:pStyle w:val="SntesisDescriptiva"/>
      </w:pPr>
    </w:p>
    <w:p w:rsidR="00B01F4A" w:rsidRDefault="00B01F4A" w:rsidP="00B01F4A">
      <w:pPr>
        <w:pStyle w:val="SntesisDescriptiva"/>
      </w:pPr>
      <w:r>
        <w:t>Excms. Srs. don Álvaro Rodríguez Bereijo, don Pedro Cruz Villalón y don Enrique Ruiz Vadillo.</w:t>
      </w:r>
    </w:p>
    <w:p w:rsidR="00B01F4A" w:rsidRDefault="00B01F4A" w:rsidP="00B01F4A">
      <w:pPr>
        <w:pStyle w:val="SntesisDescriptiva"/>
      </w:pPr>
    </w:p>
    <w:p w:rsidR="00B01F4A" w:rsidRDefault="00B01F4A" w:rsidP="00B01F4A">
      <w:pPr>
        <w:pStyle w:val="SntesisDescriptiva"/>
      </w:pPr>
      <w:r>
        <w:t>Acordando la inadmisión a trámite del recurso de amparo 631/1997.</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xml:space="preserve">. Por el recurrente se interpuso la correspondiente solicitud de amparo el día 17 de febrero de 1997 ante la Dirección del Centro Penitenciario de Preventivos Madrid-1, teniendo su entrada efectiva en este Tribunal, el día 18 de febrero de 1997. Esta demanda tenía como Antecedentes, los hechos que a continuación se describen: </w:t>
      </w:r>
    </w:p>
    <w:p w:rsidR="00B01F4A" w:rsidRDefault="00B01F4A" w:rsidP="00B01F4A">
      <w:pPr>
        <w:pStyle w:val="TextoNormal"/>
      </w:pPr>
      <w:r>
        <w:t xml:space="preserve">a) El solicitante manifiesta que se encuentra injusta, indebida, ilegal e inconstitucíonalmente detenido, toda vez que ha cursado una petición de habeas corpus el día 8 de febrero de 1997, siendo desestimada finalmente dicha pretensión. </w:t>
      </w:r>
    </w:p>
    <w:p w:rsidR="00B01F4A" w:rsidRDefault="00B01F4A" w:rsidP="00B01F4A">
      <w:pPr>
        <w:pStyle w:val="TextoNormal"/>
      </w:pPr>
      <w:r>
        <w:t xml:space="preserve">b) El recurrente fue detenido el día 17 de enero de 1997 por orden de la Audiencia Provincial de Madrid, pues existía contra él una orden de busca y captura al haber sido condenado en 1993 a la pena de privación de libertad por tiempo de dos años cuatro meses y un día como autor responsable de un delito contra la salud pública. </w:t>
      </w:r>
    </w:p>
    <w:p w:rsidR="00B01F4A" w:rsidRDefault="00B01F4A" w:rsidP="00B01F4A">
      <w:pPr>
        <w:pStyle w:val="TextoNormal"/>
      </w:pPr>
      <w:r>
        <w:t xml:space="preserve">c) Además, el recurrente tenía pendiente, encontrándose en la actualidad en la situación de remisión provisional, el cumplimiento de una pena por la comisión de un delito de hurto por uso indebido de vehículo de motor, ocurrido en la ciudad de Zamora, como delito conexo del anterior, aunque se instruyeron en causas separadas procesalmente. </w:t>
      </w:r>
    </w:p>
    <w:p w:rsidR="00B01F4A" w:rsidRDefault="00B01F4A" w:rsidP="00B01F4A">
      <w:pPr>
        <w:pStyle w:val="TextoNormal"/>
      </w:pPr>
      <w:r>
        <w:t xml:space="preserve">Con relación a este último procedimiento judicial, al ahora demandante le ha sido notificado el correspondiente Auto, por el que se le conmuta la pena pendiente de cumplimiento por la de arresto de cuatro fines de semana </w:t>
      </w:r>
    </w:p>
    <w:p w:rsidR="00B01F4A" w:rsidRDefault="00B01F4A" w:rsidP="00B01F4A">
      <w:pPr>
        <w:pStyle w:val="TextoNormal"/>
      </w:pPr>
      <w:r>
        <w:t>d) El solicitante indica en cuanto a la condena impuesta por la comisión del delito de tráfico de drogas, que se encuentra en la actualidad igualmente cumplida, ya que el mismo ha estado catorce meses privado de libertad (trece de ellos cumplidos en el Centro Penitenciario Madrid-1, y otro mes, en el correspondiente a Zamora). Igualmente, en aplicación del art. 100 del Código Penal, ha redimido siete meses, así como ciento cincuenta y un días de redención de carácter extraordinario (cinco meses y un día), como consecuencia del trabajo desarrollado durante 1992 a 1994 en un curso de radio del I.N.E.M., como locutor de Radio Activa, por su participación en un curso como profesor de la U.N.E.D., por intervención en el gimnasio y, por último, por su participación en otros cursos. Asimismo pone de manifiesto el cumplimiento de veinticuatro días, más doce días de redención ordinaria, y seis de extraordinaria. Por último, el solicitante indica el cumplimiento de un mes de privación de libertad en base a la aplicación del art. 254 del Reglamento Penitenciario, lo que hace un total efectivo cumplido de veintiocho meses y trece días de una condena de veintiocho meses.</w:t>
      </w:r>
    </w:p>
    <w:p w:rsidR="00B01F4A" w:rsidRDefault="00B01F4A" w:rsidP="00B01F4A">
      <w:pPr>
        <w:pStyle w:val="TextoNormal"/>
      </w:pPr>
    </w:p>
    <w:p w:rsidR="00B01F4A" w:rsidRDefault="00B01F4A" w:rsidP="00B01F4A">
      <w:pPr>
        <w:pStyle w:val="TextoNormal"/>
      </w:pPr>
      <w:r w:rsidRPr="00B01F4A">
        <w:rPr>
          <w:rStyle w:val="NumeroAFNegritaCaracter"/>
        </w:rPr>
        <w:t>2</w:t>
      </w:r>
      <w:r>
        <w:t>. Se alega por el recurrente como fundamento de su recurso de amparo, el quebrantamiento de su derecho a la libertad personal (art. 17. 1, en relación con el art. 17.4, C.E.) como consecuencia del hecho de haber extinguido la pena de privación de libertad que le fue impuesta por Sentencia firme en virtud de su cumplimiento efectivo.</w:t>
      </w:r>
    </w:p>
    <w:p w:rsidR="00B01F4A" w:rsidRDefault="00B01F4A" w:rsidP="00B01F4A">
      <w:pPr>
        <w:pStyle w:val="TextoNormal"/>
      </w:pPr>
    </w:p>
    <w:p w:rsidR="00B01F4A" w:rsidRDefault="00B01F4A" w:rsidP="00B01F4A">
      <w:pPr>
        <w:pStyle w:val="TextoNormal"/>
      </w:pPr>
      <w:r w:rsidRPr="00B01F4A">
        <w:rPr>
          <w:rStyle w:val="NumeroAFNegritaCaracter"/>
        </w:rPr>
        <w:t>3</w:t>
      </w:r>
      <w:r>
        <w:t>. Por providencia de 20 de febrero de 1997, a tenor de lo dispuesto en el artículo 50.3 LOTC, la Sección Primera de este Tribunal acordó conceder un plazo común de diez días al Ministerio Fiscal y, a la solicitante de amparo, para que dentro de dicho término alegarán lo que estimaren conveniente en relación con la posible existencia de un motivo de inadmisión de dicha demanda de amparo constitucional, consistente en la carencia manifiesta de contenido que justifique una decisión por parte del Tribunal Constitucional, de conformidad con lo prevenido en el art. 50.1 c) de su Ley Orgánica.</w:t>
      </w:r>
    </w:p>
    <w:p w:rsidR="00B01F4A" w:rsidRDefault="00B01F4A" w:rsidP="00B01F4A">
      <w:pPr>
        <w:pStyle w:val="TextoNormal"/>
      </w:pPr>
    </w:p>
    <w:p w:rsidR="00B01F4A" w:rsidRDefault="00B01F4A" w:rsidP="00B01F4A">
      <w:pPr>
        <w:pStyle w:val="TextoNormal"/>
      </w:pPr>
      <w:r w:rsidRPr="00B01F4A">
        <w:rPr>
          <w:rStyle w:val="NumeroAFNegritaCaracter"/>
        </w:rPr>
        <w:t>4</w:t>
      </w:r>
      <w:r>
        <w:t xml:space="preserve">. Por el Ministerio Fiscal, de acuerdo con lo dispuesto en los arts. 86. 1, inciso segundo, y 80 LOTC, en relación con el art. 245.1 b) L.O.P.J., se solicitó de este Tribunal la inadmisión del presente recurso de amparo, en aplicación del art. 50.1 c) LOTC, al carecer de contenido constitucional que motivara una decisión sobre el fondo del asunto, en base a las siguientes consideraciones: </w:t>
      </w:r>
    </w:p>
    <w:p w:rsidR="00B01F4A" w:rsidRDefault="00B01F4A" w:rsidP="00B01F4A">
      <w:pPr>
        <w:pStyle w:val="TextoNormal"/>
      </w:pPr>
      <w:r>
        <w:t xml:space="preserve">a) La demanda carece manifiestamente de contenido constitucional porque el Juzgado de Instrucción ante la pretensión de habeas corpus, responde de una manera razonada y fundada en la Ley. El órgano judicial deniega la admisión porque el actor se encuentra privado de libertad por un mandato judicial -sentencia fírme- y no se haya en ninguno de los supuestos establecidos en la Ley Orgánica 6/1984, por lo que no existe la violación denunciada de los derechos fundamentales consagrados en los arts. 24 y 17.1 y 4 C.E. </w:t>
      </w:r>
    </w:p>
    <w:p w:rsidR="00B01F4A" w:rsidRDefault="00B01F4A" w:rsidP="00B01F4A">
      <w:pPr>
        <w:pStyle w:val="TextoNormal"/>
      </w:pPr>
      <w:r>
        <w:t xml:space="preserve">b) El actor afirma como fundamento de la pretensión de habeas corpus, que ha cumplido la pena en su totalidad, y, sin embargo, no ha obtenido la libertad a pesar de haber transcurrido trece días de más privado de ella. Esta afirmación del actor decae examinando las liquidaciones de condena practicadas por la Audiencia y el Centro Penitenciario. En ninguna de estas dos liquidaciones coincide la fecha de extinción de la condena con la señalada por el actor. Hay una discrepancia sobre la liquidación de condena -días cumplidos y días de redención- que sólo puede resolverse de acuerdo con la normativa legal que regula la forma de computarse el tiempo pasado por el actor privado de libertad resolviéndose la divergencia por medio de las correspondientes impugnaciones ante los órganos competentes. </w:t>
      </w:r>
    </w:p>
    <w:p w:rsidR="00B01F4A" w:rsidRDefault="00B01F4A" w:rsidP="00B01F4A">
      <w:pPr>
        <w:pStyle w:val="TextoNormal"/>
      </w:pPr>
      <w:r>
        <w:t>Por todo ello, el Ministerio Fiscal interesa del Tribunal Constitucional dicte Auto inadmitiendo el recurso de amparo por concurrir la causa del art. 50.1 c) LOTC.</w:t>
      </w:r>
    </w:p>
    <w:p w:rsidR="00B01F4A" w:rsidRDefault="00B01F4A" w:rsidP="00B01F4A">
      <w:pPr>
        <w:pStyle w:val="TextoNormal"/>
      </w:pPr>
    </w:p>
    <w:p w:rsidR="00B01F4A" w:rsidRDefault="00B01F4A" w:rsidP="00B01F4A">
      <w:pPr>
        <w:pStyle w:val="TextoNormal"/>
      </w:pPr>
      <w:r w:rsidRPr="00B01F4A">
        <w:rPr>
          <w:rStyle w:val="NumeroAFNegritaCaracter"/>
        </w:rPr>
        <w:t>5</w:t>
      </w:r>
      <w:r>
        <w:t>. Por el solicitante de amparo no se efectuó manifestación alguna al respecto.</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La Sección, en el asunto reseñado, acuerda por unanimidad la inadmisión del presente recurso de amparo de acuerdo con el art. 50.1 c) de la Ley Orgánica de este Tribunal Constitucional, por carecer manifiestamente de contenido que justifique una decisión mediante sentencia.</w:t>
      </w:r>
    </w:p>
    <w:p w:rsidR="00B01F4A" w:rsidRDefault="00B01F4A" w:rsidP="00B01F4A">
      <w:pPr>
        <w:pStyle w:val="TextoNormal"/>
      </w:pPr>
      <w:r>
        <w:lastRenderedPageBreak/>
        <w:t>Tal como señala el Ministerio Fiscal en su escrito de alegaciones, el Juzgado de Instrucción ante la formulación de habeas corpus solicitada por el ahora recurrente en amparo, da una respuesta motivada, que es congruente con los presupuestos fácticos y jurídicos presentes en la cuestión suscitada, que no son otros que aquellos basados en el hecho de que dicho solicitante se encuentra en la actualidad cumpliendo una pena privativa de libertad, la cual le ha sido impuesta por Sentencia firme, no encontrándose, por tanto, en ninguno de los supuestos establecidos al efecto en la Ley Orgánica 6/1984, implicando ello que por el órgano judicial no se han lesionado los alegados derechos fundamentales contemplados en los núms. 1 y 4 del art. 17 C.E., al denegar la pretensión suscitada por medio de dicho procedimiento de habeas corpus.</w:t>
      </w:r>
    </w:p>
    <w:p w:rsidR="00B01F4A" w:rsidRDefault="00B01F4A" w:rsidP="00B01F4A">
      <w:pPr>
        <w:pStyle w:val="TextoNormal"/>
      </w:pPr>
    </w:p>
    <w:p w:rsidR="00B01F4A" w:rsidRDefault="00B01F4A" w:rsidP="00B01F4A">
      <w:pPr>
        <w:pStyle w:val="TextoNormal"/>
      </w:pPr>
      <w:r w:rsidRPr="00B01F4A">
        <w:rPr>
          <w:rStyle w:val="NumeroAFNegritaCaracter"/>
        </w:rPr>
        <w:t>2</w:t>
      </w:r>
      <w:r>
        <w:t>. El solicitante de amparo funda la pretensión de su puesta en libertad en el hecho de que la pena ha sido cumplida en su integridad, habiendo quedado extinguida la misma, y, sin embargo, en la actualidad se mantiene privado de libertad cuando ya han transcurrido al menos trece días desde que tal pena ha sido efectivamente cumplida.</w:t>
      </w:r>
    </w:p>
    <w:p w:rsidR="00B01F4A" w:rsidRDefault="00B01F4A" w:rsidP="00B01F4A">
      <w:pPr>
        <w:pStyle w:val="TextoNormal"/>
      </w:pPr>
      <w:r>
        <w:t>Sin embargo, del examen de la liquidación de condena practicada tanto por el Centro Penitenciario, como por la Audiencia Provincial, se deduce que ninguna de ellas coincide con lo que el recurrente da como acreditado tanto en su demanda de habeas corpus como en el presente recurso de amparo constitucional, centrándose las divergencias constadas fundamentalmente en la cuantificación de los «días cumplidos» y de los «días de redención», que debe solventarse, tal como señala el Ministerio Fiscal, de acuerdo con la normativa legal que regula la forma de computarse el tiempo en el que el actor estuvo privado de libertad, incluidos los días redimidos ordinaria y extraordinariamente.</w:t>
      </w:r>
    </w:p>
    <w:p w:rsidR="00B01F4A" w:rsidRDefault="00B01F4A" w:rsidP="00B01F4A">
      <w:pPr>
        <w:pStyle w:val="TextoNormal"/>
      </w:pPr>
      <w:r>
        <w:t>Lo que determina, en consecuencia, que no se haya producido la lesión constitucional denunciada por el recurrente en su solicitud de amparo, procediendo, como ha quedado dicho, la inadmisión del recurso.</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virtud de lo expuesto, la Sala acuerda la inadmisión a trámite del recurso de amparo y el archivo de las presentes actuaciones.</w:t>
      </w:r>
    </w:p>
    <w:p w:rsidR="00B01F4A" w:rsidRDefault="00B01F4A" w:rsidP="00B01F4A">
      <w:pPr>
        <w:pStyle w:val="TextoNormal"/>
      </w:pPr>
    </w:p>
    <w:p w:rsidR="00B01F4A" w:rsidRDefault="00B01F4A" w:rsidP="00B01F4A">
      <w:pPr>
        <w:pStyle w:val="TextoNormal"/>
      </w:pPr>
      <w:r>
        <w:t>Madrid, a veintiuno de abril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206" w:name="AUTO_1997_116"/>
      <w:r>
        <w:lastRenderedPageBreak/>
        <w:t>AUTO 116/1997, de 22 de abril de 1997</w:t>
      </w:r>
    </w:p>
    <w:bookmarkEnd w:id="206"/>
    <w:p w:rsidR="00B01F4A" w:rsidRDefault="00B01F4A" w:rsidP="00B01F4A">
      <w:pPr>
        <w:pStyle w:val="TtuloResolucin"/>
      </w:pPr>
      <w:r>
        <w:t>Pleno</w:t>
      </w:r>
    </w:p>
    <w:p w:rsidR="00B01F4A" w:rsidRDefault="00B01F4A" w:rsidP="00B01F4A">
      <w:pPr>
        <w:pStyle w:val="TtuloResolucin"/>
      </w:pPr>
    </w:p>
    <w:p w:rsidR="00B01F4A" w:rsidRDefault="00B01F4A" w:rsidP="00B01F4A">
      <w:pPr>
        <w:pStyle w:val="SntesisDescriptiva"/>
      </w:pPr>
      <w:r>
        <w:t>ECLI:ES:TC:1997:116A</w:t>
      </w:r>
    </w:p>
    <w:p w:rsidR="00B01F4A" w:rsidRDefault="00B01F4A" w:rsidP="00B01F4A">
      <w:pPr>
        <w:pStyle w:val="SntesisDescriptiva"/>
      </w:pPr>
    </w:p>
    <w:p w:rsidR="00B01F4A" w:rsidRDefault="00B01F4A" w:rsidP="00B01F4A">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B01F4A" w:rsidRDefault="00B01F4A" w:rsidP="00B01F4A">
      <w:pPr>
        <w:pStyle w:val="SntesisDescriptiva"/>
      </w:pPr>
    </w:p>
    <w:p w:rsidR="00B01F4A" w:rsidRDefault="00B01F4A" w:rsidP="00B01F4A">
      <w:pPr>
        <w:pStyle w:val="SntesisDescriptiva"/>
      </w:pPr>
      <w:r>
        <w:t>Acordando la acumulación de las cuestiones de inconstitucionalidad 800/1994, 1.661/1994, 2.077/1994, 2.589/1994, 2.977/1994, 3.057/1994, 3.058/1994, 3.497/1994, 4.091/1994, 3.039/1995, 3.040/1995, 3.429/1995, 4.221/1995 y 2.418/1996 a la registrada con el núm.799/1994.</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Centrado"/>
      </w:pP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207" w:name="AUTO_1997_117"/>
      <w:r>
        <w:lastRenderedPageBreak/>
        <w:t>AUTO 117/1997, de 23 de abril de 1997</w:t>
      </w:r>
    </w:p>
    <w:bookmarkEnd w:id="207"/>
    <w:p w:rsidR="00B01F4A" w:rsidRDefault="00B01F4A" w:rsidP="00B01F4A">
      <w:pPr>
        <w:pStyle w:val="TtuloResolucin"/>
      </w:pPr>
      <w:r>
        <w:t>Sección Cuarta</w:t>
      </w:r>
    </w:p>
    <w:p w:rsidR="00B01F4A" w:rsidRDefault="00B01F4A" w:rsidP="00B01F4A">
      <w:pPr>
        <w:pStyle w:val="TtuloResolucin"/>
      </w:pPr>
    </w:p>
    <w:p w:rsidR="00B01F4A" w:rsidRDefault="00B01F4A" w:rsidP="00B01F4A">
      <w:pPr>
        <w:pStyle w:val="SntesisDescriptiva"/>
      </w:pPr>
      <w:r>
        <w:t>ECLI:ES:TC:1997:117A</w:t>
      </w:r>
    </w:p>
    <w:p w:rsidR="00B01F4A" w:rsidRDefault="00B01F4A" w:rsidP="00B01F4A">
      <w:pPr>
        <w:pStyle w:val="SntesisDescriptiva"/>
      </w:pPr>
    </w:p>
    <w:p w:rsidR="00B01F4A" w:rsidRDefault="00B01F4A" w:rsidP="00B01F4A">
      <w:pPr>
        <w:pStyle w:val="SntesisDescriptiva"/>
      </w:pPr>
      <w:r>
        <w:t>Excms. Srs. don Rafael de Mendizábal Allende, don Carles Viver Pi-Sunyer y don Tomás Salvador Vives Antón.</w:t>
      </w:r>
    </w:p>
    <w:p w:rsidR="00B01F4A" w:rsidRDefault="00B01F4A" w:rsidP="00B01F4A">
      <w:pPr>
        <w:pStyle w:val="SntesisDescriptiva"/>
      </w:pPr>
    </w:p>
    <w:p w:rsidR="00B01F4A" w:rsidRDefault="00B01F4A" w:rsidP="00B01F4A">
      <w:pPr>
        <w:pStyle w:val="SntesisDescriptiva"/>
      </w:pPr>
      <w:r>
        <w:t>Acordando la inadmisión a trámite del recurso de amparo 3.345/1995.</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xml:space="preserve">. Don Matías García González, representado por la Procuradora doña María del Ángel Sanz Amaro, interpuso recurso de amparo contra la Sentencia que la Sección Primera de la Audiencia Provincial de Murcia dictó el 13 de julio de 1994, condenándole, en apelación, como autor de un delito de alzamiento de bienes, mediante escrito presentado el 30 de septiembre de 1995, en el que expone que el Juez de Instrucción de Mula, en providencia de 24 de enero de 1984, tuvo por dirigida querella contra él y seis personas más. En Auto de 19 de junio del mismo año acordó la incoación de sumario de urgencia, dictando Auto de procesamiento de todos los querellados el 4 de julio, que fue confirmado en reforma en otro pronunciado el 18 de noviembre de 1985. El sumario fue declarado concluso el 28 de noviembre. Los procesados fueron emplazados para ante la Audiencia Provincial de Murcia de 4 de diciembre de 1985, siendo celebrado juicio oral el 12 de junio de 1987. </w:t>
      </w:r>
    </w:p>
    <w:p w:rsidR="00B01F4A" w:rsidRDefault="00B01F4A" w:rsidP="00B01F4A">
      <w:pPr>
        <w:pStyle w:val="TextoNormal"/>
      </w:pPr>
      <w:r>
        <w:t xml:space="preserve">La Audiencia Provincial decretó la nulidad de lo actuado en el sumario en relación con el procesamiento de una de las encausadas (doña Consolación García López) desde el Auto resolutorio del recurso de reforma, para que el Juez de Instrucción, con libertad de criterio, decidiera el procesamiento o no de doña Consuelo García García. El Juez de Instrucción, en Auto de 11 de marzo de 1988, reformó el de procesamiento, dejando sin efecto el procesamiento de doña Consolación García López y decretando, en su lugar, el de doña Consuelo García García. </w:t>
      </w:r>
    </w:p>
    <w:p w:rsidR="00B01F4A" w:rsidRDefault="00B01F4A" w:rsidP="00B01F4A">
      <w:pPr>
        <w:pStyle w:val="TextoNormal"/>
      </w:pPr>
      <w:r>
        <w:t xml:space="preserve">El Juez de Instrucción, en Auto de 29 de marzo de 1989 y en aplicación de la disposición transitoria quinta de la Ley Orgánica 7/1988, acomodó el procedimiento a lo dispuesto en el art. 779 y siguientes de la Ley de Enjuiciamiento Criminal (procedimiento abreviado). El Fiscal solicitó la apertura del juicio oral y formuló acusación en escrito de 10 de octubre de 1989. Otro tanto hizo la entidad querellante («Banco Español de Crédito, S. A.») en escrito de 14 de noviembre. En Auto de 22 de mayo de 1992, el Juez decretó la apertura del juicio oral. El retraso en ser adoptada esta resolución tuvo su causa en la demora que se produjo en el emplazamiento de dos de las acusadas, para cuya realización se había librado exhorto al Juzgado de igual clase de Molina de Segura. Designados Abogados y Procuradores del turno de oficio para algunos de los acusados y presentados escritos de defensa, en providencia de 2 de julio de 1993, se acordó enviar las actuaciones al Juzgado de lo Penal de Murcia. La titular de este Juzgado, en providencia de 29 de octubre de 1993, resolvió devolver las actuaciones al Juez de Instrucción, ya que aparecía escrito de defensa presentado en nombre de doña Consolación García López, que no había sido acusada por el Fiscal, sin que doña </w:t>
      </w:r>
      <w:r>
        <w:lastRenderedPageBreak/>
        <w:t xml:space="preserve">Consolación García García, que sí lo había sido, fuera emplazada. Salvado el error, las actuaciones fueron remitidas de nuevo al Juzgado de lo Penal el 23 de mayo de 1994, cuya titular dictó Auto el 15 de junio admitiendo las pruebas propuestas por las partes y mandando citar a los acusados para juicio oral, cuya iniciación señaló el 10 de enero de 1995. </w:t>
      </w:r>
    </w:p>
    <w:p w:rsidR="00B01F4A" w:rsidRDefault="00B01F4A" w:rsidP="00B01F4A">
      <w:pPr>
        <w:pStyle w:val="TextoNormal"/>
      </w:pPr>
      <w:r>
        <w:t xml:space="preserve">El juicio oral se celebró sin la asistencia del hoy demandante de amparo, que se excusó alegado padecer una cardiopatía. Sí estuvo presente su defensa, que invocó el art. 24.2 C. E. y la vulneración del derecho de su defendido a un proceso sin dilaciones indebidas. Esta invocación fue rechazada por el Juez de lo Penal en la Sentencia que pronunció el 19 de enero de 1995, en la que, de todas formas, absolvió a los acusados. </w:t>
      </w:r>
    </w:p>
    <w:p w:rsidR="00B01F4A" w:rsidRDefault="00B01F4A" w:rsidP="00B01F4A">
      <w:pPr>
        <w:pStyle w:val="TextoNormal"/>
      </w:pPr>
      <w:r>
        <w:t>El «Banco Español de Crédito, S. A.», interpuso recurso de apelación contra la anterior Sentencia. Emplazadas las partes ante la Audiencia Provincial de Murcia, su Sección Primera dictó el 8 de junio de 1995 providencia señalando para votación y fallo el 13 de julio. Esta providencia, en la que aparecían identificados el Presidente y los Magistrados Srs. Díaz Suárez y Carrillo Vinader, fue notificada a las partes y, por lo tanto, a la representación del demandante de amparo. El recurso de apelación fue estimado en la Sentencia que el mencionado Tribunal dictó el 13 de julio de 1995. En esta Sentencia se condena al demandante de amparo como coautor de un delito de alzamiento de bienes a las penas de un año de prisión menor y accesorias.</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Don Matías García González sostiene en su demanda de amparo que en las descritas actuaciones judiciales se ha incurrido en las siguientes infracciones constitucionales: </w:t>
      </w:r>
    </w:p>
    <w:p w:rsidR="00B01F4A" w:rsidRDefault="00B01F4A" w:rsidP="00B01F4A">
      <w:pPr>
        <w:pStyle w:val="TextoNormal"/>
      </w:pPr>
      <w:r>
        <w:t xml:space="preserve">l." Violación del derecho a un proceso con todas las garantías y la Juez legal predeterminado por la Ley, al no comunicar la Sala la identidad del Ponente. En el caso, la identificación del Ponente tenía especial relevancia, ya que el Magistrado designado (señor Carrillo Vinader) se encuentra en una relación de animadversión con uno de los letrados defensores (el mismo que es Director técnico de este recurso de amparo). De haber sabido que el Sr. Carrillo era el Ponente le habría solicitado su abstención y, subsidiariamente, recusado. Al no haberse dado tal oportunidad, al solicitante de amparo se le ha privado de una posibilidad defensiva capital. </w:t>
      </w:r>
    </w:p>
    <w:p w:rsidR="00B01F4A" w:rsidRDefault="00B01F4A" w:rsidP="00B01F4A">
      <w:pPr>
        <w:pStyle w:val="TextoNormal"/>
      </w:pPr>
      <w:r>
        <w:t xml:space="preserve">2.ª Violación del art. 6.2 del Convenio Europeo de Derechos Humanos y de la jurisprudencia del Tribunal de Estrasburgo sobre la presunción de inocencia, parte integrante (art. 10.2 C. E.) del art. 24.2 C.E. El Tribunal Europeo de Derechos Humanos ha afirmado que la presunción de inocencia exige, entre otras cosas, que en el cumplimiento de sus funciones los miembros del Tribunal no partan de la idea preconcedida de que el acusado ha cometido el acto incriminado, la carga de la prueba recae sobre la acusación y la duda aprovecha al acusado. De otro lado, incumbe a la acusación indicar al interesado cuáles son los cargos de los cuales será objeto -a fin de proporcionarle la ocasión de preparar y presentar su defensa en consecuencia- y de ofrecer pruebas suficientes para fundar una declaración de culpabilidad. </w:t>
      </w:r>
    </w:p>
    <w:p w:rsidR="00B01F4A" w:rsidRDefault="00B01F4A" w:rsidP="00B01F4A">
      <w:pPr>
        <w:pStyle w:val="TextoNormal"/>
      </w:pPr>
      <w:r>
        <w:t xml:space="preserve">Es decir, contrariamente a lo que viene diciendo la jurisprudencia del Tribunal Constitucional a propósito de la presunción de inocencia excluyendo de su contenido el beneficio de la duda, conforme a las obligaciones que se derivan de la ratificación del Convenio Europeo de Derechos Humanos y de la asunción de la competencia del Tribunal de Estrasburgo, el beneficio de la duda forma parte del derecho a la presunción de inocencia. </w:t>
      </w:r>
    </w:p>
    <w:p w:rsidR="00B01F4A" w:rsidRDefault="00B01F4A" w:rsidP="00B01F4A">
      <w:pPr>
        <w:pStyle w:val="TextoNormal"/>
      </w:pPr>
      <w:r>
        <w:t xml:space="preserve">Ello tiene especial trascendencia en el caso debatido, puesto la Juez de lo Penal, en la última parte del fundamento jurídico 1.º de su Sentencia, duda de la concurrencia de los elementos del delito por la existencia de unos materiales y herramientas tasados en 3.609.000 pesetas (valor muy superior a la deuda) y que el propio José García manifiesta </w:t>
      </w:r>
      <w:r>
        <w:lastRenderedPageBreak/>
        <w:t xml:space="preserve">que nunca adquirió. A la Juez le surgieron dudas sobre la transmisión de las herramientas a José García, y, en aplicación del principio in dubio pro reo, decidió absolver a los acusados. Por el contrario, la Audiencia resolvió la duda en contra del acusado y no en su favor, como le impone el art. 6.2 del Convenio Europeo. </w:t>
      </w:r>
    </w:p>
    <w:p w:rsidR="00B01F4A" w:rsidRDefault="00B01F4A" w:rsidP="00B01F4A">
      <w:pPr>
        <w:pStyle w:val="TextoNormal"/>
      </w:pPr>
      <w:r>
        <w:t xml:space="preserve">En consecuencia, la Sala del Tribunal viene obligada a apartarse de la doctrina anterior del propio Tribunal en materia de presunción de inocencia, al objeto de salvaguardar los compromisos suscritos por España, debiendo inhibirse en favor del Pleno. </w:t>
      </w:r>
    </w:p>
    <w:p w:rsidR="00B01F4A" w:rsidRDefault="00B01F4A" w:rsidP="00B01F4A">
      <w:pPr>
        <w:pStyle w:val="TextoNormal"/>
      </w:pPr>
      <w:r>
        <w:t xml:space="preserve">3.ª Violación del derecho a un juicio sin dilaciones indebidas o de duración razonable, por la prolongación del proceso durante once años, siete meses y diecinueve días. La excesiva duración del proceso fue invocada en la fase preliminar de la audiencia oral ante la Juez de lo Penal, quien lo resolvió en su Sentencia. En la oposición del demandante de amparo al recurso de apelación interpuesto por la sociedad querellante también se planteó la cuestión. La Sentencia de la Audiencia Provincial orilló totalmente el tema. Este motivo tiene entidad suficiente para anular la Sentencia, pues la misma no resuelve sobre esta cuestión. </w:t>
      </w:r>
    </w:p>
    <w:p w:rsidR="00B01F4A" w:rsidRDefault="00B01F4A" w:rsidP="00B01F4A">
      <w:pPr>
        <w:pStyle w:val="TextoNormal"/>
      </w:pPr>
      <w:r>
        <w:t xml:space="preserve">4.ª Infracción del derecho a un proceso público ante el órgano de apelación. Es reiterada la jurisprudencia de los órganos del Convenio Europeo de Derechos Humanos que establece que la publicidad de los procedimientos protege a los justiciables contra una justicia secreta que escape al control del público y es uno de los elementos que preservan la confianza en los Tribunales de Justicia. La publicidad también es aplicable al grado de apelación. De conformidad con el art. 795.6 L.E.Crim., cuando la Sala estime que es necesario para la correcta formación de una convicción fundada, la Audiencia podrá acordar la celebración de vista, citando a las partes. La Audiencia Provincial no hizo uso de esta posibilidad, pese a que el derecho a un proceso público constituye una garantía esencial impuesta por la Constitución. </w:t>
      </w:r>
    </w:p>
    <w:p w:rsidR="00B01F4A" w:rsidRDefault="00B01F4A" w:rsidP="00B01F4A">
      <w:pPr>
        <w:pStyle w:val="TextoNormal"/>
      </w:pPr>
      <w:r>
        <w:t xml:space="preserve">5.ª Vulneración del derecho a la libertad del art. 17.1 C.E. La condena privativa de libertad impuestas al solicitante de amparo se ha basado en declaraciones palmariamente arbitrarias hechas en la Sentencia de apelación: </w:t>
      </w:r>
    </w:p>
    <w:p w:rsidR="00B01F4A" w:rsidRDefault="00B01F4A" w:rsidP="00B01F4A">
      <w:pPr>
        <w:pStyle w:val="TextoNormal"/>
      </w:pPr>
      <w:r>
        <w:t xml:space="preserve">a) El Ponente (único que examina los hechos del proceso) se inventa que el taller ha continuado siendo utilizado ininterrumpidamente por sus anteriores propietarios. </w:t>
      </w:r>
    </w:p>
    <w:p w:rsidR="00B01F4A" w:rsidRDefault="00B01F4A" w:rsidP="00B01F4A">
      <w:pPr>
        <w:pStyle w:val="TextoNormal"/>
      </w:pPr>
      <w:r>
        <w:t xml:space="preserve">b) En el fundamento jurídico segundo in fine se llega a afirmar que «incluso si se aceptara la insolvencia parcial de los deudores como hace la sentencia apelada persistiría el delito de alzamiento de bienes». La Sentencia apelada en ningún momento acepta la insolvencia parcial de los deudores sino su solvencia completa. </w:t>
      </w:r>
    </w:p>
    <w:p w:rsidR="00B01F4A" w:rsidRDefault="00B01F4A" w:rsidP="00B01F4A">
      <w:pPr>
        <w:pStyle w:val="TextoNormal"/>
      </w:pPr>
      <w:r>
        <w:t xml:space="preserve">Estas dos declaraciones manifiestamente arbitrarias constituyen una severa lesión al derecho de la libertad. </w:t>
      </w:r>
    </w:p>
    <w:p w:rsidR="00B01F4A" w:rsidRDefault="00B01F4A" w:rsidP="00B01F4A">
      <w:pPr>
        <w:pStyle w:val="TextoNormal"/>
      </w:pPr>
      <w:r>
        <w:t xml:space="preserve">6.ª Violación del derecho a un proceso con todas las garantías por incumplir la Audiencia Provincial sus deberes de buena fe y de salvaguardia de la apariencia de imparcialidad. La Audiencia Provincial ha alterado los hechos probados, sin inmediación e introduciendo incluso alguno imaginario, resuelve las dudas en contra de los acusados y lo que puede favorecer a éstos se soslaya, dejando el Ponente al descubierto su deseo personal de condenar y no de hacer justicia ecuánime e imputando a la Juez de lo Penal sin fundamento el haber admitido una insolvencia parcial. En definitiva, la condena se ha producido por la intervención de un Ponente cuya buena fe es lícito poner en duda y cuya imparcialidad puede ser también puesta en tela de juicio. </w:t>
      </w:r>
    </w:p>
    <w:p w:rsidR="00B01F4A" w:rsidRDefault="00B01F4A" w:rsidP="00B01F4A">
      <w:pPr>
        <w:pStyle w:val="TextoNormal"/>
      </w:pPr>
      <w:r>
        <w:t xml:space="preserve">7.ª Violación del derecho a un proceso con todas las garantías de omisión de la garantía de la colegialidad del órgano jurisdiccional encargado de resolver la apelación. Aunque la ley encarga en el caso de autos la resolución del recurso a una Sala compuesta por tres </w:t>
      </w:r>
      <w:r>
        <w:lastRenderedPageBreak/>
        <w:t xml:space="preserve">Magistrados, el sistema de trabajo efectivo existente desnaturaliza por completo la colegialidad del Tribunal. Como el Tribunal Constitucional bien conoce y lo sabe cualquier práctico del Derecho, no hay en los Tribunales colegiados ordinarios un resumen de los hechos así como de las cuestiones que plantea el proceso para que cada miembro del Tribunal pueda haberlo estudiado con anterioridad al momento en donde se va a producir la deliberación y votación provisional y definitiva del asunto. Al contrario, en el sistema español, que podemos calificar con justicia como auténtico fraude a la colegialidad de las decisiones de los órganos judiciales -al menos en el nivel de las Audiencias- sólo un miembro conoce los hechos y todas las cuestiones que plantea el procedimiento, quedando limitado el conocimiento de los restantes miembros del Tribunal a la información que éste pasa generalmente en su proyecto de resolución que lleva a la primera reunión de debate del asunto. </w:t>
      </w:r>
    </w:p>
    <w:p w:rsidR="00B01F4A" w:rsidRDefault="00B01F4A" w:rsidP="00B01F4A">
      <w:pPr>
        <w:pStyle w:val="TextoNormal"/>
      </w:pPr>
      <w:r>
        <w:t xml:space="preserve">Esta metodología de trabajo, que contrasta absolutamente con la existente en otras Administraciones judiciales europeas de una mayor tradición democrática, en donde la colegialidad sí puede afirmarse, frustra por completo la garantía esencial del derecho del Tribunal colegiado establecido por la ley. El demandante de amparo ha sido víctima de lo que puede ser calificado como un simulacro de colegialidad por parte del órgano que ha resuelto la apelación. </w:t>
      </w:r>
    </w:p>
    <w:p w:rsidR="00B01F4A" w:rsidRDefault="00B01F4A" w:rsidP="00B01F4A">
      <w:pPr>
        <w:pStyle w:val="TextoNormal"/>
      </w:pPr>
      <w:r>
        <w:t xml:space="preserve">De acuerdo con todo lo argumentado, el demandante de amparo solicita de este Tribunal que: </w:t>
      </w:r>
    </w:p>
    <w:p w:rsidR="00B01F4A" w:rsidRDefault="00B01F4A" w:rsidP="00B01F4A">
      <w:pPr>
        <w:pStyle w:val="TextoNormal"/>
      </w:pPr>
      <w:r>
        <w:t xml:space="preserve">1.º El Pleno asuma la competencia para conocer del presente recurso de amparo al plantear el mismo un conflicto entre al jurisprudencia del Tribunal Constitucional sobre la presunción de inocencia y la emanada del Tribunal Europeo de Derechos Humanos, cuya aplicación se solicita al presente caso. </w:t>
      </w:r>
    </w:p>
    <w:p w:rsidR="00B01F4A" w:rsidRDefault="00B01F4A" w:rsidP="00B01F4A">
      <w:pPr>
        <w:pStyle w:val="TextoNormal"/>
      </w:pPr>
      <w:r>
        <w:t xml:space="preserve">2.º Sean examinadas y resueltas las peticiones reparadoras que se formulan a continuación: </w:t>
      </w:r>
    </w:p>
    <w:p w:rsidR="00B01F4A" w:rsidRDefault="00B01F4A" w:rsidP="00B01F4A">
      <w:pPr>
        <w:pStyle w:val="TextoNormal"/>
      </w:pPr>
      <w:r>
        <w:t xml:space="preserve">a) Que se declare la nulidad de la Sentencia por violación del art. 6.2 del Convenio Europeo de Derechos Humanos, al haber resuelto la Sentencia de apelación el beneficio de la duda en contra del acusado y dañado el derecho humano europeo a la presunción de inocencia. </w:t>
      </w:r>
    </w:p>
    <w:p w:rsidR="00B01F4A" w:rsidRDefault="00B01F4A" w:rsidP="00B01F4A">
      <w:pPr>
        <w:pStyle w:val="TextoNormal"/>
      </w:pPr>
      <w:r>
        <w:t xml:space="preserve">b) Que se declare la violación del derecho a un proceso con todas las garantías y al Juez legal al no haber comunicado la Sala de apelación la identidad del ponente de la causa. </w:t>
      </w:r>
    </w:p>
    <w:p w:rsidR="00B01F4A" w:rsidRDefault="00B01F4A" w:rsidP="00B01F4A">
      <w:pPr>
        <w:pStyle w:val="TextoNormal"/>
      </w:pPr>
      <w:r>
        <w:t xml:space="preserve">c) Que se declare la nulidad de la Sentencia porque la misma no establece ninguna medida reparadora ante la evidente violación del derecho a un juicio sin dilaciones indebidas. </w:t>
      </w:r>
    </w:p>
    <w:p w:rsidR="00B01F4A" w:rsidRDefault="00B01F4A" w:rsidP="00B01F4A">
      <w:pPr>
        <w:pStyle w:val="TextoNormal"/>
      </w:pPr>
      <w:r>
        <w:t xml:space="preserve">d) Que se declare la nulidad de Sentencia porque el proceso de apelación ha infringido el derecho a un proceso público, con obligación de que se celebre vista pública y oral ante el órgano que reglamentariamente corresponda sustituir al autor de la resolución impugnada. </w:t>
      </w:r>
    </w:p>
    <w:p w:rsidR="00B01F4A" w:rsidRDefault="00B01F4A" w:rsidP="00B01F4A">
      <w:pPr>
        <w:pStyle w:val="TextoNormal"/>
      </w:pPr>
      <w:r>
        <w:t xml:space="preserve">e) Que se declare la nulidad de la Sentencia porque se ha producido violación del derecho a la libertad, por incluir la Sentencia declaraciones manifiestamente arbitrarias y lesivas a dicho derecho fundamental. </w:t>
      </w:r>
    </w:p>
    <w:p w:rsidR="00B01F4A" w:rsidRDefault="00B01F4A" w:rsidP="00B01F4A">
      <w:pPr>
        <w:pStyle w:val="TextoNormal"/>
      </w:pPr>
      <w:r>
        <w:t xml:space="preserve">f) Que se declare la nulidad de la Sentencia porque se ha infringido el derecho a un proceso con efectivo cumplimiento de las garantías de la buena fe y de la imparcialidad del Tribunal, ordenando, en este caso, la celebración de un proceso de apelación ante órgano distinto. </w:t>
      </w:r>
    </w:p>
    <w:p w:rsidR="00B01F4A" w:rsidRDefault="00B01F4A" w:rsidP="00B01F4A">
      <w:pPr>
        <w:pStyle w:val="TextoNormal"/>
      </w:pPr>
      <w:r>
        <w:t xml:space="preserve">g) Que se declare la nulidad de la Sentencia por violación de la garantía de la colegialidad del Tribunal, dado que en el proceso de fabricación o elaboración de la decisión la colegialidad no es real sino meramente aparente o ficticia. </w:t>
      </w:r>
    </w:p>
    <w:p w:rsidR="00B01F4A" w:rsidRDefault="00B01F4A" w:rsidP="00B01F4A">
      <w:pPr>
        <w:pStyle w:val="TextoNormal"/>
      </w:pPr>
      <w:r>
        <w:lastRenderedPageBreak/>
        <w:t>También interesa que, entre tanto, sea suspendida la ejecución de la Sentencia impugnada, así como que sea acordado el recibimiento de este recurso a prueba para demostrar la falta real de colegialidad en el funcionamiento del Tribunal del cual emana dicha Sentencia.</w:t>
      </w:r>
    </w:p>
    <w:p w:rsidR="00B01F4A" w:rsidRDefault="00B01F4A" w:rsidP="00B01F4A">
      <w:pPr>
        <w:pStyle w:val="TextoNormal"/>
      </w:pPr>
    </w:p>
    <w:p w:rsidR="00B01F4A" w:rsidRDefault="00B01F4A" w:rsidP="00B01F4A">
      <w:pPr>
        <w:pStyle w:val="TextoNormal"/>
      </w:pPr>
      <w:r w:rsidRPr="00B01F4A">
        <w:rPr>
          <w:rStyle w:val="NumeroAFNegritaCaracter"/>
        </w:rPr>
        <w:t>3</w:t>
      </w:r>
      <w:r>
        <w:t>. La Sección Cuarta, en providencia de 29 de mayo de 1996, resolvió poner de manifiesto al solicitante de amparo y al Fiscal la posible concurrencia de las causas de inadmisión del recurso consistente en la falta de agotamiento de la vía judicial [art. 50.1 a), en relación con el 44.1 a), LOTC] y en la manifiesta falta de contenido constitucional de la pretensión sustentada [art. 50.1 c) LOTC], para que, en el plazo común de diez días, alegasen lo que tuvieren por conveniente al respecto.</w:t>
      </w:r>
    </w:p>
    <w:p w:rsidR="00B01F4A" w:rsidRDefault="00B01F4A" w:rsidP="00B01F4A">
      <w:pPr>
        <w:pStyle w:val="TextoNormal"/>
      </w:pPr>
    </w:p>
    <w:p w:rsidR="00B01F4A" w:rsidRDefault="00B01F4A" w:rsidP="00B01F4A">
      <w:pPr>
        <w:pStyle w:val="TextoNormal"/>
      </w:pPr>
      <w:r w:rsidRPr="00B01F4A">
        <w:rPr>
          <w:rStyle w:val="NumeroAFNegritaCaracter"/>
        </w:rPr>
        <w:t>4</w:t>
      </w:r>
      <w:r>
        <w:t xml:space="preserve">. El demandante de amparo evacuó el traslado en escrito que presentó el 24 de junio, sosteniendo la temporaneidad del recurso en las quejas relativas a los derechos a un proceso público en la apelación y al Juez imparcial en el segundo grado, ya que, en lo concerniente a la denunciada falta de imparcialidad de Magistrado Ponente, no se hubiera proyectado recusación alguna si el Ponente de la Sentencia no hubiera sido el Magistrado Carrillo Vinader, quien mantiene una manifiesta enemistad con el Abogado del solicitante de amparo. En cuanto a la queja relativa al derecho a un proceso público, debe reseñarse que el hecho de que la providencia de 8 de junio de 1995 señalara para votación y fallo la fecha 13 de julio de mismo año, no significa en la práctica forense de las distintas secciones de la Audiencia Provincial de Murcia denegación del derecho a una vista pública, puesto que, cuando un asunto en apelación llega a una Sección de la Audiencia Provincial, la Secretaría señala la fecha de votación y fallo y, posteriormente, el Ponente, tras un examen de las actuaciones, decide si se mantiene la votación y fallo o si se celebra vista pública. En consecuencia, existía la posibilidad de celebración de vista con posterioridad al señalamiento de fecha para votación y fallo por lo que, de acuerdo con la doctrina del Tribunal Constitucional, todavía se mantenía la posibilidad de reparar la lesión antes de Sentencia. </w:t>
      </w:r>
    </w:p>
    <w:p w:rsidR="00B01F4A" w:rsidRDefault="00B01F4A" w:rsidP="00B01F4A">
      <w:pPr>
        <w:pStyle w:val="TextoNormal"/>
      </w:pPr>
      <w:r>
        <w:t>En relación con las restantes quejas de amparo, el recurrente sostiene su innegable contenido constitucional, reiterando en este punto, si bien en resumen, los argumentos expuestos en el escrito de demanda.</w:t>
      </w:r>
    </w:p>
    <w:p w:rsidR="00B01F4A" w:rsidRDefault="00B01F4A" w:rsidP="00B01F4A">
      <w:pPr>
        <w:pStyle w:val="TextoNormal"/>
      </w:pPr>
    </w:p>
    <w:p w:rsidR="00B01F4A" w:rsidRDefault="00B01F4A" w:rsidP="00B01F4A">
      <w:pPr>
        <w:pStyle w:val="TextoNormal"/>
      </w:pPr>
      <w:r w:rsidRPr="00B01F4A">
        <w:rPr>
          <w:rStyle w:val="NumeroAFNegritaCaracter"/>
        </w:rPr>
        <w:t>5</w:t>
      </w:r>
      <w:r>
        <w:t xml:space="preserve">. El Fiscal presentó sus alegaciones el 22 de julio, solicitando la inadmisión del recurso de amparo. Para fundamentar esta petición afirma que concurre la causa de inadmisión de falta de agotamiento de la vía judicial en relación con los derechos a un proceso público y al Juez imparcial. En cuanto al primero, porque la vista pública que el demandante de amparo reclama en apelación es facultativa y, al impugnar el recurso de Fiscal contra la Sentencia dictada en la primera instancia, no solicitó su celebración. Respecto del derecho al Juez imparcial, consta en los autos de la apelación que la composición de la Sala y el señalamiento para votación y fallo fue acordado en providencia de 8 de junio de 1995, que fue notificada a las partes, sin que quien solicita amparo intentara la recusación del Magistrado al que achaca tener manifiesta enemistad con su Abogado defensor. </w:t>
      </w:r>
    </w:p>
    <w:p w:rsidR="00B01F4A" w:rsidRDefault="00B01F4A" w:rsidP="00B01F4A">
      <w:pPr>
        <w:pStyle w:val="TextoNormal"/>
      </w:pPr>
      <w:r>
        <w:t xml:space="preserve">El resto de las alegaciones de la demanda carecen, para el Fiscal, de contenido constitucional. Las dilaciones indebidas que se denuncian no han sido objeto de invocación ante el Juez ordinario; la lesión del derecho a la libertad es alegación carente de sustantividad propia por cuanto que quedaría enervada si el amparo fuera estimado. El quebranto de la buena fe y la imparcialidad que el derecho al proceso debido imponente al Tribunal juzgador, constituyen, la primera, una conjetura sin fundamento alguno y, la segunda, una reiteración </w:t>
      </w:r>
      <w:r>
        <w:lastRenderedPageBreak/>
        <w:t>de lo ya legado; ninguna razón objetiva permite poner en tela de juicio la buena fe ni la imparcialidad de la Audiencia Provincial. Por último, la queja que se proyecta nuevamente sobre el derecho a un proceso con todas las garantías por falta de colegialidad en la actuación del órgano de apelación, desconoce lo que la Ley Orgánica del Poder Judicial (arts. 203 y 250 y siguientes) dispone en cuanto al funcionamiento de los órganos colegiados y a la actuación del Magistrado Ponente y constituye un argumento retórico de crítica al sistema más que un alegato de defensa de un derecho fundamental.</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EB5FD0" w:rsidP="00B01F4A">
      <w:pPr>
        <w:pStyle w:val="TextoNormal"/>
      </w:pPr>
      <w:r w:rsidRPr="00EB5FD0">
        <w:rPr>
          <w:rStyle w:val="NumeroAFNegritaCaracter"/>
        </w:rPr>
        <w:t>Ú</w:t>
      </w:r>
      <w:r w:rsidR="00B01F4A" w:rsidRPr="00EB5FD0">
        <w:rPr>
          <w:rStyle w:val="NumeroAFNegritaCaracter"/>
        </w:rPr>
        <w:t>nico.</w:t>
      </w:r>
      <w:r w:rsidR="00B01F4A">
        <w:t xml:space="preserve"> Los numerosos derechos fundamentales traídos a colación por el solicitante de amparo y la variedad de las quejas que plantea, utilizando argumentos recurrentes, que aparecen y reaparecen en diversos lugares de su escrito de demanda, aconsejan, si</w:t>
      </w:r>
    </w:p>
    <w:p w:rsidR="00B01F4A" w:rsidRDefault="00B01F4A" w:rsidP="00B01F4A">
      <w:pPr>
        <w:pStyle w:val="TextoNormal"/>
      </w:pPr>
      <w:r>
        <w:t>se quiere mantener el mínimo de coherencia interna y claridad exigible a toda resolución judicial, abordar el enjuiciamiento que nos ocupa mediante el examen sucesivo de los derechos fundamentales invocados para concluir si respecto de ellos concurre</w:t>
      </w:r>
    </w:p>
    <w:p w:rsidR="00B01F4A" w:rsidRDefault="00B01F4A" w:rsidP="00B01F4A">
      <w:pPr>
        <w:pStyle w:val="TextoNormal"/>
      </w:pPr>
      <w:r>
        <w:t>alguna de las dos causas de inadmisión que, en su providencia de 29 de mayo de 1996, la Sección decidió poner de manifiesto a las partes.</w:t>
      </w:r>
    </w:p>
    <w:p w:rsidR="00B01F4A" w:rsidRDefault="00B01F4A" w:rsidP="00B01F4A">
      <w:pPr>
        <w:pStyle w:val="TextoNormal"/>
      </w:pPr>
      <w:r>
        <w:t>a) Derecho al Juez imparcial. En relación con este derecho fundamental el demandante de amparo no ha agotado la vía judicial y, por ello, su pretensión es inadmisible [art. 50.1 a), en relación con el 44.1 a), LOTC]. Afirma que no se le notificó cual de los tres Magistrados de la Sala iba a ser el Ponente en el recurso de apelación y ello es cierto. Pero no lo es menos que se le notificó la providencia señalando día para la votación y fallo, en la que aparecía como componente de la Sala el Magistrado Sr. Carrillo Vinader, quien, según se dice en la demandada, tiene enemistad manifiesta con el defensor del demandante de amparo. Es evidente, pues, que conoció la composición de la Sala y que, por lo tanto, pudo recusar al mencionado Magistrado sin que, no obstante ello, lo hiciera. La exigencia de imparcialidad del Juez no afecta sólo al Ponente sino también a los demás Magistrados que integran la Sala, pues la decisión es una decisión colegiada.</w:t>
      </w:r>
    </w:p>
    <w:p w:rsidR="00B01F4A" w:rsidRDefault="00B01F4A" w:rsidP="00B01F4A">
      <w:pPr>
        <w:pStyle w:val="TextoNormal"/>
      </w:pPr>
      <w:r>
        <w:t>Por lo demás, esta queja también carece de contenido constitucional [art. 50.1 c) LOTC]. Es la hipótesis, que aquí no ha sido demostrada, de que existiera aquella manifiesta enemistad, la solución acorde con las garantías del art. 24 C.E. no consiste en que el Juez se aparte del proceso, sino en que el justicial decida si le conviene mantener el defensor que había elegido. La imparcialidad lo es respecto de quien solicita la tutela judicial y no en relación con quienes, colaborando con la justicia, representan y defienden a los justiciables.</w:t>
      </w:r>
    </w:p>
    <w:p w:rsidR="00B01F4A" w:rsidRDefault="00B01F4A" w:rsidP="00B01F4A">
      <w:pPr>
        <w:pStyle w:val="TextoNormal"/>
      </w:pPr>
      <w:r>
        <w:t xml:space="preserve">b) Vulneración del derecho a un proceso con todas las garantías por incumplir la Audiencia Provincial sus deberes de buena fe y salvaguarda de las apariencias de imparcialidad y por omitir la garantía de la colegialidad.  Estas dos quejas, que encuentran su fundamento en hechos que en modo alguno el solicitante de amparo acredita, adolecen manifiestamente de fundamento y contenido constitucional [art. 50.1 c) LOTC]. En relación con la «buena fe» y la «salvaguardia de las apariencias de imparcialidad» es necesario poner de manifiesto que, con independencia de lo acabado de exponer en relación con el derecho al Juez imparcial, no existe ningún motivo para concluir que el Ponente y los otros dos Magistrados que integraron la Sala hayan actuado de mala fe. En la demanda de amparo se dice que existe enemistad manifiesta entre el Letrado que la suscribe y que defendió al demandante ante la Audiencia Provincial y el Magistrado Ponente, pero, sin embargo, no se exponen las causas </w:t>
      </w:r>
      <w:r>
        <w:lastRenderedPageBreak/>
        <w:t>y razones de esta supuesta enemistad. Se trata de una afirmación que, dados los términos en que se efectúa, debe cuando menos ser calificado de temeraria.</w:t>
      </w:r>
    </w:p>
    <w:p w:rsidR="00B01F4A" w:rsidRDefault="00B01F4A" w:rsidP="00B01F4A">
      <w:pPr>
        <w:pStyle w:val="TextoNormal"/>
      </w:pPr>
      <w:r>
        <w:t>La denuncia relativa al desconocimiento de la «colegialidad» del Tribunal también aparece huérfana del más mínimo apoyo probatorio. En la demanda de amparo se hace una descalificación de todos los órganos jurisdiccionales colegiados de este país (al menos de las Audiencias), pero no se expone hecho alguno que ponga de manifiesto que en el caso no decidió el Tribunal (los tres Magistrado) sino sólo el Ponente. Ni tan siquiera se niega que los Magistrados se reunieran para deliberar y votar. Lo que en última instancia se pretende en la demanda de amparo es imponer a los Tribunales un concreto modus operandi.  Lo decisivo es que todos y cada uno de los miembros del Tribunal adquieran un cabal conocimiento de los hechos, los fundamentos y las pretensiones articulados de los hechos, los fundamentos y las pretensiones articulados en cada supuesto sometido a su consideración. La forma en que se llega a ese conocimiento (examen previo de los autos por cada uno de los miembros del Tribunal, presentación por éste de un proyecto de resolución, dación de cuenta en forma verbal, etc.), es accidental. No existen fórmulas magistrales al efecto ni mucho menos puede imponerse, como se pretende en la demanda, un concreto modo de actuación.</w:t>
      </w:r>
    </w:p>
    <w:p w:rsidR="00B01F4A" w:rsidRDefault="00B01F4A" w:rsidP="00B01F4A">
      <w:pPr>
        <w:pStyle w:val="TextoNormal"/>
      </w:pPr>
      <w:r>
        <w:t>c) Derecho a un proceso público ante el órgano de la apelación. El demandante de amparo no puede quejarse ahora de que en la apelación no se celebrar vista pública, por la sencilla razón de que en su momento no solicitó su celebración. En relación con esta queja concurre, pues, la causa de inadmisión del art. 50.1 a), en relación con el 44.1 a), de la LOTC.</w:t>
      </w:r>
    </w:p>
    <w:p w:rsidR="00B01F4A" w:rsidRDefault="00B01F4A" w:rsidP="00B01F4A">
      <w:pPr>
        <w:pStyle w:val="TextoNormal"/>
      </w:pPr>
      <w:r>
        <w:t>d) Derecho a la presunción de inocencia. La Juez de lo Penal, valorando la prueba, entendió que en la transmisión del negocio no se incluyeron los útiles y herramientas, cuyo valor era superior a la deuda, y, por ello, concluyó que no se había cometido por el demandante de amparo y los demás acusados el delito de alzamiento de bienes. El Tribunal de la apelación, con iguales facultades en orden a la valoración del material probatorio, estimó que en aquella transmisión también se enajenaron tales útiles e instrumentos, por lo que, de acuerdo con ello, resolvió en este sentido de entender perpetrado el delito. La queja que planea el recurrente afecta, por lo tanto, a la valoración de la prueba, cuestión que, como con reiteración ha afirmado este Tribunal, queda extramuros del derecho fundamental a la presunción de inocencia.</w:t>
      </w:r>
    </w:p>
    <w:p w:rsidR="00B01F4A" w:rsidRDefault="00B01F4A" w:rsidP="00B01F4A">
      <w:pPr>
        <w:pStyle w:val="TextoNormal"/>
      </w:pPr>
      <w:r>
        <w:t>Para la Audiencia Provincial no existe duda alguna sobre que en el contrato privado de compraventa del negocio también se transmitieron las herramientas y útiles del mismo. Para llegar a esta conclusión toma en consideración el propio contenido literal del contrato, así como el comportamiento de los acusados a lo largo del proceso. No existiendo para dicho Tribunal duda racional alguna sobre la concurrencia de este elemento objetivo del delito de alzamiento de bienes, resultaba innecesario acudir a la regla in dubio pro reo y, siendo ello así, la alegada contradicción entre la jurisprudencia de este Tribunal y la doctrina del Europeo de Derechos Humanos acerca de la inclusión de aquella regla en el contenido del derecho a la presunción de inocencia resulta intrascendente al objeto de este recurso de amparo, quedando reducida a un mera alegación abstracta sin conexión alguna con la pretensión de amparo articulada.</w:t>
      </w:r>
    </w:p>
    <w:p w:rsidR="00B01F4A" w:rsidRDefault="00B01F4A" w:rsidP="00B01F4A">
      <w:pPr>
        <w:pStyle w:val="TextoNormal"/>
      </w:pPr>
      <w:r>
        <w:t>En conclusión, esta queja también incide en la causa de inadmisión del art.  50.1 c) LOTC.</w:t>
      </w:r>
    </w:p>
    <w:p w:rsidR="00B01F4A" w:rsidRDefault="00B01F4A" w:rsidP="00B01F4A">
      <w:pPr>
        <w:pStyle w:val="TextoNormal"/>
      </w:pPr>
      <w:r>
        <w:t xml:space="preserve">e) Derecho a un proceso sin dilaciones indebidas. La defensa del demandante de amparo solicitó de la Juez de lo Penal su absolución por las dilaciones, a su juicio indebidas, en que se había incurrido durante la tramitación de la causa. La Juez de lo Penal rechazó tal pretensión -en consonancia con la doctrina de este Tribunal (STC 148/1994)-, si bien absolvió </w:t>
      </w:r>
      <w:r>
        <w:lastRenderedPageBreak/>
        <w:t>a aquél por otra causa. La entidad querellante recurrió en apelación tal decisión y en su oposición al recurso el demandante de amparo no volvió a plantear el tema de las dilaciones indebidas, si bien hizo referencia a la larga duración del proceso para poner de manifiesto la equidad de la decisión de la Juez a quo.  La Audiencia Provincial estimó el recurso y dicto Sentencia condenatoria sin hacer la más mínima referencia a esas dilaciones. El demandante de amparo se lamenta de este silencio.</w:t>
      </w:r>
    </w:p>
    <w:p w:rsidR="00B01F4A" w:rsidRDefault="00B01F4A" w:rsidP="00B01F4A">
      <w:pPr>
        <w:pStyle w:val="TextoNormal"/>
      </w:pPr>
      <w:r>
        <w:t>Su queja, así planteada, no es tanto de vulneración del derecho a un proceso sin dilaciones indebidas como del derecho a la tutela judicial efectiva por incongruencia omisiva. Así las cosas, esa queja carece manifiestamente de contenido constitucional [art. 50.1 c) LOTC]. En el debate de la apelación no se planteó el tema de las dilaciones indebidas. El demandante de amparo se aquietó con la decisión que la Juez de lo Penal adoptó al respecto, lo que, por otro lado, resulta razonable si se tiene presente que, al fin y a la postre, fue absuelto. La entidad querellante recurrió la Sentencia en cuanto absolutoria y, como también es razonable, no discutió la negativa de la Juez a pronunciar Sentencia absolutoria por dilaciones indebidas. En definitiva, tal cuestión no fue planteada en la apelación y, por ello, la Audiencia Provincial no tenía por qué abordarla. En otras palabras, dicho Tribunal no incurrió en incongruencia omisiva por la sencilla razón de que guardó silencio sobre una pretensión que no le había sido planteada.</w:t>
      </w:r>
    </w:p>
    <w:p w:rsidR="00B01F4A" w:rsidRDefault="00B01F4A" w:rsidP="00B01F4A">
      <w:pPr>
        <w:pStyle w:val="TextoNormal"/>
      </w:pPr>
      <w:r>
        <w:t>f) Derecho a la libertad. En relación con este derecho fundamental también concurre la causa de inadmisión del art. 50.1 c) LOTC. El planteamiento del recurrente es erróneo. Si ha sido condenado a una pena privativa de libertad con fundamento en razonamientos arbitrarios, la lesión no sería de ese derecho fundamental -en la medida en que ha sido privado de libertad conforme a la Ley en virtud de una Sentencia penal firme-, sino del derecho a obtener la tutela judicial efectiva, que proscribe pronunciamientos judiciales arbitrarios o manifiestamente erróneos.</w:t>
      </w:r>
    </w:p>
    <w:p w:rsidR="00B01F4A" w:rsidRDefault="00B01F4A" w:rsidP="00B01F4A">
      <w:pPr>
        <w:pStyle w:val="TextoNormal"/>
      </w:pPr>
      <w:r>
        <w:t>En cualquier caso, la Audiencia Provincial no se ha inventado un hecho probado (que los acusados vendedores continuaran utilizando el taller que en virtud de contrato privado transmitieron al hijo de uno de ellos), sino que, valorando el material probatorio (art. 741 L.E.Crim.), llega a tal conclusión. De otro lado, la cuestión relativa a que la Juez de lo Penal aceptara o no la insolvencia parcial de los acusados ninguna relevancia tenía para el ulterior pronunciamiento condenatorio, conforme a la interpretación de que la legalidad ordinaria realizó la Audiencia en uso de sus potestades (art. 117.1 C.E.).</w:t>
      </w:r>
    </w:p>
    <w:p w:rsidR="00B01F4A" w:rsidRDefault="00B01F4A" w:rsidP="00B01F4A">
      <w:pPr>
        <w:pStyle w:val="TextoNormal"/>
      </w:pPr>
      <w:r>
        <w:t>Lo hasta aquí expuesto conduce a la inadmisión del recurso por concurrir las causas que en su momento fueron detectados por la Sección.</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lo anterior, la Sección acuerda no admitir a trámite este recurso de amparo, ordenando el archivo de las actuaciones, sin que, por ello, sea menester pronunciamiento sobre las solicitudes de suspensión y de recibimiento del proceso de amparo a</w:t>
      </w:r>
    </w:p>
    <w:p w:rsidR="00B01F4A" w:rsidRDefault="00B01F4A" w:rsidP="00B01F4A">
      <w:pPr>
        <w:pStyle w:val="TextoNormal"/>
      </w:pPr>
      <w:r>
        <w:t>prueba deducidas en la demanda.</w:t>
      </w:r>
    </w:p>
    <w:p w:rsidR="00B01F4A" w:rsidRDefault="00B01F4A" w:rsidP="00B01F4A">
      <w:pPr>
        <w:pStyle w:val="TextoNormal"/>
      </w:pPr>
    </w:p>
    <w:p w:rsidR="00B01F4A" w:rsidRDefault="00B01F4A" w:rsidP="00B01F4A">
      <w:pPr>
        <w:pStyle w:val="TextoNormal"/>
      </w:pPr>
      <w:r>
        <w:t>Madrid, a veintitrés de abril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208" w:name="AUTO_1997_118"/>
      <w:r>
        <w:lastRenderedPageBreak/>
        <w:t>AUTO 118/1997, de 23 de abril de 1997</w:t>
      </w:r>
    </w:p>
    <w:bookmarkEnd w:id="208"/>
    <w:p w:rsidR="00B01F4A" w:rsidRDefault="00B01F4A" w:rsidP="00B01F4A">
      <w:pPr>
        <w:pStyle w:val="TtuloResolucin"/>
      </w:pPr>
      <w:r>
        <w:t>Sección Cuarta</w:t>
      </w:r>
    </w:p>
    <w:p w:rsidR="00B01F4A" w:rsidRDefault="00B01F4A" w:rsidP="00B01F4A">
      <w:pPr>
        <w:pStyle w:val="TtuloResolucin"/>
      </w:pPr>
    </w:p>
    <w:p w:rsidR="00B01F4A" w:rsidRDefault="00B01F4A" w:rsidP="00B01F4A">
      <w:pPr>
        <w:pStyle w:val="SntesisDescriptiva"/>
      </w:pPr>
      <w:r>
        <w:t>ECLI:ES:TC:1997:118A</w:t>
      </w:r>
    </w:p>
    <w:p w:rsidR="00B01F4A" w:rsidRDefault="00B01F4A" w:rsidP="00B01F4A">
      <w:pPr>
        <w:pStyle w:val="SntesisDescriptiva"/>
      </w:pPr>
    </w:p>
    <w:p w:rsidR="00B01F4A" w:rsidRDefault="00B01F4A" w:rsidP="00B01F4A">
      <w:pPr>
        <w:pStyle w:val="SntesisDescriptiva"/>
      </w:pPr>
      <w:r>
        <w:t>Excms. Srs. don Rafael de Mendizábal Allende, don Carles Viver Pi-Sunyer y don Tomás Salvador Vives Antón.</w:t>
      </w:r>
    </w:p>
    <w:p w:rsidR="00B01F4A" w:rsidRDefault="00B01F4A" w:rsidP="00B01F4A">
      <w:pPr>
        <w:pStyle w:val="SntesisDescriptiva"/>
      </w:pPr>
    </w:p>
    <w:p w:rsidR="00B01F4A" w:rsidRDefault="00B01F4A" w:rsidP="00B01F4A">
      <w:pPr>
        <w:pStyle w:val="SntesisDescriptiva"/>
      </w:pPr>
      <w:r>
        <w:t>Acordando la inadmisión a trámite del recurso de amparo 3.717/1995.</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xml:space="preserve">. Don José Pascual García, en «fax» remitido a este Tribunal el 3 de noviembre de 1995, puso de manifiesto su intención de interponer recurso de amparo contra los Autos dictados el 6 y el 21 de junio de 1995 por el Juez de Instrucción núm. 2 de Valencia, denegatorios de su libertad provisional, confirmados en apelación mediante Auto pronunciado por la Sección Primera de la Audiencia Provincial de Valencia el 3 de octubre de 1995, y al efecto designaba para que le defendiera por pobre al Letrado don Cristóbal Fernández García, solicitando que se le nombrara Procurador del turno de oficio. </w:t>
      </w:r>
    </w:p>
    <w:p w:rsidR="00B01F4A" w:rsidRDefault="00B01F4A" w:rsidP="00B01F4A">
      <w:pPr>
        <w:pStyle w:val="TextoNormal"/>
      </w:pPr>
      <w:r>
        <w:t xml:space="preserve">Tras aceptar dicho Abogado su nombramiento y serle designado Procurador de oficio, se dio traslado a estos profesionales para que, en el plazo de veinte días, formalizaran la demanda, lo que llevaron a efecto en escrito presentado el 4 de mayo de 1996, en el que relataron que el demandante de amparo se encuentra en situación de prisión preventiva, acordada mediante Auto que el Juez de Instrucción núm. 16 de Valencia dictó el 7 de octubre de 1994, en el que también adoptó dicha medida cautelar respecto de don Enrique Celda Ramón, doña María Isabel Cano Mascuñán, don Francisco Cano Mascuñán y doña Victoria Cano Mascuñán. En la mencionada fecha el citado Juez se inhibió en favor del Juez del Instrucción núm. 2 de la misma ciudad, que en Auto de 10 de octubre ratificó la prisión acordada por su colega. Este Auto fue ratificado en reforma mediante otro de 24 de noviembre y en apelación por el pronunciamiento el 29 de marzo de 1995 por la Sección Primera de la Audiencia Provincial de Valencia. </w:t>
      </w:r>
    </w:p>
    <w:p w:rsidR="00B01F4A" w:rsidRDefault="00B01F4A" w:rsidP="00B01F4A">
      <w:pPr>
        <w:pStyle w:val="TextoNormal"/>
      </w:pPr>
      <w:r>
        <w:t xml:space="preserve">Mientras se substanciaba el anterior recurso de apelación, el Juez de Instrucción decretó la libertad sin fianza de don Francisco Cano Mascuñán (Auto de 9 de marzo de 1995), así como el procesamiento del demandante de amparo y de don Enrique Celda Ramón, doña María Isabel Cano Mascuñán, don Francisco Cano Mascuñán, doña Victoria Pascual García, doña Sofía Cano Mascuñán y don Jorge Benet García (Auto de 10 de marzo de 1995). En este Auto acordó mantener en prisión al solicitante de amparo, a don Enrique Celda Ramón y a doña María Isabel Cano Mascuñán, dejando en libertad provisional a los demás procesados. En Auto de 26 de mayo de 1995, resolvió decretar la libertad provisional bajo fianza de 500.000 pesetas de don Enrique Celda Ramón. </w:t>
      </w:r>
    </w:p>
    <w:p w:rsidR="00B01F4A" w:rsidRDefault="00B01F4A" w:rsidP="00B01F4A">
      <w:pPr>
        <w:pStyle w:val="TextoNormal"/>
      </w:pPr>
      <w:r>
        <w:t xml:space="preserve">El solicitante de amparo pidió el 5 de junio de 1995 su libertad provisional. Esta solicitud fue rechazada en Auto dictado el siguiente día, en el que el Juez de Instrucción razonó que: </w:t>
      </w:r>
    </w:p>
    <w:p w:rsidR="00B01F4A" w:rsidRDefault="00B01F4A" w:rsidP="00B01F4A">
      <w:pPr>
        <w:pStyle w:val="TextoNormal"/>
      </w:pPr>
      <w:r>
        <w:lastRenderedPageBreak/>
        <w:t xml:space="preserve">«Primero.- No se han modificado las circunstancias que se tuvieron en cuenta en su día al dictar el auto de prisión contra don José Pascual García, por lo que no procede modificar la prisión acordada. </w:t>
      </w:r>
    </w:p>
    <w:p w:rsidR="00B01F4A" w:rsidRDefault="00B01F4A" w:rsidP="00B01F4A">
      <w:pPr>
        <w:pStyle w:val="TextoNormal"/>
      </w:pPr>
      <w:r>
        <w:t xml:space="preserve">Segundo.- La evolución de la causa con la práctica ininterrumpida de diligencias ha consolidado las pruebas existentes contra don José Pascual García, existiendo sólidos indicios en las intervenciones telefónicas. De la evolución de la causa respecto a don Enrique Celda Ramón no se aprecia un aumento de los indicios, subsistiendo los recogidos en las intervenciones telefónicas, de menor fortaleza, o al menos, que podrían evidenciar una menor participación que don José Pascual García. En consecuencia, atendiendo el tiempo transcurrido y las previsiones de avance de la investigación se modificó su situación, permaneciendo subsistente la de don José Pascual García, por la mayor implicación cuantitativa y cualitativa que se observa.» </w:t>
      </w:r>
    </w:p>
    <w:p w:rsidR="00B01F4A" w:rsidRDefault="00B01F4A" w:rsidP="00B01F4A">
      <w:pPr>
        <w:pStyle w:val="TextoNormal"/>
      </w:pPr>
      <w:r>
        <w:t xml:space="preserve">El anterior Auto fue confirmado en reforma por otro de 25 de junio, en cuya fundamentación jurídica el Juez se limitó a constatar que en el escrito de interposición del recurso «no se han desvirtuado los fundamentos de derecho» del Auto recurrido. </w:t>
      </w:r>
    </w:p>
    <w:p w:rsidR="00B01F4A" w:rsidRDefault="00B01F4A" w:rsidP="00B01F4A">
      <w:pPr>
        <w:pStyle w:val="TextoNormal"/>
      </w:pPr>
      <w:r>
        <w:t xml:space="preserve">Así las costas, el demandante de amparo interpuso recurso de apelación, el cual fue desestimado por la Sección Primera de la Audiencia Provincial de Valencia en Auto de 3 de octubre de 1995. La fundamentación jurídica de esta decisión es como sigue: </w:t>
      </w:r>
    </w:p>
    <w:p w:rsidR="00B01F4A" w:rsidRDefault="00B01F4A" w:rsidP="00B01F4A">
      <w:pPr>
        <w:pStyle w:val="TextoNormal"/>
      </w:pPr>
      <w:r>
        <w:t>«A la vista de los motivos esgrimidos por el apelante en impugnación del pronunciamiento combatido se impone destacar que no es apreciable la pretendida vulneración del principio de igualdad, destacando que no se constata identidad de circunstancias entre aquel y el también procesado don Enrique Celda Ramón para imponer ahora la misma situación de éste en cuanto al primero; por el Instructor ya (se ha) señalado que la evolución de la investigación ha consolidado los indicios respecto al hoy apelante, con una mayor implicación del mismo, mientras en cuanto al segundo (ha) indicado no apreciarse un aumento, subsistiendo los concurrentes, significativos de menor participación; de manera que falta la aducida fuerte similitud, dejando sin base de apoyo el planteamiento hecho, pues conforme tiene declarado el Tribunal Constitucional, para que pueda prosperar una queja de desigualdad en la aplicación de la Ley se exige una plena identidad en los supuestos de hecho de que conozca el órgano judicial y que el mismo se aparte del criterio seguido en igual situación, de modo arbitrario o sin motivación o fundamentación razonable y suficiente (Sentencia de 26 de febrero de 1987); lejos de ello aquí; de otro lado destacar que el avanzado estado de la causa no ha de determinar por sí otra solución respecto a la situación personal del recurrente, en tanto mantenido el peligro de que trate de eludir la acción de la justicia, y en función de las circunstancias concurrentes, la medida acordada se ha valorado procedente y adecuada a la finalidad perseguida, frente a toda otra; innecesario será insistir en la naturaleza del delito contemplado y su rechazo social; y sin más especial detenimiento en los arts. 503 y 504 de la Ley procesal penal, añadir, en tanto se hace referencia a duración de la pena, que, en términos generales, la mayor gravedad del hecho con la consiguiente mayor sanción penal hace razonable pensar en más riesgo de que el acusado intente substraerse a la aplicación de la Ley, sin que se aprecie desterrada cualquier eventualidad al respecto por la circunstancia de contar el imputado con un hijo de corta edad; respetados, con cuanto antecede, los términos predicados por el Tribunal Constitucional en la Sentencia que se cita, bien que ante realidades diferentes, la solución es lógicamente diversa, por tanto, a mantener el pronunciamiento combatido.»</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En la demanda de amparo se invocan como infringidos los arts. 14 y 17.1 de la Constitución. El primero de ellos habría resultado vulnerado en cuanto reconoce el derecho a la </w:t>
      </w:r>
      <w:r>
        <w:lastRenderedPageBreak/>
        <w:t xml:space="preserve">igualdad en la aplicación de la Ley, debido al distinto tratamiento que ha recibido el demandante de amparo en relación con don Enrique Celda Ramón, a quien se puso en libertad provisional pese a recibir en el Auto de procesamiento el mismo tratamiento jurídico que él. </w:t>
      </w:r>
    </w:p>
    <w:p w:rsidR="00B01F4A" w:rsidRDefault="00B01F4A" w:rsidP="00B01F4A">
      <w:pPr>
        <w:pStyle w:val="TextoNormal"/>
      </w:pPr>
      <w:r>
        <w:t xml:space="preserve">El derecho a la libertad ha sido desconocido, a juicio del demandante, porque en los Autos recurridos se constata una carencia de razones suficientes respecto a la existencia de un riesgo de fuga no conjurable con medidas alternativas a la prisión. Resulta innegable que a mayor gravedad del delito imputado y de la pena con que se amenaza, más intensa será la tentación de huida: sin embargo, no puede operar como único criterio -de aplicación objetiva y puramente mecánica- a tener encuentra al ponderar el peligro de fuga, sino que debe ponerse en relación con otros datos relativos tanto a circunstancias personales del inculpado como a las que concurren en el caso enjuiciado. </w:t>
      </w:r>
    </w:p>
    <w:p w:rsidR="00B01F4A" w:rsidRDefault="00B01F4A" w:rsidP="00B01F4A">
      <w:pPr>
        <w:pStyle w:val="TextoNormal"/>
      </w:pPr>
      <w:r>
        <w:t xml:space="preserve">En los Autos recurridos no se constata riesgo alguno de que el solicitante de amparo vaya a eludir la acción de la justicia, excepción hecha de la relevancia de la gravedad del delito y la consiguiente mayor sanción penal. No han sido tenidas en cuenta las siguientes circunstancias concurrentes en el caso: 1.ª la nula influencia que el demandante de amparo puede tener en el devenir probatorio de la causa, dado su estado avanzado; 2.ª el tiempo -dieciocho meses- que lleva privado de libertad, debiendo tenerse en cuenta que el mero transcurso del tiempo disminuye el peligro de fuga, ya que el discurrir de aquél disminuye las consecuencias punitivas que puede sufrir el procesado; 3.ª no se ha valorado en su justa medida que el demandante de amparo tiene domicilio conocido, goza de un notable arraigo familiar y que tiene un hijo de corta de edad, datos relevantes para concluir que no habrá de eludir la acción de la justicia; y 4.ª la alarma social que en su momento pudieron producir los hechos enjuiciados ha desaparecido por el transcurso del tiempo, en cualquier caso, tal alarma social debería operar respecto de todos los procesados. </w:t>
      </w:r>
    </w:p>
    <w:p w:rsidR="00B01F4A" w:rsidRDefault="00B01F4A" w:rsidP="00B01F4A">
      <w:pPr>
        <w:pStyle w:val="TextoNormal"/>
      </w:pPr>
      <w:r>
        <w:t>Concluye la demanda con la solicitud de que, otorgando el amparo interesado, sea dictada Sentencia anulando las resoluciones recurridas y reconociendo al recurrente su derecho a la libertad provisional.</w:t>
      </w:r>
    </w:p>
    <w:p w:rsidR="00B01F4A" w:rsidRDefault="00B01F4A" w:rsidP="00B01F4A">
      <w:pPr>
        <w:pStyle w:val="TextoNormal"/>
      </w:pPr>
    </w:p>
    <w:p w:rsidR="00B01F4A" w:rsidRDefault="00B01F4A" w:rsidP="00B01F4A">
      <w:pPr>
        <w:pStyle w:val="TextoNormal"/>
      </w:pPr>
      <w:r w:rsidRPr="00B01F4A">
        <w:rPr>
          <w:rStyle w:val="NumeroAFNegritaCaracter"/>
        </w:rPr>
        <w:t>3</w:t>
      </w:r>
      <w:r>
        <w:t>. La Sección Cuarta, en providencia de 17 de julio de 1996, decidió oír al solicitante de amparo y al Fiscal, por término común de diez días, sobre la posible concurrencia de la causa de inadmisión consistente en la manifiesta falta de contenido constitucional de la demanda [art. 50.1 c) LOTC].</w:t>
      </w:r>
    </w:p>
    <w:p w:rsidR="00B01F4A" w:rsidRDefault="00B01F4A" w:rsidP="00B01F4A">
      <w:pPr>
        <w:pStyle w:val="TextoNormal"/>
      </w:pPr>
    </w:p>
    <w:p w:rsidR="00B01F4A" w:rsidRDefault="00B01F4A" w:rsidP="00B01F4A">
      <w:pPr>
        <w:pStyle w:val="TextoNormal"/>
      </w:pPr>
      <w:r w:rsidRPr="00B01F4A">
        <w:rPr>
          <w:rStyle w:val="NumeroAFNegritaCaracter"/>
        </w:rPr>
        <w:t>4</w:t>
      </w:r>
      <w:r>
        <w:t xml:space="preserve">. El Fiscal ha evacuado el traslado en escrito presentado el 13 de septiembre de 1996, en el que interesa que el recurso de amparo sea inadmitido por concurrir la causa puesta de manifiesto por la Sección, ya que, a la luz del contenido de las resoluciones impugnadas, debe entenderse cubierta la exigencia de motivación en orden a los arts. 24.1 y 17.1 de la Constitución. </w:t>
      </w:r>
    </w:p>
    <w:p w:rsidR="00B01F4A" w:rsidRDefault="00B01F4A" w:rsidP="00B01F4A">
      <w:pPr>
        <w:pStyle w:val="TextoNormal"/>
      </w:pPr>
      <w:r>
        <w:t>El demandante de amparo no ha formulado alegación alguna.</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La Sección, una vez examinadas las alegaciones del Fiscal -únicas presentadas en el trámite del art. 50.3 LOTC-, se ratifica en su inicial apreciación, esto es, en que la cuestión que se somete a la consideración de este Tribunal en la demanda de amparo carece manifiestamente de contenido constitucional y, por ello, el recurso debe ser objeto de inadmisión, de conformidad con lo dispuesto en el art. 501 c) de la LOTC.</w:t>
      </w:r>
    </w:p>
    <w:p w:rsidR="00B01F4A" w:rsidRDefault="00B01F4A" w:rsidP="00B01F4A">
      <w:pPr>
        <w:pStyle w:val="TextoNormal"/>
      </w:pPr>
      <w:r>
        <w:lastRenderedPageBreak/>
        <w:t>Por lo pronto hay que rechazar la existencia de vulneración del derecho a la igualdad en la aplicación judicial de la Ley. En los Autos recurridos se razona y explica por qué se puso en libertad provisional a don Enrique Celda Ramón y al demandante de amparo no: la mayor consideración e intensidad de los indicios existentes contra él. Se ha dado una respuesta distinta para situaciones personales diversas y, por ello, mal puede sostenerse que haya resultado infringido el art. 14 C.E. (SSTC 128/1995 y 158/1996).</w:t>
      </w:r>
    </w:p>
    <w:p w:rsidR="00B01F4A" w:rsidRDefault="00B01F4A" w:rsidP="00B01F4A">
      <w:pPr>
        <w:pStyle w:val="TextoNormal"/>
      </w:pPr>
    </w:p>
    <w:p w:rsidR="00B01F4A" w:rsidRDefault="00B01F4A" w:rsidP="00B01F4A">
      <w:pPr>
        <w:pStyle w:val="TextoNormal"/>
      </w:pPr>
      <w:r w:rsidRPr="00B01F4A">
        <w:rPr>
          <w:rStyle w:val="NumeroAFNegritaCaracter"/>
        </w:rPr>
        <w:t>2</w:t>
      </w:r>
      <w:r>
        <w:t>. El demandante de amparo fue procesado y privado cautelarmente de libertad en el seno de una causa penal dirigida contra él y otras personas, como posibles autores de un delito contra la salud pública en su modalidad de tráfico de drogas. De las siete persona que fueron encausadas por los indicados hechos, cinco fueron ab initio ingresadas en prisión. Según avanzaba la causa fueron puestos sucesivamente en libertad cuatro de ellas, para quedar sólo en prisión preventiva el demandante de amparo, que, dos meses después de ser procesado, solicitó su puesta en libertad dando lugar a las respuestas judiciales contra las que se dirige la pretensión de amparo. Pues bien, el Juez de Instrucción justificó el mantenimiento del demandante de amparo en prisión provisional por su «mayor implicación cuantitativa y cualitativa». La Audiencia Provincial, con mayor matización, hace referencia a la «naturaleza del delito contemplado y su rechazo social», expresando que «la mayor gravedad del hecho con la consiguiente mayor sanción penal hace razonable pensar en más riesgo de que el acusado intente sustraerse a la aplicación de la ley», para terminar afirmando que ese riesgo no desaparece por el hecho de que el imputado cuente con u hijo de corta edad.</w:t>
      </w:r>
    </w:p>
    <w:p w:rsidR="00B01F4A" w:rsidRDefault="00B01F4A" w:rsidP="00B01F4A">
      <w:pPr>
        <w:pStyle w:val="TextoNormal"/>
      </w:pPr>
      <w:r>
        <w:t>Los órganos judiciales, en especial la Audiencia Provincial, han exteriorizado la ponderación necesaria para decidir sobre la situación personal del demandante de amparo. No se han limitado, como se dice en la demanda, a efectuar una aplicación automática y, por lo tanto, irreflexiva del binomio gravedad de los hechos-sanción penal que les corresponde. En sus resoluciones tienen en cuenta el estado avanzado de tramitación de la causa y el resultado de la misma, para concluir que, a diferencia con otros procesados, esa tramitación ha consolidado los indicios respecto de él, demostrando su mayor implicación en los hechos investigados.</w:t>
      </w:r>
    </w:p>
    <w:p w:rsidR="00B01F4A" w:rsidRDefault="00B01F4A" w:rsidP="00B01F4A">
      <w:pPr>
        <w:pStyle w:val="TextoNormal"/>
      </w:pPr>
      <w:r>
        <w:t>Tampoco es cierto que hayan hecho abstracción de su situación personal y familiar, pues la Audiencia Provincial toma en consideración la circunstancia de ser el demandante padre de un niño de corta edad, para terminar concluyendo que este dato por sí solo no elimina el riesgo de fuga.</w:t>
      </w:r>
    </w:p>
    <w:p w:rsidR="00B01F4A" w:rsidRDefault="00B01F4A" w:rsidP="00B01F4A">
      <w:pPr>
        <w:pStyle w:val="TextoNormal"/>
      </w:pPr>
      <w:r>
        <w:t>Es cierto que, al margen de la mayor o menor fortuna de la redacción de los Autos, en ellos podría haberse precisado más, haciendo referencia a otros datos, como el tiempo que el demandante lleva en prisión provisional o el hecho de tener domicilio conocido. Ahora bien, estas omisiones en modo alguno desdicen la conclusión anterior ni hacen que tales resoluciones judiciales hayan desconocido la doctrina de este Tribunal al respecto. De su lectura y del sentido global de su contenido se obtiene la conclusión de que en los Autos recurridos el Juez de Instrucción y la Audiencia Provincial no se han limitado a aplicar automáticamente el binomio a que se ha hecho referencia, sino que, por el contrario, han tomado en consideración las más relevantes de las circunstancias concurrentes en el caso, para concluir que no procedía decretar la libertad del solicitante de amparo.</w:t>
      </w:r>
    </w:p>
    <w:p w:rsidR="00B01F4A" w:rsidRDefault="00B01F4A" w:rsidP="00B01F4A">
      <w:pPr>
        <w:pStyle w:val="TextoNormal"/>
      </w:pPr>
      <w:r>
        <w:t>Se ha dado, pues, satisfacción a las exigencias de motivación que, de acuerdo con la doctrina de este Tribunal (SSTC 128/1995 y 62/1996), imponen los arts.  17.1 y 24.1 C.E. a las decisiones que en el seno de una causa penal se adopten sobre la situación personal de los encausados.</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lo anterior, la Sección acuerda no admitir a trámite este recurso de amparo, ordenando el archivo de las acusaciones.</w:t>
      </w:r>
    </w:p>
    <w:p w:rsidR="00B01F4A" w:rsidRDefault="00B01F4A" w:rsidP="00B01F4A">
      <w:pPr>
        <w:pStyle w:val="TextoNormal"/>
      </w:pPr>
    </w:p>
    <w:p w:rsidR="00B01F4A" w:rsidRDefault="00B01F4A" w:rsidP="00B01F4A">
      <w:pPr>
        <w:pStyle w:val="TextoNormal"/>
      </w:pPr>
      <w:r>
        <w:t>Madrid, a veintitrés de abril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209" w:name="AUTO_1997_119"/>
      <w:r>
        <w:lastRenderedPageBreak/>
        <w:t>AUTO 119/1997, de 23 de abril de 1997</w:t>
      </w:r>
    </w:p>
    <w:bookmarkEnd w:id="209"/>
    <w:p w:rsidR="00B01F4A" w:rsidRDefault="00B01F4A" w:rsidP="00B01F4A">
      <w:pPr>
        <w:pStyle w:val="TtuloResolucin"/>
      </w:pPr>
      <w:r>
        <w:t>Sección Cuarta</w:t>
      </w:r>
    </w:p>
    <w:p w:rsidR="00B01F4A" w:rsidRDefault="00B01F4A" w:rsidP="00B01F4A">
      <w:pPr>
        <w:pStyle w:val="TtuloResolucin"/>
      </w:pPr>
    </w:p>
    <w:p w:rsidR="00B01F4A" w:rsidRDefault="00B01F4A" w:rsidP="00B01F4A">
      <w:pPr>
        <w:pStyle w:val="SntesisDescriptiva"/>
      </w:pPr>
      <w:r>
        <w:t>ECLI:ES:TC:1997:119A</w:t>
      </w:r>
    </w:p>
    <w:p w:rsidR="00B01F4A" w:rsidRDefault="00B01F4A" w:rsidP="00B01F4A">
      <w:pPr>
        <w:pStyle w:val="SntesisDescriptiva"/>
      </w:pPr>
    </w:p>
    <w:p w:rsidR="00B01F4A" w:rsidRDefault="00B01F4A" w:rsidP="00B01F4A">
      <w:pPr>
        <w:pStyle w:val="SntesisDescriptiva"/>
      </w:pPr>
      <w:r>
        <w:t>Excms. Srs. don Rafael de Mendizábal Allende, don Carles Viver Pi-Sunyer y don Tomás Salvador Vives Antón.</w:t>
      </w:r>
    </w:p>
    <w:p w:rsidR="00B01F4A" w:rsidRDefault="00B01F4A" w:rsidP="00B01F4A">
      <w:pPr>
        <w:pStyle w:val="SntesisDescriptiva"/>
      </w:pPr>
    </w:p>
    <w:p w:rsidR="00B01F4A" w:rsidRDefault="00B01F4A" w:rsidP="00B01F4A">
      <w:pPr>
        <w:pStyle w:val="SntesisDescriptiva"/>
      </w:pPr>
      <w:r>
        <w:t>Acordando la inadmisión a trámite del recurso de amparo 1.241/1996.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xml:space="preserve">. Don José Pascual García, en «fax.» recibido el 26 de marzo de 1996, puso en conocimiento de este Tribunal su intención de interponer recurso de amparo contra el Auto dictado el 15 de noviembre de 1995 por el Juez de Instrucción núm. 2 de Valencia, denegatorio de solicitud de libertad provisional, confirmado en apelación en el pronunciado por la Sección Primera de la Audiencia Provincial de Valencia el 4 de marzo de 1996, y que al efecto designaba como Abogado a don Cristóbal Fernández García -quien por escrito renunció a la percepción de sus honorarios-, a la par que solicitaba le fuera nombrado Procurador del turno de oficio. </w:t>
      </w:r>
    </w:p>
    <w:p w:rsidR="00B01F4A" w:rsidRDefault="00B01F4A" w:rsidP="00B01F4A">
      <w:pPr>
        <w:pStyle w:val="TextoNormal"/>
      </w:pPr>
      <w:r>
        <w:t xml:space="preserve">Efectuado este nombramiento, se dio traslado al causídico designado para que, bajo la dirección del Letrado elegido por el solicitante de amparo, formalizara la demanda de amparo en el plazo de veinte días. Evacuó el traslado en escrito presentado el 13 de junio, en el que expone que el demandante de amparo se encuentra en situación de prisión preventiva, acordada mediante Auto que el Juez de Instrucción núm. 16 de Valencia dictó el 7 de octubre de 1994, en el que también adoptó dicha medida cautelar respecto de don Enrique Celda Ramón, doña María Isabel Cano Mascuñan, don Francisco Cano Mascuñán y doña Victoria Pascual García. En la mencionada fecha el citado Juez se inhibió en favor del Juez de Instrucción núm. 2 de la misma ciudad, que en Auto de 10 de octubre ratificó la prisión acordada por su colega. Este Auto fue ratificado en reforma mediante otro de 24 de noviembre y en apelación por el pronunciado el 29 de marzo de 1995 por la Sección Primera de la Audiencia Provincial de Valencia. </w:t>
      </w:r>
    </w:p>
    <w:p w:rsidR="00B01F4A" w:rsidRDefault="00B01F4A" w:rsidP="00B01F4A">
      <w:pPr>
        <w:pStyle w:val="TextoNormal"/>
      </w:pPr>
      <w:r>
        <w:t xml:space="preserve">Mientras se substanciaba el anterior recurso de apelación, el Juez de Instrucción decretó la libertad sin fianza de don Francisco Cano Mascuñán (Auto de 9 de marzo de 1995), así como el procesamiento del demandante de amparo y de don Enrique Celda Ramón, doña María Isabel Cano Mascuñán, don Francisco Cano Mascuñan, doña Victoria Pascual García, doña Sofía Cano Mascuñán y don Jorge Benet García (Auto de 10 de marzo de 1995). En este Auto acordó mantener en prisión al solicitante de amparo, a don Enrique Celda Ramón y a doña María Isabel Cano Mascuñán, dejando en libertad provisional a los demás procesados. En Auto de 26 de mayo de 1995, resolvió decretar la libertad provisional bajo fianza de 500.000 pesetas de don Enrique Celda Ramón. </w:t>
      </w:r>
    </w:p>
    <w:p w:rsidR="00B01F4A" w:rsidRDefault="00B01F4A" w:rsidP="00B01F4A">
      <w:pPr>
        <w:pStyle w:val="TextoNormal"/>
      </w:pPr>
      <w:r>
        <w:t xml:space="preserve">El solicitante de amparo interesó, el 5 de junio de 1995, su libertad provisional. Esta solicitud fue rechazada en Auto dictado el siguiente día, confirmado en reforma por otro de 21 de junio y en apelación por el que la Sección Primera de la Audiencia Provincial de </w:t>
      </w:r>
      <w:r>
        <w:lastRenderedPageBreak/>
        <w:t xml:space="preserve">Valencia dictó el 3 de octubre (estas tres resoluciones fueron recurridas en amparo, correspondiendo al recurso el número de registro 3.717/95). </w:t>
      </w:r>
    </w:p>
    <w:p w:rsidR="00B01F4A" w:rsidRDefault="00B01F4A" w:rsidP="00B01F4A">
      <w:pPr>
        <w:pStyle w:val="TextoNormal"/>
      </w:pPr>
      <w:r>
        <w:t xml:space="preserve">El 8 de noviembre el recurrente volvió a solicitar su puesta en libertad. Esta solicitud fue rechazada en Auto de 15 de noviembre, en el que el Juez de Instrucción razona que «no se han modificado las circunstancias que se tuvieron en cuenta en su día al dictar el auto de prisión recurrido, por lo que no procede modificar la prisión acordada». El anterior Auto fue confirmado en apelación en el que la Sección Primera de la Audiencia Provincial de Valencia dictó el 4 de marzo de 1996. En este Auto el mencionado Tribunal razona que: </w:t>
      </w:r>
    </w:p>
    <w:p w:rsidR="00B01F4A" w:rsidRDefault="00B01F4A" w:rsidP="00B01F4A">
      <w:pPr>
        <w:pStyle w:val="TextoNormal"/>
      </w:pPr>
      <w:r>
        <w:t xml:space="preserve">«Primero.- El recurrente ha centrado su recurso, de un lado, en el trato desigual recibido con respecto al coprocesado don Enrique Celda Ramón y, de otro lado, en la carencia de fundamentación de la decisión que le mantiene en prisión, que es el Auto recurrido de 15 de noviembre de 1995. </w:t>
      </w:r>
    </w:p>
    <w:p w:rsidR="00B01F4A" w:rsidRDefault="00B01F4A" w:rsidP="00B01F4A">
      <w:pPr>
        <w:pStyle w:val="TextoNormal"/>
      </w:pPr>
      <w:r>
        <w:t xml:space="preserve">Segundo.- No puede decirse que el Auto de 15 de noviembre de 1995 o que el Auto de 6 de junio de 1995 o incluso el Auto de procesamiento de lo de marzo de 1995 carecen de fundamentación. El primero se remite a las razones expuestas en la resolución que originariamente determinó su prisión provisional. El segundo sostiene que los indicios de criminalidad que el Juez de Instrucción advierte con respecto al recurrente don José Pascual García tienen unas mayor solidez que los apreciados con relación a don Enrique Celda Ramón. El tercero contiene una relación fáctica lo suficientemente precisa como para conocer cuál es el objeto del proceso que se iniciará al concluir la fase sumarial. </w:t>
      </w:r>
    </w:p>
    <w:p w:rsidR="00B01F4A" w:rsidRDefault="00B01F4A" w:rsidP="00B01F4A">
      <w:pPr>
        <w:pStyle w:val="TextoNormal"/>
      </w:pPr>
      <w:r>
        <w:t xml:space="preserve">Bien es verdad que en el Auto de 6 de junio de 1955 no se concreta cuáles son los indicios apreciados judicialmente ni por qué cobran más intensidad con respecto a uno y menor con respecto a otro. Y también es verdad que en el Auto de 25 de mayo de 1995, en virtud del cual se dispuso la libertad provisional de don Enrique Celda Ramón, previa prestación de una fianza de 500.000 pesetas, tampoco se indicaban las razones fundamentales de tal decisión. </w:t>
      </w:r>
    </w:p>
    <w:p w:rsidR="00B01F4A" w:rsidRDefault="00B01F4A" w:rsidP="00B01F4A">
      <w:pPr>
        <w:pStyle w:val="TextoNormal"/>
      </w:pPr>
      <w:r>
        <w:t xml:space="preserve">Aunque también merece destacarse que nadie parece estar dispuesto a cuestionar la falta de fundamentación de esta última resolución, que dispuso la libertad provisional de don Enrique Celda Ramón. Ni siquiera el Ministerio Fiscal. Razones no explicitadas en ese auto, carente de fundamentación, habrán sido las impulsoras de tal resolución. Este Tribunal no se pronunciará al respecto, porque no es éste el objeto del presente recurso, aunque no puede sustraerse a la tentación de indicar que una decisión como la referida exigía indicar, siquiera fuese sucintamente, las concretas razones por las que entonces se ponía en libertad a don Enrique Celda Ramón y no a don José Pascual García. </w:t>
      </w:r>
    </w:p>
    <w:p w:rsidR="00B01F4A" w:rsidRDefault="00B01F4A" w:rsidP="00B01F4A">
      <w:pPr>
        <w:pStyle w:val="TextoNormal"/>
      </w:pPr>
      <w:r>
        <w:t xml:space="preserve">Tercero.- En realidad, el problema a dilucidar ahora no es si el recurrente José Pascual García merece el favorable trato aparentemente dispensado a don Enrique Celda Ramón por razón de los hechos a que se contrae la presente causa, sino si objetivamente concurren razones suficientes para mantenerle en situación de prisión provisional. </w:t>
      </w:r>
    </w:p>
    <w:p w:rsidR="00B01F4A" w:rsidRDefault="00B01F4A" w:rsidP="00B01F4A">
      <w:pPr>
        <w:pStyle w:val="TextoNormal"/>
      </w:pPr>
      <w:r>
        <w:t xml:space="preserve">Los hechos a que se refiere el Auto de procesamiento tienen una indudable gravedad, de manera tal que se dan las condiciones exigidas en el art. 503 de la Ley de Enjuiciamiento Criminal para poder decretar la prisión provisional. Porque se trata del tráfico de más de cincuenta mil dosis de éxtasis intervenidos en el interior de un vehículo. Como los hechos pueden estar castigados con una pena que alcanza el grado mínimo de la reclusión menor, o sea, hasta catorce años y ocho meses, siempre y cuando no se aprecie la existencia de una organización para traficar con drogas, se advierte un claro peligro de que el reo trate de sustraerse a la acción de la justicia. </w:t>
      </w:r>
    </w:p>
    <w:p w:rsidR="00B01F4A" w:rsidRDefault="00B01F4A" w:rsidP="00B01F4A">
      <w:pPr>
        <w:pStyle w:val="TextoNormal"/>
      </w:pPr>
      <w:r>
        <w:t xml:space="preserve">Precisamente por esta razón, este Tribunal no alcanza a comprender cómo el Juez de Instrucción ha decretado la libertad provisional de don Enrique Celda Ramón con una fianza </w:t>
      </w:r>
      <w:r>
        <w:lastRenderedPageBreak/>
        <w:t xml:space="preserve">tan exigua. Sus razones tendrá el Juez de Instrucción, sin duda, pero al no haber quedado plasmadas en el Auto antes referenciado, se produce la extrañeza de este tribunal. </w:t>
      </w:r>
    </w:p>
    <w:p w:rsidR="00B01F4A" w:rsidRDefault="00B01F4A" w:rsidP="00B01F4A">
      <w:pPr>
        <w:pStyle w:val="TextoNormal"/>
      </w:pPr>
      <w:r>
        <w:t>Cuarto.- En definitiva, procede mantener la situación de prisión provisional del recurrente por las razones apuntadas. El que otro procesado se haya visto beneficiado por una inmotivada medida de libertad provisional no ha de extenderse a los demás procesados. Se rechaza así el recurso de apelación interpuesto.»</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En la demanda de amparo se denuncian como infringidos los arts. 14 y 17.1 C.E. El primero porque se ha desconocido en las resoluciones recurridas el derecho a la igualdad en la aplicación judicial de la Ley, debido al distinto tratamiento que ha recibido el demandante de amparo en relación con don Enrique Celda Ramón, a quien se puso en libertad provisional pese a recibir en el Auto de procesamiento el mismo tratamiento jurídico que él. </w:t>
      </w:r>
    </w:p>
    <w:p w:rsidR="00B01F4A" w:rsidRDefault="00B01F4A" w:rsidP="00B01F4A">
      <w:pPr>
        <w:pStyle w:val="TextoNormal"/>
      </w:pPr>
      <w:r>
        <w:t xml:space="preserve">El derecho a la libertad ha sido vulnerado porque en los Autos recurridos se constata una carencia de razones suficientes respecto a la existencia de un riesgo de fuga no conjurable con medidas alternativas a la prisión. Resulta innegable que a mayor gravedad del delito imputado y de la pena con que se amenaza, más intensa será la tentación de huida; sin embargo, no puede operar como único criterio -de aplicación objetiva y puramente mecánica- a tener en cuenta al ponderar el peligro de fuga, sino que debe ponerse en relación con otros datos relativos tanto a las circunstancias personales del inculpado como a las que concurren en el caso enjuiciado. </w:t>
      </w:r>
    </w:p>
    <w:p w:rsidR="00B01F4A" w:rsidRDefault="00B01F4A" w:rsidP="00B01F4A">
      <w:pPr>
        <w:pStyle w:val="TextoNormal"/>
      </w:pPr>
      <w:r>
        <w:t xml:space="preserve">En los Autos recurridos no se constata riesgo alguno de que el solicitante de amparo vaya a eludir la acción de la justicia, excepción hecha de la relevancia de la gravedad del delito y la consiguiente mayor sanción penal. No han sido teñidas en cuenta las siguientes circunstancias concurrentes en el caso: 1.ª la nula influencia que el demandante de amparo puede tener en el devenir probatorio de la causa, dado su estado avanzado; 2.ª el tiempo -veinte meses- que lleva privado de libertad, debiendo tenerse en cuenta que el mero transcurso del tiempo disminuye el peligro de fuga, ya que el discurrir de aquél disminuye las consecuencias punitivas que puede sufrir el procesado; 3..ª no se ha valorado en su justa medida que el demandante de amparo tiene domicilio conocido, goza de un notable arraigo familiar y que tiene un hijo de corta de edad, datos relevantes para concluir que no habrá de eludir la acción de la justicia; y 4.ª la alarma social que en su momento pudieron producir los hechos enjuiciados ha desaparecido por el transcurso del tiempo, en cualquier caso, tal alarma social debería operar respecto de todos los procesados. </w:t>
      </w:r>
    </w:p>
    <w:p w:rsidR="00B01F4A" w:rsidRDefault="00B01F4A" w:rsidP="00B01F4A">
      <w:pPr>
        <w:pStyle w:val="TextoNormal"/>
      </w:pPr>
      <w:r>
        <w:t>Concluye la demanda con la solicitud de que, otorgando el amparo interesado, sea dictada Sentencia anulando las resoluciones recurridas y reconociendo al recurrente sus derechos a la igualdad y a la libertad.</w:t>
      </w:r>
    </w:p>
    <w:p w:rsidR="00B01F4A" w:rsidRDefault="00B01F4A" w:rsidP="00B01F4A">
      <w:pPr>
        <w:pStyle w:val="TextoNormal"/>
      </w:pPr>
    </w:p>
    <w:p w:rsidR="00B01F4A" w:rsidRDefault="00B01F4A" w:rsidP="00B01F4A">
      <w:pPr>
        <w:pStyle w:val="TextoNormal"/>
      </w:pPr>
      <w:r w:rsidRPr="00B01F4A">
        <w:rPr>
          <w:rStyle w:val="NumeroAFNegritaCaracter"/>
        </w:rPr>
        <w:t>3</w:t>
      </w:r>
      <w:r>
        <w:t>. La Sección Cuarta, en providencia de 18 de septiembre de 1996, decidió dar traslado al Fiscal y al solicitante de amparo para que, en el plazo común de diez días, alegasen lo que tuvieren por conveniente sobre la posible concurrencia de la causa de inadmisión del recurso consistente en la manifiesta falta de contenido constitucional de la demanda [art. 50.1 c) LOTC].</w:t>
      </w:r>
    </w:p>
    <w:p w:rsidR="00B01F4A" w:rsidRDefault="00B01F4A" w:rsidP="00B01F4A">
      <w:pPr>
        <w:pStyle w:val="TextoNormal"/>
      </w:pPr>
    </w:p>
    <w:p w:rsidR="00B01F4A" w:rsidRDefault="00B01F4A" w:rsidP="00B01F4A">
      <w:pPr>
        <w:pStyle w:val="TextoNormal"/>
      </w:pPr>
      <w:r w:rsidRPr="00B01F4A">
        <w:rPr>
          <w:rStyle w:val="NumeroAFNegritaCaracter"/>
        </w:rPr>
        <w:t>4</w:t>
      </w:r>
      <w:r>
        <w:t xml:space="preserve">. El demandante ha evacuado el traslado en escrito presentado el 9 de octubre, en el que solicita la admisión a trámite del recurso argumentando que las decisiones judiciales impugnadas adolecen de una manifiesta falta de motivación, lo que, de conformidad con la propia doctrina del Tribunal Constitucional, debe conducir a la admisión. </w:t>
      </w:r>
    </w:p>
    <w:p w:rsidR="00B01F4A" w:rsidRDefault="00B01F4A" w:rsidP="00B01F4A">
      <w:pPr>
        <w:pStyle w:val="TextoNormal"/>
      </w:pPr>
      <w:r>
        <w:lastRenderedPageBreak/>
        <w:t>Por su parte, el Fiscal interesa la inadmisión del recurso en escrito presentado el 17 de diciembre, argumentando que en los Autos impugnados se analiza, con mayor o menor detalle, los requisitos que establece el art. 503 de la L.E.Crim., para concluir en su presencia, dándose cumplimiento a los condicionamientos a los que, por encima y además de la legalidad estricta, supedita la STC 128/1995 la legitimidad constitucional de la prisión provisional. A los efectos del art. 14 C.E., el término de comparación que aporta el recurrente no es para el Fiscal idóneo, ya que su situación y la de el Sr. Celda Ramón no son iguales al extremo de imponer una identidad de trato por imperativo del mencionado precepto constitucional.</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La cuestión que don José Pascual García plantea en este recurso de amparo es la misma que la que ya suscitó en el núm. 3.717/95, cuya inadmisión ha sido decretada en Auto de esta fecha. En ambos casos se imputa la vulneración de los mismos derechos fundamentales (los de los arts. 14 y 17.1 C.E.)  a Autos por los que, en igual causa penal, se le deniega su puesta en libertad provisional; la única diferencia entre los supuestos de hecho aquí y allí traídos a colación es que, por el transcurso del tiempo, en el que subyace a este recurso de amparo la tramitación de la causa penal se encuentra más avanzada y el recurrente lleva más tiempo privado cautelarmente de libertad.  Nuestra respuesta ha de ser la misma, esto es, la inadmisión del recurso por carecer la demanda de amparo manifiestamente de contenido constitucional que justifique una decisión sobre el fondo de la misma por parte de este Tribunal.</w:t>
      </w:r>
    </w:p>
    <w:p w:rsidR="00B01F4A" w:rsidRDefault="00B01F4A" w:rsidP="00B01F4A">
      <w:pPr>
        <w:pStyle w:val="TextoNormal"/>
      </w:pPr>
      <w:r>
        <w:t>Ha de rechazarse la alegada infracción del art. 14 C.E. En los Autos recurridos en el recurso de amparo núm. 3.717/95 se razonaba y explicaba por qué se puso en libertad provisional a don Enrique Celda Ramón y al demandante de amparo no: la mayor consistencia e intensidad de los indicios existentes contra él. En ellos se dio una respuesta distinta para situaciones personales diversas y, por ello, mal podía sostenerse que resultara infringido el art. 14 C.E. Ahora la Audiencia Provincial añade que lo que no se entiende no es la permanencia en prisión del demandante de amparo, sino la puesta en libertad del señor Celda. A lo expuesto en el Auto por el que se inadmite aquel recurso de amparo debe añadirse aquí, dados los términos en que la Audiencia Provincial sitúa la cuestión, que no cabe la igualdad en la ilegalidad: el art. 14 C.E. no ampara el que el solicitante de amparo sea indebidamente dejado en libertad porque así lo haya sido el señor Celda.</w:t>
      </w:r>
    </w:p>
    <w:p w:rsidR="00B01F4A" w:rsidRDefault="00B01F4A" w:rsidP="00B01F4A">
      <w:pPr>
        <w:pStyle w:val="TextoNormal"/>
      </w:pPr>
    </w:p>
    <w:p w:rsidR="00B01F4A" w:rsidRDefault="00B01F4A" w:rsidP="00B01F4A">
      <w:pPr>
        <w:pStyle w:val="TextoNormal"/>
      </w:pPr>
      <w:r w:rsidRPr="00B01F4A">
        <w:rPr>
          <w:rStyle w:val="NumeroAFNegritaCaracter"/>
        </w:rPr>
        <w:t>2</w:t>
      </w:r>
      <w:r>
        <w:t>. La causa penal que se sigue contra el solicitante de amparo lo es por unos hechos relacionados con la existencia de una organización dedicada al tráfico de estupefacientes y la aprehensión de 60.800 pastillas de éxtasis. De las siete personas que son encausadas por los indicados hechos, cinco fueron ab initio ingresadas en prisión. Según avanzaba la causa fueron puestos sucesivamente en libertad cuatro de ellas, para quedar sólo en prisión preventiva el demandante de amparo, que, cuatro meses después de ser procesado, solicitó por segunda vez su puesta en libertad dando lugar a las respuestas judiciales contra las que se dirige la pretensión de amparo.</w:t>
      </w:r>
    </w:p>
    <w:p w:rsidR="00B01F4A" w:rsidRDefault="00B01F4A" w:rsidP="00B01F4A">
      <w:pPr>
        <w:pStyle w:val="TextoNormal"/>
      </w:pPr>
      <w:r>
        <w:t xml:space="preserve">Pues bien, el Juez de Instrucción justificó el mantenimiento del demandante de amparo en prisión provisional por no haberse modificado las circunstancias que determinaron en su día el pronunciamiento del Auto de prisión y el mantenimiento de esta medida después de solicitada por primera vez la libertad (r.a. núm. 3.717/95). La Audiencia Provincial, con </w:t>
      </w:r>
      <w:r>
        <w:lastRenderedPageBreak/>
        <w:t>mayor matización, hace referencia a la «indudable gravedad» de los hechos, constituido por el «tráfico de más de cincuenta mil dosis de éxtasis intervenidas en el interior de un vehículo», por lo que, habida cuenta la pena susceptible de ser impuesta, «se advierte un claro peligro de que el reo trate de sustraerse a la acción de la justicia».</w:t>
      </w:r>
    </w:p>
    <w:p w:rsidR="00B01F4A" w:rsidRDefault="00B01F4A" w:rsidP="00B01F4A">
      <w:pPr>
        <w:pStyle w:val="TextoNormal"/>
      </w:pPr>
      <w:r>
        <w:t>Los órganos judiciales, en especial la Audiencia Provincial, han exteriorizado la ponderación necesaria para decidir sobre la situación personal del demandante de amparo. No se han limitado, como se dice en la demanda, a efectuar una aplicación automática y, por lo tanto, irreflexiva del binomio gravedad de los hechos-sanción penal que les corresponde. En sus resoluciones tienen en cuenta el estado avanzado de tramitación de la causa y el resultado de la misma, para concluir que, a diferencia con otros procesados, esa tramitación ha consolidado los indicios respecto de él, demostrando su mayor implicación en los hechos investigados (fundamento jurídico 2.º del Auto de la Audiencia Provincial).</w:t>
      </w:r>
    </w:p>
    <w:p w:rsidR="00B01F4A" w:rsidRDefault="00B01F4A" w:rsidP="00B01F4A">
      <w:pPr>
        <w:pStyle w:val="TextoNormal"/>
      </w:pPr>
      <w:r>
        <w:t>Tampoco es cierto que hayan hecho abstracción de su situación personal y familiar, pues la Audiencia Provincial ya tomó en consideración la circunstancia de ser el demandante padre de un niño de corta edad, para terminar concluyendo que este dato por sí solo no elimina el riesgo de fuga, en su Auto de 3 de octubre de 1995 (r.a. 3.717/95). Es cierto que, al margen de la mayor o menor fortuna de la redacción de los Autos, en ellos podría haberse precisado más, haciendo referencia a otros datos como el tiempo que el demandante lleva en prisión provisional o el hecho de tener domicilio conocido. Ahora bien, estas omisiones en modo alguno desdicen la conclusión anterior ni hacen que tales resoluciones judiciales hayan desconocido la doctrina de este Tribunal al respecto. De su lectura y del sentido global de su contenido, se obtiene la conclusión de que en los Autos recurridos el Juez de Instrucción y la Audiencia Provincial no se han limitado a aplicar automáticamente el binomio a que se ha hecho referencia, sino que, por el contrario, han tomado en consideración las más relevantes de las circunstancias concurrentes en el caso, para concluir que no procedía decretar la libertad del solicitante de amparo.</w:t>
      </w:r>
    </w:p>
    <w:p w:rsidR="00B01F4A" w:rsidRDefault="00B01F4A" w:rsidP="00B01F4A">
      <w:pPr>
        <w:pStyle w:val="TextoNormal"/>
      </w:pPr>
      <w:r>
        <w:t>En definitiva, como en el supuesto del recurso de amparo núm. 3.717/95, se ha dado en el presente satisfacción a las exigencias de motivación que, de acuerdo con la doctrina de este Tribunal (SSTC 128/1995 y 62/1996), imponen los arts. 17.1 y 24.1 C.E. a las decisiones que en el seno de una causa penal se adopten sobre la situación personal de los encausados.</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todo lo anterior, la Sección acuerda no admitir a trámite este recurso de amparo y ordenar el archivo de las actuaciones.</w:t>
      </w:r>
    </w:p>
    <w:p w:rsidR="00B01F4A" w:rsidRDefault="00B01F4A" w:rsidP="00B01F4A">
      <w:pPr>
        <w:pStyle w:val="TextoNormal"/>
      </w:pPr>
    </w:p>
    <w:p w:rsidR="00B01F4A" w:rsidRDefault="00B01F4A" w:rsidP="00B01F4A">
      <w:pPr>
        <w:pStyle w:val="TextoNormal"/>
      </w:pPr>
      <w:r>
        <w:t>Madrid, a veintitrés de abril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210" w:name="AUTO_1997_120"/>
      <w:r>
        <w:lastRenderedPageBreak/>
        <w:t>AUTO 120/1997, de 23 de abril de 1997</w:t>
      </w:r>
    </w:p>
    <w:bookmarkEnd w:id="210"/>
    <w:p w:rsidR="00B01F4A" w:rsidRDefault="00B01F4A" w:rsidP="00B01F4A">
      <w:pPr>
        <w:pStyle w:val="TtuloResolucin"/>
      </w:pPr>
      <w:r>
        <w:t>Pleno</w:t>
      </w:r>
    </w:p>
    <w:p w:rsidR="00B01F4A" w:rsidRDefault="00B01F4A" w:rsidP="00B01F4A">
      <w:pPr>
        <w:pStyle w:val="TtuloResolucin"/>
      </w:pPr>
    </w:p>
    <w:p w:rsidR="00B01F4A" w:rsidRDefault="00B01F4A" w:rsidP="00B01F4A">
      <w:pPr>
        <w:pStyle w:val="SntesisDescriptiva"/>
      </w:pPr>
      <w:r>
        <w:t>ECLI:ES:TC:1997:120A</w:t>
      </w:r>
    </w:p>
    <w:p w:rsidR="00B01F4A" w:rsidRDefault="00B01F4A" w:rsidP="00B01F4A">
      <w:pPr>
        <w:pStyle w:val="SntesisDescriptiva"/>
      </w:pPr>
    </w:p>
    <w:p w:rsidR="00B01F4A" w:rsidRDefault="00B01F4A" w:rsidP="00B01F4A">
      <w:pPr>
        <w:pStyle w:val="SntesisDescriptiva"/>
      </w:pPr>
      <w:r>
        <w:t>Excms. Srs. don Álvaro Rodríguez Bereijo, don José Gabaldón López, don Fernando García-Mon y González-Regueral, don José Vicente Gimeno Sendra, don Rafael de Mendizábal Allende, don Julio D. González Campos, don Pedro Cruz Villalón, don Carles Viver Pi-Sunyer, don Enrique Ruiz Vadillo, don Manuel Jiménez de Parga y Cabrera, don Tomás Salvador Vives Antón y don Pablo García Manzano.</w:t>
      </w:r>
    </w:p>
    <w:p w:rsidR="00B01F4A" w:rsidRDefault="00B01F4A" w:rsidP="00B01F4A">
      <w:pPr>
        <w:pStyle w:val="SntesisDescriptiva"/>
      </w:pPr>
    </w:p>
    <w:p w:rsidR="00B01F4A" w:rsidRDefault="00B01F4A" w:rsidP="00B01F4A">
      <w:pPr>
        <w:pStyle w:val="SntesisDescriptiva"/>
      </w:pPr>
      <w:r>
        <w:t>Acordando la inadmisión a trámite de la cuestión de inconstitucionalidad 3.764/1996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La Sala de lo Contencioso-Administrativo, Sección Cuarta, del Tribunal Superior de Justicia de Cataluña, por Auto de 5 de septiembre de 1996, dictado en recurso contencioso-administrativo núm. 2.284/92, interpuesto en nombre de «Inmobiliaria Montbuy, S. A.», contra la Resolución del Tribunal Económico-Administrativo Regional de Cataluña de 29 de junio de 1992, desestimatoria de la reclamación núm. 2.713/89, Auto que ha tenido su entrada en el Registro General del Tribunal Constitucional el 19 de octubre de 1996, plantea cuestión de inconstitucionalidad sobre el art. 58.2 e) de la Ley General Tributaria, por presunta vulneración de los arts. 24.1 y 2 C.E.</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Los hechos que han dado lugar al planteamiento de dicha cuestión, tal como se desprenden del testimonio de las actuaciones remitido, son los siguientes: </w:t>
      </w:r>
    </w:p>
    <w:p w:rsidR="00B01F4A" w:rsidRDefault="00B01F4A" w:rsidP="00B01F4A">
      <w:pPr>
        <w:pStyle w:val="TextoNormal"/>
      </w:pPr>
      <w:r>
        <w:t xml:space="preserve">a) La Inspección de los Tributos levantó a la entidad «Inmobiliaria Montbuy, S. A.», el 8 de marzo de 1989, acta de conformidad por el Impuesto sobre Sociedades, ejercicio de 1984, con propuesta de liquidación por importe de 2.704.696 pesetas, correspondiente a una base de 3.698.040 pesetas, frente a la base en su día declarada por dicho concepto y período de sólo 175.832 pesetas. </w:t>
      </w:r>
    </w:p>
    <w:p w:rsidR="00B01F4A" w:rsidRDefault="00B01F4A" w:rsidP="00B01F4A">
      <w:pPr>
        <w:pStyle w:val="TextoNormal"/>
      </w:pPr>
      <w:r>
        <w:t xml:space="preserve">b) Interpuesta por la entidad referida reclamación económico-administrativa, a la que correspondió el núm. 2.713/1989, alegando haberse cometido en el acta antes indicada diversos errores de hecho y de Derecho, -entre ellos, el de haberse aplicado retroactivamente, respecto de la sanción impuesta, la Ley 10/1985, el de falta de expresión de los criterios de graduación de dicha sanción y el del incumplimiento de determinados requisitos establecidos por el Real Decreto 2.631/1985, sobre procedimiento sancionador-, fue aquélla desestimada por Resolución del Tribunal Económico-Administrativo Regional de Cataluña de 29 de junio de 1992. </w:t>
      </w:r>
    </w:p>
    <w:p w:rsidR="00B01F4A" w:rsidRDefault="00B01F4A" w:rsidP="00B01F4A">
      <w:pPr>
        <w:pStyle w:val="TextoNormal"/>
      </w:pPr>
      <w:r>
        <w:t xml:space="preserve">c) El 21 de diciembre de 1992 se interpuso en nombre de la entidad reclamante ante la Sala de lo Contencioso-Administrativo del Tribunal Superior de Justicia de Cataluña, recurso contencioso-administrativo núm. 2.284/1992 contra dicha Resolución del Tribunal </w:t>
      </w:r>
      <w:r>
        <w:lastRenderedPageBreak/>
        <w:t xml:space="preserve">Económico-Administrativo Regional de Cataluña. La demandante motivó también este recurso en diversos errores de hecho y de Derecho del acta que le fue levantada por la Inspección de los Tributos, entre ellos asimismo los de aplicación retroactiva de la Ley 10/1985 en materia sancionadora, de incumplimiento de requisitos exigidos por el Real Decreto 2.631/1985 y de falta de expresión de los criterios de graduación de la sanción. </w:t>
      </w:r>
    </w:p>
    <w:p w:rsidR="00B01F4A" w:rsidRDefault="00B01F4A" w:rsidP="00B01F4A">
      <w:pPr>
        <w:pStyle w:val="TextoNormal"/>
      </w:pPr>
      <w:r>
        <w:t xml:space="preserve">d) Seguido el recurso por sus trámites, declaradas conclusas las actuaciones y señalado día para votación y fallo, la Sección Cuarta de la Sala de lo Contencioso-Administrativo del Tribunal Superior de Justicia de Cataluña acordó, por providencia de 24 de enero de 1995, «al amparo de lo dispuesto en los arts. 35 y ss. de la LOTC» y con suspensión del término para dictar Sentencia, dar traslado a las partes y al Ministerio Fiscal, a fin de que en plazo de diez días alegasen «sobre la posible inconstitucionalidad del art. 58.2 e) de la vigente Ley General Tributaria, en relación con el derecho constitucional de tutela judicial efectiva (art. 24.1), presunción de inocencia (art. 24.2) y prohibición de indefensión (art. 24.l), por cuanto en la norma cuestionada se incluyen las sanciones tributarías, propias del Derecho sancionador, con conceptos típicos del Derecho tributario, lo que puede provocar la vulneración de las normas constitucionales anteriormente citadas». Y una vez formuladas las alegaciones pertinentes, la Sala acordó, por Auto de 22 de febrero de 1996, plantear cuestión de inconstitucionalidad, a la que correspondió el núm. 1.314/1996. sobre el art. 58.2 de la Ley General Tributaria, «por estar -se dice en su parte dispositiva- en contradicción con los artículos y principios: 24.1 (tutela judicial efectiva), 24.2 (presunción de inocencia) y 24.1 (prohibición de indefensión) de la Constitución». </w:t>
      </w:r>
    </w:p>
    <w:p w:rsidR="00B01F4A" w:rsidRDefault="00B01F4A" w:rsidP="00B01F4A">
      <w:pPr>
        <w:pStyle w:val="TextoNormal"/>
      </w:pPr>
      <w:r>
        <w:t xml:space="preserve">e) Cumplidos los trámites legalmente previstos, dictaría el Pleno del Tribunal Constitucional el ATC 142/1996, fechado el 29 de mayo de 1996, inadmitiendo la cuestión de inconstitucionalidad núm. 1.314/1996, tanto por falta de explicitación del juicio de relevancia como por resultar notoriamente infundada. En esta resolución no venía sino a reiterarse idéntica argumentación que la utilizada por el Auto de inadmisión de la cuestión núm. 557/1996, que fue planteada por el mismo órgano judicial. </w:t>
      </w:r>
    </w:p>
    <w:p w:rsidR="00B01F4A" w:rsidRDefault="00B01F4A" w:rsidP="00B01F4A">
      <w:pPr>
        <w:pStyle w:val="TextoNormal"/>
      </w:pPr>
      <w:r>
        <w:t xml:space="preserve">f) Sin embargo, a pesar del ATC 142/1996, en el mismo recurso contencioso-administrativo 2.284/92, la Sección Cuarta de la Sala de lo Contencioso-Administrativo del Tribunal Superior de Justicia de Cataluña dictó providencia, fechada el 11 de junio de 1996, en la que reprodujo el contenido de su anterior providencia de 24 de enero de 1995, dando de nuevo audiencia a las partes y al Ministerio Fiscal sobre la posible inconstitucionalidad del art. 58.2 e) de la L.G.T. El órgano judicial justificaba esta resolución en la recepción del «Auto del Tribunal Constitucional declarando la inadmisión de la cuestión de inconstitucionalidad planteada en el presente recurso, dejando la posibilidad de plantearla de nuevo si se observaba lo que en dicha resolución se dispone». </w:t>
      </w:r>
    </w:p>
    <w:p w:rsidR="00B01F4A" w:rsidRDefault="00B01F4A" w:rsidP="00B01F4A">
      <w:pPr>
        <w:pStyle w:val="TextoNormal"/>
      </w:pPr>
      <w:r>
        <w:t xml:space="preserve">La parte recurrente, tras expresar su conformidad con los razonamientos de la Sala vertidos en su anterior Auto de 22 de febrero de 1996, de planteamiento de la cuestión de inconstitucionalidad 1.314/1996 sobre el art. 58.2 e) L.G.T., añadió que la infracción tributaría no puede apartarse de los principios constitucionales; citó asimismo en apoyo de todo ello las Sentencias Funke, de 25 de febrero de 1993, y Benedoun, de 24 de febrero de 1994, del Tribunal Europeo de Derechos Humanos, y la STC 241/1991, y solicitó iniciar de nuevo el trámite del art. 35 LOTC. </w:t>
      </w:r>
    </w:p>
    <w:p w:rsidR="00B01F4A" w:rsidRDefault="00B01F4A" w:rsidP="00B01F4A">
      <w:pPr>
        <w:pStyle w:val="TextoNormal"/>
      </w:pPr>
      <w:r>
        <w:t xml:space="preserve">Por el contrario, el Abogado del Estado entendió que no había lugar al planteamiento de la cuestión, aduciendo razones procesales y de fondo. En lo que concierne a los motivos de índole procesal, comienza señalando que, frente a lo afirmado en la providencia, el Auto de inadmisión dictado por el Tribunal Constitucional no hizo referencia alguna a que se pudiera volver a plantear la cuestión de inconstitucíonalidad. Dicho esto, sostiene que la inadmisión </w:t>
      </w:r>
      <w:r>
        <w:lastRenderedPageBreak/>
        <w:t xml:space="preserve">de una cuestión de inconstitucionalidad impide al órgano jurisdiccional cuestionar nuevamente, en el mismo proceso, la constitucionalidad del mismo precepto con fuerza de Ley, por infracción del mismo precepto constitucional. Pues, aun cuando la LOTC guarda silencio al respecto, es un principio general de nuestro Derecho Procesal el que equipara el Auto de inadmisión de un motivo de impugnación con una Sentencia desestimatoria; y, así, inadmitido un recurso de amparo por carecer la demanda manifiestamente de contenido constitucional, no se concede al demandante un trámite de subsanación de su recurso a fin de dotarlo de dicho contenido constitucional. Además, continúa el Abogado del Estado, ha de tomarse en consideración que en el presente caso la primera cuestión de inconstitucionalidad no fue sólo inadmitida por el Auto de 29 de mayo de 1996, con base en la insuficiencia del principio de inconstitucionalidad formulado, sino también por ser notoriamente infundada, de donde se desprende que va contra el principio de cosa juzgada plantear una nueva cuestión sobre ese mismo precepto legal. </w:t>
      </w:r>
    </w:p>
    <w:p w:rsidR="00B01F4A" w:rsidRDefault="00B01F4A" w:rsidP="00B01F4A">
      <w:pPr>
        <w:pStyle w:val="TextoNormal"/>
      </w:pPr>
      <w:r>
        <w:t xml:space="preserve">Desde una perspectiva material, apunta que las referencias efectuadas en la providencia de la Sala a los «efectos perjudiciales» que para cada recurrente tiene la inclusión de las sanciones dentro de la deuda tributaría no escapan a la abstracción y alejamiento de la primera cuestión respecto de la resolución del caso concreto puestos de relieve por el Auto de inadmisión; argumentó asimismo en sentido contrario a que la extensión del aval respecto de la totalidad de la deuda tributaría sea una cuestión de la que dependa el fallo y entrañe vulneración alguna del art. 24 C.E., y finalizó negando, frente a lo expresado en la providencia de la Sala, que la inclusión de la sanción en el importe de la deuda tributaría prive al demandante de la posibilidad de impugnarla de forma autónoma, en virtud de todo lo cual solicitó el no planteamiento de la cuestión de inconstitucionalidad del art. 58.2 e) L.G.T. </w:t>
      </w:r>
    </w:p>
    <w:p w:rsidR="00B01F4A" w:rsidRDefault="00B01F4A" w:rsidP="00B01F4A">
      <w:pPr>
        <w:pStyle w:val="TextoNormal"/>
      </w:pPr>
      <w:r>
        <w:t>Por su parte, el Fiscal dio por reproducido su anterior dictamen.</w:t>
      </w:r>
    </w:p>
    <w:p w:rsidR="00B01F4A" w:rsidRDefault="00B01F4A" w:rsidP="00B01F4A">
      <w:pPr>
        <w:pStyle w:val="TextoNormal"/>
      </w:pPr>
    </w:p>
    <w:p w:rsidR="00B01F4A" w:rsidRDefault="00B01F4A" w:rsidP="00B01F4A">
      <w:pPr>
        <w:pStyle w:val="TextoNormal"/>
      </w:pPr>
      <w:r w:rsidRPr="00B01F4A">
        <w:rPr>
          <w:rStyle w:val="NumeroAFNegritaCaracter"/>
        </w:rPr>
        <w:t>3</w:t>
      </w:r>
      <w:r>
        <w:t>. La Sala de lo Contencioso-Administrativo, soslayando toda referencia a la objeción de naturaleza procesal puesta de manifiesto por el Abogado del Estado, acordó por Auto de 5 de septiembre de 1996 plantear nuevamente cuestión de inconstitucionalidad sobre el art. 58.2 e) L.G.T. en términos casi idénticos a los del anterior de 22 de febrero de 1996, con algún añadido referente a la interpretación que deba darse a la expresión «en su caso» del artículo cuya inconstitucionalidad se cuestiona y al carácter y relevancia de tal precepto legal (fundamento jurídico 3.º). Y tras incorporar alguna otra adición relativa a la sanción debatida, a cuya imposición se atribuye la vulneración de determinados principios constitucionales del art. 24.1 C.E. que habría traído causa del art. 58.2 e) L.G.T., concluyó afirmando que si este precepto legal fuese declarado inconstitucional, la parte demandante tendría derecho a que se iniciase un procedimiento sancionador con todas las garantías de la Ley 30/1992, mientras que en caso contrario se perjudicaría a dicha parte demandante a efectos de la cuantía del aval bancario adjuntado en garantía (fundamento jurídico 4.º).</w:t>
      </w:r>
    </w:p>
    <w:p w:rsidR="00B01F4A" w:rsidRDefault="00B01F4A" w:rsidP="00B01F4A">
      <w:pPr>
        <w:pStyle w:val="TextoNormal"/>
      </w:pPr>
    </w:p>
    <w:p w:rsidR="00B01F4A" w:rsidRDefault="00B01F4A" w:rsidP="00B01F4A">
      <w:pPr>
        <w:pStyle w:val="TextoNormal"/>
      </w:pPr>
      <w:r w:rsidRPr="00B01F4A">
        <w:rPr>
          <w:rStyle w:val="NumeroAFNegritaCaracter"/>
        </w:rPr>
        <w:t>4</w:t>
      </w:r>
      <w:r>
        <w:t>. Mediante providencia de 17 de diciembre de 1996, la Sección Segunda de este Tribunal acordó oír al Fiscal General del Estado para que, en el plazo de diez días, alegase lo que estimase oportuno acerca de la admisibilidad de la presente cuestión.</w:t>
      </w:r>
    </w:p>
    <w:p w:rsidR="00B01F4A" w:rsidRDefault="00B01F4A" w:rsidP="00B01F4A">
      <w:pPr>
        <w:pStyle w:val="TextoNormal"/>
      </w:pPr>
    </w:p>
    <w:p w:rsidR="00B01F4A" w:rsidRDefault="00B01F4A" w:rsidP="00B01F4A">
      <w:pPr>
        <w:pStyle w:val="TextoNormal"/>
      </w:pPr>
      <w:r w:rsidRPr="00B01F4A">
        <w:rPr>
          <w:rStyle w:val="NumeroAFNegritaCaracter"/>
        </w:rPr>
        <w:t>5</w:t>
      </w:r>
      <w:r>
        <w:t xml:space="preserve">. El Fiscal General del Estado, por escrito que tuvo su entrada el 10 de enero de 1997, adujo que la cuestión era muy similar a la planteada por la misma Sala contra idéntico precepto, que fue registrada bajo el núm. 557/96. Esta última fue inadmitida por ATC </w:t>
      </w:r>
      <w:r>
        <w:lastRenderedPageBreak/>
        <w:t>111/1996, tanto por falta de juicio de relevancia como por ser notoriamente infundada; resolución a la que, precisamente, se remiten los diferentes Autos de inadmisión recaídos sobre la misma materia -así, entre otros, los AATC 142, 162, 173, 174 y 175/1996-. Consiguientemente, y dado que en el presente caso la Sala proponente se ha limitado a copiar los Autos de planteamiento anteriores, añadiéndoles únicamente algunos párrafos relativos al juicio de relevancia, que no afectan al hecho de encontrarse notoriamente infundada, interesa se dicte Auto de inadmisión de la cuestión por resultar manifiestamente infundada.</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La Sala de lo Contencioso-Administrativo, Sección Cuarta, del Tribunal Superior de Justicia de Catalana, en el recurso contencioso-administrativo tramitado con el núm. 2.284/92, plantea la presente cuestión de inconstitucionalidad respecto del art. 58.2 e) de la Ley General Tributaría (en adelante, L.G.T.), precepto por el que se dispone que, «En su caso, también formarán parte de la deuda tributaría: e) Las sanciones pecuniarias», y que en tesis del Tribunal proponente vulnera el art. 24.1 y 2 C.E. Mas este planteamiento que se deja sucintamente descrito ofrece una singularidad, cual es que la referida Sección, en el mismo proceso administrativo y en relación con el mismo precepto legal, ya había suscitado cuestión de inconstitucionalidad con base en unos pretendidos vicios de inconstitucionalidad sustancialmente idénticos a los aducidos en la que ahora nos ocupa; cuestión aquella antecedente que, registrada con el núm. 1.314/96; fue rechazada en trámite de admisión conforme a lo prevenido en el art. 37.1 LOTC, mediante ATC 142/1996, tanto por falta de las adecuadas condiciones procesales (ausencia de explicitación, por el órgano jurisdiccional, del juicio de relevancia) como por la apreciación de que era notoriamente infundada.</w:t>
      </w:r>
    </w:p>
    <w:p w:rsidR="00B01F4A" w:rsidRDefault="00B01F4A" w:rsidP="00B01F4A">
      <w:pPr>
        <w:pStyle w:val="TextoNormal"/>
      </w:pPr>
      <w:r>
        <w:t>Se trata, pues, de discernir si es o no válidamente posible que el mismo órgano judicial, en el seno del mismo proceso y con relación a idéntica norma con rango de ley, vuelva a plantear una cuestión de inconstitucionalidad esencialmente igual a otra previamente suscitada por aquél, que fue inadmitida por Auto de este Tribunal, con fundamento en lo dispuesto por el citado art.  37.1 de su Ley Orgánica, tanto por razones de inexistencia de presupuestos procesales como por la notoria carencia de fundamento de la duda de constitucionalidad sobre el precepto legal cuestionado.</w:t>
      </w:r>
    </w:p>
    <w:p w:rsidR="00B01F4A" w:rsidRDefault="00B01F4A" w:rsidP="00B01F4A">
      <w:pPr>
        <w:pStyle w:val="TextoNormal"/>
      </w:pPr>
    </w:p>
    <w:p w:rsidR="00B01F4A" w:rsidRDefault="00B01F4A" w:rsidP="00B01F4A">
      <w:pPr>
        <w:pStyle w:val="TextoNormal"/>
      </w:pPr>
      <w:r w:rsidRPr="00B01F4A">
        <w:rPr>
          <w:rStyle w:val="NumeroAFNegritaCaracter"/>
        </w:rPr>
        <w:t>2</w:t>
      </w:r>
      <w:r>
        <w:t>. El rechazo, en trámite de admisión, de la cuestión de inconstitucionalidad suscitada, declarado mediante el Auto de este Tribunal dictado con arreglo al art. 37.1 LOTC, cierra, en principio y como regla general, la válida posibilidad de que idéntica cuestión -relativa a la misma norma y fundada en los mismos preceptos constitucionales- pueda ser replanteada en esta sede a los efectos de abrir el proceso constitucional. Este criterio general tan sólo ha sido modulado o excepcionado, dado que en toda cuestión de inconstitucionalidad subyace un interés objetivo, en aquellos casos en que la cuestión fue inadmitida por razones de índole estrictamente formal susceptibles de subsanación, dando así oportunidad al órgano jurisdiccional proponente para que pueda, corregidos los defectos procesales apreciados, volver a plantear la cuestión, ya depurada en cuanto a la concurrencia de los necesarios presupuestos procesales para su admisibilidad.</w:t>
      </w:r>
    </w:p>
    <w:p w:rsidR="00B01F4A" w:rsidRDefault="00B01F4A" w:rsidP="00B01F4A">
      <w:pPr>
        <w:pStyle w:val="TextoNormal"/>
      </w:pPr>
      <w:r>
        <w:t xml:space="preserve">Así ha ocurrido cuando la inadmisión inicialmente apreciada obedecía a la constatación de defectos procesales tales como la falta de exteriorización del juicio de relevancia en el Auto de planteamiento (AATC 250/1982, 17/1983, 18/1993, 19/1983, 316/1984 y 158/1993), o el incorrecto cumplimiento del trámite de audiencia a las partes y al Ministerio </w:t>
      </w:r>
      <w:r>
        <w:lastRenderedPageBreak/>
        <w:t>Fiscal exigido por el art.  35.2 LOTC (AATC 250/1982, 218/1990, 286/1990, 108/1993 y 145/1993).</w:t>
      </w:r>
    </w:p>
    <w:p w:rsidR="00B01F4A" w:rsidRDefault="00B01F4A" w:rsidP="00B01F4A">
      <w:pPr>
        <w:pStyle w:val="TextoNormal"/>
      </w:pPr>
    </w:p>
    <w:p w:rsidR="00B01F4A" w:rsidRDefault="00B01F4A" w:rsidP="00B01F4A">
      <w:pPr>
        <w:pStyle w:val="TextoNormal"/>
      </w:pPr>
      <w:r w:rsidRPr="00B01F4A">
        <w:rPr>
          <w:rStyle w:val="NumeroAFNegritaCaracter"/>
        </w:rPr>
        <w:t>3</w:t>
      </w:r>
      <w:r>
        <w:t>. En el presente caso, la cuestión planteada por la Sección Cuarta de la Sala de lo Contencioso-Administrativo de Cataluña mediante su Auto de 22 de febrero de 1996 fue inadmitida por este Tribunal por ATC 142/1996, que no se fundó solamente en la falta de condiciones procesales de aquélla (ausencia de explicitación en el Auto de planteamiento del juicio de relevancia), sino también en ser notoriamente infundada la cuestión suscitada, dado que se apreció, en trámite de admisión del art. 37.1 LOTC, que no existía contradicción entre el precepto legal cuestionado, art. 58.2 e) de la L.G.T., y el texto constitucional. Pues bien, cuando, como aquí acontece, el rechazo de la cuestión planteada se produce en dicha fase procesal y tiene su causa no en defectos procesales susceptibles de convalidación por ulterior subsanación, sino en la apreciación de la notoria carencia de fundamento de la cuestión suscitada, ésta no puede ser replanteada por el órgano jurisdiccional en el mismo proceso a quo y con base en una sustancial identidad de su fundamentación material (AATC 389/1990, 93/1991, 286/1991 y 380/1996).</w:t>
      </w:r>
    </w:p>
    <w:p w:rsidR="00B01F4A" w:rsidRDefault="00B01F4A" w:rsidP="00B01F4A">
      <w:pPr>
        <w:pStyle w:val="TextoNormal"/>
      </w:pPr>
    </w:p>
    <w:p w:rsidR="00B01F4A" w:rsidRDefault="00B01F4A" w:rsidP="00B01F4A">
      <w:pPr>
        <w:pStyle w:val="TextoNormal"/>
      </w:pPr>
      <w:r w:rsidRPr="00B01F4A">
        <w:rPr>
          <w:rStyle w:val="NumeroAFNegritaCaracter"/>
        </w:rPr>
        <w:t>4</w:t>
      </w:r>
      <w:r>
        <w:t>. Hemos, pues, de reiterar la decisión de inadmisión ya declarada en el ATC 142/1996, respecto a la cuestión planteada por la Sección Cuarta de la Sala de lo Contencioso-Administrativo del T.S.J. de Cataluña con relación al art. 58.2 e) de la Ley General Tributaría, sin que pueda desvirtuar esta conclusión la apreciación efectuada por el órgano jurisdiccional proponente de que aquel Auto dejaba abierta la posibilidad de plantear de nuevo la cuestión si se observaba lo que en tal resolución se disponga, pues esta supuesta justificación no se atiene a la realidad, al no contenerse en el mencionado ATC 142/1996 determinación alguna con la apuntada significación, tal como objetó el Abogado del Estado en el nuevo trámite de audiencia previa del art.  35.2 LOTC. Se reitera, de tal modo, el planteamiento de una cuestión de inconstitucionalidad rechazada en fase procesal de admisión, por razones de fondo, apreciadas en resolución firme dictada conforme al art. 37.1 LOTC, insistiendo así el órgano jurisdiccional de manera improcedente en una duda de constitucionalidad sobre cuya inviabilidad recayó en su momento pronunciamiento irrevisable de este Tribunal, actitud procesal la expuesta que, con independencia de su no acomodación a los términos del art. 37.1 LOTC, se traduce en una prolongación de la suspensión del proceso a quo con eventual menoscabo del derecho que asiste a las partes de que sus pretensiones sean tramitadas y resueltas sin demoras indebidas.</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Por lo expuesto, el Pleno del Tribunal Constitucional, de conformidad con el art. 37.1 LOTC, acuerda que no ha lugar a admitir la cuestión de inconstitucionalidad núm. 3.764/96, planteada por la Sección Cuarta de la Sala de lo Contencioso-Administrativo</w:t>
      </w:r>
    </w:p>
    <w:p w:rsidR="00B01F4A" w:rsidRDefault="00B01F4A" w:rsidP="00B01F4A">
      <w:pPr>
        <w:pStyle w:val="TextoNormal"/>
      </w:pPr>
      <w:r>
        <w:t>del Tribunal Superior de Justicia de Cataluña en recurso contencioso-administrativo núm. 2.284/92.</w:t>
      </w:r>
    </w:p>
    <w:p w:rsidR="00B01F4A" w:rsidRDefault="00B01F4A" w:rsidP="00B01F4A">
      <w:pPr>
        <w:pStyle w:val="TextoNormal"/>
      </w:pPr>
    </w:p>
    <w:p w:rsidR="00B01F4A" w:rsidRDefault="00B01F4A" w:rsidP="00B01F4A">
      <w:pPr>
        <w:pStyle w:val="TextoNormal"/>
      </w:pPr>
      <w:r>
        <w:t>Madrid, a veintitrés de abril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211" w:name="AUTO_1997_121"/>
      <w:r>
        <w:lastRenderedPageBreak/>
        <w:t>AUTO 121/1997, de 29 de abril de 1997</w:t>
      </w:r>
    </w:p>
    <w:bookmarkEnd w:id="211"/>
    <w:p w:rsidR="00B01F4A" w:rsidRDefault="00B01F4A" w:rsidP="00B01F4A">
      <w:pPr>
        <w:pStyle w:val="TtuloResolucin"/>
      </w:pPr>
      <w:r>
        <w:t>Sección Segunda</w:t>
      </w:r>
    </w:p>
    <w:p w:rsidR="00B01F4A" w:rsidRDefault="00B01F4A" w:rsidP="00B01F4A">
      <w:pPr>
        <w:pStyle w:val="TtuloResolucin"/>
      </w:pPr>
    </w:p>
    <w:p w:rsidR="00B01F4A" w:rsidRDefault="00B01F4A" w:rsidP="00B01F4A">
      <w:pPr>
        <w:pStyle w:val="SntesisDescriptiva"/>
      </w:pPr>
      <w:r>
        <w:t>ECLI:ES:TC:1997:121A</w:t>
      </w:r>
    </w:p>
    <w:p w:rsidR="00B01F4A" w:rsidRDefault="00B01F4A" w:rsidP="00B01F4A">
      <w:pPr>
        <w:pStyle w:val="SntesisDescriptiva"/>
      </w:pPr>
    </w:p>
    <w:p w:rsidR="00B01F4A" w:rsidRDefault="00B01F4A" w:rsidP="00B01F4A">
      <w:pPr>
        <w:pStyle w:val="SntesisDescriptiva"/>
      </w:pPr>
      <w:r>
        <w:t>Excms. Srs. don José Vicente Gimeno Sendra, don Manuel Jiménez de Parga y Cabrera y don Pablo García Manzano.</w:t>
      </w:r>
    </w:p>
    <w:p w:rsidR="00B01F4A" w:rsidRDefault="00B01F4A" w:rsidP="00B01F4A">
      <w:pPr>
        <w:pStyle w:val="SntesisDescriptiva"/>
      </w:pPr>
    </w:p>
    <w:p w:rsidR="00B01F4A" w:rsidRDefault="00B01F4A" w:rsidP="00B01F4A">
      <w:pPr>
        <w:pStyle w:val="SntesisDescriptiva"/>
      </w:pPr>
      <w:r>
        <w:t>Acordando la inadmisión a trámite del recurso de amparo 3.499/1996.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en este Tribunal el 27 de septiembre de 1996, la Procuradora de los Tribunales doña Rosina Montes Agustí, en nombre y representación de don Antonio Zea Salgueiro, don Luis Roca Ramírez, don Ángel Tello Valero y don Jesús Bringes Andújar, interpuso recurso de amparo contra el Auto de la Sección Cuarta de la Audiencia Provincial de Cádiz, de 29 de julio de 1996, relativo a una declinatoria de competencia en un procedimiento penal abreviado por presunto delito de contrabando.</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De la demanda y documentos aportados con ella resultan los siguientes hechos relevantes: </w:t>
      </w:r>
    </w:p>
    <w:p w:rsidR="00B01F4A" w:rsidRDefault="00B01F4A" w:rsidP="00B01F4A">
      <w:pPr>
        <w:pStyle w:val="TextoNormal"/>
      </w:pPr>
      <w:r>
        <w:t xml:space="preserve">a) En virtud de una denuncia presentada por la Unión de Estanqueros de España, el Juzgado de Instrucción núm. 6 de Cádiz abrí¿&gt; diligencias previas (núm. 487/92) por presunto delito de contrabando contra los Comandantes de los buques de la Armada «Martín Álvarez», «Castilla», «Aragón» y «Velasco», actuales recurrentes en amparo, en relación con el embarque en Túnez, efectuado el 27 de mayo de 1992, de diferentes cantidades de tabaco. Tales diligencias fueron luego transformadas en procedimiento penal abreviado (núm. 64/95) por Auto de 10 de octubre de 1995. </w:t>
      </w:r>
    </w:p>
    <w:p w:rsidR="00B01F4A" w:rsidRDefault="00B01F4A" w:rsidP="00B01F4A">
      <w:pPr>
        <w:pStyle w:val="TextoNormal"/>
      </w:pPr>
      <w:r>
        <w:t xml:space="preserve">b) Mediante escrito de 6 de noviembre de 1995, la defensa de los imputados propuso al referido Juzgado de Instrucción una cuestión de competencia por declinatoria (basada en el art. 26 L.E.Crim.), por entender que, al haber ocurrido los hechos fuera del territorio nacional, la competencia para conocer de la causa corresponderla: a) si se sigue la teoría del primer puerto español de arribo del buque, a los Juzgados de Instrucción de Barcelona y Rota, en relación con dos de los encausados, pues sólo los otros dos buques arribaron a la base de Puntales en Cádiz; o b), si no se sigue esta teoría, a la Audiencia Nacional (Juzgados Centrales de Instrucción y Juzgados Centrales de lo Penal), en aplicación de los arts. 65. 1.º e) y 88 de la L.O.P.J., en relación con todos los encausados. Dicha cuestión de competencia habría de ser resuelta por el Tribunal Supremo, al carecer los Juzgados de Instrucción en conflicto de superior inmediato común (último párrafo del art. 20 L.E.Crim.), y hasta su resolución debería suspenderse la tramitación del proceso (art. 24 L.E.Crim.). Asimismo se solicitaba la declaración de nulidad del Auto de 10 de octubre de 1995 de incoación del procedimiento abreviado por las causas 1.ª y 3.ª del art. 238 L.O.P.J., esto es, por incompetencia del Juzgado para dictarlo, derivada de lo anterior, y por indefensión causada por la </w:t>
      </w:r>
      <w:r>
        <w:lastRenderedPageBreak/>
        <w:t xml:space="preserve">no apertura en este momento de la posibilidad de pedir el sobreseimiento de la causa, con infracción de la doctrina establecida en la STC 186/1990. </w:t>
      </w:r>
    </w:p>
    <w:p w:rsidR="00B01F4A" w:rsidRDefault="00B01F4A" w:rsidP="00B01F4A">
      <w:pPr>
        <w:pStyle w:val="TextoNormal"/>
      </w:pPr>
      <w:r>
        <w:t xml:space="preserve">Sobre dichas cuestiones recayó (previo informe del Fiscal) Auto del Juzgado de Instrucción núm. 6 de Cádiz de 29 de diciembre de 1995, por el que se acordó no haber lugar a la inhibición del Juzgado ni a la declaración de nulidad del Auto de incoación del procedimiento abreviado. El Juzgado afirmó su competencia con base en el art. 18.2.º, en relación con el art. 17, ambos de la L.E.Crim., por tratarse de delitos conexos y ser dicho Juzgado el primero y único que había conocido de la causa. Rechazaba asimismo que los presuntos delitos se hubieran cometido fuera del territorio nacional, por tener los buques de la Armada consideración de territorio nacional y haber atracado en puertos españoles antes de la aprehensión de la mercancía. En cuanto a la declaración de nulidad del Auto de incoación del procedimiento abreviado, se rechazó porque dicho Auto, tras ser notificado, no había sido recurrido y porque los recurrentes habían hecho y seguían haciendo uso de su derecho a solicitar el sobreseimiento de la causa cuantas veces creían oportuno. </w:t>
      </w:r>
    </w:p>
    <w:p w:rsidR="00B01F4A" w:rsidRDefault="00B01F4A" w:rsidP="00B01F4A">
      <w:pPr>
        <w:pStyle w:val="TextoNormal"/>
      </w:pPr>
      <w:r>
        <w:t xml:space="preserve">En dicho Auto se acordó asimismo suspender la tramitación de la causa hasta que la cuestión de competencia quedara definitivamente resuelta. Y, por último, se indicaba que contra el mismo cabría interponer recurso de apelación en ambos efectos ante el propio Juzgado para su resolución por la Audiencia Provincial. </w:t>
      </w:r>
    </w:p>
    <w:p w:rsidR="00B01F4A" w:rsidRDefault="00B01F4A" w:rsidP="00B01F4A">
      <w:pPr>
        <w:pStyle w:val="TextoNormal"/>
      </w:pPr>
      <w:r>
        <w:t xml:space="preserve">c) Contra dicho Auto los hoy demandantes de amparo interpusieron el indicado recurso de apelación, en relación con el cual la Sección Cuarta de la Audiencia Provincial de Cádiz dictó providencia de 14 de febrero de 1996 acordando la devolución de los autos al Juzgado de procedencia, a fin de que, previa audiencia de las partes, se resolviera sobre la posible nulidad de actuaciones a partir del Auto recurrido por supuesta improcedencia de la admisión del recurso de apelación. </w:t>
      </w:r>
    </w:p>
    <w:p w:rsidR="00B01F4A" w:rsidRDefault="00B01F4A" w:rsidP="00B01F4A">
      <w:pPr>
        <w:pStyle w:val="TextoNormal"/>
      </w:pPr>
      <w:r>
        <w:t xml:space="preserve">d) A la vista de dicha providencia, el Juzgado acordó la apertura de un trámite de alegaciones para las partes y el Ministerio Fiscal por providencia de 13 de marzo de 1996. </w:t>
      </w:r>
    </w:p>
    <w:p w:rsidR="00B01F4A" w:rsidRDefault="00B01F4A" w:rsidP="00B01F4A">
      <w:pPr>
        <w:pStyle w:val="TextoNormal"/>
      </w:pPr>
      <w:r>
        <w:t xml:space="preserve">Evacuado el trámite por los aquí recurrentes (solicitando que se mantuviera la validez de la indicación de recursos contenida en el Auto de 29 de diciembre de 1995), el Juzgado dictó Auto de 8 de abril de 1996, declarando la nulidad del Auto de 29 de diciembre de 1995 (y de lo actuado con posterioridad) en lo relativo a la procedencia del recurso de apelación (manteniendo la validez en todo lo demás), y señalando que contra el mismo cabía interponer recurso de reforma. </w:t>
      </w:r>
    </w:p>
    <w:p w:rsidR="00B01F4A" w:rsidRDefault="00B01F4A" w:rsidP="00B01F4A">
      <w:pPr>
        <w:pStyle w:val="TextoNormal"/>
      </w:pPr>
      <w:r>
        <w:t xml:space="preserve">Entiende el Juzgado que, al referirse dicho Auto no sólo a la cuestión de competencia por declinatoria, sino también a la nulidad del Auto de incoación del procedimiento abreviado, no resultaba de aplicación el art. 32 L.E.Crim. (recursos de apelación y casación), sino el párrafo primero del art. 787 L.E.Crim. (recursos de reforma y queja). </w:t>
      </w:r>
    </w:p>
    <w:p w:rsidR="00B01F4A" w:rsidRDefault="00B01F4A" w:rsidP="00B01F4A">
      <w:pPr>
        <w:pStyle w:val="TextoNormal"/>
      </w:pPr>
      <w:r>
        <w:t xml:space="preserve">e) Contra dicho Auto los hoy demandantes de amparo interpusieron recurso de reforma, aduciendo la validez de la anterior indicación de recursos, y que la nueva vulneraba sus derechos fundamentales a la tutela judicial efectiva sin indefensión y a un proceso con todas las garantías (art. 24 C.E.), al suponer la negación de efectos suspensivos a la tramitación de la cuestión de competencia y la privación de los recursos de apelación en ambos efectos y casación. Dicho recurso fue desestimado por Auto del Juzgado de 6 de junio de 1996, confirmando el criterio expuesto en el anterior. </w:t>
      </w:r>
    </w:p>
    <w:p w:rsidR="00B01F4A" w:rsidRDefault="00B01F4A" w:rsidP="00B01F4A">
      <w:pPr>
        <w:pStyle w:val="TextoNormal"/>
      </w:pPr>
      <w:r>
        <w:t xml:space="preserve">f) Finalmente, contra este último Auto interpusieron recurso de queja (rollo 185/96), suplicando que se acordara tramitar la declinatoria en la forma establecida por el art. 45 L.E.Crim. (esto es, como artículo de previo pronunciamiento). </w:t>
      </w:r>
    </w:p>
    <w:p w:rsidR="00B01F4A" w:rsidRDefault="00B01F4A" w:rsidP="00B01F4A">
      <w:pPr>
        <w:pStyle w:val="TextoNormal"/>
      </w:pPr>
      <w:r>
        <w:t xml:space="preserve">Por Auto de 29 de julio de 1996 (notificado a los recurrentes el 9 de septiembre de 1996) la Sección Cuarta de la Audiencia Provincial de Cádiz declaró no haber lugar al recurso. La </w:t>
      </w:r>
      <w:r>
        <w:lastRenderedPageBreak/>
        <w:t>Audiencia Provincial confirma la resolución impugnada por entender que el régimen de recursos que en ella se declara procedente no es sino consecuencia del criterio ya expuesto por la Sala en su anterior providencia. Por otro lado, considera inadmisible la pretensión relativa a que la declinatoria se tramite en la forma establecida por el art. 45 L.E.Crim. por cuanto en el Auto recurrido no se hacía referencia para nada a la forma en que dicha declinatoria habría de ser tramitada.</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Los demandantes de amparo (reiterando en lo esencial los argumentos ya expuestos en la vía judicial) consideran que las resoluciones impugnadas han vulnerado sus derechos fundamentales a la tutela judicial efectiva, a la prohibición de indefensión (art. 24.1 C.E.) y a un proceso con todas las garantías (art. 24.2 C.E.), en cuanto implican el derecho a los recursos legalmente establecidos, en la medida en que dichas resoluciones han impedido tramitar de manera correcta la cuestión de competencia por declinatoria, privándoles de la utilización de los recursos de apelación en ambos efectos y casación, que consideran legalmente procedentes, y de la suspensión de la tramitación del proceso penal hasta la resolución definitiva de dicha cuestión de competencia. </w:t>
      </w:r>
    </w:p>
    <w:p w:rsidR="00B01F4A" w:rsidRDefault="00B01F4A" w:rsidP="00B01F4A">
      <w:pPr>
        <w:pStyle w:val="TextoNormal"/>
      </w:pPr>
      <w:r>
        <w:t xml:space="preserve">A su juicio, la declinatoria planteada conforme al art. 26 L.E.Crim. debiera haberse tramitado, de conformidad con el art. 45 L.E.Crim., como artículo de previo pronunciamiento (por los trámites establecidos en los arts. 666 y ss. L.E.Crim.). Y, según el último párrafo del art. 666 (en la redacción dada al mismo por la disposición final segunda de la Ley Orgánica 5/1995), «contra el Auto resolutorio de la declinatoria procede el recurso de casación», en este caso previo recurso de apelación ante la Audiencia Provincial, ya que las resoluciones de un Juzgado no pueden ser recurridas directamente en casación (art. 848 L.E.Crim.). Invocan asimismo el art. 51.1 L.O.P.J., conforme al cual «las cuestiones de competencia de un mismo orden jurisdiccional se resolverán por el órgano inmediato superior común, conforme a las normas establecidas en las leyes procesales», lo que no ha ocurrido en este caso. </w:t>
      </w:r>
    </w:p>
    <w:p w:rsidR="00B01F4A" w:rsidRDefault="00B01F4A" w:rsidP="00B01F4A">
      <w:pPr>
        <w:pStyle w:val="TextoNormal"/>
      </w:pPr>
      <w:r>
        <w:t xml:space="preserve">Así, pues, la terminación de la cuestión de competencia por Auto de la Audiencia Provincial resolutorio de un recurso de queja sin ulterior recurso sería contraria al derecho a los recursos legalmente establecidos. </w:t>
      </w:r>
    </w:p>
    <w:p w:rsidR="00B01F4A" w:rsidRDefault="00B01F4A" w:rsidP="00B01F4A">
      <w:pPr>
        <w:pStyle w:val="TextoNormal"/>
      </w:pPr>
      <w:r>
        <w:t>En consecuencia, se solicita en la demanda que se declare la nulidad de las resoluciones impugnadas (Autos del Juzgado de Instrucción núm. 6 de Cádiz de 8 de abril y 6 de junio de 1996, y de la Sección Cuarta de la Audiencia Provincial de Cádiz de 29 de julio de 1996), reconociendo expresamente el derecho de los recurrentes a que se tramite en forma legal la cuestión de competencia por declinatoria promovida en las diligencias previas núm. 487/92 del Juzgado de Instrucción núm. 6 de Cádiz, según lo establecido en el art. 45 y concordantes de la L.E.Crim., incluyendo los recursos de apelación y casación utilizables de acuerdo con los arts. 676 L.E.Crim. y 51 L.O.P.J., con suspensión del curso de las actuaciones hasta que se decida la cuestión de competencia por resolución firme, lo que implica reconocer que el recurso de apelación interpuesto contra el Auto de 29 de diciembre de 1995 estuvo bien admitido, y que debe darse a dicha apelación el curso legalmente establecido con emplazamiento de las partes ante la Audiencia Provincial de Cádiz.</w:t>
      </w:r>
    </w:p>
    <w:p w:rsidR="00B01F4A" w:rsidRDefault="00B01F4A" w:rsidP="00B01F4A">
      <w:pPr>
        <w:pStyle w:val="TextoNormal"/>
      </w:pPr>
    </w:p>
    <w:p w:rsidR="00B01F4A" w:rsidRDefault="00B01F4A" w:rsidP="00B01F4A">
      <w:pPr>
        <w:pStyle w:val="TextoNormal"/>
      </w:pPr>
      <w:r w:rsidRPr="00B01F4A">
        <w:rPr>
          <w:rStyle w:val="NumeroAFNegritaCaracter"/>
        </w:rPr>
        <w:t>4</w:t>
      </w:r>
      <w:r>
        <w:t xml:space="preserve">. Por providencia de 19 de diciembre de 1996, la Sección Segunda de este Tribunal, de conformidad con lo dispuesto en el art. 50.3 LOTC, acordó conceder a los solicitantes de amparo y al Ministerio Fiscal un plazo común de diez días para alegaciones en relación con la posible existencia del motivo de inadmisión de la demanda previsto en el art. 50.1 c) </w:t>
      </w:r>
      <w:r>
        <w:lastRenderedPageBreak/>
        <w:t>LOTC, y relativo a su carencia manifiesta de contenido que justifique una decisión en forma de Sentencia por parte de este Tribunal.</w:t>
      </w:r>
    </w:p>
    <w:p w:rsidR="00B01F4A" w:rsidRDefault="00B01F4A" w:rsidP="00B01F4A">
      <w:pPr>
        <w:pStyle w:val="TextoNormal"/>
      </w:pPr>
    </w:p>
    <w:p w:rsidR="00B01F4A" w:rsidRDefault="00B01F4A" w:rsidP="00B01F4A">
      <w:pPr>
        <w:pStyle w:val="TextoNormal"/>
      </w:pPr>
      <w:r w:rsidRPr="00B01F4A">
        <w:rPr>
          <w:rStyle w:val="NumeroAFNegritaCaracter"/>
        </w:rPr>
        <w:t>5</w:t>
      </w:r>
      <w:r>
        <w:t>. Mediante escrito registrado en este Tribunal con fecha de 2 de enero de 1997, la representación de los recurrentes insiste sustancialmente en las alegaciones ya formuladas en la demanda. Señala que se ha cometido un grave error jurídico por parte de los órganos judiciales al interpretar la legalidad ordinaria, del que ha derivado la privación de los recursos de apelación y casación en la cuestión de competencia por declinatoria promovida, que hubieran posibilitado su resolución por el superior común de los Juzgados de instrucción en conflicto.</w:t>
      </w:r>
    </w:p>
    <w:p w:rsidR="00B01F4A" w:rsidRDefault="00B01F4A" w:rsidP="00B01F4A">
      <w:pPr>
        <w:pStyle w:val="TextoNormal"/>
      </w:pPr>
    </w:p>
    <w:p w:rsidR="00B01F4A" w:rsidRDefault="00B01F4A" w:rsidP="00B01F4A">
      <w:pPr>
        <w:pStyle w:val="TextoNormal"/>
      </w:pPr>
      <w:r w:rsidRPr="00B01F4A">
        <w:rPr>
          <w:rStyle w:val="NumeroAFNegritaCaracter"/>
        </w:rPr>
        <w:t>6</w:t>
      </w:r>
      <w:r>
        <w:t xml:space="preserve">. Por su parte, el Ministerio Fiscal registró su escrito de alegaciones el 16 de enero de 1997, estimando procedente la inadmisión del recurso por el motivo indicado en nuestra providencia. </w:t>
      </w:r>
    </w:p>
    <w:p w:rsidR="00B01F4A" w:rsidRDefault="00B01F4A" w:rsidP="00B01F4A">
      <w:pPr>
        <w:pStyle w:val="TextoNormal"/>
      </w:pPr>
      <w:r>
        <w:t xml:space="preserve">A su juicio, la demanda de amparo carece de sustento fáctico en el procedimiento penal de que dimana, por cuanto en la resolución recurrida no se afirma ni se niega aquello en lo que los recurrentes basan su pretensión actual. </w:t>
      </w:r>
    </w:p>
    <w:p w:rsidR="00B01F4A" w:rsidRDefault="00B01F4A" w:rsidP="00B01F4A">
      <w:pPr>
        <w:pStyle w:val="TextoNormal"/>
      </w:pPr>
      <w:r>
        <w:t xml:space="preserve">En efecto, aunque el procedimiento a emplear en la tramitación del incidente habrá de ser, indudablemente, como se indica en la demanda, el señalado en el art. 45 L.E.Crim. (artículo de previo pronunciamiento), ni en el Auto recurrido ni en ninguna de las resoluciones judiciales de que el mismo trae causa se dice lo contrario, ni se adopta una tramitación diferente, habiéndose limitado a declarar el Juzgado de Instrucción núm. 6 de Cádiz en otro Auto anterior, de 29 de diciembre de 1995, única resolución en la que se hace referencia a la cuestión examinada, que «se acuerda la suspensión de la tramitación de la presente causa hasta tanto quede definitivamente resuelta la cuestión de competencia planteadas. Dicha resolución no ha sido anulada ni contradicha en este punto por ulteriores resoluciones, ni tampoco impugnada por las partes en dicho punto. </w:t>
      </w:r>
    </w:p>
    <w:p w:rsidR="00B01F4A" w:rsidRDefault="00B01F4A" w:rsidP="00B01F4A">
      <w:pPr>
        <w:pStyle w:val="TextoNormal"/>
      </w:pPr>
      <w:r>
        <w:t xml:space="preserve">La cuestión de competencia por declinatoria aparece, pues, correctamente planteada en el proceso. Ahora bien, el Auto por el que se acordaba plantearla no era apelable ante el Tribunal superior, como correctamente se apreció en aplicación del art. 787.1 L.E.Crim., sin que ello suponga merma alguna de los derechos de las partes a los recursos previstos por las leyes, pues es precisamente el órgano jurisdiccional superior común el que habrá de resolver la competencia, con ulterior recurso de casación ante el Tribunal Supremo, de no ser éste el encargado de resolverla. </w:t>
      </w:r>
    </w:p>
    <w:p w:rsidR="00B01F4A" w:rsidRDefault="00B01F4A" w:rsidP="00B01F4A">
      <w:pPr>
        <w:pStyle w:val="TextoNormal"/>
      </w:pPr>
      <w:r>
        <w:t>En definitiva, el trámite de la declinatoria no ha comenzado aún, y nada permite suponer que el Tribunal sentenciador vaya a privar a las partes de los recursos que en su día fueran procedentes, por lo que la actual demanda carece manifiestamente de contenido constitucional.</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Impugnan los recurrentes una serie de resoluciones judiciales procedentes del Juzgado de Instrucción núm. 6 de Cádiz y de la Sección Cuarta de la Audiencia Provincial de Cádiz, recaídas en un procedimiento penal abreviado, en virtud de las cuales se vino a imponer a la declinatoria planteada por ellos en la fase de preparación del juicio oral, por supuesta falta de competencia territorial del referido Juzgado de Instrucción, una tramitación que, según su criterio, no es la legalmente procedente.</w:t>
      </w:r>
    </w:p>
    <w:p w:rsidR="00B01F4A" w:rsidRDefault="00B01F4A" w:rsidP="00B01F4A">
      <w:pPr>
        <w:pStyle w:val="TextoNormal"/>
      </w:pPr>
      <w:r>
        <w:lastRenderedPageBreak/>
        <w:t>Mientras que para los recurrentes la declinatoria debería tramitarse (según señala el art. 45 L.E.Crim.)  como artículo de previo pronunciamiento, esto es, conforme a las reglas establecidas en los arts. 666 y ss. L.E.Crim., y, por lo tanto, una vez rechazada inicialmente por el Juzgado de Instrucción al que fue propuesta (mediante Auto de 29 de diciembre 1995, en el que confirmaba su competencia territorial), debiera haberse posibilitado la interposición del recurso de casación previsto en el art. 676 L.E.Crim., previo recurso de apelación ante la Audiencia Provincial para hacer aquel otro viable, y con suspensión, en todo caso, del curso de la causa principal hasta la resolución definitiva de los mismos, los indicados órganos judiciales, en las resoluciones aquí impugnadas, vinieron a entender que contra la declaración inicial de no haber lugar a la declinatoria tan sólo cabían, para discutir esta decisión, los recursos de reforma y queja, de acuerdo con lo establecido en el art. 787.1 L.E.Crim., por ser aquellas normas de tramitación de las declinatorias invocadas por los recurrentes aplicables tan sólo al procedimiento común, mas no al procedimiento penal abreviado.</w:t>
      </w:r>
    </w:p>
    <w:p w:rsidR="00B01F4A" w:rsidRDefault="00B01F4A" w:rsidP="00B01F4A">
      <w:pPr>
        <w:pStyle w:val="TextoNormal"/>
      </w:pPr>
      <w:r>
        <w:t>Entienden, pues, los recurrentes que, con esta interpretación de las reglas de procedimiento aplicables a la tramitación de la declinatoria planteada en el caso presente, constitutiva, a su juicio, de un grave error jurídico, las resoluciones impugnadas han vulnerado su derecho a los recursos legalmente establecidos, derivable, a su entender, de los derechos fundamentales a la tutela judicial efectiva, a la prohibición de indefensión y a un proceso con todas las garantías, recogidos todos ellos en el art. 24 C.E.</w:t>
      </w:r>
    </w:p>
    <w:p w:rsidR="00B01F4A" w:rsidRDefault="00B01F4A" w:rsidP="00B01F4A">
      <w:pPr>
        <w:pStyle w:val="TextoNormal"/>
      </w:pPr>
    </w:p>
    <w:p w:rsidR="00B01F4A" w:rsidRDefault="00B01F4A" w:rsidP="00B01F4A">
      <w:pPr>
        <w:pStyle w:val="TextoNormal"/>
      </w:pPr>
      <w:r w:rsidRPr="00B01F4A">
        <w:rPr>
          <w:rStyle w:val="NumeroAFNegritaCaracter"/>
        </w:rPr>
        <w:t>2</w:t>
      </w:r>
      <w:r>
        <w:t>. Así, pues, conviene recordar, siquiera sea sucintamente, la doctrina establecida por este Tribunal en relación con el derecho a los recursos legalmente establecidos, subsumible, según esta doctrina, en el derecho a la tutela judicial efectiva del art. 24.1 C.E.</w:t>
      </w:r>
    </w:p>
    <w:p w:rsidR="00B01F4A" w:rsidRDefault="00B01F4A" w:rsidP="00B01F4A">
      <w:pPr>
        <w:pStyle w:val="TextoNormal"/>
      </w:pPr>
      <w:r>
        <w:t>En primer lugar cabe advertir que, según doctrina reiterada de este Tribunal, el derecho a la tutela judicial efectiva (art. 24.1 C.E.), como derecho a la obtención de una respuesta sobre el fondo de las pretensiones deducidas ante los Jueces y Tribunales, no garantiza, salvo en favor del condenado en un proceso penal (supuesto en el que obviamente no nos hallamos en el caso presente), el derecho a una doble instancia judicial, ni, por lo tanto, mucho menos el derecho a un determinado sistema de recursos contra las resoluciones judiciales (SSTC 109/1987, 160/1993, 199/1994 y 169/1996, entre otras muchas).</w:t>
      </w:r>
    </w:p>
    <w:p w:rsidR="00B01F4A" w:rsidRDefault="00B01F4A" w:rsidP="00B01F4A">
      <w:pPr>
        <w:pStyle w:val="TextoNormal"/>
      </w:pPr>
      <w:r>
        <w:t>Es, no obstante, también doctrina reiterada, que una vez establecido por el legislador un determinado recurso o sistema de recursos en una determinada materia, el derecho a utilizarlos pasa a formar parte integrante del derecho a la tutela judicial efectiva, de tal manera que una decisión que venga a cerrar el acceso a los mismos puede llegar a suponer una vulneración del derecho a la tutela judicial efectiva en determinados supuestos (SSTC 140/1985, 37/1988, 55/1993, 28/1994 y 37/1995, entre otras).</w:t>
      </w:r>
    </w:p>
    <w:p w:rsidR="00B01F4A" w:rsidRDefault="00B01F4A" w:rsidP="00B01F4A">
      <w:pPr>
        <w:pStyle w:val="TextoNormal"/>
      </w:pPr>
      <w:r>
        <w:t xml:space="preserve">Ahora bien, para la determinación de estos supuestos es preciso tener en cuenta, como constituye también doctrina asentada de este Tribunal, que, desde la perspectiva del derecho a la tutela judicial efectiva, el derecho de acceso a los recursos legalmente establecidos no tiene la misma importancia que el de acceso mismo a la jurisdicción, ni, por lo tanto, la aplicación del principio pro actione resulta constitucionalmente exigible en igual medida en uno y otro caso. Sólo, pues, en aquellos casos en los que la denegación de acceso a un determinado recurso o sistema de recursos se produzca de manera inmotivada, a partir de un error patente o a través de una interpretación de la legalidad procesal que pueda ser calificada como manifiestamente arbitraria o irrazonable, cabrá apreciar una vulneración del derecho a la tutela judicial efectiva (SSTC 37/1995, 58/1995, 129/1995, 138/1995, </w:t>
      </w:r>
      <w:r>
        <w:lastRenderedPageBreak/>
        <w:t>172/1995, 179/1995, 142/3996 y 169/1996, entre otras). Fuera de estos casos, ni hay vulneración de tal derecho fundamental ni, por lo tanto, corresponde a este Tribunal proponer otra interpretación de las leyes procesales distinta de la efectuada por los Jueces y Tribunales, que son quienes tienen constitucionalmente encomendada esta tarea (art. 117.3 C.E.).</w:t>
      </w:r>
    </w:p>
    <w:p w:rsidR="00B01F4A" w:rsidRDefault="00B01F4A" w:rsidP="00B01F4A">
      <w:pPr>
        <w:pStyle w:val="TextoNormal"/>
      </w:pPr>
    </w:p>
    <w:p w:rsidR="00B01F4A" w:rsidRDefault="00B01F4A" w:rsidP="00B01F4A">
      <w:pPr>
        <w:pStyle w:val="TextoNormal"/>
      </w:pPr>
      <w:r w:rsidRPr="00B01F4A">
        <w:rPr>
          <w:rStyle w:val="NumeroAFNegritaCaracter"/>
        </w:rPr>
        <w:t>3</w:t>
      </w:r>
      <w:r>
        <w:t>. Aplicando esta doctrina al caso presente, es claro que no cabe apreciar vulneración alguna del derecho de los recurrentes a la tutela judicial efectiva, ya que las resoluciones judiciales que vinieron a negarles el sistema de recursos pretendido ni fueron inmotivadas ni se basaron en un error patente ni (que sería lo único discutible en el caso presente) fueron fruto de una interpretación de la legalidad procesal aplicable que pueda ser calificada como manifiestamente arbitraria o irrazonable.</w:t>
      </w:r>
    </w:p>
    <w:p w:rsidR="00B01F4A" w:rsidRDefault="00B01F4A" w:rsidP="00B01F4A">
      <w:pPr>
        <w:pStyle w:val="TextoNormal"/>
      </w:pPr>
      <w:r>
        <w:t>Para fundamentar este último juicio basta con comprobar que la regulación establecida en la L.E.Crim. para el procedimiento penal abreviado no contiene ninguna previsión específica acerca de las cuestiones de competencia por declinatoria planteadas ante los Jueces de Instrucción ni, por lo tanto, sobre el sistema de recursos procedente frente a una eventual decisión del Juez de Instrucción de no inhibirse del conocimiento de la causa, confirmando su competencia territorial.</w:t>
      </w:r>
    </w:p>
    <w:p w:rsidR="00B01F4A" w:rsidRDefault="00B01F4A" w:rsidP="00B01F4A">
      <w:pPr>
        <w:pStyle w:val="TextoNormal"/>
      </w:pPr>
      <w:r>
        <w:t>A la vista de esta circunstancia, la interpretación de la legalidad realizada por las resoluciones impugnadas, en el sentido de considerar que, en aplicación del 787.1 L.E.Crim., los recursos procedentes eran los de reforma y queja, descartando la aplicabilidad de los de apelación y casación previstos en las normas comunes de la L.E.Crim., no puede ser considerada, en absoluto, como arbitraria o irrazonable, ni, por lo tanto, como vulneradora del derecho a la tutela judicial efectiva. Este mismo Tribunal, en su STC 206/1991 (fundamento jurídico 6.º), también entendió que el legislador, consciente de la utilización abusiva de estos incidentes, había suprimido en el nuevo procedimiento penal abreviado la posibilidad de plantear recurso de casación contra la resolución de las declinatorias.</w:t>
      </w:r>
    </w:p>
    <w:p w:rsidR="00B01F4A" w:rsidRDefault="00B01F4A" w:rsidP="00B01F4A">
      <w:pPr>
        <w:pStyle w:val="TextoNormal"/>
      </w:pPr>
      <w:r>
        <w:t>Finalmente, tampoco cabe sostener, como hacen los recurrentes, que con esta interpretación del sistema de recursos aplicable se esté hurtando en el caso presente la resolución definitiva de la cuestión de competencia al superior inmediato común (como prevé el art. 51 L.O.P.J.), ya que la promoción a instancia de parte, por declinatoria o inhibitoria, no equivale por sí sola al planteamiento efectivo de una cuestión de competencia, positiva o negativa, que sólo llegará a producirse cuando dos órganos jurisdiccionales se consideren simultáneamente competentes o incompetentes para conocer de una causa ni, por lo tanto, el sistema de recursos previsto contra las decisiones de rechazo inicial de una declinatoria o inhibitoria tiene por qué responder ni de hecho responde siempre (basta para comprobarlo con examinar la compleja regulación de esta materia en la L.E.Crim.)  a la idea de que tales recursos lleguen hasta el órgano jurisdiccional que debería resolver la cuestión caso de que la misma llegara efectivamente a plantearse.</w:t>
      </w:r>
    </w:p>
    <w:p w:rsidR="00B01F4A" w:rsidRDefault="00B01F4A" w:rsidP="00B01F4A">
      <w:pPr>
        <w:pStyle w:val="TextoNormal"/>
      </w:pPr>
      <w:r>
        <w:t>Por todo ello hemos de confirmar nuestra inicial apreciación de que la demanda carece de contenido constitucional que justifique una decisión por parte de este Tribunal en forma de Sentencia, por lo que concurre el motivo de inadmisión previsto en el art. 50.1 c) LOTC.</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lastRenderedPageBreak/>
        <w:t>En atención a lo expuesto, la Sección acuerda la inadmisión del presente recurso de amparo y el archivo de las actuaciones.</w:t>
      </w:r>
    </w:p>
    <w:p w:rsidR="00B01F4A" w:rsidRDefault="00B01F4A" w:rsidP="00B01F4A">
      <w:pPr>
        <w:pStyle w:val="TextoNormal"/>
      </w:pPr>
    </w:p>
    <w:p w:rsidR="00B01F4A" w:rsidRDefault="00B01F4A" w:rsidP="00B01F4A">
      <w:pPr>
        <w:pStyle w:val="TextoNormal"/>
      </w:pPr>
      <w:r>
        <w:t>Madrid, a veintinueve de abril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212" w:name="AUTO_1997_122"/>
      <w:r>
        <w:lastRenderedPageBreak/>
        <w:t>AUTO 122/1997, de 29 de abril de 1997</w:t>
      </w:r>
    </w:p>
    <w:bookmarkEnd w:id="212"/>
    <w:p w:rsidR="00B01F4A" w:rsidRDefault="00B01F4A" w:rsidP="00B01F4A">
      <w:pPr>
        <w:pStyle w:val="TtuloResolucin"/>
      </w:pPr>
      <w:r>
        <w:t>Sección Segunda</w:t>
      </w:r>
    </w:p>
    <w:p w:rsidR="00B01F4A" w:rsidRDefault="00B01F4A" w:rsidP="00B01F4A">
      <w:pPr>
        <w:pStyle w:val="TtuloResolucin"/>
      </w:pPr>
    </w:p>
    <w:p w:rsidR="00B01F4A" w:rsidRDefault="00B01F4A" w:rsidP="00B01F4A">
      <w:pPr>
        <w:pStyle w:val="SntesisDescriptiva"/>
      </w:pPr>
      <w:r>
        <w:t>ECLI:ES:TC:1997:122A</w:t>
      </w:r>
    </w:p>
    <w:p w:rsidR="00B01F4A" w:rsidRDefault="00B01F4A" w:rsidP="00B01F4A">
      <w:pPr>
        <w:pStyle w:val="SntesisDescriptiva"/>
      </w:pPr>
    </w:p>
    <w:p w:rsidR="00B01F4A" w:rsidRDefault="00B01F4A" w:rsidP="00B01F4A">
      <w:pPr>
        <w:pStyle w:val="SntesisDescriptiva"/>
      </w:pPr>
      <w:r>
        <w:t>Excms. Srs. don José Vicente Gimeno Sendra, don Manuel Jiménez de Parga y Cabrera y don Pablo García Manzano.</w:t>
      </w:r>
    </w:p>
    <w:p w:rsidR="00B01F4A" w:rsidRDefault="00B01F4A" w:rsidP="00B01F4A">
      <w:pPr>
        <w:pStyle w:val="SntesisDescriptiva"/>
      </w:pPr>
    </w:p>
    <w:p w:rsidR="00B01F4A" w:rsidRDefault="00B01F4A" w:rsidP="00B01F4A">
      <w:pPr>
        <w:pStyle w:val="SntesisDescriptiva"/>
      </w:pPr>
      <w:r>
        <w:t>Acordando la inadmisión a trámite del recurso de amparo 3.779/1996.</w:t>
      </w:r>
    </w:p>
    <w:p w:rsidR="00B01F4A" w:rsidRDefault="00B01F4A" w:rsidP="00B01F4A">
      <w:pPr>
        <w:pStyle w:val="SntesisDescriptiva"/>
      </w:pPr>
    </w:p>
    <w:p w:rsidR="00B01F4A" w:rsidRDefault="00B01F4A" w:rsidP="00B01F4A">
      <w:pPr>
        <w:pStyle w:val="SntesisDescriptiva"/>
      </w:pPr>
    </w:p>
    <w:p w:rsidR="00B01F4A" w:rsidRDefault="00B01F4A" w:rsidP="00B01F4A">
      <w:pPr>
        <w:pStyle w:val="SntesisDescriptiv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keepNext/>
      </w:pPr>
      <w:r>
        <w:t>I. Antecedentes</w:t>
      </w:r>
    </w:p>
    <w:p w:rsidR="00B01F4A" w:rsidRDefault="00B01F4A" w:rsidP="00B01F4A">
      <w:pPr>
        <w:pStyle w:val="TextoNormalNegritaCentrado"/>
        <w:keepNext/>
      </w:pPr>
    </w:p>
    <w:p w:rsidR="00B01F4A" w:rsidRDefault="00B01F4A" w:rsidP="00B01F4A">
      <w:pPr>
        <w:pStyle w:val="TextoNormal"/>
      </w:pPr>
      <w:r w:rsidRPr="00B01F4A">
        <w:rPr>
          <w:rStyle w:val="NumeroAFNegritaCaracter"/>
        </w:rPr>
        <w:t>1</w:t>
      </w:r>
      <w:r>
        <w:t>. Mediante escrito registrado en este Tribunal el 22 de octubre de 1996, la Procuradora de los Tribunales doña Rosina Montes Agustí, en nombre y representación de don Antonio Zea Salgueiro, don Luis Roca Ramírez, don Ángel Tello Valero y don Jesús Bringas Andújar, interpuso recurso de amparo contra el Auto de la Sección Cuarta de la Audiencia Provincial de Cádiz de 4 de octubre de 1996, relativo a una declinatoria de competencia en un procedimiento penal abreviado por presunto delito de contrabando.</w:t>
      </w:r>
    </w:p>
    <w:p w:rsidR="00B01F4A" w:rsidRDefault="00B01F4A" w:rsidP="00B01F4A">
      <w:pPr>
        <w:pStyle w:val="TextoNormal"/>
      </w:pPr>
    </w:p>
    <w:p w:rsidR="00B01F4A" w:rsidRDefault="00B01F4A" w:rsidP="00B01F4A">
      <w:pPr>
        <w:pStyle w:val="TextoNormal"/>
      </w:pPr>
      <w:r w:rsidRPr="00B01F4A">
        <w:rPr>
          <w:rStyle w:val="NumeroAFNegritaCaracter"/>
        </w:rPr>
        <w:t>2</w:t>
      </w:r>
      <w:r>
        <w:t xml:space="preserve">. Aunque los recurrentes no exponen con suficiente claridad la articulación existente entre las resoluciones impugnadas en el presente recurso y en el núm. 3.499/96 (también interpuesto por ellos), de la demanda y documentos aportados con ella, y de su conexión con ese otro recurso, parece derivarse la siguiente sucesión de hechos aquí relevantes: </w:t>
      </w:r>
    </w:p>
    <w:p w:rsidR="00B01F4A" w:rsidRDefault="00B01F4A" w:rsidP="00B01F4A">
      <w:pPr>
        <w:pStyle w:val="TextoNormal"/>
      </w:pPr>
      <w:r>
        <w:t xml:space="preserve">a) En virtud de una denuncia presentada por la Unión de Estanqueros de España, el Juzgado de Instrucción núm. 6 de Cádiz abrió diligencias previas (núm. 487/92) por presunto delito de contrabando contra los Comandantes de los buques de la Armada «Martín Álvarez», «Castilla», «Aragón» y «Velasco», actuales recurrentes en amparo, en relación con el embarque en Túnez, efectuado el 27 de mayo de 1992, de diferentes cantidades de tabaco. Tales diligencias fueron luego transformadas en procedimiento penal abreviado (núm. 64/95) por Auto de 10 de octubre de 1995. </w:t>
      </w:r>
    </w:p>
    <w:p w:rsidR="00B01F4A" w:rsidRDefault="00B01F4A" w:rsidP="00B01F4A">
      <w:pPr>
        <w:pStyle w:val="TextoNormal"/>
      </w:pPr>
      <w:r>
        <w:t xml:space="preserve">b) Mediante escrito de 6 de noviembre de 1995, la defensa de los imputados propuso al referido Juzgado de Instrucción una cuestión de competencia por declinatoria (basada en el art. 26 L.E.Crim.), por entender que, al haber ocurrido los hechos fuera del territorio nacional, la competencia para conocer de la causa correspondería: a) si se sigue la teoría del primer puerto español de arribo del buque, a los Juzgados de Instrucción de Barcelona y Rota, en relación con dos de los encausados, pues sólo los otros dos buques arribaron a la base de Puntales en Cádiz; o b), si no se sigue esta teoría, a la Audiencia Nacional (Juzgados Centrales de Instrucción y Juzgados Centrales de lo Penal), en aplicación de los arts. 65.1.º e) y 88 de la LOPJ, en relación con todos los encausados. Dicha cuestión de competencia habría de ser resuelta por el Tribunal Supremo, al carecer los Juzgados de Instrucción en conflicto de superior inmediato común (último párrafo del art. 20 L.E.Crim.), y hasta su resolución debería suspenderse la tramitación del proceso (art. 24 L.E.Crim.). Asimismo se solicitaba la declaración de nulidad del Auto de 10 de octubre de 1995 de incoación del </w:t>
      </w:r>
      <w:r>
        <w:lastRenderedPageBreak/>
        <w:t xml:space="preserve">procedimiento abreviado por las causas 1.ª y 3.ª del art. 238 L.O.P.J., esto es, por incompetencia del Juzgado para dictarlo, derivada de lo anterior, y por indefensión causada por la no apertura en este momento de la posibilidad de pedir el sobreseimiento de la causa, en contra de la doctrina establecida en la STC 186/1990. </w:t>
      </w:r>
    </w:p>
    <w:p w:rsidR="00B01F4A" w:rsidRDefault="00B01F4A" w:rsidP="00B01F4A">
      <w:pPr>
        <w:pStyle w:val="TextoNormal"/>
      </w:pPr>
      <w:r>
        <w:t xml:space="preserve">Sobre dichas cuestiones recayó (previo informe del Fiscal) Auto del Juzgado de Instrucción núm. 6 de Cádiz de 29 de diciembre de 1995, por el que se acordó no haber lugar a la inhibición del Juzgado ni a la declaración de nulidad del Auto de incoación del procedimiento abreviado. El Juzgado afirmó su competencia con base en el art. 18.2.º, en relación con el art. 17, ambos de la L.E.Crim., por tratarse de delitos conexos y ser dicho Juzgado el primero y único que había conocido de la causa. Rechazaba asimismo que los presuntos delitos se hubieran cometido fuera del territorio nacional, por tener los buques de la Armada consideración de territorio nacional y haber atracado los buques en puertos españoles antes de la aprehensión de la mercancía. En cuanto a la declaración de nulidad del Auto de incoación del procedimiento abreviado, se rechazó porque dicho Auto, tras ser notificado, no había sido recurrido y porque los recurrentes habían hecho y seguían haciendo uso de su derecho a solicitar el sobreseimiento de la causa cuantas veces creían oportuno. </w:t>
      </w:r>
    </w:p>
    <w:p w:rsidR="00B01F4A" w:rsidRDefault="00B01F4A" w:rsidP="00B01F4A">
      <w:pPr>
        <w:pStyle w:val="TextoNormal"/>
      </w:pPr>
      <w:r>
        <w:t xml:space="preserve">En dicho Auto se acordó asimismo suspender la tramitación de la causa hasta que la cuestión de competencia quedara definitivamente resuelta. Y, por último, se indicaba que contra el mismo cabía interponer recurso de apelación en ambos efectos ante el propio Juzgado para su resolución por la Audiencia Provincial. </w:t>
      </w:r>
    </w:p>
    <w:p w:rsidR="00B01F4A" w:rsidRDefault="00B01F4A" w:rsidP="00B01F4A">
      <w:pPr>
        <w:pStyle w:val="TextoNormal"/>
      </w:pPr>
      <w:r>
        <w:t xml:space="preserve">c) Contra dicho Auto (no se especifica si directamente o como consecuencia de alguna de las resoluciones impugnadas en el recurso de amparo núm. 3.499/96) los hoy demandantes de amparo interpusieron recurso de reforma, que fue desestimado por Auto del Juzgado de 19 de julio de 1996. </w:t>
      </w:r>
    </w:p>
    <w:p w:rsidR="00B01F4A" w:rsidRDefault="00B01F4A" w:rsidP="00B01F4A">
      <w:pPr>
        <w:pStyle w:val="TextoNormal"/>
      </w:pPr>
      <w:r>
        <w:t xml:space="preserve">d) Y contra este último se interpuso recurso de queja (rollo núm. 214/96) solicitando la tramitación en forma legal de la declinatoria con posibilidad de utilización de los recursos de apelación y casación, que fue desestimado por Auto de la Sección Cuarta de la Audiencia Provincial de Cádiz de 4 de octubre de 1996 (notificado a los recurrentes el 10 de octubre de 1996) </w:t>
      </w:r>
    </w:p>
    <w:p w:rsidR="00B01F4A" w:rsidRDefault="00B01F4A" w:rsidP="00B01F4A">
      <w:pPr>
        <w:pStyle w:val="TextoNormal"/>
      </w:pPr>
      <w:r>
        <w:t>En dicha resolución se considera que no procede la tramitación de la declinatoria conforme a lo previsto en el art. 45 L.E.Crim., esto es, como artículo de previo pronunciamiento, pues aquel precepto se refiere al procedimiento penal ordinario, sino con arreglo a las normas establecidas en el Título 111 del Libro IV de la L.E.Crim., por tratarse de un procedimiento penal abreviado; y, en cuanto al fondo, se confirma la competencia del Juzgado de Instrucción núm. 6 de Cádiz, por sus propios fundamentos, que expresamente se aceptan.</w:t>
      </w:r>
    </w:p>
    <w:p w:rsidR="00B01F4A" w:rsidRDefault="00B01F4A" w:rsidP="00B01F4A">
      <w:pPr>
        <w:pStyle w:val="TextoNormal"/>
      </w:pPr>
    </w:p>
    <w:p w:rsidR="00B01F4A" w:rsidRDefault="00B01F4A" w:rsidP="00B01F4A">
      <w:pPr>
        <w:pStyle w:val="TextoNormal"/>
      </w:pPr>
      <w:r w:rsidRPr="00B01F4A">
        <w:rPr>
          <w:rStyle w:val="NumeroAFNegritaCaracter"/>
        </w:rPr>
        <w:t>3</w:t>
      </w:r>
      <w:r>
        <w:t xml:space="preserve">. En cuanto a la fundamentación y pretensiones del presente recurso, los recurrentes se limitan a remitirse a lo ya expuesto en el recurso de amparo núm. 3.499/96, pidiendo la acumulación de ambos en aplicación del art. 83 LOTC. </w:t>
      </w:r>
    </w:p>
    <w:p w:rsidR="00B01F4A" w:rsidRDefault="00B01F4A" w:rsidP="00B01F4A">
      <w:pPr>
        <w:pStyle w:val="TextoNormal"/>
      </w:pPr>
      <w:r>
        <w:t xml:space="preserve">Así, pues, y por las mismas razones expresadas en aquél, se solicita que se declare también la nulidad de las resoluciones aquí impugnadas (Autos del Juzgado de Instrucción núm. 6 de Cádiz de 19 de julio de 1996, y de la Sección Cuarta de la Audiencia Provincial de Cádiz de 4 de octubre de 1996), reconociendo expresamente el derecho de los recurrentes a que se tramite en forma legal la cuestión de competencia por declinatoria promovida en las diligencias previas núm. 487/92 del Juzgado de Instrucción núm. 6 de Cádiz, según lo establecido en el art. 45 y concordantes de la L.E.Crim., incluyendo los recursos de apelación y casación utilizables de acuerdo con los arts. 676 L.E.Crim. y 51 L.O.P.J., con suspensión </w:t>
      </w:r>
      <w:r>
        <w:lastRenderedPageBreak/>
        <w:t>del curso de las actuaciones hasta que se decida la cuestión de competencia por resolución firme; lo que implica reconocer que el recurso de apelación interpuesto contra el Auto de 29 de diciembre de 1995 estuvo bien admitido, y que debe darse a dicha apelación el curso legalmente establecido con emplazamiento de las partes ante la Audiencia Provincial de Cádiz.</w:t>
      </w:r>
    </w:p>
    <w:p w:rsidR="00B01F4A" w:rsidRDefault="00B01F4A" w:rsidP="00B01F4A">
      <w:pPr>
        <w:pStyle w:val="TextoNormal"/>
      </w:pPr>
    </w:p>
    <w:p w:rsidR="00B01F4A" w:rsidRDefault="00B01F4A" w:rsidP="00B01F4A">
      <w:pPr>
        <w:pStyle w:val="TextoNormal"/>
      </w:pPr>
      <w:r w:rsidRPr="00B01F4A">
        <w:rPr>
          <w:rStyle w:val="NumeroAFNegritaCaracter"/>
        </w:rPr>
        <w:t>4</w:t>
      </w:r>
      <w:r>
        <w:t>. Por providencia de 19 de diciembre de 1996, la Sección Segunda de este Tribunal, de conformidad con lo dispuesto en el art. 50.3 LOTC, acordó conceder a los solicitantes de amparo y al Ministerio Fiscal un plazo común de diez días para alegaciones en relación con la posible existencia del motivo de inadmisión de la demanda previsto en el art. 50.1 c) LOTC, y relativo a su carencia manifiesta de contenido que justifique una decisión en forma de Sentencia por parte de este Tribunal.</w:t>
      </w:r>
    </w:p>
    <w:p w:rsidR="00B01F4A" w:rsidRDefault="00B01F4A" w:rsidP="00B01F4A">
      <w:pPr>
        <w:pStyle w:val="TextoNormal"/>
      </w:pPr>
    </w:p>
    <w:p w:rsidR="00B01F4A" w:rsidRDefault="00B01F4A" w:rsidP="00B01F4A">
      <w:pPr>
        <w:pStyle w:val="TextoNormal"/>
      </w:pPr>
      <w:r w:rsidRPr="00B01F4A">
        <w:rPr>
          <w:rStyle w:val="NumeroAFNegritaCaracter"/>
        </w:rPr>
        <w:t>5</w:t>
      </w:r>
      <w:r>
        <w:t>. Mediante escrito registrado en este Tribunal con fecha de 2 de enero de 1997, la representación de los recurrentes insiste sustancialmente en las alegaciones ya formuladas en la demanda. Señala que se ha cometido un grave error jurídico por parte de los órganos judiciales al interpretar la legalidad ordinaria, del que ha derivado la privación de los recursos de apelación y casación en la cuestión de competencia por declinatoria promovida, que hubieran posibilitado su resolución por el superior común de los Juzgados de instrucción en conflicto.</w:t>
      </w:r>
    </w:p>
    <w:p w:rsidR="00B01F4A" w:rsidRDefault="00B01F4A" w:rsidP="00B01F4A">
      <w:pPr>
        <w:pStyle w:val="TextoNormal"/>
      </w:pPr>
    </w:p>
    <w:p w:rsidR="00B01F4A" w:rsidRDefault="00B01F4A" w:rsidP="00B01F4A">
      <w:pPr>
        <w:pStyle w:val="TextoNormal"/>
      </w:pPr>
      <w:r w:rsidRPr="00B01F4A">
        <w:rPr>
          <w:rStyle w:val="NumeroAFNegritaCaracter"/>
        </w:rPr>
        <w:t>6</w:t>
      </w:r>
      <w:r>
        <w:t xml:space="preserve">. Por su parte, el Ministerio Fiscal registró su escrito de alegaciones el 24 de enero de 1997, solicitando la inadmisión del recurso por el motivo indicado en nuestra providencia. </w:t>
      </w:r>
    </w:p>
    <w:p w:rsidR="00B01F4A" w:rsidRDefault="00B01F4A" w:rsidP="00B01F4A">
      <w:pPr>
        <w:pStyle w:val="TextoNormal"/>
      </w:pPr>
      <w:r>
        <w:t xml:space="preserve">A su juicio, llama la atención, ante todo, que la demanda no argumente ni mencione siquiera cuál es el derecho fundamental que se considera vulnerado, limitándose a describir una supuesta irregularidad procesal acerca de la selección de las normas aplicables, cuya consecuencia lesiva habría sido la imposibilidad de promover los recursos de apelación y casación. </w:t>
      </w:r>
    </w:p>
    <w:p w:rsidR="00B01F4A" w:rsidRDefault="00B01F4A" w:rsidP="00B01F4A">
      <w:pPr>
        <w:pStyle w:val="TextoNormal"/>
      </w:pPr>
      <w:r>
        <w:t xml:space="preserve">Señala, a continuación, que la doctrina de este Tribunal acerca de la trascendencia que en el orden constitucional pueden tener las cuestiones de jurisdicción y competencia (en relación con el derecho al Juez ordinario predeterminado por la ley, art. 24.2 C.E.) es clara en el sentido de que la selección de la norma que determina la competencia no trasciende el ámbito de la legalidad ordinaria, correspondiendo su interpretación y aplicación a los órganos de la jurisdicción (AATC 338/1988, 391/1988 y 539/1988) </w:t>
      </w:r>
    </w:p>
    <w:p w:rsidR="00B01F4A" w:rsidRDefault="00B01F4A" w:rsidP="00B01F4A">
      <w:pPr>
        <w:pStyle w:val="TextoNormal"/>
      </w:pPr>
      <w:r>
        <w:t>Señala, por último, que la resolución que se impugna no es arbitraria en su motivación, y que la privación de los recursos a que los demandantes aluden no sería sino consecuencia directa del régimen legal elegido fundadamente por el órgano judicial.</w:t>
      </w:r>
    </w:p>
    <w:p w:rsidR="00B01F4A" w:rsidRDefault="00B01F4A" w:rsidP="00B01F4A">
      <w:pPr>
        <w:pStyle w:val="TextoNormal"/>
      </w:pPr>
    </w:p>
    <w:p w:rsidR="00B01F4A" w:rsidRDefault="00B01F4A" w:rsidP="00B01F4A">
      <w:pPr>
        <w:pStyle w:val="TextoNormalNegritaCentrado"/>
        <w:keepNext/>
      </w:pPr>
      <w:r>
        <w:t>II. Fundamentos jurídicos</w:t>
      </w:r>
    </w:p>
    <w:p w:rsidR="00B01F4A" w:rsidRDefault="00B01F4A" w:rsidP="00B01F4A">
      <w:pPr>
        <w:pStyle w:val="TextoNormalNegritaCentrado"/>
        <w:keepNext/>
      </w:pPr>
    </w:p>
    <w:p w:rsidR="00B01F4A" w:rsidRDefault="00EB5FD0" w:rsidP="00B01F4A">
      <w:pPr>
        <w:pStyle w:val="TextoNormal"/>
      </w:pPr>
      <w:r>
        <w:rPr>
          <w:rStyle w:val="NumeroAFNegritaCaracter"/>
        </w:rPr>
        <w:t>Ú</w:t>
      </w:r>
      <w:r w:rsidR="00B01F4A" w:rsidRPr="00EB5FD0">
        <w:rPr>
          <w:rStyle w:val="NumeroAFNegritaCaracter"/>
        </w:rPr>
        <w:t>nico.</w:t>
      </w:r>
      <w:r w:rsidR="00B01F4A">
        <w:t xml:space="preserve"> El presente recurso de amparo guarda estrecha relación con el núm.  3.499/96, interpuesto por los mismos recurrentes, quienes, de hecho, se limitan a remitirse a la fundamentación y pretensiones efectuadas en el otro, si bien en relación con las</w:t>
      </w:r>
    </w:p>
    <w:p w:rsidR="00B01F4A" w:rsidRDefault="00B01F4A" w:rsidP="00B01F4A">
      <w:pPr>
        <w:pStyle w:val="TextoNormal"/>
      </w:pPr>
      <w:r>
        <w:t>resoluciones aquí impugnadas, y a solicitar la acumulación de ambos.</w:t>
      </w:r>
    </w:p>
    <w:p w:rsidR="00B01F4A" w:rsidRDefault="00B01F4A" w:rsidP="00B01F4A">
      <w:pPr>
        <w:pStyle w:val="TextoNormal"/>
      </w:pPr>
      <w:r>
        <w:lastRenderedPageBreak/>
        <w:t>Aunque los recurrentes no explican con suficiente claridad la articulación existente entre la serie de resoluciones judiciales impugnada en cada uno de los recursos, de la documentación aportada cabe deducir que mientras que las impugnadas en el primero fueron las que se pronunciaron sobre el sistema de recursos utilizable frente al rechazo inicial de la declinatoria de competencia, las combatidas en éste son aquellas que, aparte de reafirmar la procedencia de dicho sistema de recursos, y entrando ya en el fondo de la cuestión, vinieron a confirmar la competencia territorial del Juzgado de Instrucción puesta en duda por los recurrentes.</w:t>
      </w:r>
    </w:p>
    <w:p w:rsidR="00B01F4A" w:rsidRDefault="00B01F4A" w:rsidP="00B01F4A">
      <w:pPr>
        <w:pStyle w:val="TextoNormal"/>
      </w:pPr>
      <w:r>
        <w:t>No obstante, los recurrentes no discuten en el presente recurso en sí misma la competencia para conocer de la causa del Juzgado de Instrucción núm. 6 de Cádiz, sino únicamente, como en el anterior, la tramitación acordada para la declinatoria y el sistema de recursos utilizable contra la decisión inicial de rechazo de la misma, con expresa y simple remisión a las alegaciones y pretensiones efectuadas en el recurso núm. 3.499/96.</w:t>
      </w:r>
    </w:p>
    <w:p w:rsidR="00B01F4A" w:rsidRDefault="00B01F4A" w:rsidP="00B01F4A">
      <w:pPr>
        <w:pStyle w:val="TextoNormal"/>
      </w:pPr>
      <w:r>
        <w:t>Basta, pues, para fundamentar la resolución de este recurso con hacer una remisión a los fundamentos jurídicos del Auto por el que en esta misma fecha se inadmite el recurso núm. 3.499/96. En efecto, y, por las razones que allí se exponen, tampoco las resoluciones aquí impugnadas han incurrido en vulneración alguna del derecho a la tutela judicial efectiva (art. 24.1 C.E.), como derecho a los recursos legalmente establecidos, al considerar inaplicables en el caso presente los recursos de apelación y casación pretendidos por los recurrentes.</w:t>
      </w:r>
    </w:p>
    <w:p w:rsidR="00B01F4A" w:rsidRDefault="00B01F4A" w:rsidP="00B01F4A">
      <w:pPr>
        <w:pStyle w:val="TextoNormal"/>
      </w:pPr>
      <w:r>
        <w:t>Por todo ello, hemos de confirmar nuestra inicial apreciación de que la demanda carece de contenido constitucional que justifique una decisión por parte de este Tribunal en forma de Sentencia, por lo que concurre el motivo de inadmisión previsto en el art. 50.1 c) LOTC.</w:t>
      </w:r>
    </w:p>
    <w:p w:rsidR="00B01F4A" w:rsidRDefault="00B01F4A" w:rsidP="00B01F4A">
      <w:pPr>
        <w:pStyle w:val="TextoNormal"/>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B01F4A">
      <w:pPr>
        <w:pStyle w:val="TextoNormal"/>
      </w:pPr>
      <w:r>
        <w:t>En atención a lo expuesto, la Sección acuerda la inadmisión del presente recurso de amparo y el archivo de las actuaciones.</w:t>
      </w:r>
    </w:p>
    <w:p w:rsidR="00B01F4A" w:rsidRDefault="00B01F4A" w:rsidP="00B01F4A">
      <w:pPr>
        <w:pStyle w:val="TextoNormal"/>
      </w:pPr>
    </w:p>
    <w:p w:rsidR="00B01F4A" w:rsidRDefault="00B01F4A" w:rsidP="00B01F4A">
      <w:pPr>
        <w:pStyle w:val="TextoNormal"/>
      </w:pPr>
      <w:r>
        <w:t>Madrid, a veintinueve de abril de mil novecientos noventa y siete.</w:t>
      </w:r>
    </w:p>
    <w:p w:rsidR="00B01F4A" w:rsidRDefault="00B01F4A">
      <w:pPr>
        <w:spacing w:after="160" w:line="259" w:lineRule="auto"/>
        <w:rPr>
          <w:rFonts w:ascii="Times New Roman" w:eastAsia="Times New Roman" w:hAnsi="Times New Roman" w:cs="Times New Roman"/>
          <w:sz w:val="24"/>
          <w:szCs w:val="24"/>
          <w:lang w:eastAsia="es-ES"/>
        </w:rPr>
      </w:pPr>
      <w:r>
        <w:br w:type="page"/>
      </w:r>
    </w:p>
    <w:p w:rsidR="00B01F4A" w:rsidRDefault="00B01F4A" w:rsidP="00B01F4A">
      <w:pPr>
        <w:pStyle w:val="TtuloResolucin"/>
      </w:pPr>
      <w:bookmarkStart w:id="213" w:name="AUTO_1997_123"/>
      <w:r>
        <w:lastRenderedPageBreak/>
        <w:t>AUTO 123/1997, de 29 de abril de 1997</w:t>
      </w:r>
    </w:p>
    <w:bookmarkEnd w:id="213"/>
    <w:p w:rsidR="00B01F4A" w:rsidRDefault="00B01F4A" w:rsidP="00B01F4A">
      <w:pPr>
        <w:pStyle w:val="TtuloResolucin"/>
      </w:pPr>
      <w:r>
        <w:t>Sección Segunda</w:t>
      </w:r>
    </w:p>
    <w:p w:rsidR="00B01F4A" w:rsidRDefault="00B01F4A" w:rsidP="00B01F4A">
      <w:pPr>
        <w:pStyle w:val="TtuloResolucin"/>
      </w:pPr>
    </w:p>
    <w:p w:rsidR="00B01F4A" w:rsidRDefault="00B01F4A" w:rsidP="00B01F4A">
      <w:pPr>
        <w:pStyle w:val="SntesisDescriptiva"/>
      </w:pPr>
      <w:r>
        <w:t>ECLI:ES:TC:1997:123A</w:t>
      </w:r>
    </w:p>
    <w:p w:rsidR="00B01F4A" w:rsidRDefault="00B01F4A" w:rsidP="00B01F4A">
      <w:pPr>
        <w:pStyle w:val="SntesisDescriptiva"/>
      </w:pPr>
    </w:p>
    <w:p w:rsidR="00B01F4A" w:rsidRDefault="00B01F4A" w:rsidP="00B01F4A">
      <w:pPr>
        <w:pStyle w:val="SntesisDescriptiva"/>
      </w:pPr>
      <w:r>
        <w:t>Excms. Srs. don José Vicente Gimeno Sendra, don Manuel Jiménez de Parga y Cabrera y don Pablo García Manzano.</w:t>
      </w:r>
    </w:p>
    <w:p w:rsidR="00B01F4A" w:rsidRDefault="00B01F4A" w:rsidP="00B01F4A">
      <w:pPr>
        <w:pStyle w:val="SntesisDescriptiva"/>
      </w:pPr>
    </w:p>
    <w:p w:rsidR="00B01F4A" w:rsidRDefault="00B01F4A" w:rsidP="00B01F4A">
      <w:pPr>
        <w:pStyle w:val="SntesisDescriptiva"/>
      </w:pPr>
      <w:r>
        <w:t>Acuerda el desistimiento en el recurso de amparo 761/1997, promovido en litigio social.</w:t>
      </w:r>
    </w:p>
    <w:p w:rsidR="00B01F4A" w:rsidRDefault="00B01F4A" w:rsidP="00B01F4A">
      <w:pPr>
        <w:pStyle w:val="SntesisDescriptiva"/>
      </w:pPr>
    </w:p>
    <w:p w:rsidR="00B01F4A" w:rsidRDefault="00B01F4A" w:rsidP="00B01F4A">
      <w:pPr>
        <w:pStyle w:val="SntesisAnaltica"/>
      </w:pPr>
      <w:r>
        <w:t>Desistimiento de recurso de amparo: procede.</w:t>
      </w:r>
    </w:p>
    <w:p w:rsidR="00B01F4A" w:rsidRDefault="00B01F4A" w:rsidP="00B01F4A">
      <w:pPr>
        <w:pStyle w:val="SntesisAnaltica"/>
      </w:pPr>
    </w:p>
    <w:p w:rsidR="00B01F4A" w:rsidRDefault="00B01F4A" w:rsidP="00B01F4A">
      <w:pPr>
        <w:pStyle w:val="SntesisAnaltica"/>
      </w:pPr>
    </w:p>
    <w:p w:rsidR="00B01F4A" w:rsidRDefault="00B01F4A" w:rsidP="00B01F4A">
      <w:pPr>
        <w:pStyle w:val="SntesisAnaltica"/>
      </w:pPr>
    </w:p>
    <w:p w:rsidR="00B01F4A" w:rsidRDefault="00B01F4A" w:rsidP="00B01F4A">
      <w:pPr>
        <w:pStyle w:val="TextoNormalNegritaCentrado"/>
      </w:pPr>
      <w:r>
        <w:t>AUTO</w:t>
      </w:r>
    </w:p>
    <w:p w:rsidR="00B01F4A" w:rsidRDefault="00B01F4A" w:rsidP="00B01F4A">
      <w:pPr>
        <w:pStyle w:val="TextoNormalNegritaCentrado"/>
      </w:pPr>
    </w:p>
    <w:p w:rsidR="00B01F4A" w:rsidRDefault="00B01F4A" w:rsidP="00B01F4A">
      <w:pPr>
        <w:pStyle w:val="TextoNormalNegritaCentrado"/>
      </w:pPr>
      <w:r>
        <w:t>I. Antecedentes</w:t>
      </w:r>
    </w:p>
    <w:p w:rsidR="00B01F4A" w:rsidRDefault="00B01F4A" w:rsidP="00B01F4A">
      <w:pPr>
        <w:pStyle w:val="TextoNormalNegritaCentrado"/>
      </w:pPr>
    </w:p>
    <w:p w:rsidR="00B01F4A" w:rsidRDefault="00B01F4A" w:rsidP="00B01F4A">
      <w:pPr>
        <w:pStyle w:val="TextoNormalNegritaCentrado"/>
      </w:pPr>
      <w:r>
        <w:t>II. Fundamentos jurídicos</w:t>
      </w:r>
    </w:p>
    <w:p w:rsidR="00B01F4A" w:rsidRDefault="00B01F4A" w:rsidP="00B01F4A">
      <w:pPr>
        <w:pStyle w:val="TextoNormalNegritaCentrado"/>
      </w:pPr>
    </w:p>
    <w:p w:rsidR="00B01F4A" w:rsidRDefault="00B01F4A" w:rsidP="00B01F4A">
      <w:pPr>
        <w:pStyle w:val="TextoNormal"/>
      </w:pPr>
    </w:p>
    <w:p w:rsidR="00B01F4A" w:rsidRDefault="00B01F4A" w:rsidP="00B01F4A">
      <w:pPr>
        <w:pStyle w:val="TextoNormal"/>
      </w:pPr>
    </w:p>
    <w:p w:rsidR="00B01F4A" w:rsidRDefault="00B01F4A" w:rsidP="00B01F4A">
      <w:pPr>
        <w:pStyle w:val="TextoNormalCentrado"/>
      </w:pPr>
      <w:r>
        <w:t>ACUERDA</w:t>
      </w:r>
    </w:p>
    <w:p w:rsidR="00B01F4A" w:rsidRDefault="00B01F4A" w:rsidP="00B01F4A">
      <w:pPr>
        <w:pStyle w:val="TextoNormalCentrado"/>
      </w:pPr>
    </w:p>
    <w:p w:rsidR="00B01F4A" w:rsidRDefault="00B01F4A" w:rsidP="00575662">
      <w:pPr>
        <w:pStyle w:val="TextoNormalCentrado"/>
      </w:pPr>
    </w:p>
    <w:p w:rsidR="00575662" w:rsidRDefault="00575662">
      <w:pPr>
        <w:spacing w:after="160" w:line="259" w:lineRule="auto"/>
        <w:rPr>
          <w:rFonts w:ascii="Times New Roman" w:eastAsia="Times New Roman" w:hAnsi="Times New Roman" w:cs="Times New Roman"/>
          <w:sz w:val="24"/>
          <w:szCs w:val="24"/>
          <w:lang w:eastAsia="es-ES"/>
        </w:rPr>
      </w:pPr>
      <w:r>
        <w:br w:type="page"/>
      </w:r>
    </w:p>
    <w:p w:rsidR="00575662" w:rsidRDefault="00575662" w:rsidP="00B01F4A">
      <w:pPr>
        <w:pStyle w:val="TextoNormalCentrado"/>
      </w:pPr>
    </w:p>
    <w:p w:rsidR="00575662" w:rsidRDefault="00575662" w:rsidP="00575662">
      <w:pPr>
        <w:pStyle w:val="TextoNormal"/>
      </w:pPr>
    </w:p>
    <w:p w:rsidR="00575662" w:rsidRDefault="00575662" w:rsidP="00575662">
      <w:pPr>
        <w:pStyle w:val="TextoNormal"/>
      </w:pPr>
    </w:p>
    <w:p w:rsidR="00575662" w:rsidRDefault="00575662" w:rsidP="00575662">
      <w:pPr>
        <w:pStyle w:val="TextoNormal"/>
      </w:pPr>
    </w:p>
    <w:p w:rsidR="00EB1AAA" w:rsidRDefault="00FB55DB" w:rsidP="00575662">
      <w:pPr>
        <w:pStyle w:val="Ttulondice"/>
        <w:suppressAutoHyphens/>
      </w:pPr>
      <w:r>
        <w:t xml:space="preserve">3. ÍNDICE DE </w:t>
      </w:r>
      <w:r w:rsidR="00EB1AAA" w:rsidRPr="00EB1AAA">
        <w:t xml:space="preserve">DISPOSICIONES </w:t>
      </w:r>
    </w:p>
    <w:p w:rsidR="00575662" w:rsidRDefault="00EB1AAA" w:rsidP="00575662">
      <w:pPr>
        <w:pStyle w:val="Ttulondice"/>
        <w:suppressAutoHyphens/>
      </w:pPr>
      <w:r w:rsidRPr="00EB1AAA">
        <w:t>CON RANGO DE LEY IMPUGNADAS</w:t>
      </w: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pPr>
    </w:p>
    <w:p w:rsidR="00575662" w:rsidRDefault="00575662" w:rsidP="00575662">
      <w:pPr>
        <w:pStyle w:val="TextoNormal"/>
      </w:pPr>
      <w:bookmarkStart w:id="214" w:name="INDICE22802"/>
      <w:bookmarkEnd w:id="214"/>
    </w:p>
    <w:p w:rsidR="00575662" w:rsidRDefault="00835B01" w:rsidP="00575662">
      <w:pPr>
        <w:pStyle w:val="TextoIndiceNivel2"/>
        <w:suppressAutoHyphens/>
      </w:pPr>
      <w:r>
        <w:t>A) Disposiciones con fuerza de ley del Estado</w:t>
      </w:r>
    </w:p>
    <w:p w:rsidR="00575662" w:rsidRDefault="00575662" w:rsidP="00575662">
      <w:pPr>
        <w:pStyle w:val="TextoIndiceNivel2"/>
      </w:pPr>
    </w:p>
    <w:p w:rsidR="00575662" w:rsidRDefault="00575662" w:rsidP="00575662">
      <w:pPr>
        <w:pStyle w:val="TextoNormalNegritaCursivandice"/>
      </w:pPr>
      <w:r>
        <w:t>Ley 20/1989, de 28 de julio. Adaptación del impuesto sobre la renta de las personas físicas y del impuesto extraordinario sobre el patrimonio de las personas físicas</w:t>
      </w:r>
    </w:p>
    <w:p w:rsidR="00575662" w:rsidRDefault="00575662" w:rsidP="00575662">
      <w:pPr>
        <w:pStyle w:val="SangriaFrancesaArticulo"/>
      </w:pPr>
      <w:r w:rsidRPr="00575662">
        <w:rPr>
          <w:rStyle w:val="TextoNormalNegritaCaracter"/>
        </w:rPr>
        <w:t>Artículo 15.3.</w:t>
      </w:r>
      <w:r w:rsidRPr="00575662">
        <w:rPr>
          <w:rStyle w:val="TextoNormalCaracter"/>
        </w:rPr>
        <w:t>-</w:t>
      </w:r>
      <w:r>
        <w:t xml:space="preserve"> Sentencia </w:t>
      </w:r>
      <w:hyperlink w:anchor="SENTENCIA_1997_38" w:history="1">
        <w:r w:rsidRPr="00575662">
          <w:rPr>
            <w:rStyle w:val="TextoNormalCaracter"/>
          </w:rPr>
          <w:t>38/1997</w:t>
        </w:r>
      </w:hyperlink>
      <w:r>
        <w:t>.</w:t>
      </w:r>
    </w:p>
    <w:p w:rsidR="00575662" w:rsidRDefault="00575662" w:rsidP="00575662">
      <w:pPr>
        <w:pStyle w:val="SangriaFrancesaArticulo"/>
      </w:pPr>
      <w:r w:rsidRPr="00575662">
        <w:rPr>
          <w:rStyle w:val="TextoNormalNegritaCaracter"/>
        </w:rPr>
        <w:t>Artículo 17.</w:t>
      </w:r>
      <w:r w:rsidRPr="00575662">
        <w:rPr>
          <w:rStyle w:val="TextoNormalCaracter"/>
        </w:rPr>
        <w:t>-</w:t>
      </w:r>
      <w:r>
        <w:t xml:space="preserve"> Sentencia </w:t>
      </w:r>
      <w:hyperlink w:anchor="SENTENCIA_1997_38" w:history="1">
        <w:r w:rsidRPr="00575662">
          <w:rPr>
            <w:rStyle w:val="TextoNormalCaracter"/>
          </w:rPr>
          <w:t>38/1997</w:t>
        </w:r>
      </w:hyperlink>
      <w:r>
        <w:t>.</w:t>
      </w:r>
    </w:p>
    <w:p w:rsidR="00575662" w:rsidRDefault="00575662" w:rsidP="00575662">
      <w:pPr>
        <w:pStyle w:val="SangriaFrancesaArticulo"/>
      </w:pPr>
      <w:r w:rsidRPr="00575662">
        <w:rPr>
          <w:rStyle w:val="TextoNormalNegritaCaracter"/>
        </w:rPr>
        <w:t>Artículo 19.</w:t>
      </w:r>
      <w:r w:rsidRPr="00575662">
        <w:rPr>
          <w:rStyle w:val="TextoNormalCaracter"/>
        </w:rPr>
        <w:t>-</w:t>
      </w:r>
      <w:r>
        <w:t xml:space="preserve"> Sentencia </w:t>
      </w:r>
      <w:hyperlink w:anchor="SENTENCIA_1997_38" w:history="1">
        <w:r w:rsidRPr="00575662">
          <w:rPr>
            <w:rStyle w:val="TextoNormalCaracter"/>
          </w:rPr>
          <w:t>38/1997</w:t>
        </w:r>
      </w:hyperlink>
      <w:r>
        <w:t>.</w:t>
      </w:r>
    </w:p>
    <w:p w:rsidR="00575662" w:rsidRDefault="00575662" w:rsidP="00575662">
      <w:pPr>
        <w:pStyle w:val="SangriaFrancesaArticulo"/>
      </w:pPr>
    </w:p>
    <w:p w:rsidR="00575662" w:rsidRDefault="00575662" w:rsidP="00575662">
      <w:pPr>
        <w:pStyle w:val="TextoNormalNegritaCursivandice"/>
      </w:pPr>
      <w:r>
        <w:t>Ley 8/1990, de 25 de julio. Reforma del régimen urbanístico y valoraciones del suelo</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61" w:history="1">
        <w:r w:rsidRPr="00575662">
          <w:rPr>
            <w:rStyle w:val="TextoNormalCaracter"/>
          </w:rPr>
          <w:t>61/1997</w:t>
        </w:r>
      </w:hyperlink>
      <w:r>
        <w:t>.</w:t>
      </w:r>
    </w:p>
    <w:p w:rsidR="00575662" w:rsidRDefault="00575662" w:rsidP="00575662">
      <w:pPr>
        <w:pStyle w:val="SangriaFrancesaArticulo"/>
      </w:pPr>
    </w:p>
    <w:p w:rsidR="00575662" w:rsidRDefault="00575662" w:rsidP="00575662">
      <w:pPr>
        <w:pStyle w:val="TextoNormalNegritaCursivandice"/>
      </w:pPr>
      <w:r>
        <w:t>Ley 18/1991, de 6 de junio. Impuesto sobre la renta de las personas físicas</w:t>
      </w:r>
    </w:p>
    <w:p w:rsidR="00575662" w:rsidRDefault="00575662" w:rsidP="00575662">
      <w:pPr>
        <w:pStyle w:val="SangriaFrancesaArticulo"/>
      </w:pPr>
      <w:r w:rsidRPr="00575662">
        <w:rPr>
          <w:rStyle w:val="TextoNormalNegritaCaracter"/>
        </w:rPr>
        <w:t>Artículo 9.1 apartados b), c)</w:t>
      </w:r>
      <w:r>
        <w:t xml:space="preserve"> </w:t>
      </w:r>
      <w:r w:rsidRPr="00575662">
        <w:rPr>
          <w:rStyle w:val="TextoNormalCaracter"/>
        </w:rPr>
        <w:t>(redactado por la Ley 21/1993, de 29 de diciembre)</w:t>
      </w:r>
      <w:r w:rsidRPr="00575662">
        <w:rPr>
          <w:rStyle w:val="TextoNormalNegritaCaracter"/>
        </w:rPr>
        <w:t>.</w:t>
      </w:r>
      <w:r w:rsidRPr="00575662">
        <w:rPr>
          <w:rStyle w:val="TextoNormalCaracter"/>
        </w:rPr>
        <w:t>-</w:t>
      </w:r>
      <w:r>
        <w:t xml:space="preserve"> Sentencia </w:t>
      </w:r>
      <w:hyperlink w:anchor="SENTENCIA_1997_72" w:history="1">
        <w:r w:rsidRPr="00575662">
          <w:rPr>
            <w:rStyle w:val="TextoNormalCaracter"/>
          </w:rPr>
          <w:t>72/1997</w:t>
        </w:r>
      </w:hyperlink>
      <w:r>
        <w:t>.</w:t>
      </w:r>
    </w:p>
    <w:p w:rsidR="00575662" w:rsidRDefault="00575662" w:rsidP="00575662">
      <w:pPr>
        <w:pStyle w:val="SangriaFrancesaArticulo"/>
      </w:pPr>
    </w:p>
    <w:p w:rsidR="00575662" w:rsidRDefault="00575662" w:rsidP="00575662">
      <w:pPr>
        <w:pStyle w:val="TextoNormalNegritaCursivandice"/>
      </w:pPr>
      <w:r>
        <w:t>Real Decreto Legislativo 1/1992, de 26 de junio. Texto refundido de la Ley sobre el régimen del suelo y ordenación urbana</w:t>
      </w:r>
    </w:p>
    <w:p w:rsidR="00575662" w:rsidRDefault="00575662" w:rsidP="00575662">
      <w:pPr>
        <w:pStyle w:val="SangriaFrancesaArticulo"/>
      </w:pPr>
      <w:r w:rsidRPr="00575662">
        <w:rPr>
          <w:rStyle w:val="TextoNormalNegritaCaracter"/>
        </w:rPr>
        <w:t xml:space="preserve">Artículos 1, 2, 3, apartados 2 epígrafes a), b), d) a k), y 3 a 6, 4 apartados 2, 3, 9.2, 10 a 14, 16.3, 18, 20.1 b), 24.2, 27, 28 apartados 2 a 4, 29 a 32, 33.2, 34, 35.1, 36.2, 38 apartados 2, 3, 39 inciso "mediante solicitud de la correspondiente licencia", 40 apartados 3, 4, 42 apartados 1, 2, 3 incisos 4, 5, 43.2, 44, 45.5, 59 a 62, 65 a 99, 101 a 103, 104 apartados 1, 2, 105 a 112, 113.1, 114 a 123, 124.2, 125 a 131, 134.2, 135.2, 136.1, 137 apartados 1 a 4, 138 a), 139, 141 a 149, 151 a 153, 154.2, 155 a 158, 159 apartados 1 a 3, 160 apartados 1, 2, 4, 161 a 167, 170.2, 171, 172, 174 a 182, 184.1, 185 a 202, 205 apartados 2, 3, 206 apartados 1 epígrafes a) a g), y 2, 207 a 209, 211 apartados 1, 2, 212, 220.1, 221, 227, 228 apartados 1 a 3, 229 a 231, </w:t>
      </w:r>
      <w:r w:rsidRPr="00575662">
        <w:rPr>
          <w:rStyle w:val="TextoNormalNegritaCaracter"/>
        </w:rPr>
        <w:lastRenderedPageBreak/>
        <w:t>233, 234, 236, 242 apartados 2 a 5, 7, 243.3, 244 apartados 1 y 5, 245.2, 246 apartados 1, 3, 247 a 252, 253 apartados 1, 2, 4, 254 apartados 1, 3, 255.1, 256, 257, 258.1, 259 apartados 1, 2, 4, 260 a 273, 275, 277 a 279, 280.2, 281 a 286, 287.1, 288.1, 29.</w:t>
      </w:r>
      <w:r w:rsidRPr="00575662">
        <w:rPr>
          <w:rStyle w:val="TextoNormalCaracter"/>
        </w:rPr>
        <w:t>-</w:t>
      </w:r>
      <w:r>
        <w:t xml:space="preserve"> Sentencia </w:t>
      </w:r>
      <w:hyperlink w:anchor="SENTENCIA_1997_61" w:history="1">
        <w:r w:rsidRPr="00575662">
          <w:rPr>
            <w:rStyle w:val="TextoNormalCaracter"/>
          </w:rPr>
          <w:t>61/1997</w:t>
        </w:r>
      </w:hyperlink>
      <w:r>
        <w:t xml:space="preserve"> (anula).</w:t>
      </w:r>
    </w:p>
    <w:p w:rsidR="00575662" w:rsidRDefault="00575662" w:rsidP="00575662">
      <w:pPr>
        <w:pStyle w:val="SangriaFrancesaArticulo"/>
      </w:pPr>
      <w:r w:rsidRPr="00575662">
        <w:rPr>
          <w:rStyle w:val="TextoNormalNegritaCaracter"/>
        </w:rPr>
        <w:t>Disposición derogatoria única, apartado 1.</w:t>
      </w:r>
      <w:r w:rsidRPr="00575662">
        <w:rPr>
          <w:rStyle w:val="TextoNormalCaracter"/>
        </w:rPr>
        <w:t>-</w:t>
      </w:r>
      <w:r>
        <w:t xml:space="preserve"> Sentencia </w:t>
      </w:r>
      <w:hyperlink w:anchor="SENTENCIA_1997_61" w:history="1">
        <w:r w:rsidRPr="00575662">
          <w:rPr>
            <w:rStyle w:val="TextoNormalCaracter"/>
          </w:rPr>
          <w:t>61/1997</w:t>
        </w:r>
      </w:hyperlink>
      <w:r>
        <w:t xml:space="preserve"> (interpreta).</w:t>
      </w:r>
    </w:p>
    <w:p w:rsidR="00575662" w:rsidRDefault="00575662" w:rsidP="00575662">
      <w:pPr>
        <w:pStyle w:val="SangriaFrancesaArticulo"/>
      </w:pPr>
    </w:p>
    <w:p w:rsidR="00575662" w:rsidRDefault="00575662" w:rsidP="00575662">
      <w:pPr>
        <w:pStyle w:val="TextoNormalNegritaCursivandice"/>
      </w:pPr>
      <w:r>
        <w:t>Ley 21/1993, de 29 de diciembre. Presupuestos generales del Estado para 1994</w:t>
      </w:r>
    </w:p>
    <w:p w:rsidR="00575662" w:rsidRDefault="00575662" w:rsidP="00575662">
      <w:pPr>
        <w:pStyle w:val="SangriaFrancesaArticulo"/>
      </w:pPr>
      <w:r w:rsidRPr="00575662">
        <w:rPr>
          <w:rStyle w:val="TextoNormalNegritaCaracter"/>
        </w:rPr>
        <w:t>Artículo 62.</w:t>
      </w:r>
      <w:r w:rsidRPr="00575662">
        <w:rPr>
          <w:rStyle w:val="TextoNormalCaracter"/>
        </w:rPr>
        <w:t>-</w:t>
      </w:r>
      <w:r>
        <w:t xml:space="preserve"> Sentencia </w:t>
      </w:r>
      <w:hyperlink w:anchor="SENTENCIA_1997_72" w:history="1">
        <w:r w:rsidRPr="00575662">
          <w:rPr>
            <w:rStyle w:val="TextoNormalCaracter"/>
          </w:rPr>
          <w:t>72/1997</w:t>
        </w:r>
      </w:hyperlink>
      <w:r>
        <w:t>.</w:t>
      </w:r>
    </w:p>
    <w:p w:rsidR="00575662" w:rsidRDefault="00575662" w:rsidP="00575662">
      <w:pPr>
        <w:pStyle w:val="TextoNormal"/>
      </w:pPr>
    </w:p>
    <w:p w:rsidR="00575662" w:rsidRDefault="00575662" w:rsidP="00575662">
      <w:pPr>
        <w:pStyle w:val="SangriaFrancesaArticulo"/>
      </w:pPr>
      <w:bookmarkStart w:id="215" w:name="INDICE22806"/>
    </w:p>
    <w:bookmarkEnd w:id="215"/>
    <w:p w:rsidR="00575662" w:rsidRDefault="009D0AE4" w:rsidP="00575662">
      <w:pPr>
        <w:pStyle w:val="TextoIndiceNivel2"/>
        <w:suppressAutoHyphens/>
      </w:pPr>
      <w:r>
        <w:t>B) Disposiciones con fuerza de ley de las Comunidades Autónomas</w:t>
      </w:r>
    </w:p>
    <w:p w:rsidR="00575662" w:rsidRDefault="00575662" w:rsidP="00575662">
      <w:pPr>
        <w:pStyle w:val="TextoNormal"/>
      </w:pPr>
    </w:p>
    <w:p w:rsidR="00575662" w:rsidRDefault="00575662" w:rsidP="00575662">
      <w:pPr>
        <w:pStyle w:val="TextoNormalNegritaCentrado"/>
        <w:suppressAutoHyphens/>
      </w:pPr>
      <w:r w:rsidRPr="00575662">
        <w:rPr>
          <w:rStyle w:val="TextoNormalNegritaCentradoSombreado"/>
        </w:rPr>
        <w:t>B.1) Asturias</w:t>
      </w:r>
    </w:p>
    <w:p w:rsidR="00575662" w:rsidRDefault="00575662" w:rsidP="00575662">
      <w:pPr>
        <w:pStyle w:val="TextoNormalNegritaCentrado"/>
      </w:pPr>
    </w:p>
    <w:p w:rsidR="00575662" w:rsidRDefault="00575662" w:rsidP="00575662">
      <w:pPr>
        <w:pStyle w:val="TextoNormalNegritaCursivandice"/>
      </w:pPr>
      <w:r>
        <w:t>Ley de la Junta General del Principado de Asturias 2/1989, de 6 de junio. Caza</w:t>
      </w:r>
    </w:p>
    <w:p w:rsidR="00575662" w:rsidRDefault="00575662" w:rsidP="00575662">
      <w:pPr>
        <w:pStyle w:val="SangriaFrancesaArticulo"/>
      </w:pPr>
      <w:r w:rsidRPr="00575662">
        <w:rPr>
          <w:rStyle w:val="TextoNormalNegritaCaracter"/>
        </w:rPr>
        <w:t>Artículo 46.</w:t>
      </w:r>
      <w:r w:rsidRPr="00575662">
        <w:rPr>
          <w:rStyle w:val="TextoNormalCaracter"/>
        </w:rPr>
        <w:t>-</w:t>
      </w:r>
      <w:r>
        <w:t xml:space="preserve"> Sentencia </w:t>
      </w:r>
      <w:hyperlink w:anchor="SENTENCIA_1997_16" w:history="1">
        <w:r w:rsidRPr="00575662">
          <w:rPr>
            <w:rStyle w:val="TextoNormalCaracter"/>
          </w:rPr>
          <w:t>16/1997</w:t>
        </w:r>
      </w:hyperlink>
      <w:r>
        <w:t xml:space="preserve"> (delimita).</w:t>
      </w:r>
    </w:p>
    <w:p w:rsidR="00575662" w:rsidRDefault="00575662" w:rsidP="00575662">
      <w:pPr>
        <w:pStyle w:val="SangriaFrancesaArticulo"/>
      </w:pPr>
      <w:r w:rsidRPr="00575662">
        <w:rPr>
          <w:rStyle w:val="TextoNormalNegritaCaracter"/>
        </w:rPr>
        <w:t>Artículo 46.2.</w:t>
      </w:r>
      <w:r w:rsidRPr="00575662">
        <w:rPr>
          <w:rStyle w:val="TextoNormalCaracter"/>
        </w:rPr>
        <w:t>-</w:t>
      </w:r>
      <w:r>
        <w:t xml:space="preserve"> Sentencia </w:t>
      </w:r>
      <w:hyperlink w:anchor="SENTENCIA_1997_16" w:history="1">
        <w:r w:rsidRPr="00575662">
          <w:rPr>
            <w:rStyle w:val="TextoNormalCaracter"/>
          </w:rPr>
          <w:t>16/1997</w:t>
        </w:r>
      </w:hyperlink>
      <w:r>
        <w:t xml:space="preserve"> (anula).</w:t>
      </w:r>
    </w:p>
    <w:p w:rsidR="00575662" w:rsidRDefault="00575662" w:rsidP="00575662">
      <w:pPr>
        <w:pStyle w:val="TextoNormal"/>
      </w:pPr>
    </w:p>
    <w:p w:rsidR="00575662" w:rsidRDefault="00575662" w:rsidP="00575662">
      <w:pPr>
        <w:pStyle w:val="TextoNormalNegritaCentrado"/>
        <w:suppressAutoHyphens/>
      </w:pPr>
      <w:r w:rsidRPr="00575662">
        <w:rPr>
          <w:rStyle w:val="TextoNormalNegritaCentradoSombreado"/>
        </w:rPr>
        <w:t>B.2) Baleares</w:t>
      </w:r>
    </w:p>
    <w:p w:rsidR="00575662" w:rsidRDefault="00575662" w:rsidP="00575662">
      <w:pPr>
        <w:pStyle w:val="TextoNormalNegritaCentrado"/>
      </w:pPr>
    </w:p>
    <w:p w:rsidR="00575662" w:rsidRDefault="00575662" w:rsidP="00575662">
      <w:pPr>
        <w:pStyle w:val="TextoNormalNegritaCursivandice"/>
      </w:pPr>
      <w:r>
        <w:t>Ley del Parlamento de las Illes Balears 1/1984, de 14 de marzo. Ordenación y protección de áreas naturales de interés especial</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28" w:history="1">
        <w:r w:rsidRPr="00575662">
          <w:rPr>
            <w:rStyle w:val="TextoNormalCaracter"/>
          </w:rPr>
          <w:t>28/1997</w:t>
        </w:r>
      </w:hyperlink>
      <w:r>
        <w:t>.</w:t>
      </w:r>
    </w:p>
    <w:p w:rsidR="00575662" w:rsidRDefault="00575662" w:rsidP="00575662">
      <w:pPr>
        <w:pStyle w:val="SangriaFrancesaArticulo"/>
      </w:pPr>
    </w:p>
    <w:p w:rsidR="00575662" w:rsidRDefault="00575662" w:rsidP="00575662">
      <w:pPr>
        <w:pStyle w:val="TextoNormalNegritaCursivandice"/>
      </w:pPr>
      <w:r>
        <w:t>Ley del Parlamento de las Illes Balears 3/1984, de 31 de mayo. Declaración de «Es Trenc-Salobrar de Campos» como área natural de especial interés</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28" w:history="1">
        <w:r w:rsidRPr="00575662">
          <w:rPr>
            <w:rStyle w:val="TextoNormalCaracter"/>
          </w:rPr>
          <w:t>28/1997</w:t>
        </w:r>
      </w:hyperlink>
      <w:r>
        <w:t>.</w:t>
      </w:r>
    </w:p>
    <w:p w:rsidR="00575662" w:rsidRDefault="00575662" w:rsidP="00575662">
      <w:pPr>
        <w:pStyle w:val="TextoNormal"/>
      </w:pPr>
    </w:p>
    <w:p w:rsidR="00575662" w:rsidRDefault="00575662" w:rsidP="00575662">
      <w:pPr>
        <w:pStyle w:val="TextoNormalNegritaCentrado"/>
        <w:suppressAutoHyphens/>
      </w:pPr>
      <w:r w:rsidRPr="00575662">
        <w:rPr>
          <w:rStyle w:val="TextoNormalNegritaCentradoSombreado"/>
        </w:rPr>
        <w:t>B.3) Cataluña</w:t>
      </w:r>
    </w:p>
    <w:p w:rsidR="00575662" w:rsidRDefault="00575662" w:rsidP="00575662">
      <w:pPr>
        <w:pStyle w:val="TextoNormalNegritaCentrado"/>
      </w:pPr>
    </w:p>
    <w:p w:rsidR="00575662" w:rsidRDefault="00575662" w:rsidP="00575662">
      <w:pPr>
        <w:pStyle w:val="TextoNormalNegritaCursivandice"/>
      </w:pPr>
      <w:r>
        <w:t>Ley del Parlamento de Cataluña 21/1987, de 26 de noviembre. Incompatibilidades del personal al servicio de la Administración de la Generalidad</w:t>
      </w:r>
    </w:p>
    <w:p w:rsidR="00575662" w:rsidRDefault="00575662" w:rsidP="00575662">
      <w:pPr>
        <w:pStyle w:val="SangriaFrancesaArticulo"/>
      </w:pPr>
      <w:r w:rsidRPr="00575662">
        <w:rPr>
          <w:rStyle w:val="TextoNormalNegritaCaracter"/>
        </w:rPr>
        <w:t>Artículo 3.1 a).</w:t>
      </w:r>
      <w:r w:rsidRPr="00575662">
        <w:rPr>
          <w:rStyle w:val="TextoNormalCaracter"/>
        </w:rPr>
        <w:t>-</w:t>
      </w:r>
      <w:r>
        <w:t xml:space="preserve"> Sentencia </w:t>
      </w:r>
      <w:hyperlink w:anchor="SENTENCIA_1997_73" w:history="1">
        <w:r w:rsidRPr="00575662">
          <w:rPr>
            <w:rStyle w:val="TextoNormalCaracter"/>
          </w:rPr>
          <w:t>73/1997</w:t>
        </w:r>
      </w:hyperlink>
      <w:r>
        <w:t xml:space="preserve"> (declara inconstitucional parcialmente).</w:t>
      </w:r>
    </w:p>
    <w:p w:rsidR="00575662" w:rsidRDefault="00575662" w:rsidP="00575662">
      <w:pPr>
        <w:pStyle w:val="SangriaFrancesaArticulo"/>
      </w:pPr>
      <w:r w:rsidRPr="00575662">
        <w:rPr>
          <w:rStyle w:val="TextoNormalNegritaCaracter"/>
        </w:rPr>
        <w:t>Artículo 14.</w:t>
      </w:r>
      <w:r w:rsidRPr="00575662">
        <w:rPr>
          <w:rStyle w:val="TextoNormalCaracter"/>
        </w:rPr>
        <w:t>-</w:t>
      </w:r>
      <w:r>
        <w:t xml:space="preserve"> Sentencia </w:t>
      </w:r>
      <w:hyperlink w:anchor="SENTENCIA_1997_73" w:history="1">
        <w:r w:rsidRPr="00575662">
          <w:rPr>
            <w:rStyle w:val="TextoNormalCaracter"/>
          </w:rPr>
          <w:t>73/1997</w:t>
        </w:r>
      </w:hyperlink>
      <w:r>
        <w:t>.</w:t>
      </w:r>
    </w:p>
    <w:p w:rsidR="00575662" w:rsidRDefault="00575662">
      <w:pPr>
        <w:spacing w:after="160" w:line="259" w:lineRule="auto"/>
        <w:rPr>
          <w:rFonts w:ascii="Times New Roman" w:eastAsia="Times New Roman" w:hAnsi="Times New Roman" w:cs="Times New Roman"/>
          <w:sz w:val="24"/>
          <w:szCs w:val="24"/>
          <w:lang w:eastAsia="es-ES"/>
        </w:rPr>
      </w:pPr>
      <w:r>
        <w:br w:type="page"/>
      </w:r>
    </w:p>
    <w:p w:rsidR="00575662" w:rsidRDefault="00575662" w:rsidP="00575662">
      <w:pPr>
        <w:pStyle w:val="SangriaFrancesaArticulo"/>
      </w:pPr>
    </w:p>
    <w:p w:rsidR="00575662" w:rsidRDefault="00575662" w:rsidP="00575662">
      <w:pPr>
        <w:pStyle w:val="TextoNormal"/>
      </w:pPr>
    </w:p>
    <w:p w:rsidR="00575662" w:rsidRDefault="00575662" w:rsidP="00575662">
      <w:pPr>
        <w:pStyle w:val="TextoNormal"/>
      </w:pPr>
    </w:p>
    <w:p w:rsidR="00575662" w:rsidRDefault="00575662" w:rsidP="00575662">
      <w:pPr>
        <w:pStyle w:val="TextoNormal"/>
      </w:pPr>
    </w:p>
    <w:p w:rsidR="00EB1AAA" w:rsidRDefault="00B13BF5" w:rsidP="00575662">
      <w:pPr>
        <w:pStyle w:val="Ttulondice"/>
        <w:suppressAutoHyphens/>
      </w:pPr>
      <w:r>
        <w:t xml:space="preserve">4. ÍNDICE DE DISPOSICIONES </w:t>
      </w:r>
    </w:p>
    <w:p w:rsidR="00575662" w:rsidRDefault="00B13BF5" w:rsidP="00575662">
      <w:pPr>
        <w:pStyle w:val="Ttulondice"/>
        <w:suppressAutoHyphens/>
      </w:pPr>
      <w:r>
        <w:t>GENERALES IMPUGNADAS</w:t>
      </w: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pPr>
    </w:p>
    <w:p w:rsidR="00575662" w:rsidRDefault="00575662" w:rsidP="00575662">
      <w:pPr>
        <w:pStyle w:val="TextoNormal"/>
      </w:pPr>
      <w:bookmarkStart w:id="216" w:name="INDICE22803"/>
      <w:bookmarkEnd w:id="216"/>
    </w:p>
    <w:p w:rsidR="00575662" w:rsidRDefault="00575662" w:rsidP="00575662">
      <w:pPr>
        <w:pStyle w:val="TextoIndiceNivel2"/>
        <w:suppressAutoHyphens/>
      </w:pPr>
      <w:r>
        <w:t>A) Disposiciones del Estado</w:t>
      </w:r>
    </w:p>
    <w:p w:rsidR="00575662" w:rsidRDefault="00575662" w:rsidP="00575662">
      <w:pPr>
        <w:pStyle w:val="TextoIndiceNivel2"/>
      </w:pPr>
    </w:p>
    <w:p w:rsidR="00575662" w:rsidRDefault="00575662" w:rsidP="00575662">
      <w:pPr>
        <w:pStyle w:val="TextoNormalNegritaCursivandice"/>
      </w:pPr>
      <w:r>
        <w:t>Real Decreto 1369/1987, de 18 de septiembre. Crea el sistema nacional de compensación electrónica</w:t>
      </w:r>
    </w:p>
    <w:p w:rsidR="00575662" w:rsidRDefault="00575662" w:rsidP="00575662">
      <w:pPr>
        <w:pStyle w:val="SangriaFrancesaArticulo"/>
      </w:pPr>
      <w:r w:rsidRPr="00575662">
        <w:rPr>
          <w:rStyle w:val="TextoNormalNegritaCaracter"/>
        </w:rPr>
        <w:t>Artículos 1, 2.2, disposición adicional.</w:t>
      </w:r>
      <w:r w:rsidRPr="00575662">
        <w:rPr>
          <w:rStyle w:val="TextoNormalCaracter"/>
        </w:rPr>
        <w:t>-</w:t>
      </w:r>
      <w:r>
        <w:t xml:space="preserve"> Sentencia </w:t>
      </w:r>
      <w:hyperlink w:anchor="SENTENCIA_1997_37" w:history="1">
        <w:r w:rsidRPr="00575662">
          <w:rPr>
            <w:rStyle w:val="TextoNormalCaracter"/>
          </w:rPr>
          <w:t>37/1997</w:t>
        </w:r>
      </w:hyperlink>
      <w:r>
        <w:t xml:space="preserve"> (delimita).</w:t>
      </w:r>
    </w:p>
    <w:p w:rsidR="00575662" w:rsidRDefault="00575662" w:rsidP="00575662">
      <w:pPr>
        <w:pStyle w:val="SangriaFrancesaArticulo"/>
      </w:pPr>
    </w:p>
    <w:p w:rsidR="00575662" w:rsidRDefault="00575662" w:rsidP="00575662">
      <w:pPr>
        <w:pStyle w:val="TextoNormalNegritaCursivandice"/>
      </w:pPr>
      <w:r>
        <w:t>Orden del Ministerio de Agricultura, Pesca y Alimentación, de 5 de diciembre de 1988. Establece las normas de aplicación del régimen de ayudas destinado a fomentar la retirada de tierras de la producción (modificada parcialmente por la Orden de 13 de abril de 1989)</w:t>
      </w:r>
    </w:p>
    <w:p w:rsidR="00575662" w:rsidRDefault="00575662" w:rsidP="00575662">
      <w:pPr>
        <w:pStyle w:val="SangriaFrancesaArticulo"/>
      </w:pPr>
      <w:r w:rsidRPr="00575662">
        <w:rPr>
          <w:rStyle w:val="TextoNormalNegritaCaracter"/>
        </w:rPr>
        <w:t>Artículos 10.1, 11 apartados 1, 2, 5, 7.</w:t>
      </w:r>
      <w:r w:rsidRPr="00575662">
        <w:rPr>
          <w:rStyle w:val="TextoNormalCaracter"/>
        </w:rPr>
        <w:t>-</w:t>
      </w:r>
      <w:r>
        <w:t xml:space="preserve"> Sentencia </w:t>
      </w:r>
      <w:hyperlink w:anchor="SENTENCIA_1997_70" w:history="1">
        <w:r w:rsidRPr="00575662">
          <w:rPr>
            <w:rStyle w:val="TextoNormalCaracter"/>
          </w:rPr>
          <w:t>70/1997</w:t>
        </w:r>
      </w:hyperlink>
      <w:r>
        <w:t xml:space="preserve"> (delimita).</w:t>
      </w:r>
    </w:p>
    <w:p w:rsidR="00575662" w:rsidRDefault="00575662" w:rsidP="00575662">
      <w:pPr>
        <w:pStyle w:val="SangriaFrancesaArticulo"/>
      </w:pPr>
    </w:p>
    <w:p w:rsidR="00575662" w:rsidRDefault="00575662" w:rsidP="00575662">
      <w:pPr>
        <w:pStyle w:val="TextoNormalNegritaCursivandice"/>
      </w:pPr>
      <w:r>
        <w:t>Real Decreto 1597/1989, de 29 de diciembre. Reglamento del Registro Mercantil</w:t>
      </w:r>
    </w:p>
    <w:p w:rsidR="00575662" w:rsidRDefault="00575662" w:rsidP="00575662">
      <w:pPr>
        <w:pStyle w:val="SangriaFrancesaArticulo"/>
      </w:pPr>
      <w:r w:rsidRPr="00575662">
        <w:rPr>
          <w:rStyle w:val="TextoNormalNegritaCaracter"/>
        </w:rPr>
        <w:t>Artículo 36.1.</w:t>
      </w:r>
      <w:r w:rsidRPr="00575662">
        <w:rPr>
          <w:rStyle w:val="TextoNormalCaracter"/>
        </w:rPr>
        <w:t>-</w:t>
      </w:r>
      <w:r>
        <w:t xml:space="preserve"> Sentencia </w:t>
      </w:r>
      <w:hyperlink w:anchor="SENTENCIA_1997_87" w:history="1">
        <w:r w:rsidRPr="00575662">
          <w:rPr>
            <w:rStyle w:val="TextoNormalCaracter"/>
          </w:rPr>
          <w:t>87/1997</w:t>
        </w:r>
      </w:hyperlink>
      <w:r>
        <w:t xml:space="preserve"> (delimita).</w:t>
      </w:r>
    </w:p>
    <w:p w:rsidR="00575662" w:rsidRDefault="00575662" w:rsidP="00575662">
      <w:pPr>
        <w:pStyle w:val="SangriaFrancesaArticulo"/>
      </w:pPr>
    </w:p>
    <w:p w:rsidR="00575662" w:rsidRDefault="00575662" w:rsidP="00575662">
      <w:pPr>
        <w:pStyle w:val="TextoNormalNegritaCursivandice"/>
      </w:pPr>
      <w:r>
        <w:t>Orden del Ministerio de Cultura, de 16 de marzo de 1990. Establece la normativa de ayudas al sector del libro español</w:t>
      </w:r>
    </w:p>
    <w:p w:rsidR="00575662" w:rsidRDefault="00575662" w:rsidP="00575662">
      <w:pPr>
        <w:pStyle w:val="SangriaFrancesaArticulo"/>
      </w:pPr>
      <w:r w:rsidRPr="00575662">
        <w:rPr>
          <w:rStyle w:val="TextoNormalNegritaCaracter"/>
        </w:rPr>
        <w:t>Artículos 4.2 c), 5, 9.4, 24.1, 26.2, 28, 29.</w:t>
      </w:r>
      <w:r w:rsidRPr="00575662">
        <w:rPr>
          <w:rStyle w:val="TextoNormalCaracter"/>
        </w:rPr>
        <w:t>-</w:t>
      </w:r>
      <w:r>
        <w:t xml:space="preserve"> Sentencia </w:t>
      </w:r>
      <w:hyperlink w:anchor="SENTENCIA_1997_71" w:history="1">
        <w:r w:rsidRPr="00575662">
          <w:rPr>
            <w:rStyle w:val="TextoNormalCaracter"/>
          </w:rPr>
          <w:t>71/1997</w:t>
        </w:r>
      </w:hyperlink>
      <w:r>
        <w:t xml:space="preserve"> (delimita).</w:t>
      </w:r>
    </w:p>
    <w:p w:rsidR="00575662" w:rsidRDefault="00575662" w:rsidP="00575662">
      <w:pPr>
        <w:pStyle w:val="SangriaFrancesaArticulo"/>
      </w:pPr>
    </w:p>
    <w:p w:rsidR="00575662" w:rsidRDefault="00575662" w:rsidP="00575662">
      <w:pPr>
        <w:pStyle w:val="TextoNormalNegritaCursivandice"/>
      </w:pPr>
      <w:r>
        <w:t>Orden del Ministerio de Cultura, de 30 de julio de 1990. Ayudas financieras a la inversión en el sector del libro</w:t>
      </w:r>
    </w:p>
    <w:p w:rsidR="00575662" w:rsidRDefault="00575662" w:rsidP="00575662">
      <w:pPr>
        <w:pStyle w:val="SangriaFrancesaArticulo"/>
      </w:pPr>
      <w:r w:rsidRPr="00575662">
        <w:rPr>
          <w:rStyle w:val="TextoNormalNegritaCaracter"/>
        </w:rPr>
        <w:t>Artículos 4, 6.2, 9.2, 10, disposición transitoria primera.</w:t>
      </w:r>
      <w:r w:rsidRPr="00575662">
        <w:rPr>
          <w:rStyle w:val="TextoNormalCaracter"/>
        </w:rPr>
        <w:t>-</w:t>
      </w:r>
      <w:r>
        <w:t xml:space="preserve"> Sentencia </w:t>
      </w:r>
      <w:hyperlink w:anchor="SENTENCIA_1997_71" w:history="1">
        <w:r w:rsidRPr="00575662">
          <w:rPr>
            <w:rStyle w:val="TextoNormalCaracter"/>
          </w:rPr>
          <w:t>71/1997</w:t>
        </w:r>
      </w:hyperlink>
      <w:r>
        <w:t xml:space="preserve"> (delimita).</w:t>
      </w:r>
    </w:p>
    <w:p w:rsidR="00575662" w:rsidRDefault="00575662" w:rsidP="00575662">
      <w:pPr>
        <w:pStyle w:val="TextoNormal"/>
      </w:pPr>
    </w:p>
    <w:p w:rsidR="00575662" w:rsidRDefault="00575662" w:rsidP="00575662">
      <w:pPr>
        <w:pStyle w:val="SangriaFrancesaArticulo"/>
      </w:pPr>
      <w:bookmarkStart w:id="217" w:name="INDICE22824"/>
    </w:p>
    <w:bookmarkEnd w:id="217"/>
    <w:p w:rsidR="00575662" w:rsidRDefault="00575662" w:rsidP="00575662">
      <w:pPr>
        <w:pStyle w:val="TextoIndiceNivel2"/>
        <w:suppressAutoHyphens/>
      </w:pPr>
      <w:r>
        <w:lastRenderedPageBreak/>
        <w:t>B) Disposiciones de las Comunidades y Ciudades Autónomas</w:t>
      </w:r>
    </w:p>
    <w:p w:rsidR="00575662" w:rsidRDefault="00575662" w:rsidP="00575662">
      <w:pPr>
        <w:pStyle w:val="TextoNormal"/>
      </w:pPr>
    </w:p>
    <w:p w:rsidR="00575662" w:rsidRDefault="00575662" w:rsidP="00575662">
      <w:pPr>
        <w:pStyle w:val="TextoNormalNegritaCentrado"/>
        <w:suppressAutoHyphens/>
      </w:pPr>
      <w:r w:rsidRPr="00575662">
        <w:rPr>
          <w:rStyle w:val="TextoNormalNegritaCentradoSombreado"/>
        </w:rPr>
        <w:t>B.1) Cataluña</w:t>
      </w:r>
    </w:p>
    <w:p w:rsidR="00575662" w:rsidRDefault="00575662" w:rsidP="00575662">
      <w:pPr>
        <w:pStyle w:val="TextoNormalNegritaCentrado"/>
      </w:pPr>
    </w:p>
    <w:p w:rsidR="00575662" w:rsidRDefault="00575662" w:rsidP="00575662">
      <w:pPr>
        <w:pStyle w:val="TextoNormalNegritaCursivandice"/>
      </w:pPr>
      <w:r>
        <w:t>Decreto de la Generalidad de Cataluña 411/1987, de 22 de diciembre. Reestructuración del Departamento de Comercio, Consumo y Turismo</w:t>
      </w:r>
    </w:p>
    <w:p w:rsidR="00575662" w:rsidRDefault="00575662" w:rsidP="00575662">
      <w:pPr>
        <w:pStyle w:val="SangriaFrancesaArticulo"/>
      </w:pPr>
      <w:r w:rsidRPr="00575662">
        <w:rPr>
          <w:rStyle w:val="TextoNormalNegritaCaracter"/>
        </w:rPr>
        <w:t>Artículos 11.5, 14.1.1.</w:t>
      </w:r>
      <w:r w:rsidRPr="00575662">
        <w:rPr>
          <w:rStyle w:val="TextoNormalCaracter"/>
        </w:rPr>
        <w:t>-</w:t>
      </w:r>
      <w:r>
        <w:t xml:space="preserve"> Sentencia </w:t>
      </w:r>
      <w:hyperlink w:anchor="SENTENCIA_1997_15" w:history="1">
        <w:r w:rsidRPr="00575662">
          <w:rPr>
            <w:rStyle w:val="TextoNormalCaracter"/>
          </w:rPr>
          <w:t>15/1997</w:t>
        </w:r>
      </w:hyperlink>
      <w:r>
        <w:t>.</w:t>
      </w:r>
    </w:p>
    <w:p w:rsidR="00575662" w:rsidRDefault="00575662">
      <w:pPr>
        <w:spacing w:after="160" w:line="259" w:lineRule="auto"/>
        <w:rPr>
          <w:rFonts w:ascii="Times New Roman" w:eastAsia="Times New Roman" w:hAnsi="Times New Roman" w:cs="Times New Roman"/>
          <w:sz w:val="24"/>
          <w:szCs w:val="24"/>
          <w:lang w:eastAsia="es-ES"/>
        </w:rPr>
      </w:pPr>
      <w:r>
        <w:br w:type="page"/>
      </w:r>
    </w:p>
    <w:p w:rsidR="00575662" w:rsidRDefault="00575662" w:rsidP="00575662">
      <w:pPr>
        <w:pStyle w:val="SangriaFrancesaArticulo"/>
      </w:pPr>
    </w:p>
    <w:p w:rsidR="00575662" w:rsidRDefault="00575662" w:rsidP="00575662">
      <w:pPr>
        <w:pStyle w:val="TextoNormal"/>
      </w:pPr>
    </w:p>
    <w:p w:rsidR="00575662" w:rsidRDefault="00575662" w:rsidP="00575662">
      <w:pPr>
        <w:pStyle w:val="TextoNormal"/>
      </w:pPr>
    </w:p>
    <w:p w:rsidR="00575662" w:rsidRDefault="00575662" w:rsidP="00575662">
      <w:pPr>
        <w:pStyle w:val="TextoNormal"/>
      </w:pPr>
    </w:p>
    <w:p w:rsidR="00575662" w:rsidRDefault="00575662" w:rsidP="00575662">
      <w:pPr>
        <w:pStyle w:val="Ttulondice"/>
        <w:suppressAutoHyphens/>
      </w:pPr>
      <w:r>
        <w:t>5. ÍNDICE DE DISPOSICIONES CITADAS</w:t>
      </w: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pPr>
    </w:p>
    <w:p w:rsidR="00575662" w:rsidRDefault="00575662" w:rsidP="00575662">
      <w:pPr>
        <w:pStyle w:val="TextoNormal"/>
      </w:pPr>
      <w:bookmarkStart w:id="218" w:name="INDICE22804"/>
      <w:bookmarkEnd w:id="218"/>
    </w:p>
    <w:p w:rsidR="00575662" w:rsidRDefault="00575662" w:rsidP="00575662">
      <w:pPr>
        <w:pStyle w:val="TextoIndiceNivel2"/>
        <w:suppressAutoHyphens/>
      </w:pPr>
      <w:r>
        <w:t>A) Constitución</w:t>
      </w:r>
    </w:p>
    <w:p w:rsidR="00575662" w:rsidRDefault="00575662" w:rsidP="00575662">
      <w:pPr>
        <w:pStyle w:val="TextoIndiceNivel2"/>
      </w:pPr>
    </w:p>
    <w:p w:rsidR="00575662" w:rsidRDefault="00575662" w:rsidP="00575662">
      <w:pPr>
        <w:pStyle w:val="TextoNormalNegritaCursivandice"/>
      </w:pPr>
      <w:r>
        <w:t>Constitución española, de 27 de diciembre de 1978</w:t>
      </w:r>
    </w:p>
    <w:p w:rsidR="00575662" w:rsidRDefault="00575662" w:rsidP="00575662">
      <w:pPr>
        <w:pStyle w:val="SangriaFrancesaArticulo"/>
      </w:pPr>
      <w:r w:rsidRPr="00575662">
        <w:rPr>
          <w:rStyle w:val="TextoNormalNegritaCaracter"/>
        </w:rPr>
        <w:t>Título I, capítulo II, sección primera.</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Título I, capítulo II, sección segunda.</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Título I, capítulo III.</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Título VIII.</w:t>
      </w:r>
      <w:r w:rsidRPr="00575662">
        <w:rPr>
          <w:rStyle w:val="TextoNormalCaracter"/>
        </w:rPr>
        <w:t>-</w:t>
      </w:r>
      <w:r>
        <w:t xml:space="preserve"> Sentencia </w:t>
      </w:r>
      <w:hyperlink w:anchor="SENTENCIA_1997_61" w:history="1">
        <w:r w:rsidRPr="00575662">
          <w:rPr>
            <w:rStyle w:val="TextoNormalCaracter"/>
          </w:rPr>
          <w:t>61/1997</w:t>
        </w:r>
      </w:hyperlink>
      <w:r>
        <w:t>, f. 9.</w:t>
      </w:r>
    </w:p>
    <w:p w:rsidR="00575662" w:rsidRDefault="00575662" w:rsidP="00575662">
      <w:pPr>
        <w:pStyle w:val="SangriaFrancesaArticulo"/>
      </w:pPr>
      <w:r w:rsidRPr="00575662">
        <w:rPr>
          <w:rStyle w:val="TextoNormalNegritaCaracter"/>
        </w:rPr>
        <w:t>Preámbulo.</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Artículo 1.1.</w:t>
      </w:r>
      <w:r w:rsidRPr="00575662">
        <w:rPr>
          <w:rStyle w:val="TextoNormalCaracter"/>
        </w:rPr>
        <w:t>-</w:t>
      </w:r>
      <w:r>
        <w:t xml:space="preserve"> Sentencias </w:t>
      </w:r>
      <w:hyperlink w:anchor="SENTENCIA_1997_21" w:history="1">
        <w:r w:rsidRPr="00575662">
          <w:rPr>
            <w:rStyle w:val="TextoNormalCaracter"/>
          </w:rPr>
          <w:t>21/1997</w:t>
        </w:r>
      </w:hyperlink>
      <w:r>
        <w:t xml:space="preserve">, f. 4; </w:t>
      </w:r>
      <w:hyperlink w:anchor="SENTENCIA_1997_22" w:history="1">
        <w:r w:rsidRPr="00575662">
          <w:rPr>
            <w:rStyle w:val="TextoNormalCaracter"/>
          </w:rPr>
          <w:t>22/1997</w:t>
        </w:r>
      </w:hyperlink>
      <w:r>
        <w:t xml:space="preserve">, f. 5; </w:t>
      </w:r>
      <w:hyperlink w:anchor="SENTENCIA_1997_56" w:history="1">
        <w:r w:rsidRPr="00575662">
          <w:rPr>
            <w:rStyle w:val="TextoNormalCaracter"/>
          </w:rPr>
          <w:t>56/1997</w:t>
        </w:r>
      </w:hyperlink>
      <w:r>
        <w:t xml:space="preserve">, VP I, VP III;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Artículo 1.2.</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Artículo 2.</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Artículo 3.</w:t>
      </w:r>
      <w:r w:rsidRPr="00575662">
        <w:rPr>
          <w:rStyle w:val="TextoNormalCaracter"/>
        </w:rPr>
        <w:t>-</w:t>
      </w:r>
      <w:r>
        <w:t xml:space="preserve"> Sentencia </w:t>
      </w:r>
      <w:hyperlink w:anchor="SENTENCIA_1997_75" w:history="1">
        <w:r w:rsidRPr="00575662">
          <w:rPr>
            <w:rStyle w:val="TextoNormalCaracter"/>
          </w:rPr>
          <w:t>75/1997</w:t>
        </w:r>
      </w:hyperlink>
      <w:r>
        <w:t>, VP.</w:t>
      </w:r>
    </w:p>
    <w:p w:rsidR="00575662" w:rsidRDefault="00575662" w:rsidP="00575662">
      <w:pPr>
        <w:pStyle w:val="SangriaFrancesaArticulo"/>
      </w:pPr>
      <w:r w:rsidRPr="00575662">
        <w:rPr>
          <w:rStyle w:val="TextoNormalNegritaCaracter"/>
        </w:rPr>
        <w:t>Artículo 3.2.</w:t>
      </w:r>
      <w:r w:rsidRPr="00575662">
        <w:rPr>
          <w:rStyle w:val="TextoNormalCaracter"/>
        </w:rPr>
        <w:t>-</w:t>
      </w:r>
      <w:r>
        <w:t xml:space="preserve"> Sentencias </w:t>
      </w:r>
      <w:hyperlink w:anchor="SENTENCIA_1997_61" w:history="1">
        <w:r w:rsidRPr="00575662">
          <w:rPr>
            <w:rStyle w:val="TextoNormalCaracter"/>
          </w:rPr>
          <w:t>61/1997</w:t>
        </w:r>
      </w:hyperlink>
      <w:r>
        <w:t xml:space="preserve">, VP; </w:t>
      </w:r>
      <w:hyperlink w:anchor="SENTENCIA_1997_87" w:history="1">
        <w:r w:rsidRPr="00575662">
          <w:rPr>
            <w:rStyle w:val="TextoNormalCaracter"/>
          </w:rPr>
          <w:t>87/1997</w:t>
        </w:r>
      </w:hyperlink>
      <w:r>
        <w:t>, ff. 3, 4.</w:t>
      </w:r>
    </w:p>
    <w:p w:rsidR="00575662" w:rsidRDefault="00575662" w:rsidP="00575662">
      <w:pPr>
        <w:pStyle w:val="SangriaFrancesaArticulo"/>
      </w:pPr>
      <w:r w:rsidRPr="00575662">
        <w:rPr>
          <w:rStyle w:val="TextoNormalNegritaCaracter"/>
        </w:rPr>
        <w:t>Artículo 3.3.</w:t>
      </w:r>
      <w:r w:rsidRPr="00575662">
        <w:rPr>
          <w:rStyle w:val="TextoNormalCaracter"/>
        </w:rPr>
        <w:t>-</w:t>
      </w:r>
      <w:r>
        <w:t xml:space="preserve"> Sentencia </w:t>
      </w:r>
      <w:hyperlink w:anchor="SENTENCIA_1997_87" w:history="1">
        <w:r w:rsidRPr="00575662">
          <w:rPr>
            <w:rStyle w:val="TextoNormalCaracter"/>
          </w:rPr>
          <w:t>87/1997</w:t>
        </w:r>
      </w:hyperlink>
      <w:r>
        <w:t>, f. 6.</w:t>
      </w:r>
    </w:p>
    <w:p w:rsidR="00575662" w:rsidRDefault="00575662" w:rsidP="00575662">
      <w:pPr>
        <w:pStyle w:val="SangriaFrancesaArticulo"/>
      </w:pPr>
      <w:r w:rsidRPr="00575662">
        <w:rPr>
          <w:rStyle w:val="TextoNormalNegritaCaracter"/>
        </w:rPr>
        <w:t>Artículo 7.</w:t>
      </w:r>
      <w:r w:rsidRPr="00575662">
        <w:rPr>
          <w:rStyle w:val="TextoNormalCaracter"/>
        </w:rPr>
        <w:t>-</w:t>
      </w:r>
      <w:r>
        <w:t xml:space="preserve"> Sentencia </w:t>
      </w:r>
      <w:hyperlink w:anchor="SENTENCIA_1997_13" w:history="1">
        <w:r w:rsidRPr="00575662">
          <w:rPr>
            <w:rStyle w:val="TextoNormalCaracter"/>
          </w:rPr>
          <w:t>13/1997</w:t>
        </w:r>
      </w:hyperlink>
      <w:r>
        <w:t>, f. 3.</w:t>
      </w:r>
    </w:p>
    <w:p w:rsidR="00575662" w:rsidRDefault="00575662" w:rsidP="00575662">
      <w:pPr>
        <w:pStyle w:val="SangriaFrancesaArticulo"/>
      </w:pPr>
      <w:r w:rsidRPr="00575662">
        <w:rPr>
          <w:rStyle w:val="TextoNormalNegritaCaracter"/>
        </w:rPr>
        <w:t>Artículo 9.</w:t>
      </w:r>
      <w:r w:rsidRPr="00575662">
        <w:rPr>
          <w:rStyle w:val="TextoNormalCaracter"/>
        </w:rPr>
        <w:t>-</w:t>
      </w:r>
      <w:r>
        <w:t xml:space="preserve"> Sentencias </w:t>
      </w:r>
      <w:hyperlink w:anchor="SENTENCIA_1997_31" w:history="1">
        <w:r w:rsidRPr="00575662">
          <w:rPr>
            <w:rStyle w:val="TextoNormalCaracter"/>
          </w:rPr>
          <w:t>31/1997</w:t>
        </w:r>
      </w:hyperlink>
      <w:r>
        <w:t xml:space="preserve">, f. 1; </w:t>
      </w:r>
      <w:hyperlink w:anchor="SENTENCIA_1997_54" w:history="1">
        <w:r w:rsidRPr="00575662">
          <w:rPr>
            <w:rStyle w:val="TextoNormalCaracter"/>
          </w:rPr>
          <w:t>54/1997</w:t>
        </w:r>
      </w:hyperlink>
      <w:r>
        <w:t>, VP.</w:t>
      </w:r>
    </w:p>
    <w:p w:rsidR="00575662" w:rsidRDefault="00575662" w:rsidP="00575662">
      <w:pPr>
        <w:pStyle w:val="SangriaIzquierdaArticulo"/>
      </w:pPr>
      <w:r>
        <w:t xml:space="preserve">Auto </w:t>
      </w:r>
      <w:hyperlink w:anchor="AUTO_1997_32" w:history="1">
        <w:r w:rsidRPr="00575662">
          <w:rPr>
            <w:rStyle w:val="TextoNormalCaracter"/>
          </w:rPr>
          <w:t>32/1997</w:t>
        </w:r>
      </w:hyperlink>
      <w:r>
        <w:t>.</w:t>
      </w:r>
    </w:p>
    <w:p w:rsidR="00575662" w:rsidRDefault="00575662" w:rsidP="00575662">
      <w:pPr>
        <w:pStyle w:val="SangriaFrancesaArticulo"/>
      </w:pPr>
      <w:r w:rsidRPr="00575662">
        <w:rPr>
          <w:rStyle w:val="TextoNormalNegritaCaracter"/>
        </w:rPr>
        <w:t>Artículo 9.1.</w:t>
      </w:r>
      <w:r w:rsidRPr="00575662">
        <w:rPr>
          <w:rStyle w:val="TextoNormalCaracter"/>
        </w:rPr>
        <w:t>-</w:t>
      </w:r>
      <w:r>
        <w:t xml:space="preserve"> Sentencias </w:t>
      </w:r>
      <w:hyperlink w:anchor="SENTENCIA_1997_21" w:history="1">
        <w:r w:rsidRPr="00575662">
          <w:rPr>
            <w:rStyle w:val="TextoNormalCaracter"/>
          </w:rPr>
          <w:t>21/1997</w:t>
        </w:r>
      </w:hyperlink>
      <w:r>
        <w:t xml:space="preserve">, f. 2;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Artículo 9.3.</w:t>
      </w:r>
      <w:r w:rsidRPr="00575662">
        <w:rPr>
          <w:rStyle w:val="TextoNormalCaracter"/>
        </w:rPr>
        <w:t>-</w:t>
      </w:r>
      <w:r>
        <w:t xml:space="preserve"> Sentencias </w:t>
      </w:r>
      <w:hyperlink w:anchor="SENTENCIA_1997_6" w:history="1">
        <w:r w:rsidRPr="00575662">
          <w:rPr>
            <w:rStyle w:val="TextoNormalCaracter"/>
          </w:rPr>
          <w:t>6/1997</w:t>
        </w:r>
      </w:hyperlink>
      <w:r>
        <w:t xml:space="preserve">, f. 1; </w:t>
      </w:r>
      <w:hyperlink w:anchor="SENTENCIA_1997_38" w:history="1">
        <w:r w:rsidRPr="00575662">
          <w:rPr>
            <w:rStyle w:val="TextoNormalCaracter"/>
          </w:rPr>
          <w:t>38/1997</w:t>
        </w:r>
      </w:hyperlink>
      <w:r>
        <w:t xml:space="preserve">, ff. 1, 5, 6; </w:t>
      </w:r>
      <w:hyperlink w:anchor="SENTENCIA_1997_61" w:history="1">
        <w:r w:rsidRPr="00575662">
          <w:rPr>
            <w:rStyle w:val="TextoNormalCaracter"/>
          </w:rPr>
          <w:t>61/1997</w:t>
        </w:r>
      </w:hyperlink>
      <w:r>
        <w:t xml:space="preserve">, ff. 2, 25; </w:t>
      </w:r>
      <w:hyperlink w:anchor="SENTENCIA_1997_62" w:history="1">
        <w:r w:rsidRPr="00575662">
          <w:rPr>
            <w:rStyle w:val="TextoNormalCaracter"/>
          </w:rPr>
          <w:t>62/1997</w:t>
        </w:r>
      </w:hyperlink>
      <w:r>
        <w:t xml:space="preserve">, f. 4, VP; </w:t>
      </w:r>
      <w:hyperlink w:anchor="SENTENCIA_1997_63" w:history="1">
        <w:r w:rsidRPr="00575662">
          <w:rPr>
            <w:rStyle w:val="TextoNormalCaracter"/>
          </w:rPr>
          <w:t>63/1997</w:t>
        </w:r>
      </w:hyperlink>
      <w:r>
        <w:t>, f. 2.</w:t>
      </w:r>
    </w:p>
    <w:p w:rsidR="00575662" w:rsidRDefault="00575662" w:rsidP="00575662">
      <w:pPr>
        <w:pStyle w:val="SangriaIzquierdaArticulo"/>
      </w:pPr>
      <w:r>
        <w:t xml:space="preserve">Autos </w:t>
      </w:r>
      <w:hyperlink w:anchor="AUTO_1997_30" w:history="1">
        <w:r w:rsidRPr="00575662">
          <w:rPr>
            <w:rStyle w:val="TextoNormalCaracter"/>
          </w:rPr>
          <w:t>30/1997</w:t>
        </w:r>
      </w:hyperlink>
      <w:r>
        <w:t xml:space="preserve">; </w:t>
      </w:r>
      <w:hyperlink w:anchor="AUTO_1997_32" w:history="1">
        <w:r w:rsidRPr="00575662">
          <w:rPr>
            <w:rStyle w:val="TextoNormalCaracter"/>
          </w:rPr>
          <w:t>32/1997</w:t>
        </w:r>
      </w:hyperlink>
      <w:r>
        <w:t xml:space="preserve">; </w:t>
      </w:r>
      <w:hyperlink w:anchor="AUTO_1997_104" w:history="1">
        <w:r w:rsidRPr="00575662">
          <w:rPr>
            <w:rStyle w:val="TextoNormalCaracter"/>
          </w:rPr>
          <w:t>104/1997</w:t>
        </w:r>
      </w:hyperlink>
      <w:r>
        <w:t>.</w:t>
      </w:r>
    </w:p>
    <w:p w:rsidR="00575662" w:rsidRDefault="00575662" w:rsidP="00575662">
      <w:pPr>
        <w:pStyle w:val="SangriaFrancesaArticulo"/>
      </w:pPr>
      <w:r w:rsidRPr="00575662">
        <w:rPr>
          <w:rStyle w:val="TextoNormalNegritaCaracter"/>
        </w:rPr>
        <w:t>Artículo 10.1.</w:t>
      </w:r>
      <w:r w:rsidRPr="00575662">
        <w:rPr>
          <w:rStyle w:val="TextoNormalCaracter"/>
        </w:rPr>
        <w:t>-</w:t>
      </w:r>
      <w:r>
        <w:t xml:space="preserve"> Sentencias </w:t>
      </w:r>
      <w:hyperlink w:anchor="SENTENCIA_1997_3" w:history="1">
        <w:r w:rsidRPr="00575662">
          <w:rPr>
            <w:rStyle w:val="TextoNormalCaracter"/>
          </w:rPr>
          <w:t>3/1997</w:t>
        </w:r>
      </w:hyperlink>
      <w:r>
        <w:t xml:space="preserve">, f. 6; </w:t>
      </w:r>
      <w:hyperlink w:anchor="SENTENCIA_1997_34" w:history="1">
        <w:r w:rsidRPr="00575662">
          <w:rPr>
            <w:rStyle w:val="TextoNormalCaracter"/>
          </w:rPr>
          <w:t>34/1997</w:t>
        </w:r>
      </w:hyperlink>
      <w:r>
        <w:t xml:space="preserve">, f. 2; </w:t>
      </w:r>
      <w:hyperlink w:anchor="SENTENCIA_1997_56" w:history="1">
        <w:r w:rsidRPr="00575662">
          <w:rPr>
            <w:rStyle w:val="TextoNormalCaracter"/>
          </w:rPr>
          <w:t>56/1997</w:t>
        </w:r>
      </w:hyperlink>
      <w:r>
        <w:t xml:space="preserve">, f. 10; </w:t>
      </w:r>
      <w:hyperlink w:anchor="SENTENCIA_1997_61" w:history="1">
        <w:r w:rsidRPr="00575662">
          <w:rPr>
            <w:rStyle w:val="TextoNormalCaracter"/>
          </w:rPr>
          <w:t>61/1997</w:t>
        </w:r>
      </w:hyperlink>
      <w:r>
        <w:t>, f. 7.</w:t>
      </w:r>
    </w:p>
    <w:p w:rsidR="00575662" w:rsidRDefault="00575662" w:rsidP="00575662">
      <w:pPr>
        <w:pStyle w:val="SangriaIzquierdaArticulo"/>
      </w:pPr>
      <w:r>
        <w:t xml:space="preserve">Auto </w:t>
      </w:r>
      <w:hyperlink w:anchor="AUTO_1997_63" w:history="1">
        <w:r w:rsidRPr="00575662">
          <w:rPr>
            <w:rStyle w:val="TextoNormalCaracter"/>
          </w:rPr>
          <w:t>63/1997</w:t>
        </w:r>
      </w:hyperlink>
      <w:r>
        <w:t>.</w:t>
      </w:r>
    </w:p>
    <w:p w:rsidR="00575662" w:rsidRDefault="00575662" w:rsidP="00575662">
      <w:pPr>
        <w:pStyle w:val="SangriaFrancesaArticulo"/>
      </w:pPr>
      <w:r w:rsidRPr="00575662">
        <w:rPr>
          <w:rStyle w:val="TextoNormalNegritaCaracter"/>
        </w:rPr>
        <w:t>Artículo 10.2.</w:t>
      </w:r>
      <w:r w:rsidRPr="00575662">
        <w:rPr>
          <w:rStyle w:val="TextoNormalCaracter"/>
        </w:rPr>
        <w:t>-</w:t>
      </w:r>
      <w:r>
        <w:t xml:space="preserve"> Sentencia </w:t>
      </w:r>
      <w:hyperlink w:anchor="SENTENCIA_1997_21" w:history="1">
        <w:r w:rsidRPr="00575662">
          <w:rPr>
            <w:rStyle w:val="TextoNormalCaracter"/>
          </w:rPr>
          <w:t>21/1997</w:t>
        </w:r>
      </w:hyperlink>
      <w:r>
        <w:t>, f. 2.</w:t>
      </w:r>
    </w:p>
    <w:p w:rsidR="00575662" w:rsidRDefault="00575662" w:rsidP="00575662">
      <w:pPr>
        <w:pStyle w:val="SangriaFrancesaArticulo"/>
      </w:pPr>
      <w:r w:rsidRPr="00575662">
        <w:rPr>
          <w:rStyle w:val="TextoNormalNegritaCaracter"/>
        </w:rPr>
        <w:t>Artículo 12.</w:t>
      </w:r>
      <w:r w:rsidRPr="00575662">
        <w:rPr>
          <w:rStyle w:val="TextoNormalCaracter"/>
        </w:rPr>
        <w:t>-</w:t>
      </w:r>
      <w:r>
        <w:t xml:space="preserve"> Auto </w:t>
      </w:r>
      <w:hyperlink w:anchor="AUTO_1997_77" w:history="1">
        <w:r w:rsidRPr="00575662">
          <w:rPr>
            <w:rStyle w:val="TextoNormalCaracter"/>
          </w:rPr>
          <w:t>77/1997</w:t>
        </w:r>
      </w:hyperlink>
      <w:r>
        <w:t>.</w:t>
      </w:r>
    </w:p>
    <w:p w:rsidR="00575662" w:rsidRDefault="00575662" w:rsidP="00575662">
      <w:pPr>
        <w:pStyle w:val="SangriaFrancesaArticulo"/>
      </w:pPr>
      <w:r w:rsidRPr="00575662">
        <w:rPr>
          <w:rStyle w:val="TextoNormalNegritaCaracter"/>
        </w:rPr>
        <w:t>Artículo 14.</w:t>
      </w:r>
      <w:r w:rsidRPr="00575662">
        <w:rPr>
          <w:rStyle w:val="TextoNormalCaracter"/>
        </w:rPr>
        <w:t>-</w:t>
      </w:r>
      <w:r>
        <w:t xml:space="preserve"> Sentencias </w:t>
      </w:r>
      <w:hyperlink w:anchor="SENTENCIA_1997_1" w:history="1">
        <w:r w:rsidRPr="00575662">
          <w:rPr>
            <w:rStyle w:val="TextoNormalCaracter"/>
          </w:rPr>
          <w:t>1/1997</w:t>
        </w:r>
      </w:hyperlink>
      <w:r>
        <w:t xml:space="preserve">, f. 2; </w:t>
      </w:r>
      <w:hyperlink w:anchor="SENTENCIA_1997_23" w:history="1">
        <w:r w:rsidRPr="00575662">
          <w:rPr>
            <w:rStyle w:val="TextoNormalCaracter"/>
          </w:rPr>
          <w:t>23/1997</w:t>
        </w:r>
      </w:hyperlink>
      <w:r>
        <w:t xml:space="preserve">, ff. 1, 2, 5, 6; </w:t>
      </w:r>
      <w:hyperlink w:anchor="SENTENCIA_1997_28" w:history="1">
        <w:r w:rsidRPr="00575662">
          <w:rPr>
            <w:rStyle w:val="TextoNormalCaracter"/>
          </w:rPr>
          <w:t>28/1997</w:t>
        </w:r>
      </w:hyperlink>
      <w:r>
        <w:t xml:space="preserve">, ff. 1, 7; </w:t>
      </w:r>
      <w:hyperlink w:anchor="SENTENCIA_1997_30" w:history="1">
        <w:r w:rsidRPr="00575662">
          <w:rPr>
            <w:rStyle w:val="TextoNormalCaracter"/>
          </w:rPr>
          <w:t>30/1997</w:t>
        </w:r>
      </w:hyperlink>
      <w:r>
        <w:t xml:space="preserve">, f. 1; </w:t>
      </w:r>
      <w:hyperlink w:anchor="SENTENCIA_1997_34" w:history="1">
        <w:r w:rsidRPr="00575662">
          <w:rPr>
            <w:rStyle w:val="TextoNormalCaracter"/>
          </w:rPr>
          <w:t>34/1997</w:t>
        </w:r>
      </w:hyperlink>
      <w:r>
        <w:t xml:space="preserve">, f. 3; </w:t>
      </w:r>
      <w:hyperlink w:anchor="SENTENCIA_1997_50" w:history="1">
        <w:r w:rsidRPr="00575662">
          <w:rPr>
            <w:rStyle w:val="TextoNormalCaracter"/>
          </w:rPr>
          <w:t>50/1997</w:t>
        </w:r>
      </w:hyperlink>
      <w:r>
        <w:t xml:space="preserve">, ff. 1, 6; </w:t>
      </w:r>
      <w:hyperlink w:anchor="SENTENCIA_1997_61" w:history="1">
        <w:r w:rsidRPr="00575662">
          <w:rPr>
            <w:rStyle w:val="TextoNormalCaracter"/>
          </w:rPr>
          <w:t>61/1997</w:t>
        </w:r>
      </w:hyperlink>
      <w:r>
        <w:t xml:space="preserve">, ff. 7, 17, 24, VP; </w:t>
      </w:r>
      <w:hyperlink w:anchor="SENTENCIA_1997_62" w:history="1">
        <w:r w:rsidRPr="00575662">
          <w:rPr>
            <w:rStyle w:val="TextoNormalCaracter"/>
          </w:rPr>
          <w:t>62/1997</w:t>
        </w:r>
      </w:hyperlink>
      <w:r>
        <w:t xml:space="preserve">, f. 1; </w:t>
      </w:r>
      <w:hyperlink w:anchor="SENTENCIA_1997_72" w:history="1">
        <w:r w:rsidRPr="00575662">
          <w:rPr>
            <w:rStyle w:val="TextoNormalCaracter"/>
          </w:rPr>
          <w:t>72/1997</w:t>
        </w:r>
      </w:hyperlink>
      <w:r>
        <w:t xml:space="preserve">, f. 1; </w:t>
      </w:r>
      <w:hyperlink w:anchor="SENTENCIA_1997_74" w:history="1">
        <w:r w:rsidRPr="00575662">
          <w:rPr>
            <w:rStyle w:val="TextoNormalCaracter"/>
          </w:rPr>
          <w:t>74/1997</w:t>
        </w:r>
      </w:hyperlink>
      <w:r>
        <w:t xml:space="preserve">, ff. 1, 2, 4, 5, VP; </w:t>
      </w:r>
      <w:hyperlink w:anchor="SENTENCIA_1997_78" w:history="1">
        <w:r w:rsidRPr="00575662">
          <w:rPr>
            <w:rStyle w:val="TextoNormalCaracter"/>
          </w:rPr>
          <w:t>78/1997</w:t>
        </w:r>
      </w:hyperlink>
      <w:r>
        <w:t xml:space="preserve">, f. 5; </w:t>
      </w:r>
      <w:hyperlink w:anchor="SENTENCIA_1997_79" w:history="1">
        <w:r w:rsidRPr="00575662">
          <w:rPr>
            <w:rStyle w:val="TextoNormalCaracter"/>
          </w:rPr>
          <w:t>79/1997</w:t>
        </w:r>
      </w:hyperlink>
      <w:r>
        <w:t xml:space="preserve">, ff. 1, 3; </w:t>
      </w:r>
      <w:hyperlink w:anchor="SENTENCIA_1997_80" w:history="1">
        <w:r w:rsidRPr="00575662">
          <w:rPr>
            <w:rStyle w:val="TextoNormalCaracter"/>
          </w:rPr>
          <w:t>80/1997</w:t>
        </w:r>
      </w:hyperlink>
      <w:r>
        <w:t xml:space="preserve">, f. 1; </w:t>
      </w:r>
      <w:hyperlink w:anchor="SENTENCIA_1997_81" w:history="1">
        <w:r w:rsidRPr="00575662">
          <w:rPr>
            <w:rStyle w:val="TextoNormalCaracter"/>
          </w:rPr>
          <w:t>81/1997</w:t>
        </w:r>
      </w:hyperlink>
      <w:r>
        <w:t xml:space="preserve">, ff. 1, 2; </w:t>
      </w:r>
      <w:hyperlink w:anchor="SENTENCIA_1997_82" w:history="1">
        <w:r w:rsidRPr="00575662">
          <w:rPr>
            <w:rStyle w:val="TextoNormalCaracter"/>
          </w:rPr>
          <w:t>82/1997</w:t>
        </w:r>
      </w:hyperlink>
      <w:r>
        <w:t>, ff. 1 a 4.</w:t>
      </w:r>
    </w:p>
    <w:p w:rsidR="00575662" w:rsidRDefault="00575662" w:rsidP="00575662">
      <w:pPr>
        <w:pStyle w:val="SangriaIzquierdaArticulo"/>
      </w:pPr>
      <w:r>
        <w:lastRenderedPageBreak/>
        <w:t xml:space="preserve">Autos </w:t>
      </w:r>
      <w:hyperlink w:anchor="AUTO_1997_15" w:history="1">
        <w:r w:rsidRPr="00575662">
          <w:rPr>
            <w:rStyle w:val="TextoNormalCaracter"/>
          </w:rPr>
          <w:t>15/1997</w:t>
        </w:r>
      </w:hyperlink>
      <w:r>
        <w:t xml:space="preserve">; </w:t>
      </w:r>
      <w:hyperlink w:anchor="AUTO_1997_25" w:history="1">
        <w:r w:rsidRPr="00575662">
          <w:rPr>
            <w:rStyle w:val="TextoNormalCaracter"/>
          </w:rPr>
          <w:t>25/1997</w:t>
        </w:r>
      </w:hyperlink>
      <w:r>
        <w:t xml:space="preserve">; </w:t>
      </w:r>
      <w:hyperlink w:anchor="AUTO_1997_32" w:history="1">
        <w:r w:rsidRPr="00575662">
          <w:rPr>
            <w:rStyle w:val="TextoNormalCaracter"/>
          </w:rPr>
          <w:t>32/1997</w:t>
        </w:r>
      </w:hyperlink>
      <w:r>
        <w:t xml:space="preserve">; </w:t>
      </w:r>
      <w:hyperlink w:anchor="AUTO_1997_45" w:history="1">
        <w:r w:rsidRPr="00575662">
          <w:rPr>
            <w:rStyle w:val="TextoNormalCaracter"/>
          </w:rPr>
          <w:t>45/1997</w:t>
        </w:r>
      </w:hyperlink>
      <w:r>
        <w:t xml:space="preserve">, VP; </w:t>
      </w:r>
      <w:hyperlink w:anchor="AUTO_1997_60" w:history="1">
        <w:r w:rsidRPr="00575662">
          <w:rPr>
            <w:rStyle w:val="TextoNormalCaracter"/>
          </w:rPr>
          <w:t>60/1997</w:t>
        </w:r>
      </w:hyperlink>
      <w:r>
        <w:t xml:space="preserve">; </w:t>
      </w:r>
      <w:hyperlink w:anchor="AUTO_1997_65" w:history="1">
        <w:r w:rsidRPr="00575662">
          <w:rPr>
            <w:rStyle w:val="TextoNormalCaracter"/>
          </w:rPr>
          <w:t>65/1997</w:t>
        </w:r>
      </w:hyperlink>
      <w:r>
        <w:t xml:space="preserve">; </w:t>
      </w:r>
      <w:hyperlink w:anchor="AUTO_1997_77" w:history="1">
        <w:r w:rsidRPr="00575662">
          <w:rPr>
            <w:rStyle w:val="TextoNormalCaracter"/>
          </w:rPr>
          <w:t>77/1997</w:t>
        </w:r>
      </w:hyperlink>
      <w:r>
        <w:t xml:space="preserve">; </w:t>
      </w:r>
      <w:hyperlink w:anchor="AUTO_1997_94" w:history="1">
        <w:r w:rsidRPr="00575662">
          <w:rPr>
            <w:rStyle w:val="TextoNormalCaracter"/>
          </w:rPr>
          <w:t>94/1997</w:t>
        </w:r>
      </w:hyperlink>
      <w:r>
        <w:t xml:space="preserve">; </w:t>
      </w:r>
      <w:hyperlink w:anchor="AUTO_1997_100" w:history="1">
        <w:r w:rsidRPr="00575662">
          <w:rPr>
            <w:rStyle w:val="TextoNormalCaracter"/>
          </w:rPr>
          <w:t>100/1997</w:t>
        </w:r>
      </w:hyperlink>
      <w:r>
        <w:t xml:space="preserve">; </w:t>
      </w:r>
      <w:hyperlink w:anchor="AUTO_1997_118" w:history="1">
        <w:r w:rsidRPr="00575662">
          <w:rPr>
            <w:rStyle w:val="TextoNormalCaracter"/>
          </w:rPr>
          <w:t>118/1997</w:t>
        </w:r>
      </w:hyperlink>
      <w:r>
        <w:t xml:space="preserve">; </w:t>
      </w:r>
      <w:hyperlink w:anchor="AUTO_1997_119" w:history="1">
        <w:r w:rsidRPr="00575662">
          <w:rPr>
            <w:rStyle w:val="TextoNormalCaracter"/>
          </w:rPr>
          <w:t>119/1997</w:t>
        </w:r>
      </w:hyperlink>
      <w:r>
        <w:t>.</w:t>
      </w:r>
    </w:p>
    <w:p w:rsidR="00575662" w:rsidRDefault="00575662" w:rsidP="00575662">
      <w:pPr>
        <w:pStyle w:val="SangriaFrancesaArticulo"/>
      </w:pPr>
      <w:r w:rsidRPr="00575662">
        <w:rPr>
          <w:rStyle w:val="TextoNormalNegritaCaracter"/>
        </w:rPr>
        <w:t>Artículo 16.</w:t>
      </w:r>
      <w:r w:rsidRPr="00575662">
        <w:rPr>
          <w:rStyle w:val="TextoNormalCaracter"/>
        </w:rPr>
        <w:t>-</w:t>
      </w:r>
      <w:r>
        <w:t xml:space="preserve"> Sentencia </w:t>
      </w:r>
      <w:hyperlink w:anchor="SENTENCIA_1997_41" w:history="1">
        <w:r w:rsidRPr="00575662">
          <w:rPr>
            <w:rStyle w:val="TextoNormalCaracter"/>
          </w:rPr>
          <w:t>41/1997</w:t>
        </w:r>
      </w:hyperlink>
      <w:r>
        <w:t>, f. 1.</w:t>
      </w:r>
    </w:p>
    <w:p w:rsidR="00575662" w:rsidRDefault="00575662" w:rsidP="00575662">
      <w:pPr>
        <w:pStyle w:val="SangriaFrancesaArticulo"/>
      </w:pPr>
      <w:r w:rsidRPr="00575662">
        <w:rPr>
          <w:rStyle w:val="TextoNormalNegritaCaracter"/>
        </w:rPr>
        <w:t>Artículo 16.3.</w:t>
      </w:r>
      <w:r w:rsidRPr="00575662">
        <w:rPr>
          <w:rStyle w:val="TextoNormalCaracter"/>
        </w:rPr>
        <w:t>-</w:t>
      </w:r>
      <w:r>
        <w:t xml:space="preserve"> Sentencia </w:t>
      </w:r>
      <w:hyperlink w:anchor="SENTENCIA_1997_6" w:history="1">
        <w:r w:rsidRPr="00575662">
          <w:rPr>
            <w:rStyle w:val="TextoNormalCaracter"/>
          </w:rPr>
          <w:t>6/1997</w:t>
        </w:r>
      </w:hyperlink>
      <w:r>
        <w:t>, f. 6.</w:t>
      </w:r>
    </w:p>
    <w:p w:rsidR="00575662" w:rsidRDefault="00575662" w:rsidP="00575662">
      <w:pPr>
        <w:pStyle w:val="SangriaFrancesaArticulo"/>
      </w:pPr>
      <w:r w:rsidRPr="00575662">
        <w:rPr>
          <w:rStyle w:val="TextoNormalNegritaCaracter"/>
        </w:rPr>
        <w:t>Artículo 17.</w:t>
      </w:r>
      <w:r w:rsidRPr="00575662">
        <w:rPr>
          <w:rStyle w:val="TextoNormalCaracter"/>
        </w:rPr>
        <w:t>-</w:t>
      </w:r>
      <w:r>
        <w:t xml:space="preserve"> Sentencias </w:t>
      </w:r>
      <w:hyperlink w:anchor="SENTENCIA_1997_21" w:history="1">
        <w:r w:rsidRPr="00575662">
          <w:rPr>
            <w:rStyle w:val="TextoNormalCaracter"/>
          </w:rPr>
          <w:t>21/1997</w:t>
        </w:r>
      </w:hyperlink>
      <w:r>
        <w:t xml:space="preserve">, f. 2; </w:t>
      </w:r>
      <w:hyperlink w:anchor="SENTENCIA_1997_27" w:history="1">
        <w:r w:rsidRPr="00575662">
          <w:rPr>
            <w:rStyle w:val="TextoNormalCaracter"/>
          </w:rPr>
          <w:t>27/1997</w:t>
        </w:r>
      </w:hyperlink>
      <w:r>
        <w:t xml:space="preserve">, f. 2, VP; </w:t>
      </w:r>
      <w:hyperlink w:anchor="SENTENCIA_1997_41" w:history="1">
        <w:r w:rsidRPr="00575662">
          <w:rPr>
            <w:rStyle w:val="TextoNormalCaracter"/>
          </w:rPr>
          <w:t>41/1997</w:t>
        </w:r>
      </w:hyperlink>
      <w:r>
        <w:t xml:space="preserve">, f. 1; </w:t>
      </w:r>
      <w:hyperlink w:anchor="SENTENCIA_1997_45" w:history="1">
        <w:r w:rsidRPr="00575662">
          <w:rPr>
            <w:rStyle w:val="TextoNormalCaracter"/>
          </w:rPr>
          <w:t>45/1997</w:t>
        </w:r>
      </w:hyperlink>
      <w:r>
        <w:t xml:space="preserve">, f. 1; </w:t>
      </w:r>
      <w:hyperlink w:anchor="SENTENCIA_1997_56" w:history="1">
        <w:r w:rsidRPr="00575662">
          <w:rPr>
            <w:rStyle w:val="TextoNormalCaracter"/>
          </w:rPr>
          <w:t>56/1997</w:t>
        </w:r>
      </w:hyperlink>
      <w:r>
        <w:t xml:space="preserve">, ff. 1, 3 a 5, 9; </w:t>
      </w:r>
      <w:hyperlink w:anchor="SENTENCIA_1997_66" w:history="1">
        <w:r w:rsidRPr="00575662">
          <w:rPr>
            <w:rStyle w:val="TextoNormalCaracter"/>
          </w:rPr>
          <w:t>66/1997</w:t>
        </w:r>
      </w:hyperlink>
      <w:r>
        <w:t xml:space="preserve">, ff. 2, 3, 6; </w:t>
      </w:r>
      <w:hyperlink w:anchor="SENTENCIA_1997_67" w:history="1">
        <w:r w:rsidRPr="00575662">
          <w:rPr>
            <w:rStyle w:val="TextoNormalCaracter"/>
          </w:rPr>
          <w:t>67/1997</w:t>
        </w:r>
      </w:hyperlink>
      <w:r>
        <w:t xml:space="preserve">, F. 2; </w:t>
      </w:r>
      <w:hyperlink w:anchor="SENTENCIA_1997_81" w:history="1">
        <w:r w:rsidRPr="00575662">
          <w:rPr>
            <w:rStyle w:val="TextoNormalCaracter"/>
          </w:rPr>
          <w:t>81/1997</w:t>
        </w:r>
      </w:hyperlink>
      <w:r>
        <w:t>, f. 1.</w:t>
      </w:r>
    </w:p>
    <w:p w:rsidR="00575662" w:rsidRDefault="00575662" w:rsidP="00575662">
      <w:pPr>
        <w:pStyle w:val="SangriaIzquierdaArticulo"/>
      </w:pPr>
      <w:r>
        <w:t xml:space="preserve">Autos </w:t>
      </w:r>
      <w:hyperlink w:anchor="AUTO_1997_4" w:history="1">
        <w:r w:rsidRPr="00575662">
          <w:rPr>
            <w:rStyle w:val="TextoNormalCaracter"/>
          </w:rPr>
          <w:t>4/1997</w:t>
        </w:r>
      </w:hyperlink>
      <w:r>
        <w:t xml:space="preserve">; </w:t>
      </w:r>
      <w:hyperlink w:anchor="AUTO_1997_33" w:history="1">
        <w:r w:rsidRPr="00575662">
          <w:rPr>
            <w:rStyle w:val="TextoNormalCaracter"/>
          </w:rPr>
          <w:t>33/1997</w:t>
        </w:r>
      </w:hyperlink>
      <w:r>
        <w:t>.</w:t>
      </w:r>
    </w:p>
    <w:p w:rsidR="00575662" w:rsidRDefault="00575662" w:rsidP="00575662">
      <w:pPr>
        <w:pStyle w:val="SangriaFrancesaArticulo"/>
      </w:pPr>
      <w:r w:rsidRPr="00575662">
        <w:rPr>
          <w:rStyle w:val="TextoNormalNegritaCaracter"/>
        </w:rPr>
        <w:t>Artículo 17.1.</w:t>
      </w:r>
      <w:r w:rsidRPr="00575662">
        <w:rPr>
          <w:rStyle w:val="TextoNormalCaracter"/>
        </w:rPr>
        <w:t>-</w:t>
      </w:r>
      <w:r>
        <w:t xml:space="preserve"> Sentencias </w:t>
      </w:r>
      <w:hyperlink w:anchor="SENTENCIA_1997_2" w:history="1">
        <w:r w:rsidRPr="00575662">
          <w:rPr>
            <w:rStyle w:val="TextoNormalCaracter"/>
          </w:rPr>
          <w:t>2/1997</w:t>
        </w:r>
      </w:hyperlink>
      <w:r>
        <w:t xml:space="preserve">, f. 4; </w:t>
      </w:r>
      <w:hyperlink w:anchor="SENTENCIA_1997_21" w:history="1">
        <w:r w:rsidRPr="00575662">
          <w:rPr>
            <w:rStyle w:val="TextoNormalCaracter"/>
          </w:rPr>
          <w:t>21/1997</w:t>
        </w:r>
      </w:hyperlink>
      <w:r>
        <w:t xml:space="preserve">, ff. 1, 3, 4; </w:t>
      </w:r>
      <w:hyperlink w:anchor="SENTENCIA_1997_44" w:history="1">
        <w:r w:rsidRPr="00575662">
          <w:rPr>
            <w:rStyle w:val="TextoNormalCaracter"/>
          </w:rPr>
          <w:t>44/1997</w:t>
        </w:r>
      </w:hyperlink>
      <w:r>
        <w:t xml:space="preserve">, ff. 4, 5; </w:t>
      </w:r>
      <w:hyperlink w:anchor="SENTENCIA_1997_56" w:history="1">
        <w:r w:rsidRPr="00575662">
          <w:rPr>
            <w:rStyle w:val="TextoNormalCaracter"/>
          </w:rPr>
          <w:t>56/1997</w:t>
        </w:r>
      </w:hyperlink>
      <w:r>
        <w:t xml:space="preserve">, ff. 4, 9, 10, VP III; </w:t>
      </w:r>
      <w:hyperlink w:anchor="SENTENCIA_1997_66" w:history="1">
        <w:r w:rsidRPr="00575662">
          <w:rPr>
            <w:rStyle w:val="TextoNormalCaracter"/>
          </w:rPr>
          <w:t>66/1997</w:t>
        </w:r>
      </w:hyperlink>
      <w:r>
        <w:t xml:space="preserve">, f. 4; </w:t>
      </w:r>
      <w:hyperlink w:anchor="SENTENCIA_1997_67" w:history="1">
        <w:r w:rsidRPr="00575662">
          <w:rPr>
            <w:rStyle w:val="TextoNormalCaracter"/>
          </w:rPr>
          <w:t>67/1997</w:t>
        </w:r>
      </w:hyperlink>
      <w:r>
        <w:t xml:space="preserve">, f. 3; </w:t>
      </w:r>
      <w:hyperlink w:anchor="SENTENCIA_1997_68" w:history="1">
        <w:r w:rsidRPr="00575662">
          <w:rPr>
            <w:rStyle w:val="TextoNormalCaracter"/>
          </w:rPr>
          <w:t>68/1997</w:t>
        </w:r>
      </w:hyperlink>
      <w:r>
        <w:t xml:space="preserve">, f. 1; </w:t>
      </w:r>
      <w:hyperlink w:anchor="SENTENCIA_1997_81" w:history="1">
        <w:r w:rsidRPr="00575662">
          <w:rPr>
            <w:rStyle w:val="TextoNormalCaracter"/>
          </w:rPr>
          <w:t>81/1997</w:t>
        </w:r>
      </w:hyperlink>
      <w:r>
        <w:t>, ff. 3, 4.</w:t>
      </w:r>
    </w:p>
    <w:p w:rsidR="00575662" w:rsidRDefault="00575662" w:rsidP="00575662">
      <w:pPr>
        <w:pStyle w:val="SangriaIzquierdaArticulo"/>
      </w:pPr>
      <w:r>
        <w:t xml:space="preserve">Autos </w:t>
      </w:r>
      <w:hyperlink w:anchor="AUTO_1997_106" w:history="1">
        <w:r w:rsidRPr="00575662">
          <w:rPr>
            <w:rStyle w:val="TextoNormalCaracter"/>
          </w:rPr>
          <w:t>106/1997</w:t>
        </w:r>
      </w:hyperlink>
      <w:r>
        <w:t xml:space="preserve">; </w:t>
      </w:r>
      <w:hyperlink w:anchor="AUTO_1997_115" w:history="1">
        <w:r w:rsidRPr="00575662">
          <w:rPr>
            <w:rStyle w:val="TextoNormalCaracter"/>
          </w:rPr>
          <w:t>115/1997</w:t>
        </w:r>
      </w:hyperlink>
      <w:r>
        <w:t xml:space="preserve">; </w:t>
      </w:r>
      <w:hyperlink w:anchor="AUTO_1997_118" w:history="1">
        <w:r w:rsidRPr="00575662">
          <w:rPr>
            <w:rStyle w:val="TextoNormalCaracter"/>
          </w:rPr>
          <w:t>118/1997</w:t>
        </w:r>
      </w:hyperlink>
      <w:r>
        <w:t xml:space="preserve">; </w:t>
      </w:r>
      <w:hyperlink w:anchor="AUTO_1997_119" w:history="1">
        <w:r w:rsidRPr="00575662">
          <w:rPr>
            <w:rStyle w:val="TextoNormalCaracter"/>
          </w:rPr>
          <w:t>119/1997</w:t>
        </w:r>
      </w:hyperlink>
      <w:r>
        <w:t>.</w:t>
      </w:r>
    </w:p>
    <w:p w:rsidR="00575662" w:rsidRDefault="00575662" w:rsidP="00575662">
      <w:pPr>
        <w:pStyle w:val="SangriaFrancesaArticulo"/>
      </w:pPr>
      <w:r w:rsidRPr="00575662">
        <w:rPr>
          <w:rStyle w:val="TextoNormalNegritaCaracter"/>
        </w:rPr>
        <w:t>Artículo 17.2.</w:t>
      </w:r>
      <w:r w:rsidRPr="00575662">
        <w:rPr>
          <w:rStyle w:val="TextoNormalCaracter"/>
        </w:rPr>
        <w:t>-</w:t>
      </w:r>
      <w:r>
        <w:t xml:space="preserve"> Sentencias </w:t>
      </w:r>
      <w:hyperlink w:anchor="SENTENCIA_1997_21" w:history="1">
        <w:r w:rsidRPr="00575662">
          <w:rPr>
            <w:rStyle w:val="TextoNormalCaracter"/>
          </w:rPr>
          <w:t>21/1997</w:t>
        </w:r>
      </w:hyperlink>
      <w:r>
        <w:t xml:space="preserve">, ff. 1, 4; </w:t>
      </w:r>
      <w:hyperlink w:anchor="SENTENCIA_1997_56" w:history="1">
        <w:r w:rsidRPr="00575662">
          <w:rPr>
            <w:rStyle w:val="TextoNormalCaracter"/>
          </w:rPr>
          <w:t>56/1997</w:t>
        </w:r>
      </w:hyperlink>
      <w:r>
        <w:t>, f. 4.</w:t>
      </w:r>
    </w:p>
    <w:p w:rsidR="00575662" w:rsidRDefault="00575662" w:rsidP="00575662">
      <w:pPr>
        <w:pStyle w:val="SangriaFrancesaArticulo"/>
      </w:pPr>
      <w:r w:rsidRPr="00575662">
        <w:rPr>
          <w:rStyle w:val="TextoNormalNegritaCaracter"/>
        </w:rPr>
        <w:t>Artículo 17.3.</w:t>
      </w:r>
      <w:r w:rsidRPr="00575662">
        <w:rPr>
          <w:rStyle w:val="TextoNormalCaracter"/>
        </w:rPr>
        <w:t>-</w:t>
      </w:r>
      <w:r>
        <w:t xml:space="preserve"> Sentencias </w:t>
      </w:r>
      <w:hyperlink w:anchor="SENTENCIA_1997_21" w:history="1">
        <w:r w:rsidRPr="00575662">
          <w:rPr>
            <w:rStyle w:val="TextoNormalCaracter"/>
          </w:rPr>
          <w:t>21/1997</w:t>
        </w:r>
      </w:hyperlink>
      <w:r>
        <w:t xml:space="preserve">, ff. 1, 5; </w:t>
      </w:r>
      <w:hyperlink w:anchor="SENTENCIA_1997_41" w:history="1">
        <w:r w:rsidRPr="00575662">
          <w:rPr>
            <w:rStyle w:val="TextoNormalCaracter"/>
          </w:rPr>
          <w:t>41/1997</w:t>
        </w:r>
      </w:hyperlink>
      <w:r>
        <w:t xml:space="preserve">, f. 9; </w:t>
      </w:r>
      <w:hyperlink w:anchor="SENTENCIA_1997_56" w:history="1">
        <w:r w:rsidRPr="00575662">
          <w:rPr>
            <w:rStyle w:val="TextoNormalCaracter"/>
          </w:rPr>
          <w:t>56/1997</w:t>
        </w:r>
      </w:hyperlink>
      <w:r>
        <w:t>, f. 4.</w:t>
      </w:r>
    </w:p>
    <w:p w:rsidR="00575662" w:rsidRDefault="00575662" w:rsidP="00575662">
      <w:pPr>
        <w:pStyle w:val="SangriaFrancesaArticulo"/>
      </w:pPr>
      <w:r w:rsidRPr="00575662">
        <w:rPr>
          <w:rStyle w:val="TextoNormalNegritaCaracter"/>
        </w:rPr>
        <w:t>Artículo 17.4.</w:t>
      </w:r>
      <w:r w:rsidRPr="00575662">
        <w:rPr>
          <w:rStyle w:val="TextoNormalCaracter"/>
        </w:rPr>
        <w:t>-</w:t>
      </w:r>
      <w:r>
        <w:t xml:space="preserve"> Sentencias </w:t>
      </w:r>
      <w:hyperlink w:anchor="SENTENCIA_1997_21" w:history="1">
        <w:r w:rsidRPr="00575662">
          <w:rPr>
            <w:rStyle w:val="TextoNormalCaracter"/>
          </w:rPr>
          <w:t>21/1997</w:t>
        </w:r>
      </w:hyperlink>
      <w:r>
        <w:t xml:space="preserve">, f. 6; </w:t>
      </w:r>
      <w:hyperlink w:anchor="SENTENCIA_1997_44" w:history="1">
        <w:r w:rsidRPr="00575662">
          <w:rPr>
            <w:rStyle w:val="TextoNormalCaracter"/>
          </w:rPr>
          <w:t>44/1997</w:t>
        </w:r>
      </w:hyperlink>
      <w:r>
        <w:t xml:space="preserve">, f. 5; </w:t>
      </w:r>
      <w:hyperlink w:anchor="SENTENCIA_1997_56" w:history="1">
        <w:r w:rsidRPr="00575662">
          <w:rPr>
            <w:rStyle w:val="TextoNormalCaracter"/>
          </w:rPr>
          <w:t>56/1997</w:t>
        </w:r>
      </w:hyperlink>
      <w:r>
        <w:t xml:space="preserve">, ff. 4 a 7, 9 a 11, VP I, VP II, VP III; </w:t>
      </w:r>
      <w:hyperlink w:anchor="SENTENCIA_1997_66" w:history="1">
        <w:r w:rsidRPr="00575662">
          <w:rPr>
            <w:rStyle w:val="TextoNormalCaracter"/>
          </w:rPr>
          <w:t>66/1997</w:t>
        </w:r>
      </w:hyperlink>
      <w:r>
        <w:t>, f. 4.</w:t>
      </w:r>
    </w:p>
    <w:p w:rsidR="00575662" w:rsidRDefault="00575662" w:rsidP="00575662">
      <w:pPr>
        <w:pStyle w:val="SangriaIzquierdaArticulo"/>
      </w:pPr>
      <w:r>
        <w:t xml:space="preserve">Auto </w:t>
      </w:r>
      <w:hyperlink w:anchor="AUTO_1997_115" w:history="1">
        <w:r w:rsidRPr="00575662">
          <w:rPr>
            <w:rStyle w:val="TextoNormalCaracter"/>
          </w:rPr>
          <w:t>115/1997</w:t>
        </w:r>
      </w:hyperlink>
      <w:r>
        <w:t>.</w:t>
      </w:r>
    </w:p>
    <w:p w:rsidR="00575662" w:rsidRDefault="00575662" w:rsidP="00575662">
      <w:pPr>
        <w:pStyle w:val="SangriaFrancesaArticulo"/>
      </w:pPr>
      <w:r w:rsidRPr="00575662">
        <w:rPr>
          <w:rStyle w:val="TextoNormalNegritaCaracter"/>
        </w:rPr>
        <w:t>Artículo 18.1.</w:t>
      </w:r>
      <w:r w:rsidRPr="00575662">
        <w:rPr>
          <w:rStyle w:val="TextoNormalCaracter"/>
        </w:rPr>
        <w:t>-</w:t>
      </w:r>
      <w:r>
        <w:t xml:space="preserve"> Sentencia </w:t>
      </w:r>
      <w:hyperlink w:anchor="SENTENCIA_1997_3" w:history="1">
        <w:r w:rsidRPr="00575662">
          <w:rPr>
            <w:rStyle w:val="TextoNormalCaracter"/>
          </w:rPr>
          <w:t>3/1997</w:t>
        </w:r>
      </w:hyperlink>
      <w:r>
        <w:t>, f. 6.</w:t>
      </w:r>
    </w:p>
    <w:p w:rsidR="00575662" w:rsidRDefault="00575662" w:rsidP="00575662">
      <w:pPr>
        <w:pStyle w:val="SangriaFrancesaArticulo"/>
      </w:pPr>
      <w:r w:rsidRPr="00575662">
        <w:rPr>
          <w:rStyle w:val="TextoNormalNegritaCaracter"/>
        </w:rPr>
        <w:t>Artículo 18.2.</w:t>
      </w:r>
      <w:r w:rsidRPr="00575662">
        <w:rPr>
          <w:rStyle w:val="TextoNormalCaracter"/>
        </w:rPr>
        <w:t>-</w:t>
      </w:r>
      <w:r>
        <w:t xml:space="preserve"> Sentencia </w:t>
      </w:r>
      <w:hyperlink w:anchor="SENTENCIA_1997_21" w:history="1">
        <w:r w:rsidRPr="00575662">
          <w:rPr>
            <w:rStyle w:val="TextoNormalCaracter"/>
          </w:rPr>
          <w:t>21/1997</w:t>
        </w:r>
      </w:hyperlink>
      <w:r>
        <w:t>, f. 3.</w:t>
      </w:r>
    </w:p>
    <w:p w:rsidR="00575662" w:rsidRDefault="00575662" w:rsidP="00575662">
      <w:pPr>
        <w:pStyle w:val="SangriaFrancesaArticulo"/>
      </w:pPr>
      <w:r w:rsidRPr="00575662">
        <w:rPr>
          <w:rStyle w:val="TextoNormalNegritaCaracter"/>
        </w:rPr>
        <w:t>Artículo 19.</w:t>
      </w:r>
      <w:r w:rsidRPr="00575662">
        <w:rPr>
          <w:rStyle w:val="TextoNormalCaracter"/>
        </w:rPr>
        <w:t>-</w:t>
      </w:r>
      <w:r>
        <w:t xml:space="preserve"> Sentencia </w:t>
      </w:r>
      <w:hyperlink w:anchor="SENTENCIA_1997_41" w:history="1">
        <w:r w:rsidRPr="00575662">
          <w:rPr>
            <w:rStyle w:val="TextoNormalCaracter"/>
          </w:rPr>
          <w:t>41/1997</w:t>
        </w:r>
      </w:hyperlink>
      <w:r>
        <w:t>, f. 1.</w:t>
      </w:r>
    </w:p>
    <w:p w:rsidR="00575662" w:rsidRDefault="00575662" w:rsidP="00575662">
      <w:pPr>
        <w:pStyle w:val="SangriaFrancesaArticulo"/>
      </w:pPr>
      <w:r w:rsidRPr="00575662">
        <w:rPr>
          <w:rStyle w:val="TextoNormalNegritaCaracter"/>
        </w:rPr>
        <w:t>Artículo 20.</w:t>
      </w:r>
      <w:r w:rsidRPr="00575662">
        <w:rPr>
          <w:rStyle w:val="TextoNormalCaracter"/>
        </w:rPr>
        <w:t>-</w:t>
      </w:r>
      <w:r>
        <w:t xml:space="preserve"> Autos </w:t>
      </w:r>
      <w:hyperlink w:anchor="AUTO_1997_15" w:history="1">
        <w:r w:rsidRPr="00575662">
          <w:rPr>
            <w:rStyle w:val="TextoNormalCaracter"/>
          </w:rPr>
          <w:t>15/1997</w:t>
        </w:r>
      </w:hyperlink>
      <w:r>
        <w:t xml:space="preserve">; </w:t>
      </w:r>
      <w:hyperlink w:anchor="AUTO_1997_30" w:history="1">
        <w:r w:rsidRPr="00575662">
          <w:rPr>
            <w:rStyle w:val="TextoNormalCaracter"/>
          </w:rPr>
          <w:t>30/1997</w:t>
        </w:r>
      </w:hyperlink>
      <w:r>
        <w:t>.</w:t>
      </w:r>
    </w:p>
    <w:p w:rsidR="00575662" w:rsidRDefault="00575662" w:rsidP="00575662">
      <w:pPr>
        <w:pStyle w:val="SangriaFrancesaArticulo"/>
      </w:pPr>
      <w:r w:rsidRPr="00575662">
        <w:rPr>
          <w:rStyle w:val="TextoNormalNegritaCaracter"/>
        </w:rPr>
        <w:t>Artículo 20.1.</w:t>
      </w:r>
      <w:r w:rsidRPr="00575662">
        <w:rPr>
          <w:rStyle w:val="TextoNormalCaracter"/>
        </w:rPr>
        <w:t>-</w:t>
      </w:r>
      <w:r>
        <w:t xml:space="preserve"> Sentencia </w:t>
      </w:r>
      <w:hyperlink w:anchor="SENTENCIA_1997_3" w:history="1">
        <w:r w:rsidRPr="00575662">
          <w:rPr>
            <w:rStyle w:val="TextoNormalCaracter"/>
          </w:rPr>
          <w:t>3/1997</w:t>
        </w:r>
      </w:hyperlink>
      <w:r>
        <w:t>, ff. 2, 3, 6.</w:t>
      </w:r>
    </w:p>
    <w:p w:rsidR="00575662" w:rsidRDefault="00575662" w:rsidP="00575662">
      <w:pPr>
        <w:pStyle w:val="SangriaFrancesaArticulo"/>
      </w:pPr>
      <w:r w:rsidRPr="00575662">
        <w:rPr>
          <w:rStyle w:val="TextoNormalNegritaCaracter"/>
        </w:rPr>
        <w:t>Artículo 20.1 a).</w:t>
      </w:r>
      <w:r w:rsidRPr="00575662">
        <w:rPr>
          <w:rStyle w:val="TextoNormalCaracter"/>
        </w:rPr>
        <w:t>-</w:t>
      </w:r>
      <w:r>
        <w:t xml:space="preserve"> Sentencias </w:t>
      </w:r>
      <w:hyperlink w:anchor="SENTENCIA_1997_3" w:history="1">
        <w:r w:rsidRPr="00575662">
          <w:rPr>
            <w:rStyle w:val="TextoNormalCaracter"/>
          </w:rPr>
          <w:t>3/1997</w:t>
        </w:r>
      </w:hyperlink>
      <w:r>
        <w:t xml:space="preserve">, ff. 2, 6; </w:t>
      </w:r>
      <w:hyperlink w:anchor="SENTENCIA_1997_51" w:history="1">
        <w:r w:rsidRPr="00575662">
          <w:rPr>
            <w:rStyle w:val="TextoNormalCaracter"/>
          </w:rPr>
          <w:t>51/1997</w:t>
        </w:r>
      </w:hyperlink>
      <w:r>
        <w:t>, ff. 2 a 4.</w:t>
      </w:r>
    </w:p>
    <w:p w:rsidR="00575662" w:rsidRDefault="00575662" w:rsidP="00575662">
      <w:pPr>
        <w:pStyle w:val="SangriaFrancesaArticulo"/>
      </w:pPr>
      <w:r w:rsidRPr="00575662">
        <w:rPr>
          <w:rStyle w:val="TextoNormalNegritaCaracter"/>
        </w:rPr>
        <w:t>Artículo 20.1 d).</w:t>
      </w:r>
      <w:r w:rsidRPr="00575662">
        <w:rPr>
          <w:rStyle w:val="TextoNormalCaracter"/>
        </w:rPr>
        <w:t>-</w:t>
      </w:r>
      <w:r>
        <w:t xml:space="preserve"> Sentencias </w:t>
      </w:r>
      <w:hyperlink w:anchor="SENTENCIA_1997_3" w:history="1">
        <w:r w:rsidRPr="00575662">
          <w:rPr>
            <w:rStyle w:val="TextoNormalCaracter"/>
          </w:rPr>
          <w:t>3/1997</w:t>
        </w:r>
      </w:hyperlink>
      <w:r>
        <w:t xml:space="preserve">, ff. 1, 2, 5; </w:t>
      </w:r>
      <w:hyperlink w:anchor="SENTENCIA_1997_51" w:history="1">
        <w:r w:rsidRPr="00575662">
          <w:rPr>
            <w:rStyle w:val="TextoNormalCaracter"/>
          </w:rPr>
          <w:t>51/1997</w:t>
        </w:r>
      </w:hyperlink>
      <w:r>
        <w:t>, ff. 2 a 7.</w:t>
      </w:r>
    </w:p>
    <w:p w:rsidR="00575662" w:rsidRDefault="00575662" w:rsidP="00575662">
      <w:pPr>
        <w:pStyle w:val="SangriaFrancesaArticulo"/>
      </w:pPr>
      <w:r w:rsidRPr="00575662">
        <w:rPr>
          <w:rStyle w:val="TextoNormalNegritaCaracter"/>
        </w:rPr>
        <w:t>Artículo 22.</w:t>
      </w:r>
      <w:r w:rsidRPr="00575662">
        <w:rPr>
          <w:rStyle w:val="TextoNormalCaracter"/>
        </w:rPr>
        <w:t>-</w:t>
      </w:r>
      <w:r>
        <w:t xml:space="preserve"> Autos </w:t>
      </w:r>
      <w:hyperlink w:anchor="AUTO_1997_13" w:history="1">
        <w:r w:rsidRPr="00575662">
          <w:rPr>
            <w:rStyle w:val="TextoNormalCaracter"/>
          </w:rPr>
          <w:t>13/1997</w:t>
        </w:r>
      </w:hyperlink>
      <w:r>
        <w:t xml:space="preserve">; </w:t>
      </w:r>
      <w:hyperlink w:anchor="AUTO_1997_32" w:history="1">
        <w:r w:rsidRPr="00575662">
          <w:rPr>
            <w:rStyle w:val="TextoNormalCaracter"/>
          </w:rPr>
          <w:t>32/1997</w:t>
        </w:r>
      </w:hyperlink>
      <w:r>
        <w:t>.</w:t>
      </w:r>
    </w:p>
    <w:p w:rsidR="00575662" w:rsidRDefault="00575662" w:rsidP="00575662">
      <w:pPr>
        <w:pStyle w:val="SangriaFrancesaArticulo"/>
      </w:pPr>
      <w:r w:rsidRPr="00575662">
        <w:rPr>
          <w:rStyle w:val="TextoNormalNegritaCaracter"/>
        </w:rPr>
        <w:t>Artículo 23.1.</w:t>
      </w:r>
      <w:r w:rsidRPr="00575662">
        <w:rPr>
          <w:rStyle w:val="TextoNormalCaracter"/>
        </w:rPr>
        <w:t>-</w:t>
      </w:r>
      <w:r>
        <w:t xml:space="preserve"> Sentencia </w:t>
      </w:r>
      <w:hyperlink w:anchor="SENTENCIA_1997_30" w:history="1">
        <w:r w:rsidRPr="00575662">
          <w:rPr>
            <w:rStyle w:val="TextoNormalCaracter"/>
          </w:rPr>
          <w:t>30/1997</w:t>
        </w:r>
      </w:hyperlink>
      <w:r>
        <w:t>, f. 4.</w:t>
      </w:r>
    </w:p>
    <w:p w:rsidR="00575662" w:rsidRDefault="00575662" w:rsidP="00575662">
      <w:pPr>
        <w:pStyle w:val="SangriaIzquierdaArticulo"/>
      </w:pPr>
      <w:r>
        <w:t xml:space="preserve">Auto </w:t>
      </w:r>
      <w:hyperlink w:anchor="AUTO_1997_30" w:history="1">
        <w:r w:rsidRPr="00575662">
          <w:rPr>
            <w:rStyle w:val="TextoNormalCaracter"/>
          </w:rPr>
          <w:t>30/1997</w:t>
        </w:r>
      </w:hyperlink>
      <w:r>
        <w:t>.</w:t>
      </w:r>
    </w:p>
    <w:p w:rsidR="00575662" w:rsidRDefault="00575662" w:rsidP="00575662">
      <w:pPr>
        <w:pStyle w:val="SangriaFrancesaArticulo"/>
      </w:pPr>
      <w:r w:rsidRPr="00575662">
        <w:rPr>
          <w:rStyle w:val="TextoNormalNegritaCaracter"/>
        </w:rPr>
        <w:t>Artículo 23.2.</w:t>
      </w:r>
      <w:r w:rsidRPr="00575662">
        <w:rPr>
          <w:rStyle w:val="TextoNormalCaracter"/>
        </w:rPr>
        <w:t>-</w:t>
      </w:r>
      <w:r>
        <w:t xml:space="preserve"> Sentencias </w:t>
      </w:r>
      <w:hyperlink w:anchor="SENTENCIA_1997_22" w:history="1">
        <w:r w:rsidRPr="00575662">
          <w:rPr>
            <w:rStyle w:val="TextoNormalCaracter"/>
          </w:rPr>
          <w:t>22/1997</w:t>
        </w:r>
      </w:hyperlink>
      <w:r>
        <w:t xml:space="preserve">, ff. 2, 8; </w:t>
      </w:r>
      <w:hyperlink w:anchor="SENTENCIA_1997_30" w:history="1">
        <w:r w:rsidRPr="00575662">
          <w:rPr>
            <w:rStyle w:val="TextoNormalCaracter"/>
          </w:rPr>
          <w:t>30/1997</w:t>
        </w:r>
      </w:hyperlink>
      <w:r>
        <w:t>, ff. 1, 3, 4, 6, 7.</w:t>
      </w:r>
    </w:p>
    <w:p w:rsidR="00575662" w:rsidRDefault="00575662" w:rsidP="00575662">
      <w:pPr>
        <w:pStyle w:val="SangriaIzquierdaArticulo"/>
      </w:pPr>
      <w:r>
        <w:t xml:space="preserve">Autos </w:t>
      </w:r>
      <w:hyperlink w:anchor="AUTO_1997_30" w:history="1">
        <w:r w:rsidRPr="00575662">
          <w:rPr>
            <w:rStyle w:val="TextoNormalCaracter"/>
          </w:rPr>
          <w:t>30/1997</w:t>
        </w:r>
      </w:hyperlink>
      <w:r>
        <w:t xml:space="preserve">; </w:t>
      </w:r>
      <w:hyperlink w:anchor="AUTO_1997_42" w:history="1">
        <w:r w:rsidRPr="00575662">
          <w:rPr>
            <w:rStyle w:val="TextoNormalCaracter"/>
          </w:rPr>
          <w:t>42/1997</w:t>
        </w:r>
      </w:hyperlink>
      <w:r>
        <w:t>.</w:t>
      </w:r>
    </w:p>
    <w:p w:rsidR="00575662" w:rsidRDefault="00575662" w:rsidP="00575662">
      <w:pPr>
        <w:pStyle w:val="SangriaFrancesaArticulo"/>
      </w:pPr>
      <w:r w:rsidRPr="00575662">
        <w:rPr>
          <w:rStyle w:val="TextoNormalNegritaCaracter"/>
        </w:rPr>
        <w:t>Artículo 24.</w:t>
      </w:r>
      <w:r w:rsidRPr="00575662">
        <w:rPr>
          <w:rStyle w:val="TextoNormalCaracter"/>
        </w:rPr>
        <w:t>-</w:t>
      </w:r>
      <w:r>
        <w:t xml:space="preserve"> Sentencias </w:t>
      </w:r>
      <w:hyperlink w:anchor="SENTENCIA_1997_6" w:history="1">
        <w:r w:rsidRPr="00575662">
          <w:rPr>
            <w:rStyle w:val="TextoNormalCaracter"/>
          </w:rPr>
          <w:t>6/1997</w:t>
        </w:r>
      </w:hyperlink>
      <w:r>
        <w:t xml:space="preserve">, f. 5; </w:t>
      </w:r>
      <w:hyperlink w:anchor="SENTENCIA_1997_7" w:history="1">
        <w:r w:rsidRPr="00575662">
          <w:rPr>
            <w:rStyle w:val="TextoNormalCaracter"/>
          </w:rPr>
          <w:t>7/1997</w:t>
        </w:r>
      </w:hyperlink>
      <w:r>
        <w:t xml:space="preserve">, f. 1; </w:t>
      </w:r>
      <w:hyperlink w:anchor="SENTENCIA_1997_10" w:history="1">
        <w:r w:rsidRPr="00575662">
          <w:rPr>
            <w:rStyle w:val="TextoNormalCaracter"/>
          </w:rPr>
          <w:t>10/1997</w:t>
        </w:r>
      </w:hyperlink>
      <w:r>
        <w:t xml:space="preserve">, f. 1; </w:t>
      </w:r>
      <w:hyperlink w:anchor="SENTENCIA_1997_12" w:history="1">
        <w:r w:rsidRPr="00575662">
          <w:rPr>
            <w:rStyle w:val="TextoNormalCaracter"/>
          </w:rPr>
          <w:t>12/1997</w:t>
        </w:r>
      </w:hyperlink>
      <w:r>
        <w:t xml:space="preserve">, ff. 1 a 4; </w:t>
      </w:r>
      <w:hyperlink w:anchor="SENTENCIA_1997_13" w:history="1">
        <w:r w:rsidRPr="00575662">
          <w:rPr>
            <w:rStyle w:val="TextoNormalCaracter"/>
          </w:rPr>
          <w:t>13/1997</w:t>
        </w:r>
      </w:hyperlink>
      <w:r>
        <w:t xml:space="preserve">, f. 1; </w:t>
      </w:r>
      <w:hyperlink w:anchor="SENTENCIA_1997_14" w:history="1">
        <w:r w:rsidRPr="00575662">
          <w:rPr>
            <w:rStyle w:val="TextoNormalCaracter"/>
          </w:rPr>
          <w:t>14/1997</w:t>
        </w:r>
      </w:hyperlink>
      <w:r>
        <w:t xml:space="preserve">, f. 6; </w:t>
      </w:r>
      <w:hyperlink w:anchor="SENTENCIA_1997_18" w:history="1">
        <w:r w:rsidRPr="00575662">
          <w:rPr>
            <w:rStyle w:val="TextoNormalCaracter"/>
          </w:rPr>
          <w:t>18/1997</w:t>
        </w:r>
      </w:hyperlink>
      <w:r>
        <w:t xml:space="preserve">, f. 6; </w:t>
      </w:r>
      <w:hyperlink w:anchor="SENTENCIA_1997_20" w:history="1">
        <w:r w:rsidRPr="00575662">
          <w:rPr>
            <w:rStyle w:val="TextoNormalCaracter"/>
          </w:rPr>
          <w:t>20/1997</w:t>
        </w:r>
      </w:hyperlink>
      <w:r>
        <w:t xml:space="preserve">, ff. 1, 3, 4; </w:t>
      </w:r>
      <w:hyperlink w:anchor="SENTENCIA_1997_23" w:history="1">
        <w:r w:rsidRPr="00575662">
          <w:rPr>
            <w:rStyle w:val="TextoNormalCaracter"/>
          </w:rPr>
          <w:t>23/1997</w:t>
        </w:r>
      </w:hyperlink>
      <w:r>
        <w:t xml:space="preserve">, f. 3; </w:t>
      </w:r>
      <w:hyperlink w:anchor="SENTENCIA_1997_26" w:history="1">
        <w:r w:rsidRPr="00575662">
          <w:rPr>
            <w:rStyle w:val="TextoNormalCaracter"/>
          </w:rPr>
          <w:t>26/1997</w:t>
        </w:r>
      </w:hyperlink>
      <w:r>
        <w:t xml:space="preserve">, f. 3; </w:t>
      </w:r>
      <w:hyperlink w:anchor="SENTENCIA_1997_27" w:history="1">
        <w:r w:rsidRPr="00575662">
          <w:rPr>
            <w:rStyle w:val="TextoNormalCaracter"/>
          </w:rPr>
          <w:t>27/1997</w:t>
        </w:r>
      </w:hyperlink>
      <w:r>
        <w:t xml:space="preserve">, ff. 2, 3; </w:t>
      </w:r>
      <w:hyperlink w:anchor="SENTENCIA_1997_35" w:history="1">
        <w:r w:rsidRPr="00575662">
          <w:rPr>
            <w:rStyle w:val="TextoNormalCaracter"/>
          </w:rPr>
          <w:t>35/1997</w:t>
        </w:r>
      </w:hyperlink>
      <w:r>
        <w:t xml:space="preserve">, f. 1; </w:t>
      </w:r>
      <w:hyperlink w:anchor="SENTENCIA_1997_36" w:history="1">
        <w:r w:rsidRPr="00575662">
          <w:rPr>
            <w:rStyle w:val="TextoNormalCaracter"/>
          </w:rPr>
          <w:t>36/1997</w:t>
        </w:r>
      </w:hyperlink>
      <w:r>
        <w:t xml:space="preserve">, f. 3; </w:t>
      </w:r>
      <w:hyperlink w:anchor="SENTENCIA_1997_39" w:history="1">
        <w:r w:rsidRPr="00575662">
          <w:rPr>
            <w:rStyle w:val="TextoNormalCaracter"/>
          </w:rPr>
          <w:t>39/1997</w:t>
        </w:r>
      </w:hyperlink>
      <w:r>
        <w:t xml:space="preserve">, f. 1; </w:t>
      </w:r>
      <w:hyperlink w:anchor="SENTENCIA_1997_52" w:history="1">
        <w:r w:rsidRPr="00575662">
          <w:rPr>
            <w:rStyle w:val="TextoNormalCaracter"/>
          </w:rPr>
          <w:t>52/1997</w:t>
        </w:r>
      </w:hyperlink>
      <w:r>
        <w:t xml:space="preserve">, f. 3; </w:t>
      </w:r>
      <w:hyperlink w:anchor="SENTENCIA_1997_59" w:history="1">
        <w:r w:rsidRPr="00575662">
          <w:rPr>
            <w:rStyle w:val="TextoNormalCaracter"/>
          </w:rPr>
          <w:t>59/1997</w:t>
        </w:r>
      </w:hyperlink>
      <w:r>
        <w:t xml:space="preserve">, f. 1; </w:t>
      </w:r>
      <w:hyperlink w:anchor="SENTENCIA_1997_66" w:history="1">
        <w:r w:rsidRPr="00575662">
          <w:rPr>
            <w:rStyle w:val="TextoNormalCaracter"/>
          </w:rPr>
          <w:t>66/1997</w:t>
        </w:r>
      </w:hyperlink>
      <w:r>
        <w:t>, f. 3.</w:t>
      </w:r>
    </w:p>
    <w:p w:rsidR="00575662" w:rsidRDefault="00575662" w:rsidP="00575662">
      <w:pPr>
        <w:pStyle w:val="SangriaIzquierdaArticulo"/>
      </w:pPr>
      <w:r>
        <w:t xml:space="preserve">Autos </w:t>
      </w:r>
      <w:hyperlink w:anchor="AUTO_1997_4" w:history="1">
        <w:r w:rsidRPr="00575662">
          <w:rPr>
            <w:rStyle w:val="TextoNormalCaracter"/>
          </w:rPr>
          <w:t>4/1997</w:t>
        </w:r>
      </w:hyperlink>
      <w:r>
        <w:t xml:space="preserve">; </w:t>
      </w:r>
      <w:hyperlink w:anchor="AUTO_1997_23" w:history="1">
        <w:r w:rsidRPr="00575662">
          <w:rPr>
            <w:rStyle w:val="TextoNormalCaracter"/>
          </w:rPr>
          <w:t>23/1997</w:t>
        </w:r>
      </w:hyperlink>
      <w:r>
        <w:t xml:space="preserve">; </w:t>
      </w:r>
      <w:hyperlink w:anchor="AUTO_1997_34" w:history="1">
        <w:r w:rsidRPr="00575662">
          <w:rPr>
            <w:rStyle w:val="TextoNormalCaracter"/>
          </w:rPr>
          <w:t>34/1997</w:t>
        </w:r>
      </w:hyperlink>
      <w:r>
        <w:t xml:space="preserve">; </w:t>
      </w:r>
      <w:hyperlink w:anchor="AUTO_1997_36" w:history="1">
        <w:r w:rsidRPr="00575662">
          <w:rPr>
            <w:rStyle w:val="TextoNormalCaracter"/>
          </w:rPr>
          <w:t>36/1997</w:t>
        </w:r>
      </w:hyperlink>
      <w:r>
        <w:t xml:space="preserve">; </w:t>
      </w:r>
      <w:hyperlink w:anchor="AUTO_1997_38" w:history="1">
        <w:r w:rsidRPr="00575662">
          <w:rPr>
            <w:rStyle w:val="TextoNormalCaracter"/>
          </w:rPr>
          <w:t>38/1997</w:t>
        </w:r>
      </w:hyperlink>
      <w:r>
        <w:t xml:space="preserve">; </w:t>
      </w:r>
      <w:hyperlink w:anchor="AUTO_1997_45" w:history="1">
        <w:r w:rsidRPr="00575662">
          <w:rPr>
            <w:rStyle w:val="TextoNormalCaracter"/>
          </w:rPr>
          <w:t>45/1997</w:t>
        </w:r>
      </w:hyperlink>
      <w:r>
        <w:t xml:space="preserve">, VP; </w:t>
      </w:r>
      <w:hyperlink w:anchor="AUTO_1997_49" w:history="1">
        <w:r w:rsidRPr="00575662">
          <w:rPr>
            <w:rStyle w:val="TextoNormalCaracter"/>
          </w:rPr>
          <w:t>49/1997</w:t>
        </w:r>
      </w:hyperlink>
      <w:r>
        <w:t xml:space="preserve">; </w:t>
      </w:r>
      <w:hyperlink w:anchor="AUTO_1997_59" w:history="1">
        <w:r w:rsidRPr="00575662">
          <w:rPr>
            <w:rStyle w:val="TextoNormalCaracter"/>
          </w:rPr>
          <w:t>59/1997</w:t>
        </w:r>
      </w:hyperlink>
      <w:r>
        <w:t xml:space="preserve">; </w:t>
      </w:r>
      <w:hyperlink w:anchor="AUTO_1997_60" w:history="1">
        <w:r w:rsidRPr="00575662">
          <w:rPr>
            <w:rStyle w:val="TextoNormalCaracter"/>
          </w:rPr>
          <w:t>60/1997</w:t>
        </w:r>
      </w:hyperlink>
      <w:r>
        <w:t xml:space="preserve">; </w:t>
      </w:r>
      <w:hyperlink w:anchor="AUTO_1997_63" w:history="1">
        <w:r w:rsidRPr="00575662">
          <w:rPr>
            <w:rStyle w:val="TextoNormalCaracter"/>
          </w:rPr>
          <w:t>63/1997</w:t>
        </w:r>
      </w:hyperlink>
      <w:r>
        <w:t xml:space="preserve">; </w:t>
      </w:r>
      <w:hyperlink w:anchor="AUTO_1997_65" w:history="1">
        <w:r w:rsidRPr="00575662">
          <w:rPr>
            <w:rStyle w:val="TextoNormalCaracter"/>
          </w:rPr>
          <w:t>65/1997</w:t>
        </w:r>
      </w:hyperlink>
      <w:r>
        <w:t xml:space="preserve">; </w:t>
      </w:r>
      <w:hyperlink w:anchor="AUTO_1997_86" w:history="1">
        <w:r w:rsidRPr="00575662">
          <w:rPr>
            <w:rStyle w:val="TextoNormalCaracter"/>
          </w:rPr>
          <w:t>86/1997</w:t>
        </w:r>
      </w:hyperlink>
      <w:r>
        <w:t xml:space="preserve">; </w:t>
      </w:r>
      <w:hyperlink w:anchor="AUTO_1997_91" w:history="1">
        <w:r w:rsidRPr="00575662">
          <w:rPr>
            <w:rStyle w:val="TextoNormalCaracter"/>
          </w:rPr>
          <w:t>91/1997</w:t>
        </w:r>
      </w:hyperlink>
      <w:r>
        <w:t xml:space="preserve">; </w:t>
      </w:r>
      <w:hyperlink w:anchor="AUTO_1997_94" w:history="1">
        <w:r w:rsidRPr="00575662">
          <w:rPr>
            <w:rStyle w:val="TextoNormalCaracter"/>
          </w:rPr>
          <w:t>94/1997</w:t>
        </w:r>
      </w:hyperlink>
      <w:r>
        <w:t xml:space="preserve">; </w:t>
      </w:r>
      <w:hyperlink w:anchor="AUTO_1997_117" w:history="1">
        <w:r w:rsidRPr="00575662">
          <w:rPr>
            <w:rStyle w:val="TextoNormalCaracter"/>
          </w:rPr>
          <w:t>117/1997</w:t>
        </w:r>
      </w:hyperlink>
      <w:r>
        <w:t xml:space="preserve">; </w:t>
      </w:r>
      <w:hyperlink w:anchor="AUTO_1997_121" w:history="1">
        <w:r w:rsidRPr="00575662">
          <w:rPr>
            <w:rStyle w:val="TextoNormalCaracter"/>
          </w:rPr>
          <w:t>121/1997</w:t>
        </w:r>
      </w:hyperlink>
      <w:r>
        <w:t>.</w:t>
      </w:r>
    </w:p>
    <w:p w:rsidR="00575662" w:rsidRDefault="00575662" w:rsidP="00575662">
      <w:pPr>
        <w:pStyle w:val="SangriaFrancesaArticulo"/>
      </w:pPr>
      <w:r w:rsidRPr="00575662">
        <w:rPr>
          <w:rStyle w:val="TextoNormalNegritaCaracter"/>
        </w:rPr>
        <w:t>Artículo 24.1.</w:t>
      </w:r>
      <w:r w:rsidRPr="00575662">
        <w:rPr>
          <w:rStyle w:val="TextoNormalCaracter"/>
        </w:rPr>
        <w:t>-</w:t>
      </w:r>
      <w:r>
        <w:t xml:space="preserve"> Sentencias </w:t>
      </w:r>
      <w:hyperlink w:anchor="SENTENCIA_1997_1" w:history="1">
        <w:r w:rsidRPr="00575662">
          <w:rPr>
            <w:rStyle w:val="TextoNormalCaracter"/>
          </w:rPr>
          <w:t>1/1997</w:t>
        </w:r>
      </w:hyperlink>
      <w:r>
        <w:t xml:space="preserve">, f. 3; </w:t>
      </w:r>
      <w:hyperlink w:anchor="SENTENCIA_1997_2" w:history="1">
        <w:r w:rsidRPr="00575662">
          <w:rPr>
            <w:rStyle w:val="TextoNormalCaracter"/>
          </w:rPr>
          <w:t>2/1997</w:t>
        </w:r>
      </w:hyperlink>
      <w:r>
        <w:t xml:space="preserve">, ff. 3, 5; </w:t>
      </w:r>
      <w:hyperlink w:anchor="SENTENCIA_1997_6" w:history="1">
        <w:r w:rsidRPr="00575662">
          <w:rPr>
            <w:rStyle w:val="TextoNormalCaracter"/>
          </w:rPr>
          <w:t>6/1997</w:t>
        </w:r>
      </w:hyperlink>
      <w:r>
        <w:t xml:space="preserve">, f. 1; </w:t>
      </w:r>
      <w:hyperlink w:anchor="SENTENCIA_1997_8" w:history="1">
        <w:r w:rsidRPr="00575662">
          <w:rPr>
            <w:rStyle w:val="TextoNormalCaracter"/>
          </w:rPr>
          <w:t>8/1997</w:t>
        </w:r>
      </w:hyperlink>
      <w:r>
        <w:t xml:space="preserve">, f. 4; </w:t>
      </w:r>
      <w:hyperlink w:anchor="SENTENCIA_1997_9" w:history="1">
        <w:r w:rsidRPr="00575662">
          <w:rPr>
            <w:rStyle w:val="TextoNormalCaracter"/>
          </w:rPr>
          <w:t>9/1997</w:t>
        </w:r>
      </w:hyperlink>
      <w:r>
        <w:t xml:space="preserve">, ff. 1 a 3; </w:t>
      </w:r>
      <w:hyperlink w:anchor="SENTENCIA_1997_12" w:history="1">
        <w:r w:rsidRPr="00575662">
          <w:rPr>
            <w:rStyle w:val="TextoNormalCaracter"/>
          </w:rPr>
          <w:t>12/1997</w:t>
        </w:r>
      </w:hyperlink>
      <w:r>
        <w:t xml:space="preserve">, f. 2; </w:t>
      </w:r>
      <w:hyperlink w:anchor="SENTENCIA_1997_13" w:history="1">
        <w:r w:rsidRPr="00575662">
          <w:rPr>
            <w:rStyle w:val="TextoNormalCaracter"/>
          </w:rPr>
          <w:t>13/1997</w:t>
        </w:r>
      </w:hyperlink>
      <w:r>
        <w:t xml:space="preserve">, ff. 1, 2; </w:t>
      </w:r>
      <w:hyperlink w:anchor="SENTENCIA_1997_14" w:history="1">
        <w:r w:rsidRPr="00575662">
          <w:rPr>
            <w:rStyle w:val="TextoNormalCaracter"/>
          </w:rPr>
          <w:t>14/1997</w:t>
        </w:r>
      </w:hyperlink>
      <w:r>
        <w:t xml:space="preserve">, f. 4; </w:t>
      </w:r>
      <w:hyperlink w:anchor="SENTENCIA_1997_17" w:history="1">
        <w:r w:rsidRPr="00575662">
          <w:rPr>
            <w:rStyle w:val="TextoNormalCaracter"/>
          </w:rPr>
          <w:t>17/1997</w:t>
        </w:r>
      </w:hyperlink>
      <w:r>
        <w:t xml:space="preserve">, f. 2; </w:t>
      </w:r>
      <w:hyperlink w:anchor="SENTENCIA_1997_18" w:history="1">
        <w:r w:rsidRPr="00575662">
          <w:rPr>
            <w:rStyle w:val="TextoNormalCaracter"/>
          </w:rPr>
          <w:t>18/1997</w:t>
        </w:r>
      </w:hyperlink>
      <w:r>
        <w:t xml:space="preserve">, ff. 1, 2, 5 a 7, 9; </w:t>
      </w:r>
      <w:hyperlink w:anchor="SENTENCIA_1997_19" w:history="1">
        <w:r w:rsidRPr="00575662">
          <w:rPr>
            <w:rStyle w:val="TextoNormalCaracter"/>
          </w:rPr>
          <w:t>19/1997</w:t>
        </w:r>
      </w:hyperlink>
      <w:r>
        <w:t xml:space="preserve">, f. 3; </w:t>
      </w:r>
      <w:hyperlink w:anchor="SENTENCIA_1997_22" w:history="1">
        <w:r w:rsidRPr="00575662">
          <w:rPr>
            <w:rStyle w:val="TextoNormalCaracter"/>
          </w:rPr>
          <w:t>22/1997</w:t>
        </w:r>
      </w:hyperlink>
      <w:r>
        <w:t xml:space="preserve">, ff. 2, 8; </w:t>
      </w:r>
      <w:hyperlink w:anchor="SENTENCIA_1997_24" w:history="1">
        <w:r w:rsidRPr="00575662">
          <w:rPr>
            <w:rStyle w:val="TextoNormalCaracter"/>
          </w:rPr>
          <w:t>24/1997</w:t>
        </w:r>
      </w:hyperlink>
      <w:r>
        <w:t xml:space="preserve">, f. 1; </w:t>
      </w:r>
      <w:hyperlink w:anchor="SENTENCIA_1997_25" w:history="1">
        <w:r w:rsidRPr="00575662">
          <w:rPr>
            <w:rStyle w:val="TextoNormalCaracter"/>
          </w:rPr>
          <w:t>25/1997</w:t>
        </w:r>
      </w:hyperlink>
      <w:r>
        <w:t xml:space="preserve">, ff. 1, 2, 4; </w:t>
      </w:r>
      <w:hyperlink w:anchor="SENTENCIA_1997_26" w:history="1">
        <w:r w:rsidRPr="00575662">
          <w:rPr>
            <w:rStyle w:val="TextoNormalCaracter"/>
          </w:rPr>
          <w:t>26/1997</w:t>
        </w:r>
      </w:hyperlink>
      <w:r>
        <w:t xml:space="preserve">, ff. 1, 2, 4, 6; </w:t>
      </w:r>
      <w:hyperlink w:anchor="SENTENCIA_1997_27" w:history="1">
        <w:r w:rsidRPr="00575662">
          <w:rPr>
            <w:rStyle w:val="TextoNormalCaracter"/>
          </w:rPr>
          <w:t>27/1997</w:t>
        </w:r>
      </w:hyperlink>
      <w:r>
        <w:t xml:space="preserve">, ff. 1, 3, VP; </w:t>
      </w:r>
      <w:hyperlink w:anchor="SENTENCIA_1997_29" w:history="1">
        <w:r w:rsidRPr="00575662">
          <w:rPr>
            <w:rStyle w:val="TextoNormalCaracter"/>
          </w:rPr>
          <w:t>29/1997</w:t>
        </w:r>
      </w:hyperlink>
      <w:r>
        <w:t xml:space="preserve">, f. 2; </w:t>
      </w:r>
      <w:hyperlink w:anchor="SENTENCIA_1997_30" w:history="1">
        <w:r w:rsidRPr="00575662">
          <w:rPr>
            <w:rStyle w:val="TextoNormalCaracter"/>
          </w:rPr>
          <w:t>30/1997</w:t>
        </w:r>
      </w:hyperlink>
      <w:r>
        <w:t xml:space="preserve">, ff. 1, 3, 4; </w:t>
      </w:r>
      <w:hyperlink w:anchor="SENTENCIA_1997_32" w:history="1">
        <w:r w:rsidRPr="00575662">
          <w:rPr>
            <w:rStyle w:val="TextoNormalCaracter"/>
          </w:rPr>
          <w:t>32/1997</w:t>
        </w:r>
      </w:hyperlink>
      <w:r>
        <w:t xml:space="preserve">, ff. 1 a 3; </w:t>
      </w:r>
      <w:hyperlink w:anchor="SENTENCIA_1997_34" w:history="1">
        <w:r w:rsidRPr="00575662">
          <w:rPr>
            <w:rStyle w:val="TextoNormalCaracter"/>
          </w:rPr>
          <w:t>34/1997</w:t>
        </w:r>
      </w:hyperlink>
      <w:r>
        <w:t xml:space="preserve">, ff. 1 a 4; </w:t>
      </w:r>
      <w:hyperlink w:anchor="SENTENCIA_1997_36" w:history="1">
        <w:r w:rsidRPr="00575662">
          <w:rPr>
            <w:rStyle w:val="TextoNormalCaracter"/>
          </w:rPr>
          <w:t>36/1997</w:t>
        </w:r>
      </w:hyperlink>
      <w:r>
        <w:t xml:space="preserve">, ff. 2, 4; </w:t>
      </w:r>
      <w:hyperlink w:anchor="SENTENCIA_1997_39" w:history="1">
        <w:r w:rsidRPr="00575662">
          <w:rPr>
            <w:rStyle w:val="TextoNormalCaracter"/>
          </w:rPr>
          <w:t>39/1997</w:t>
        </w:r>
      </w:hyperlink>
      <w:r>
        <w:t xml:space="preserve">, f. 4; </w:t>
      </w:r>
      <w:hyperlink w:anchor="SENTENCIA_1997_41" w:history="1">
        <w:r w:rsidRPr="00575662">
          <w:rPr>
            <w:rStyle w:val="TextoNormalCaracter"/>
          </w:rPr>
          <w:t>41/1997</w:t>
        </w:r>
      </w:hyperlink>
      <w:r>
        <w:t xml:space="preserve">, ff. 1, 5; </w:t>
      </w:r>
      <w:hyperlink w:anchor="SENTENCIA_1997_42" w:history="1">
        <w:r w:rsidRPr="00575662">
          <w:rPr>
            <w:rStyle w:val="TextoNormalCaracter"/>
          </w:rPr>
          <w:t>42/1997</w:t>
        </w:r>
      </w:hyperlink>
      <w:r>
        <w:t xml:space="preserve">, ff. 1, 2; </w:t>
      </w:r>
      <w:hyperlink w:anchor="SENTENCIA_1997_43" w:history="1">
        <w:r w:rsidRPr="00575662">
          <w:rPr>
            <w:rStyle w:val="TextoNormalCaracter"/>
          </w:rPr>
          <w:t>43/1997</w:t>
        </w:r>
      </w:hyperlink>
      <w:r>
        <w:t xml:space="preserve">, ff. 3, 4; </w:t>
      </w:r>
      <w:hyperlink w:anchor="SENTENCIA_1997_44" w:history="1">
        <w:r w:rsidRPr="00575662">
          <w:rPr>
            <w:rStyle w:val="TextoNormalCaracter"/>
          </w:rPr>
          <w:t>44/1997</w:t>
        </w:r>
      </w:hyperlink>
      <w:r>
        <w:t xml:space="preserve">, ff. 4, 5; </w:t>
      </w:r>
      <w:hyperlink w:anchor="SENTENCIA_1997_45" w:history="1">
        <w:r w:rsidRPr="00575662">
          <w:rPr>
            <w:rStyle w:val="TextoNormalCaracter"/>
          </w:rPr>
          <w:t>45/1997</w:t>
        </w:r>
      </w:hyperlink>
      <w:r>
        <w:t xml:space="preserve">, f. 1; </w:t>
      </w:r>
      <w:hyperlink w:anchor="SENTENCIA_1997_46" w:history="1">
        <w:r w:rsidRPr="00575662">
          <w:rPr>
            <w:rStyle w:val="TextoNormalCaracter"/>
          </w:rPr>
          <w:t>46/1997</w:t>
        </w:r>
      </w:hyperlink>
      <w:r>
        <w:t xml:space="preserve">, f. 1; </w:t>
      </w:r>
      <w:hyperlink w:anchor="SENTENCIA_1997_47" w:history="1">
        <w:r w:rsidRPr="00575662">
          <w:rPr>
            <w:rStyle w:val="TextoNormalCaracter"/>
          </w:rPr>
          <w:t>47/1997</w:t>
        </w:r>
      </w:hyperlink>
      <w:r>
        <w:t xml:space="preserve">, f. 1; </w:t>
      </w:r>
      <w:hyperlink w:anchor="SENTENCIA_1997_48" w:history="1">
        <w:r w:rsidRPr="00575662">
          <w:rPr>
            <w:rStyle w:val="TextoNormalCaracter"/>
          </w:rPr>
          <w:t>48/1997</w:t>
        </w:r>
      </w:hyperlink>
      <w:r>
        <w:t xml:space="preserve">, f. 1; </w:t>
      </w:r>
      <w:hyperlink w:anchor="SENTENCIA_1997_49" w:history="1">
        <w:r w:rsidRPr="00575662">
          <w:rPr>
            <w:rStyle w:val="TextoNormalCaracter"/>
          </w:rPr>
          <w:t>49/1997</w:t>
        </w:r>
      </w:hyperlink>
      <w:r>
        <w:t xml:space="preserve">, ff. 2, 3; </w:t>
      </w:r>
      <w:hyperlink w:anchor="SENTENCIA_1997_50" w:history="1">
        <w:r w:rsidRPr="00575662">
          <w:rPr>
            <w:rStyle w:val="TextoNormalCaracter"/>
          </w:rPr>
          <w:t>50/1997</w:t>
        </w:r>
      </w:hyperlink>
      <w:r>
        <w:t xml:space="preserve">, ff. 1, 2, 5; </w:t>
      </w:r>
      <w:hyperlink w:anchor="SENTENCIA_1997_52" w:history="1">
        <w:r w:rsidRPr="00575662">
          <w:rPr>
            <w:rStyle w:val="TextoNormalCaracter"/>
          </w:rPr>
          <w:t>52/1997</w:t>
        </w:r>
      </w:hyperlink>
      <w:r>
        <w:t xml:space="preserve">, f. 4; </w:t>
      </w:r>
      <w:hyperlink w:anchor="SENTENCIA_1997_54" w:history="1">
        <w:r w:rsidRPr="00575662">
          <w:rPr>
            <w:rStyle w:val="TextoNormalCaracter"/>
          </w:rPr>
          <w:t>54/1997</w:t>
        </w:r>
      </w:hyperlink>
      <w:r>
        <w:t xml:space="preserve">, f. 3; </w:t>
      </w:r>
      <w:hyperlink w:anchor="SENTENCIA_1997_55" w:history="1">
        <w:r w:rsidRPr="00575662">
          <w:rPr>
            <w:rStyle w:val="TextoNormalCaracter"/>
          </w:rPr>
          <w:t>55/1997</w:t>
        </w:r>
      </w:hyperlink>
      <w:r>
        <w:t xml:space="preserve">, ff. 1 a 3; </w:t>
      </w:r>
      <w:hyperlink w:anchor="SENTENCIA_1997_57" w:history="1">
        <w:r w:rsidRPr="00575662">
          <w:rPr>
            <w:rStyle w:val="TextoNormalCaracter"/>
          </w:rPr>
          <w:t>57/1997</w:t>
        </w:r>
      </w:hyperlink>
      <w:r>
        <w:t xml:space="preserve">, ff. 1, 2, 5; </w:t>
      </w:r>
      <w:hyperlink w:anchor="SENTENCIA_1997_58" w:history="1">
        <w:r w:rsidRPr="00575662">
          <w:rPr>
            <w:rStyle w:val="TextoNormalCaracter"/>
          </w:rPr>
          <w:t>58/1997</w:t>
        </w:r>
      </w:hyperlink>
      <w:r>
        <w:t xml:space="preserve">, ff. 1, 2; </w:t>
      </w:r>
      <w:hyperlink w:anchor="SENTENCIA_1997_59" w:history="1">
        <w:r w:rsidRPr="00575662">
          <w:rPr>
            <w:rStyle w:val="TextoNormalCaracter"/>
          </w:rPr>
          <w:t>59/1997</w:t>
        </w:r>
      </w:hyperlink>
      <w:r>
        <w:t xml:space="preserve">, f. 1; </w:t>
      </w:r>
      <w:hyperlink w:anchor="SENTENCIA_1997_62" w:history="1">
        <w:r w:rsidRPr="00575662">
          <w:rPr>
            <w:rStyle w:val="TextoNormalCaracter"/>
          </w:rPr>
          <w:t>62/1997</w:t>
        </w:r>
      </w:hyperlink>
      <w:r>
        <w:t xml:space="preserve">, ff. 1, 3, VP; </w:t>
      </w:r>
      <w:hyperlink w:anchor="SENTENCIA_1997_64" w:history="1">
        <w:r w:rsidRPr="00575662">
          <w:rPr>
            <w:rStyle w:val="TextoNormalCaracter"/>
          </w:rPr>
          <w:t>64/1997</w:t>
        </w:r>
      </w:hyperlink>
      <w:r>
        <w:t xml:space="preserve">, ff. 1, 5; </w:t>
      </w:r>
      <w:hyperlink w:anchor="SENTENCIA_1997_65" w:history="1">
        <w:r w:rsidRPr="00575662">
          <w:rPr>
            <w:rStyle w:val="TextoNormalCaracter"/>
          </w:rPr>
          <w:t>65/1997</w:t>
        </w:r>
      </w:hyperlink>
      <w:r>
        <w:t xml:space="preserve">, f. 2; </w:t>
      </w:r>
      <w:hyperlink w:anchor="SENTENCIA_1997_66" w:history="1">
        <w:r w:rsidRPr="00575662">
          <w:rPr>
            <w:rStyle w:val="TextoNormalCaracter"/>
          </w:rPr>
          <w:t>66/1997</w:t>
        </w:r>
      </w:hyperlink>
      <w:r>
        <w:t xml:space="preserve">, f. 2; </w:t>
      </w:r>
      <w:hyperlink w:anchor="SENTENCIA_1997_68" w:history="1">
        <w:r w:rsidRPr="00575662">
          <w:rPr>
            <w:rStyle w:val="TextoNormalCaracter"/>
          </w:rPr>
          <w:t>68/1997</w:t>
        </w:r>
      </w:hyperlink>
      <w:r>
        <w:t xml:space="preserve">, ff. 2 a 5; </w:t>
      </w:r>
      <w:hyperlink w:anchor="SENTENCIA_1997_69" w:history="1">
        <w:r w:rsidRPr="00575662">
          <w:rPr>
            <w:rStyle w:val="TextoNormalCaracter"/>
          </w:rPr>
          <w:t>69/1997</w:t>
        </w:r>
      </w:hyperlink>
      <w:r>
        <w:t xml:space="preserve">, ff. 1, 3, 4, 6; </w:t>
      </w:r>
      <w:hyperlink w:anchor="SENTENCIA_1997_74" w:history="1">
        <w:r w:rsidRPr="00575662">
          <w:rPr>
            <w:rStyle w:val="TextoNormalCaracter"/>
          </w:rPr>
          <w:t>74/1997</w:t>
        </w:r>
      </w:hyperlink>
      <w:r>
        <w:t xml:space="preserve">, f. 1; </w:t>
      </w:r>
      <w:hyperlink w:anchor="SENTENCIA_1997_76" w:history="1">
        <w:r w:rsidRPr="00575662">
          <w:rPr>
            <w:rStyle w:val="TextoNormalCaracter"/>
          </w:rPr>
          <w:t>76/1997</w:t>
        </w:r>
      </w:hyperlink>
      <w:r>
        <w:t xml:space="preserve">, f. 2; </w:t>
      </w:r>
      <w:hyperlink w:anchor="SENTENCIA_1997_77" w:history="1">
        <w:r w:rsidRPr="00575662">
          <w:rPr>
            <w:rStyle w:val="TextoNormalCaracter"/>
          </w:rPr>
          <w:t>77/1997</w:t>
        </w:r>
      </w:hyperlink>
      <w:r>
        <w:t xml:space="preserve">, f. 3; </w:t>
      </w:r>
      <w:hyperlink w:anchor="SENTENCIA_1997_78" w:history="1">
        <w:r w:rsidRPr="00575662">
          <w:rPr>
            <w:rStyle w:val="TextoNormalCaracter"/>
          </w:rPr>
          <w:t>78/1997</w:t>
        </w:r>
      </w:hyperlink>
      <w:r>
        <w:t xml:space="preserve">, f. 1; </w:t>
      </w:r>
      <w:hyperlink w:anchor="SENTENCIA_1997_79" w:history="1">
        <w:r w:rsidRPr="00575662">
          <w:rPr>
            <w:rStyle w:val="TextoNormalCaracter"/>
          </w:rPr>
          <w:t>79/1997</w:t>
        </w:r>
      </w:hyperlink>
      <w:r>
        <w:t xml:space="preserve">, ff. 1, 4, 5, 7; </w:t>
      </w:r>
      <w:hyperlink w:anchor="SENTENCIA_1997_81" w:history="1">
        <w:r w:rsidRPr="00575662">
          <w:rPr>
            <w:rStyle w:val="TextoNormalCaracter"/>
          </w:rPr>
          <w:t>81/1997</w:t>
        </w:r>
      </w:hyperlink>
      <w:r>
        <w:t xml:space="preserve">, ff. 1, 3 a 5; </w:t>
      </w:r>
      <w:hyperlink w:anchor="SENTENCIA_1997_83" w:history="1">
        <w:r w:rsidRPr="00575662">
          <w:rPr>
            <w:rStyle w:val="TextoNormalCaracter"/>
          </w:rPr>
          <w:t>83/1997</w:t>
        </w:r>
      </w:hyperlink>
      <w:r>
        <w:t xml:space="preserve">, f. 1; </w:t>
      </w:r>
      <w:hyperlink w:anchor="SENTENCIA_1997_84" w:history="1">
        <w:r w:rsidRPr="00575662">
          <w:rPr>
            <w:rStyle w:val="TextoNormalCaracter"/>
          </w:rPr>
          <w:t>84/1997</w:t>
        </w:r>
      </w:hyperlink>
      <w:r>
        <w:t xml:space="preserve">, ff. 1, 2, 4; </w:t>
      </w:r>
      <w:hyperlink w:anchor="SENTENCIA_1997_85" w:history="1">
        <w:r w:rsidRPr="00575662">
          <w:rPr>
            <w:rStyle w:val="TextoNormalCaracter"/>
          </w:rPr>
          <w:t>85/1997</w:t>
        </w:r>
      </w:hyperlink>
      <w:r>
        <w:t xml:space="preserve">, ff. 1 a 3; </w:t>
      </w:r>
      <w:hyperlink w:anchor="SENTENCIA_1997_86" w:history="1">
        <w:r w:rsidRPr="00575662">
          <w:rPr>
            <w:rStyle w:val="TextoNormalCaracter"/>
          </w:rPr>
          <w:t>86/1997</w:t>
        </w:r>
      </w:hyperlink>
      <w:r>
        <w:t>, ff. 1, 2.</w:t>
      </w:r>
    </w:p>
    <w:p w:rsidR="00575662" w:rsidRDefault="00575662" w:rsidP="00575662">
      <w:pPr>
        <w:pStyle w:val="SangriaIzquierdaArticulo"/>
      </w:pPr>
      <w:r>
        <w:t xml:space="preserve">Autos </w:t>
      </w:r>
      <w:hyperlink w:anchor="AUTO_1997_4" w:history="1">
        <w:r w:rsidRPr="00575662">
          <w:rPr>
            <w:rStyle w:val="TextoNormalCaracter"/>
          </w:rPr>
          <w:t>4/1997</w:t>
        </w:r>
      </w:hyperlink>
      <w:r>
        <w:t xml:space="preserve">; </w:t>
      </w:r>
      <w:hyperlink w:anchor="AUTO_1997_8" w:history="1">
        <w:r w:rsidRPr="00575662">
          <w:rPr>
            <w:rStyle w:val="TextoNormalCaracter"/>
          </w:rPr>
          <w:t>8/1997</w:t>
        </w:r>
      </w:hyperlink>
      <w:r>
        <w:t xml:space="preserve">; </w:t>
      </w:r>
      <w:hyperlink w:anchor="AUTO_1997_13" w:history="1">
        <w:r w:rsidRPr="00575662">
          <w:rPr>
            <w:rStyle w:val="TextoNormalCaracter"/>
          </w:rPr>
          <w:t>13/1997</w:t>
        </w:r>
      </w:hyperlink>
      <w:r>
        <w:t xml:space="preserve">; </w:t>
      </w:r>
      <w:hyperlink w:anchor="AUTO_1997_15" w:history="1">
        <w:r w:rsidRPr="00575662">
          <w:rPr>
            <w:rStyle w:val="TextoNormalCaracter"/>
          </w:rPr>
          <w:t>15/1997</w:t>
        </w:r>
      </w:hyperlink>
      <w:r>
        <w:t xml:space="preserve">; </w:t>
      </w:r>
      <w:hyperlink w:anchor="AUTO_1997_20" w:history="1">
        <w:r w:rsidRPr="00575662">
          <w:rPr>
            <w:rStyle w:val="TextoNormalCaracter"/>
          </w:rPr>
          <w:t>20/1997</w:t>
        </w:r>
      </w:hyperlink>
      <w:r>
        <w:t xml:space="preserve">; </w:t>
      </w:r>
      <w:hyperlink w:anchor="AUTO_1997_23" w:history="1">
        <w:r w:rsidRPr="00575662">
          <w:rPr>
            <w:rStyle w:val="TextoNormalCaracter"/>
          </w:rPr>
          <w:t>23/1997</w:t>
        </w:r>
      </w:hyperlink>
      <w:r>
        <w:t xml:space="preserve">; </w:t>
      </w:r>
      <w:hyperlink w:anchor="AUTO_1997_24" w:history="1">
        <w:r w:rsidRPr="00575662">
          <w:rPr>
            <w:rStyle w:val="TextoNormalCaracter"/>
          </w:rPr>
          <w:t>24/1997</w:t>
        </w:r>
      </w:hyperlink>
      <w:r>
        <w:t xml:space="preserve">; </w:t>
      </w:r>
      <w:hyperlink w:anchor="AUTO_1997_30" w:history="1">
        <w:r w:rsidRPr="00575662">
          <w:rPr>
            <w:rStyle w:val="TextoNormalCaracter"/>
          </w:rPr>
          <w:t>30/1997</w:t>
        </w:r>
      </w:hyperlink>
      <w:r>
        <w:t xml:space="preserve">; </w:t>
      </w:r>
      <w:hyperlink w:anchor="AUTO_1997_32" w:history="1">
        <w:r w:rsidRPr="00575662">
          <w:rPr>
            <w:rStyle w:val="TextoNormalCaracter"/>
          </w:rPr>
          <w:t>32/1997</w:t>
        </w:r>
      </w:hyperlink>
      <w:r>
        <w:t xml:space="preserve">; </w:t>
      </w:r>
      <w:hyperlink w:anchor="AUTO_1997_60" w:history="1">
        <w:r w:rsidRPr="00575662">
          <w:rPr>
            <w:rStyle w:val="TextoNormalCaracter"/>
          </w:rPr>
          <w:t>60/1997</w:t>
        </w:r>
      </w:hyperlink>
      <w:r>
        <w:t xml:space="preserve">; </w:t>
      </w:r>
      <w:hyperlink w:anchor="AUTO_1997_63" w:history="1">
        <w:r w:rsidRPr="00575662">
          <w:rPr>
            <w:rStyle w:val="TextoNormalCaracter"/>
          </w:rPr>
          <w:t>63/1997</w:t>
        </w:r>
      </w:hyperlink>
      <w:r>
        <w:t xml:space="preserve">, VP; </w:t>
      </w:r>
      <w:hyperlink w:anchor="AUTO_1997_71" w:history="1">
        <w:r w:rsidRPr="00575662">
          <w:rPr>
            <w:rStyle w:val="TextoNormalCaracter"/>
          </w:rPr>
          <w:t>71/1997</w:t>
        </w:r>
      </w:hyperlink>
      <w:r>
        <w:t xml:space="preserve">; </w:t>
      </w:r>
      <w:hyperlink w:anchor="AUTO_1997_72" w:history="1">
        <w:r w:rsidRPr="00575662">
          <w:rPr>
            <w:rStyle w:val="TextoNormalCaracter"/>
          </w:rPr>
          <w:t>72/1997</w:t>
        </w:r>
      </w:hyperlink>
      <w:r>
        <w:t xml:space="preserve">; </w:t>
      </w:r>
      <w:hyperlink w:anchor="AUTO_1997_79" w:history="1">
        <w:r w:rsidRPr="00575662">
          <w:rPr>
            <w:rStyle w:val="TextoNormalCaracter"/>
          </w:rPr>
          <w:t>79/1997</w:t>
        </w:r>
      </w:hyperlink>
      <w:r>
        <w:t xml:space="preserve">; </w:t>
      </w:r>
      <w:hyperlink w:anchor="AUTO_1997_80" w:history="1">
        <w:r w:rsidRPr="00575662">
          <w:rPr>
            <w:rStyle w:val="TextoNormalCaracter"/>
          </w:rPr>
          <w:t>80/1997</w:t>
        </w:r>
      </w:hyperlink>
      <w:r>
        <w:t xml:space="preserve">; </w:t>
      </w:r>
      <w:hyperlink w:anchor="AUTO_1997_87" w:history="1">
        <w:r w:rsidRPr="00575662">
          <w:rPr>
            <w:rStyle w:val="TextoNormalCaracter"/>
          </w:rPr>
          <w:t>87/1997</w:t>
        </w:r>
      </w:hyperlink>
      <w:r>
        <w:t xml:space="preserve">; </w:t>
      </w:r>
      <w:hyperlink w:anchor="AUTO_1997_88" w:history="1">
        <w:r w:rsidRPr="00575662">
          <w:rPr>
            <w:rStyle w:val="TextoNormalCaracter"/>
          </w:rPr>
          <w:t>88/1997</w:t>
        </w:r>
      </w:hyperlink>
      <w:r>
        <w:t xml:space="preserve">; </w:t>
      </w:r>
      <w:hyperlink w:anchor="AUTO_1997_90" w:history="1">
        <w:r w:rsidRPr="00575662">
          <w:rPr>
            <w:rStyle w:val="TextoNormalCaracter"/>
          </w:rPr>
          <w:t>90/1997</w:t>
        </w:r>
      </w:hyperlink>
      <w:r>
        <w:t xml:space="preserve">; </w:t>
      </w:r>
      <w:hyperlink w:anchor="AUTO_1997_91" w:history="1">
        <w:r w:rsidRPr="00575662">
          <w:rPr>
            <w:rStyle w:val="TextoNormalCaracter"/>
          </w:rPr>
          <w:t>91/1997</w:t>
        </w:r>
      </w:hyperlink>
      <w:r>
        <w:t xml:space="preserve">; </w:t>
      </w:r>
      <w:hyperlink w:anchor="AUTO_1997_94" w:history="1">
        <w:r w:rsidRPr="00575662">
          <w:rPr>
            <w:rStyle w:val="TextoNormalCaracter"/>
          </w:rPr>
          <w:t>94/1997</w:t>
        </w:r>
      </w:hyperlink>
      <w:r>
        <w:t xml:space="preserve">; </w:t>
      </w:r>
      <w:hyperlink w:anchor="AUTO_1997_99" w:history="1">
        <w:r w:rsidRPr="00575662">
          <w:rPr>
            <w:rStyle w:val="TextoNormalCaracter"/>
          </w:rPr>
          <w:t>99/1997</w:t>
        </w:r>
      </w:hyperlink>
      <w:r>
        <w:t xml:space="preserve">; </w:t>
      </w:r>
      <w:hyperlink w:anchor="AUTO_1997_102" w:history="1">
        <w:r w:rsidRPr="00575662">
          <w:rPr>
            <w:rStyle w:val="TextoNormalCaracter"/>
          </w:rPr>
          <w:t>102/1997</w:t>
        </w:r>
      </w:hyperlink>
      <w:r>
        <w:t xml:space="preserve">; </w:t>
      </w:r>
      <w:hyperlink w:anchor="AUTO_1997_105" w:history="1">
        <w:r w:rsidRPr="00575662">
          <w:rPr>
            <w:rStyle w:val="TextoNormalCaracter"/>
          </w:rPr>
          <w:t>105/1997</w:t>
        </w:r>
      </w:hyperlink>
      <w:r>
        <w:t xml:space="preserve">; </w:t>
      </w:r>
      <w:hyperlink w:anchor="AUTO_1997_114" w:history="1">
        <w:r w:rsidRPr="00575662">
          <w:rPr>
            <w:rStyle w:val="TextoNormalCaracter"/>
          </w:rPr>
          <w:t>114/1997</w:t>
        </w:r>
      </w:hyperlink>
      <w:r>
        <w:t xml:space="preserve">; </w:t>
      </w:r>
      <w:hyperlink w:anchor="AUTO_1997_118" w:history="1">
        <w:r w:rsidRPr="00575662">
          <w:rPr>
            <w:rStyle w:val="TextoNormalCaracter"/>
          </w:rPr>
          <w:t>118/1997</w:t>
        </w:r>
      </w:hyperlink>
      <w:r>
        <w:t xml:space="preserve">; </w:t>
      </w:r>
      <w:hyperlink w:anchor="AUTO_1997_119" w:history="1">
        <w:r w:rsidRPr="00575662">
          <w:rPr>
            <w:rStyle w:val="TextoNormalCaracter"/>
          </w:rPr>
          <w:t>119/1997</w:t>
        </w:r>
      </w:hyperlink>
      <w:r>
        <w:t xml:space="preserve">; </w:t>
      </w:r>
      <w:hyperlink w:anchor="AUTO_1997_120" w:history="1">
        <w:r w:rsidRPr="00575662">
          <w:rPr>
            <w:rStyle w:val="TextoNormalCaracter"/>
          </w:rPr>
          <w:t>120/1997</w:t>
        </w:r>
      </w:hyperlink>
      <w:r>
        <w:t xml:space="preserve">; </w:t>
      </w:r>
      <w:hyperlink w:anchor="AUTO_1997_121" w:history="1">
        <w:r w:rsidRPr="00575662">
          <w:rPr>
            <w:rStyle w:val="TextoNormalCaracter"/>
          </w:rPr>
          <w:t>121/1997</w:t>
        </w:r>
      </w:hyperlink>
      <w:r>
        <w:t xml:space="preserve">; </w:t>
      </w:r>
      <w:hyperlink w:anchor="AUTO_1997_122" w:history="1">
        <w:r w:rsidRPr="00575662">
          <w:rPr>
            <w:rStyle w:val="TextoNormalCaracter"/>
          </w:rPr>
          <w:t>122/1997</w:t>
        </w:r>
      </w:hyperlink>
      <w:r>
        <w:t>.</w:t>
      </w:r>
    </w:p>
    <w:p w:rsidR="00575662" w:rsidRDefault="00575662" w:rsidP="00575662">
      <w:pPr>
        <w:pStyle w:val="SangriaFrancesaArticulo"/>
      </w:pPr>
      <w:r w:rsidRPr="00575662">
        <w:rPr>
          <w:rStyle w:val="TextoNormalNegritaCaracter"/>
        </w:rPr>
        <w:lastRenderedPageBreak/>
        <w:t>Artículo 24.2.</w:t>
      </w:r>
      <w:r w:rsidRPr="00575662">
        <w:rPr>
          <w:rStyle w:val="TextoNormalCaracter"/>
        </w:rPr>
        <w:t>-</w:t>
      </w:r>
      <w:r>
        <w:t xml:space="preserve"> Sentencias </w:t>
      </w:r>
      <w:hyperlink w:anchor="SENTENCIA_1997_6" w:history="1">
        <w:r w:rsidRPr="00575662">
          <w:rPr>
            <w:rStyle w:val="TextoNormalCaracter"/>
          </w:rPr>
          <w:t>6/1997</w:t>
        </w:r>
      </w:hyperlink>
      <w:r>
        <w:t xml:space="preserve">, f. 1; </w:t>
      </w:r>
      <w:hyperlink w:anchor="SENTENCIA_1997_7" w:history="1">
        <w:r w:rsidRPr="00575662">
          <w:rPr>
            <w:rStyle w:val="TextoNormalCaracter"/>
          </w:rPr>
          <w:t>7/1997</w:t>
        </w:r>
      </w:hyperlink>
      <w:r>
        <w:t xml:space="preserve">, f. 4; </w:t>
      </w:r>
      <w:hyperlink w:anchor="SENTENCIA_1997_9" w:history="1">
        <w:r w:rsidRPr="00575662">
          <w:rPr>
            <w:rStyle w:val="TextoNormalCaracter"/>
          </w:rPr>
          <w:t>9/1997</w:t>
        </w:r>
      </w:hyperlink>
      <w:r>
        <w:t xml:space="preserve">, f. 3; </w:t>
      </w:r>
      <w:hyperlink w:anchor="SENTENCIA_1997_10" w:history="1">
        <w:r w:rsidRPr="00575662">
          <w:rPr>
            <w:rStyle w:val="TextoNormalCaracter"/>
          </w:rPr>
          <w:t>10/1997</w:t>
        </w:r>
      </w:hyperlink>
      <w:r>
        <w:t xml:space="preserve">, ff. 2 a 4, 9; </w:t>
      </w:r>
      <w:hyperlink w:anchor="SENTENCIA_1997_11" w:history="1">
        <w:r w:rsidRPr="00575662">
          <w:rPr>
            <w:rStyle w:val="TextoNormalCaracter"/>
          </w:rPr>
          <w:t>11/1997</w:t>
        </w:r>
      </w:hyperlink>
      <w:r>
        <w:t xml:space="preserve">, f. 1; </w:t>
      </w:r>
      <w:hyperlink w:anchor="SENTENCIA_1997_14" w:history="1">
        <w:r w:rsidRPr="00575662">
          <w:rPr>
            <w:rStyle w:val="TextoNormalCaracter"/>
          </w:rPr>
          <w:t>14/1997</w:t>
        </w:r>
      </w:hyperlink>
      <w:r>
        <w:t xml:space="preserve">, ff. 2, 5, 8; </w:t>
      </w:r>
      <w:hyperlink w:anchor="SENTENCIA_1997_17" w:history="1">
        <w:r w:rsidRPr="00575662">
          <w:rPr>
            <w:rStyle w:val="TextoNormalCaracter"/>
          </w:rPr>
          <w:t>17/1997</w:t>
        </w:r>
      </w:hyperlink>
      <w:r>
        <w:t xml:space="preserve">, f. 1; </w:t>
      </w:r>
      <w:hyperlink w:anchor="SENTENCIA_1997_22" w:history="1">
        <w:r w:rsidRPr="00575662">
          <w:rPr>
            <w:rStyle w:val="TextoNormalCaracter"/>
          </w:rPr>
          <w:t>22/1997</w:t>
        </w:r>
      </w:hyperlink>
      <w:r>
        <w:t xml:space="preserve">, ff. 2, 3, 6, 8; </w:t>
      </w:r>
      <w:hyperlink w:anchor="SENTENCIA_1997_24" w:history="1">
        <w:r w:rsidRPr="00575662">
          <w:rPr>
            <w:rStyle w:val="TextoNormalCaracter"/>
          </w:rPr>
          <w:t>24/1997</w:t>
        </w:r>
      </w:hyperlink>
      <w:r>
        <w:t xml:space="preserve">, ff. 1, 5; </w:t>
      </w:r>
      <w:hyperlink w:anchor="SENTENCIA_1997_25" w:history="1">
        <w:r w:rsidRPr="00575662">
          <w:rPr>
            <w:rStyle w:val="TextoNormalCaracter"/>
          </w:rPr>
          <w:t>25/1997</w:t>
        </w:r>
      </w:hyperlink>
      <w:r>
        <w:t xml:space="preserve">, ff. 1, 5; </w:t>
      </w:r>
      <w:hyperlink w:anchor="SENTENCIA_1997_27" w:history="1">
        <w:r w:rsidRPr="00575662">
          <w:rPr>
            <w:rStyle w:val="TextoNormalCaracter"/>
          </w:rPr>
          <w:t>27/1997</w:t>
        </w:r>
      </w:hyperlink>
      <w:r>
        <w:t xml:space="preserve">, f. 2; </w:t>
      </w:r>
      <w:hyperlink w:anchor="SENTENCIA_1997_30" w:history="1">
        <w:r w:rsidRPr="00575662">
          <w:rPr>
            <w:rStyle w:val="TextoNormalCaracter"/>
          </w:rPr>
          <w:t>30/1997</w:t>
        </w:r>
      </w:hyperlink>
      <w:r>
        <w:t xml:space="preserve">, f. 1; </w:t>
      </w:r>
      <w:hyperlink w:anchor="SENTENCIA_1997_31" w:history="1">
        <w:r w:rsidRPr="00575662">
          <w:rPr>
            <w:rStyle w:val="TextoNormalCaracter"/>
          </w:rPr>
          <w:t>31/1997</w:t>
        </w:r>
      </w:hyperlink>
      <w:r>
        <w:t xml:space="preserve">, f. 2; </w:t>
      </w:r>
      <w:hyperlink w:anchor="SENTENCIA_1997_35" w:history="1">
        <w:r w:rsidRPr="00575662">
          <w:rPr>
            <w:rStyle w:val="TextoNormalCaracter"/>
          </w:rPr>
          <w:t>35/1997</w:t>
        </w:r>
      </w:hyperlink>
      <w:r>
        <w:t xml:space="preserve">, f. 1; </w:t>
      </w:r>
      <w:hyperlink w:anchor="SENTENCIA_1997_39" w:history="1">
        <w:r w:rsidRPr="00575662">
          <w:rPr>
            <w:rStyle w:val="TextoNormalCaracter"/>
          </w:rPr>
          <w:t>39/1997</w:t>
        </w:r>
      </w:hyperlink>
      <w:r>
        <w:t xml:space="preserve">, ff. 1, 2, 6; </w:t>
      </w:r>
      <w:hyperlink w:anchor="SENTENCIA_1997_40" w:history="1">
        <w:r w:rsidRPr="00575662">
          <w:rPr>
            <w:rStyle w:val="TextoNormalCaracter"/>
          </w:rPr>
          <w:t>40/1997</w:t>
        </w:r>
      </w:hyperlink>
      <w:r>
        <w:t xml:space="preserve">, ff. 1, 6; </w:t>
      </w:r>
      <w:hyperlink w:anchor="SENTENCIA_1997_41" w:history="1">
        <w:r w:rsidRPr="00575662">
          <w:rPr>
            <w:rStyle w:val="TextoNormalCaracter"/>
          </w:rPr>
          <w:t>41/1997</w:t>
        </w:r>
      </w:hyperlink>
      <w:r>
        <w:t xml:space="preserve">, ff. 1, 5, 9; </w:t>
      </w:r>
      <w:hyperlink w:anchor="SENTENCIA_1997_45" w:history="1">
        <w:r w:rsidRPr="00575662">
          <w:rPr>
            <w:rStyle w:val="TextoNormalCaracter"/>
          </w:rPr>
          <w:t>45/1997</w:t>
        </w:r>
      </w:hyperlink>
      <w:r>
        <w:t xml:space="preserve">, ff. 1, 2, 6, 7; </w:t>
      </w:r>
      <w:hyperlink w:anchor="SENTENCIA_1997_55" w:history="1">
        <w:r w:rsidRPr="00575662">
          <w:rPr>
            <w:rStyle w:val="TextoNormalCaracter"/>
          </w:rPr>
          <w:t>55/1997</w:t>
        </w:r>
      </w:hyperlink>
      <w:r>
        <w:t xml:space="preserve">, VP; </w:t>
      </w:r>
      <w:hyperlink w:anchor="SENTENCIA_1997_56" w:history="1">
        <w:r w:rsidRPr="00575662">
          <w:rPr>
            <w:rStyle w:val="TextoNormalCaracter"/>
          </w:rPr>
          <w:t>56/1997</w:t>
        </w:r>
      </w:hyperlink>
      <w:r>
        <w:t xml:space="preserve">, VP I; </w:t>
      </w:r>
      <w:hyperlink w:anchor="SENTENCIA_1997_64" w:history="1">
        <w:r w:rsidRPr="00575662">
          <w:rPr>
            <w:rStyle w:val="TextoNormalCaracter"/>
          </w:rPr>
          <w:t>64/1997</w:t>
        </w:r>
      </w:hyperlink>
      <w:r>
        <w:t xml:space="preserve">, ff. 1 a 4; </w:t>
      </w:r>
      <w:hyperlink w:anchor="SENTENCIA_1997_68" w:history="1">
        <w:r w:rsidRPr="00575662">
          <w:rPr>
            <w:rStyle w:val="TextoNormalCaracter"/>
          </w:rPr>
          <w:t>68/1997</w:t>
        </w:r>
      </w:hyperlink>
      <w:r>
        <w:t xml:space="preserve">, ff. 1, 2; </w:t>
      </w:r>
      <w:hyperlink w:anchor="SENTENCIA_1997_83" w:history="1">
        <w:r w:rsidRPr="00575662">
          <w:rPr>
            <w:rStyle w:val="TextoNormalCaracter"/>
          </w:rPr>
          <w:t>83/1997</w:t>
        </w:r>
      </w:hyperlink>
      <w:r>
        <w:t>, ff. 1 a 3.</w:t>
      </w:r>
    </w:p>
    <w:p w:rsidR="00575662" w:rsidRDefault="00575662" w:rsidP="00575662">
      <w:pPr>
        <w:pStyle w:val="SangriaIzquierdaArticulo"/>
      </w:pPr>
      <w:r>
        <w:t xml:space="preserve">Autos </w:t>
      </w:r>
      <w:hyperlink w:anchor="AUTO_1997_19" w:history="1">
        <w:r w:rsidRPr="00575662">
          <w:rPr>
            <w:rStyle w:val="TextoNormalCaracter"/>
          </w:rPr>
          <w:t>19/1997</w:t>
        </w:r>
      </w:hyperlink>
      <w:r>
        <w:t xml:space="preserve">; </w:t>
      </w:r>
      <w:hyperlink w:anchor="AUTO_1997_30" w:history="1">
        <w:r w:rsidRPr="00575662">
          <w:rPr>
            <w:rStyle w:val="TextoNormalCaracter"/>
          </w:rPr>
          <w:t>30/1997</w:t>
        </w:r>
      </w:hyperlink>
      <w:r>
        <w:t xml:space="preserve">; </w:t>
      </w:r>
      <w:hyperlink w:anchor="AUTO_1997_45" w:history="1">
        <w:r w:rsidRPr="00575662">
          <w:rPr>
            <w:rStyle w:val="TextoNormalCaracter"/>
          </w:rPr>
          <w:t>45/1997</w:t>
        </w:r>
      </w:hyperlink>
      <w:r>
        <w:t xml:space="preserve">, VP; </w:t>
      </w:r>
      <w:hyperlink w:anchor="AUTO_1997_63" w:history="1">
        <w:r w:rsidRPr="00575662">
          <w:rPr>
            <w:rStyle w:val="TextoNormalCaracter"/>
          </w:rPr>
          <w:t>63/1997</w:t>
        </w:r>
      </w:hyperlink>
      <w:r>
        <w:t xml:space="preserve">; </w:t>
      </w:r>
      <w:hyperlink w:anchor="AUTO_1997_70" w:history="1">
        <w:r w:rsidRPr="00575662">
          <w:rPr>
            <w:rStyle w:val="TextoNormalCaracter"/>
          </w:rPr>
          <w:t>70/1997</w:t>
        </w:r>
      </w:hyperlink>
      <w:r>
        <w:t xml:space="preserve">; </w:t>
      </w:r>
      <w:hyperlink w:anchor="AUTO_1997_114" w:history="1">
        <w:r w:rsidRPr="00575662">
          <w:rPr>
            <w:rStyle w:val="TextoNormalCaracter"/>
          </w:rPr>
          <w:t>114/1997</w:t>
        </w:r>
      </w:hyperlink>
      <w:r>
        <w:t xml:space="preserve">; </w:t>
      </w:r>
      <w:hyperlink w:anchor="AUTO_1997_120" w:history="1">
        <w:r w:rsidRPr="00575662">
          <w:rPr>
            <w:rStyle w:val="TextoNormalCaracter"/>
          </w:rPr>
          <w:t>120/1997</w:t>
        </w:r>
      </w:hyperlink>
      <w:r>
        <w:t>.</w:t>
      </w:r>
    </w:p>
    <w:p w:rsidR="00575662" w:rsidRDefault="00575662" w:rsidP="00575662">
      <w:pPr>
        <w:pStyle w:val="SangriaFrancesaArticulo"/>
      </w:pPr>
      <w:r w:rsidRPr="00575662">
        <w:rPr>
          <w:rStyle w:val="TextoNormalNegritaCaracter"/>
        </w:rPr>
        <w:t>Artículo 25.</w:t>
      </w:r>
      <w:r w:rsidRPr="00575662">
        <w:rPr>
          <w:rStyle w:val="TextoNormalCaracter"/>
        </w:rPr>
        <w:t>-</w:t>
      </w:r>
      <w:r>
        <w:t xml:space="preserve"> Sentencias </w:t>
      </w:r>
      <w:hyperlink w:anchor="SENTENCIA_1997_4" w:history="1">
        <w:r w:rsidRPr="00575662">
          <w:rPr>
            <w:rStyle w:val="TextoNormalCaracter"/>
          </w:rPr>
          <w:t>4/1997</w:t>
        </w:r>
      </w:hyperlink>
      <w:r>
        <w:t xml:space="preserve">, f. 1; </w:t>
      </w:r>
      <w:hyperlink w:anchor="SENTENCIA_1997_38" w:history="1">
        <w:r w:rsidRPr="00575662">
          <w:rPr>
            <w:rStyle w:val="TextoNormalCaracter"/>
          </w:rPr>
          <w:t>38/1997</w:t>
        </w:r>
      </w:hyperlink>
      <w:r>
        <w:t xml:space="preserve">, ff. 1, 5, 6; </w:t>
      </w:r>
      <w:hyperlink w:anchor="SENTENCIA_1997_61" w:history="1">
        <w:r w:rsidRPr="00575662">
          <w:rPr>
            <w:rStyle w:val="TextoNormalCaracter"/>
          </w:rPr>
          <w:t>61/1997</w:t>
        </w:r>
      </w:hyperlink>
      <w:r>
        <w:t xml:space="preserve">, f. 17; </w:t>
      </w:r>
      <w:hyperlink w:anchor="SENTENCIA_1997_62" w:history="1">
        <w:r w:rsidRPr="00575662">
          <w:rPr>
            <w:rStyle w:val="TextoNormalCaracter"/>
          </w:rPr>
          <w:t>62/1997</w:t>
        </w:r>
      </w:hyperlink>
      <w:r>
        <w:t xml:space="preserve">, f. 4, VP; </w:t>
      </w:r>
      <w:hyperlink w:anchor="SENTENCIA_1997_63" w:history="1">
        <w:r w:rsidRPr="00575662">
          <w:rPr>
            <w:rStyle w:val="TextoNormalCaracter"/>
          </w:rPr>
          <w:t>63/1997</w:t>
        </w:r>
      </w:hyperlink>
      <w:r>
        <w:t xml:space="preserve">, ff. 2, 3; </w:t>
      </w:r>
      <w:hyperlink w:anchor="SENTENCIA_1997_74" w:history="1">
        <w:r w:rsidRPr="00575662">
          <w:rPr>
            <w:rStyle w:val="TextoNormalCaracter"/>
          </w:rPr>
          <w:t>74/1997</w:t>
        </w:r>
      </w:hyperlink>
      <w:r>
        <w:t xml:space="preserve">, VP; </w:t>
      </w:r>
      <w:hyperlink w:anchor="SENTENCIA_1997_81" w:history="1">
        <w:r w:rsidRPr="00575662">
          <w:rPr>
            <w:rStyle w:val="TextoNormalCaracter"/>
          </w:rPr>
          <w:t>81/1997</w:t>
        </w:r>
      </w:hyperlink>
      <w:r>
        <w:t>, f. 1.</w:t>
      </w:r>
    </w:p>
    <w:p w:rsidR="00575662" w:rsidRDefault="00575662" w:rsidP="00575662">
      <w:pPr>
        <w:pStyle w:val="SangriaFrancesaArticulo"/>
      </w:pPr>
      <w:r w:rsidRPr="00575662">
        <w:rPr>
          <w:rStyle w:val="TextoNormalNegritaCaracter"/>
        </w:rPr>
        <w:t>Artículo 25.1.</w:t>
      </w:r>
      <w:r w:rsidRPr="00575662">
        <w:rPr>
          <w:rStyle w:val="TextoNormalCaracter"/>
        </w:rPr>
        <w:t>-</w:t>
      </w:r>
      <w:r>
        <w:t xml:space="preserve"> Sentencias </w:t>
      </w:r>
      <w:hyperlink w:anchor="SENTENCIA_1997_26" w:history="1">
        <w:r w:rsidRPr="00575662">
          <w:rPr>
            <w:rStyle w:val="TextoNormalCaracter"/>
          </w:rPr>
          <w:t>26/1997</w:t>
        </w:r>
      </w:hyperlink>
      <w:r>
        <w:t xml:space="preserve">, ff. 1, 5, 6; </w:t>
      </w:r>
      <w:hyperlink w:anchor="SENTENCIA_1997_41" w:history="1">
        <w:r w:rsidRPr="00575662">
          <w:rPr>
            <w:rStyle w:val="TextoNormalCaracter"/>
          </w:rPr>
          <w:t>41/1997</w:t>
        </w:r>
      </w:hyperlink>
      <w:r>
        <w:t xml:space="preserve">, f. 4; </w:t>
      </w:r>
      <w:hyperlink w:anchor="SENTENCIA_1997_43" w:history="1">
        <w:r w:rsidRPr="00575662">
          <w:rPr>
            <w:rStyle w:val="TextoNormalCaracter"/>
          </w:rPr>
          <w:t>43/1997</w:t>
        </w:r>
      </w:hyperlink>
      <w:r>
        <w:t xml:space="preserve">, ff. 4, 5, 7; </w:t>
      </w:r>
      <w:hyperlink w:anchor="SENTENCIA_1997_61" w:history="1">
        <w:r w:rsidRPr="00575662">
          <w:rPr>
            <w:rStyle w:val="TextoNormalCaracter"/>
          </w:rPr>
          <w:t>61/1997</w:t>
        </w:r>
      </w:hyperlink>
      <w:r>
        <w:t xml:space="preserve">, VP; </w:t>
      </w:r>
      <w:hyperlink w:anchor="SENTENCIA_1997_62" w:history="1">
        <w:r w:rsidRPr="00575662">
          <w:rPr>
            <w:rStyle w:val="TextoNormalCaracter"/>
          </w:rPr>
          <w:t>62/1997</w:t>
        </w:r>
      </w:hyperlink>
      <w:r>
        <w:t xml:space="preserve">, ff. 1, 4, VP; </w:t>
      </w:r>
      <w:hyperlink w:anchor="SENTENCIA_1997_63" w:history="1">
        <w:r w:rsidRPr="00575662">
          <w:rPr>
            <w:rStyle w:val="TextoNormalCaracter"/>
          </w:rPr>
          <w:t>63/1997</w:t>
        </w:r>
      </w:hyperlink>
      <w:r>
        <w:t xml:space="preserve">, f. 1; </w:t>
      </w:r>
      <w:hyperlink w:anchor="SENTENCIA_1997_74" w:history="1">
        <w:r w:rsidRPr="00575662">
          <w:rPr>
            <w:rStyle w:val="TextoNormalCaracter"/>
          </w:rPr>
          <w:t>74/1997</w:t>
        </w:r>
      </w:hyperlink>
      <w:r>
        <w:t>, f. 5, VP.</w:t>
      </w:r>
    </w:p>
    <w:p w:rsidR="00575662" w:rsidRDefault="00575662" w:rsidP="00575662">
      <w:pPr>
        <w:pStyle w:val="SangriaIzquierdaArticulo"/>
      </w:pPr>
      <w:r>
        <w:t xml:space="preserve">Autos </w:t>
      </w:r>
      <w:hyperlink w:anchor="AUTO_1997_23" w:history="1">
        <w:r w:rsidRPr="00575662">
          <w:rPr>
            <w:rStyle w:val="TextoNormalCaracter"/>
          </w:rPr>
          <w:t>23/1997</w:t>
        </w:r>
      </w:hyperlink>
      <w:r>
        <w:t xml:space="preserve">; </w:t>
      </w:r>
      <w:hyperlink w:anchor="AUTO_1997_30" w:history="1">
        <w:r w:rsidRPr="00575662">
          <w:rPr>
            <w:rStyle w:val="TextoNormalCaracter"/>
          </w:rPr>
          <w:t>30/1997</w:t>
        </w:r>
      </w:hyperlink>
      <w:r>
        <w:t>.</w:t>
      </w:r>
    </w:p>
    <w:p w:rsidR="00575662" w:rsidRDefault="00575662" w:rsidP="00575662">
      <w:pPr>
        <w:pStyle w:val="SangriaFrancesaArticulo"/>
      </w:pPr>
      <w:r w:rsidRPr="00575662">
        <w:rPr>
          <w:rStyle w:val="TextoNormalNegritaCaracter"/>
        </w:rPr>
        <w:t>Artículo 25.2.</w:t>
      </w:r>
      <w:r w:rsidRPr="00575662">
        <w:rPr>
          <w:rStyle w:val="TextoNormalCaracter"/>
        </w:rPr>
        <w:t>-</w:t>
      </w:r>
      <w:r>
        <w:t xml:space="preserve"> Sentencias </w:t>
      </w:r>
      <w:hyperlink w:anchor="SENTENCIA_1997_2" w:history="1">
        <w:r w:rsidRPr="00575662">
          <w:rPr>
            <w:rStyle w:val="TextoNormalCaracter"/>
          </w:rPr>
          <w:t>2/1997</w:t>
        </w:r>
      </w:hyperlink>
      <w:r>
        <w:t xml:space="preserve">, ff. 1, 4; </w:t>
      </w:r>
      <w:hyperlink w:anchor="SENTENCIA_1997_60" w:history="1">
        <w:r w:rsidRPr="00575662">
          <w:rPr>
            <w:rStyle w:val="TextoNormalCaracter"/>
          </w:rPr>
          <w:t>60/1997</w:t>
        </w:r>
      </w:hyperlink>
      <w:r>
        <w:t xml:space="preserve">, ff. 1, 2; </w:t>
      </w:r>
      <w:hyperlink w:anchor="SENTENCIA_1997_81" w:history="1">
        <w:r w:rsidRPr="00575662">
          <w:rPr>
            <w:rStyle w:val="TextoNormalCaracter"/>
          </w:rPr>
          <w:t>81/1997</w:t>
        </w:r>
      </w:hyperlink>
      <w:r>
        <w:t>, ff. 3, 4.</w:t>
      </w:r>
    </w:p>
    <w:p w:rsidR="00575662" w:rsidRDefault="00575662" w:rsidP="00575662">
      <w:pPr>
        <w:pStyle w:val="SangriaIzquierdaArticulo"/>
      </w:pPr>
      <w:r>
        <w:t xml:space="preserve">Autos </w:t>
      </w:r>
      <w:hyperlink w:anchor="AUTO_1997_106" w:history="1">
        <w:r w:rsidRPr="00575662">
          <w:rPr>
            <w:rStyle w:val="TextoNormalCaracter"/>
          </w:rPr>
          <w:t>106/1997</w:t>
        </w:r>
      </w:hyperlink>
      <w:r>
        <w:t xml:space="preserve">; </w:t>
      </w:r>
      <w:hyperlink w:anchor="AUTO_1997_114" w:history="1">
        <w:r w:rsidRPr="00575662">
          <w:rPr>
            <w:rStyle w:val="TextoNormalCaracter"/>
          </w:rPr>
          <w:t>114/1997</w:t>
        </w:r>
      </w:hyperlink>
      <w:r>
        <w:t>.</w:t>
      </w:r>
    </w:p>
    <w:p w:rsidR="00575662" w:rsidRDefault="00575662" w:rsidP="00575662">
      <w:pPr>
        <w:pStyle w:val="SangriaFrancesaArticulo"/>
      </w:pPr>
      <w:r w:rsidRPr="00575662">
        <w:rPr>
          <w:rStyle w:val="TextoNormalNegritaCaracter"/>
        </w:rPr>
        <w:t>Artículo 27.10.</w:t>
      </w:r>
      <w:r w:rsidRPr="00575662">
        <w:rPr>
          <w:rStyle w:val="TextoNormalCaracter"/>
        </w:rPr>
        <w:t>-</w:t>
      </w:r>
      <w:r>
        <w:t xml:space="preserve"> Sentencia </w:t>
      </w:r>
      <w:hyperlink w:anchor="SENTENCIA_1997_75" w:history="1">
        <w:r w:rsidRPr="00575662">
          <w:rPr>
            <w:rStyle w:val="TextoNormalCaracter"/>
          </w:rPr>
          <w:t>75/1997</w:t>
        </w:r>
      </w:hyperlink>
      <w:r>
        <w:t>, ff. 1 a 3.</w:t>
      </w:r>
    </w:p>
    <w:p w:rsidR="00575662" w:rsidRDefault="00575662" w:rsidP="00575662">
      <w:pPr>
        <w:pStyle w:val="SangriaFrancesaArticulo"/>
      </w:pPr>
      <w:r w:rsidRPr="00575662">
        <w:rPr>
          <w:rStyle w:val="TextoNormalNegritaCaracter"/>
        </w:rPr>
        <w:t>Artículo 28.</w:t>
      </w:r>
      <w:r w:rsidRPr="00575662">
        <w:rPr>
          <w:rStyle w:val="TextoNormalCaracter"/>
        </w:rPr>
        <w:t>-</w:t>
      </w:r>
      <w:r>
        <w:t xml:space="preserve"> Sentencias </w:t>
      </w:r>
      <w:hyperlink w:anchor="SENTENCIA_1997_13" w:history="1">
        <w:r w:rsidRPr="00575662">
          <w:rPr>
            <w:rStyle w:val="TextoNormalCaracter"/>
          </w:rPr>
          <w:t>13/1997</w:t>
        </w:r>
      </w:hyperlink>
      <w:r>
        <w:t xml:space="preserve">, ff. 2, 3; </w:t>
      </w:r>
      <w:hyperlink w:anchor="SENTENCIA_1997_51" w:history="1">
        <w:r w:rsidRPr="00575662">
          <w:rPr>
            <w:rStyle w:val="TextoNormalCaracter"/>
          </w:rPr>
          <w:t>51/1997</w:t>
        </w:r>
      </w:hyperlink>
      <w:r>
        <w:t>, f. 4.</w:t>
      </w:r>
    </w:p>
    <w:p w:rsidR="00575662" w:rsidRDefault="00575662" w:rsidP="00575662">
      <w:pPr>
        <w:pStyle w:val="SangriaFrancesaArticulo"/>
      </w:pPr>
      <w:r w:rsidRPr="00575662">
        <w:rPr>
          <w:rStyle w:val="TextoNormalNegritaCaracter"/>
        </w:rPr>
        <w:t>Artículo 28.1.</w:t>
      </w:r>
      <w:r w:rsidRPr="00575662">
        <w:rPr>
          <w:rStyle w:val="TextoNormalCaracter"/>
        </w:rPr>
        <w:t>-</w:t>
      </w:r>
      <w:r>
        <w:t xml:space="preserve"> Sentencias </w:t>
      </w:r>
      <w:hyperlink w:anchor="SENTENCIA_1997_13" w:history="1">
        <w:r w:rsidRPr="00575662">
          <w:rPr>
            <w:rStyle w:val="TextoNormalCaracter"/>
          </w:rPr>
          <w:t>13/1997</w:t>
        </w:r>
      </w:hyperlink>
      <w:r>
        <w:t xml:space="preserve">, f. 1; </w:t>
      </w:r>
      <w:hyperlink w:anchor="SENTENCIA_1997_27" w:history="1">
        <w:r w:rsidRPr="00575662">
          <w:rPr>
            <w:rStyle w:val="TextoNormalCaracter"/>
          </w:rPr>
          <w:t>27/1997</w:t>
        </w:r>
      </w:hyperlink>
      <w:r>
        <w:t xml:space="preserve">, ff. 1, 3, VP; </w:t>
      </w:r>
      <w:hyperlink w:anchor="SENTENCIA_1997_82" w:history="1">
        <w:r w:rsidRPr="00575662">
          <w:rPr>
            <w:rStyle w:val="TextoNormalCaracter"/>
          </w:rPr>
          <w:t>82/1997</w:t>
        </w:r>
      </w:hyperlink>
      <w:r>
        <w:t>, ff. 1, 2.</w:t>
      </w:r>
    </w:p>
    <w:p w:rsidR="00575662" w:rsidRDefault="00575662" w:rsidP="00575662">
      <w:pPr>
        <w:pStyle w:val="SangriaFrancesaArticulo"/>
      </w:pPr>
      <w:r w:rsidRPr="00575662">
        <w:rPr>
          <w:rStyle w:val="TextoNormalNegritaCaracter"/>
        </w:rPr>
        <w:t>Artículo 30.</w:t>
      </w:r>
      <w:r w:rsidRPr="00575662">
        <w:rPr>
          <w:rStyle w:val="TextoNormalCaracter"/>
        </w:rPr>
        <w:t>-</w:t>
      </w:r>
      <w:r>
        <w:t xml:space="preserve"> Sentencia </w:t>
      </w:r>
      <w:hyperlink w:anchor="SENTENCIA_1997_43" w:history="1">
        <w:r w:rsidRPr="00575662">
          <w:rPr>
            <w:rStyle w:val="TextoNormalCaracter"/>
          </w:rPr>
          <w:t>43/1997</w:t>
        </w:r>
      </w:hyperlink>
      <w:r>
        <w:t>, f. 1.</w:t>
      </w:r>
    </w:p>
    <w:p w:rsidR="00575662" w:rsidRDefault="00575662" w:rsidP="00575662">
      <w:pPr>
        <w:pStyle w:val="SangriaFrancesaArticulo"/>
      </w:pPr>
      <w:r w:rsidRPr="00575662">
        <w:rPr>
          <w:rStyle w:val="TextoNormalNegritaCaracter"/>
        </w:rPr>
        <w:t>Artículo 31.1.</w:t>
      </w:r>
      <w:r w:rsidRPr="00575662">
        <w:rPr>
          <w:rStyle w:val="TextoNormalCaracter"/>
        </w:rPr>
        <w:t>-</w:t>
      </w:r>
      <w:r>
        <w:t xml:space="preserve"> Sentencias </w:t>
      </w:r>
      <w:hyperlink w:anchor="SENTENCIA_1997_38" w:history="1">
        <w:r w:rsidRPr="00575662">
          <w:rPr>
            <w:rStyle w:val="TextoNormalCaracter"/>
          </w:rPr>
          <w:t>38/1997</w:t>
        </w:r>
      </w:hyperlink>
      <w:r>
        <w:t xml:space="preserve">, f. 3; </w:t>
      </w:r>
      <w:hyperlink w:anchor="SENTENCIA_1997_72" w:history="1">
        <w:r w:rsidRPr="00575662">
          <w:rPr>
            <w:rStyle w:val="TextoNormalCaracter"/>
          </w:rPr>
          <w:t>72/1997</w:t>
        </w:r>
      </w:hyperlink>
      <w:r>
        <w:t>, f. 1.</w:t>
      </w:r>
    </w:p>
    <w:p w:rsidR="00575662" w:rsidRDefault="00575662" w:rsidP="00575662">
      <w:pPr>
        <w:pStyle w:val="SangriaIzquierdaArticulo"/>
      </w:pPr>
      <w:r>
        <w:t xml:space="preserve">Auto </w:t>
      </w:r>
      <w:hyperlink w:anchor="AUTO_1997_25" w:history="1">
        <w:r w:rsidRPr="00575662">
          <w:rPr>
            <w:rStyle w:val="TextoNormalCaracter"/>
          </w:rPr>
          <w:t>25/1997</w:t>
        </w:r>
      </w:hyperlink>
      <w:r>
        <w:t>.</w:t>
      </w:r>
    </w:p>
    <w:p w:rsidR="00575662" w:rsidRDefault="00575662" w:rsidP="00575662">
      <w:pPr>
        <w:pStyle w:val="SangriaFrancesaArticulo"/>
      </w:pPr>
      <w:r w:rsidRPr="00575662">
        <w:rPr>
          <w:rStyle w:val="TextoNormalNegritaCaracter"/>
        </w:rPr>
        <w:t>Artículo 33.</w:t>
      </w:r>
      <w:r w:rsidRPr="00575662">
        <w:rPr>
          <w:rStyle w:val="TextoNormalCaracter"/>
        </w:rPr>
        <w:t>-</w:t>
      </w:r>
      <w:r>
        <w:t xml:space="preserve"> Sentencias </w:t>
      </w:r>
      <w:hyperlink w:anchor="SENTENCIA_1997_28" w:history="1">
        <w:r w:rsidRPr="00575662">
          <w:rPr>
            <w:rStyle w:val="TextoNormalCaracter"/>
          </w:rPr>
          <w:t>28/1997</w:t>
        </w:r>
      </w:hyperlink>
      <w:r>
        <w:t xml:space="preserve">, f. 1; </w:t>
      </w:r>
      <w:hyperlink w:anchor="SENTENCIA_1997_61" w:history="1">
        <w:r w:rsidRPr="00575662">
          <w:rPr>
            <w:rStyle w:val="TextoNormalCaracter"/>
          </w:rPr>
          <w:t>61/1997</w:t>
        </w:r>
      </w:hyperlink>
      <w:r>
        <w:t>, ff. 9, 14, 17, VP.</w:t>
      </w:r>
    </w:p>
    <w:p w:rsidR="00575662" w:rsidRDefault="00575662" w:rsidP="00575662">
      <w:pPr>
        <w:pStyle w:val="SangriaFrancesaArticulo"/>
      </w:pPr>
      <w:r w:rsidRPr="00575662">
        <w:rPr>
          <w:rStyle w:val="TextoNormalNegritaCaracter"/>
        </w:rPr>
        <w:t>Artículo 33.1.</w:t>
      </w:r>
      <w:r w:rsidRPr="00575662">
        <w:rPr>
          <w:rStyle w:val="TextoNormalCaracter"/>
        </w:rPr>
        <w:t>-</w:t>
      </w:r>
      <w:r>
        <w:t xml:space="preserve"> Sentencia </w:t>
      </w:r>
      <w:hyperlink w:anchor="SENTENCIA_1997_61" w:history="1">
        <w:r w:rsidRPr="00575662">
          <w:rPr>
            <w:rStyle w:val="TextoNormalCaracter"/>
          </w:rPr>
          <w:t>61/1997</w:t>
        </w:r>
      </w:hyperlink>
      <w:r>
        <w:t>, f. 28.</w:t>
      </w:r>
    </w:p>
    <w:p w:rsidR="00575662" w:rsidRDefault="00575662" w:rsidP="00575662">
      <w:pPr>
        <w:pStyle w:val="SangriaFrancesaArticulo"/>
      </w:pPr>
      <w:r w:rsidRPr="00575662">
        <w:rPr>
          <w:rStyle w:val="TextoNormalNegritaCaracter"/>
        </w:rPr>
        <w:t>Artículo 33.2.</w:t>
      </w:r>
      <w:r w:rsidRPr="00575662">
        <w:rPr>
          <w:rStyle w:val="TextoNormalCaracter"/>
        </w:rPr>
        <w:t>-</w:t>
      </w:r>
      <w:r>
        <w:t xml:space="preserve"> Sentencia </w:t>
      </w:r>
      <w:hyperlink w:anchor="SENTENCIA_1997_61" w:history="1">
        <w:r w:rsidRPr="00575662">
          <w:rPr>
            <w:rStyle w:val="TextoNormalCaracter"/>
          </w:rPr>
          <w:t>61/1997</w:t>
        </w:r>
      </w:hyperlink>
      <w:r>
        <w:t>, ff. 10, 14, 16, 17, 28, 34, VP.</w:t>
      </w:r>
    </w:p>
    <w:p w:rsidR="00575662" w:rsidRDefault="00575662" w:rsidP="00575662">
      <w:pPr>
        <w:pStyle w:val="SangriaFrancesaArticulo"/>
      </w:pPr>
      <w:r w:rsidRPr="00575662">
        <w:rPr>
          <w:rStyle w:val="TextoNormalNegritaCaracter"/>
        </w:rPr>
        <w:t>Artículo 33.3.</w:t>
      </w:r>
      <w:r w:rsidRPr="00575662">
        <w:rPr>
          <w:rStyle w:val="TextoNormalCaracter"/>
        </w:rPr>
        <w:t>-</w:t>
      </w:r>
      <w:r>
        <w:t xml:space="preserve"> Sentencias </w:t>
      </w:r>
      <w:hyperlink w:anchor="SENTENCIA_1997_28" w:history="1">
        <w:r w:rsidRPr="00575662">
          <w:rPr>
            <w:rStyle w:val="TextoNormalCaracter"/>
          </w:rPr>
          <w:t>28/1997</w:t>
        </w:r>
      </w:hyperlink>
      <w:r>
        <w:t xml:space="preserve">, ff. 1, 7; </w:t>
      </w:r>
      <w:hyperlink w:anchor="SENTENCIA_1997_61" w:history="1">
        <w:r w:rsidRPr="00575662">
          <w:rPr>
            <w:rStyle w:val="TextoNormalCaracter"/>
          </w:rPr>
          <w:t>61/1997</w:t>
        </w:r>
      </w:hyperlink>
      <w:r>
        <w:t>, ff. 28, 33, 34.</w:t>
      </w:r>
    </w:p>
    <w:p w:rsidR="00575662" w:rsidRDefault="00575662" w:rsidP="00575662">
      <w:pPr>
        <w:pStyle w:val="SangriaFrancesaArticulo"/>
      </w:pPr>
      <w:r w:rsidRPr="00575662">
        <w:rPr>
          <w:rStyle w:val="TextoNormalNegritaCaracter"/>
        </w:rPr>
        <w:t>Artículo 35.</w:t>
      </w:r>
      <w:r w:rsidRPr="00575662">
        <w:rPr>
          <w:rStyle w:val="TextoNormalCaracter"/>
        </w:rPr>
        <w:t>-</w:t>
      </w:r>
      <w:r>
        <w:t xml:space="preserve"> Sentencia </w:t>
      </w:r>
      <w:hyperlink w:anchor="SENTENCIA_1997_73" w:history="1">
        <w:r w:rsidRPr="00575662">
          <w:rPr>
            <w:rStyle w:val="TextoNormalCaracter"/>
          </w:rPr>
          <w:t>73/1997</w:t>
        </w:r>
      </w:hyperlink>
      <w:r>
        <w:t>, f. 1.</w:t>
      </w:r>
    </w:p>
    <w:p w:rsidR="00575662" w:rsidRDefault="00575662" w:rsidP="00575662">
      <w:pPr>
        <w:pStyle w:val="SangriaFrancesaArticulo"/>
      </w:pPr>
      <w:r w:rsidRPr="00575662">
        <w:rPr>
          <w:rStyle w:val="TextoNormalNegritaCaracter"/>
        </w:rPr>
        <w:t>Artículo 35.1.</w:t>
      </w:r>
      <w:r w:rsidRPr="00575662">
        <w:rPr>
          <w:rStyle w:val="TextoNormalCaracter"/>
        </w:rPr>
        <w:t>-</w:t>
      </w:r>
      <w:r>
        <w:t xml:space="preserve"> Sentencia </w:t>
      </w:r>
      <w:hyperlink w:anchor="SENTENCIA_1997_54" w:history="1">
        <w:r w:rsidRPr="00575662">
          <w:rPr>
            <w:rStyle w:val="TextoNormalCaracter"/>
          </w:rPr>
          <w:t>54/1997</w:t>
        </w:r>
      </w:hyperlink>
      <w:r>
        <w:t>, VP.</w:t>
      </w:r>
    </w:p>
    <w:p w:rsidR="00575662" w:rsidRDefault="00575662" w:rsidP="00575662">
      <w:pPr>
        <w:pStyle w:val="SangriaIzquierdaArticulo"/>
      </w:pPr>
      <w:r>
        <w:t xml:space="preserve">Auto </w:t>
      </w:r>
      <w:hyperlink w:anchor="AUTO_1997_77" w:history="1">
        <w:r w:rsidRPr="00575662">
          <w:rPr>
            <w:rStyle w:val="TextoNormalCaracter"/>
          </w:rPr>
          <w:t>77/1997</w:t>
        </w:r>
      </w:hyperlink>
      <w:r>
        <w:t>.</w:t>
      </w:r>
    </w:p>
    <w:p w:rsidR="00575662" w:rsidRDefault="00575662" w:rsidP="00575662">
      <w:pPr>
        <w:pStyle w:val="SangriaFrancesaArticulo"/>
      </w:pPr>
      <w:r w:rsidRPr="00575662">
        <w:rPr>
          <w:rStyle w:val="TextoNormalNegritaCaracter"/>
        </w:rPr>
        <w:t>Artículo 38.</w:t>
      </w:r>
      <w:r w:rsidRPr="00575662">
        <w:rPr>
          <w:rStyle w:val="TextoNormalCaracter"/>
        </w:rPr>
        <w:t>-</w:t>
      </w:r>
      <w:r>
        <w:t xml:space="preserve"> Sentencia </w:t>
      </w:r>
      <w:hyperlink w:anchor="SENTENCIA_1997_61" w:history="1">
        <w:r w:rsidRPr="00575662">
          <w:rPr>
            <w:rStyle w:val="TextoNormalCaracter"/>
          </w:rPr>
          <w:t>61/1997</w:t>
        </w:r>
      </w:hyperlink>
      <w:r>
        <w:t>, f. 14, VP.</w:t>
      </w:r>
    </w:p>
    <w:p w:rsidR="00575662" w:rsidRDefault="00575662" w:rsidP="00575662">
      <w:pPr>
        <w:pStyle w:val="SangriaFrancesaArticulo"/>
      </w:pPr>
      <w:r w:rsidRPr="00575662">
        <w:rPr>
          <w:rStyle w:val="TextoNormalNegritaCaracter"/>
        </w:rPr>
        <w:t>Artículo 39.1.</w:t>
      </w:r>
      <w:r w:rsidRPr="00575662">
        <w:rPr>
          <w:rStyle w:val="TextoNormalCaracter"/>
        </w:rPr>
        <w:t>-</w:t>
      </w:r>
      <w:r>
        <w:t xml:space="preserve"> Sentencia </w:t>
      </w:r>
      <w:hyperlink w:anchor="SENTENCIA_1997_74" w:history="1">
        <w:r w:rsidRPr="00575662">
          <w:rPr>
            <w:rStyle w:val="TextoNormalCaracter"/>
          </w:rPr>
          <w:t>74/1997</w:t>
        </w:r>
      </w:hyperlink>
      <w:r>
        <w:t>, f. 4.</w:t>
      </w:r>
    </w:p>
    <w:p w:rsidR="00575662" w:rsidRDefault="00575662" w:rsidP="00575662">
      <w:pPr>
        <w:pStyle w:val="SangriaFrancesaArticulo"/>
      </w:pPr>
      <w:r w:rsidRPr="00575662">
        <w:rPr>
          <w:rStyle w:val="TextoNormalNegritaCaracter"/>
        </w:rPr>
        <w:t>Artículo 39.2.</w:t>
      </w:r>
      <w:r w:rsidRPr="00575662">
        <w:rPr>
          <w:rStyle w:val="TextoNormalCaracter"/>
        </w:rPr>
        <w:t>-</w:t>
      </w:r>
      <w:r>
        <w:t xml:space="preserve"> Sentencia </w:t>
      </w:r>
      <w:hyperlink w:anchor="SENTENCIA_1997_74" w:history="1">
        <w:r w:rsidRPr="00575662">
          <w:rPr>
            <w:rStyle w:val="TextoNormalCaracter"/>
          </w:rPr>
          <w:t>74/1997</w:t>
        </w:r>
      </w:hyperlink>
      <w:r>
        <w:t>, f. 4, VP.</w:t>
      </w:r>
    </w:p>
    <w:p w:rsidR="00575662" w:rsidRDefault="00575662" w:rsidP="00575662">
      <w:pPr>
        <w:pStyle w:val="SangriaFrancesaArticulo"/>
      </w:pPr>
      <w:r w:rsidRPr="00575662">
        <w:rPr>
          <w:rStyle w:val="TextoNormalNegritaCaracter"/>
        </w:rPr>
        <w:t>Artículo 39.3.</w:t>
      </w:r>
      <w:r w:rsidRPr="00575662">
        <w:rPr>
          <w:rStyle w:val="TextoNormalCaracter"/>
        </w:rPr>
        <w:t>-</w:t>
      </w:r>
      <w:r>
        <w:t xml:space="preserve"> Sentencia </w:t>
      </w:r>
      <w:hyperlink w:anchor="SENTENCIA_1997_74" w:history="1">
        <w:r w:rsidRPr="00575662">
          <w:rPr>
            <w:rStyle w:val="TextoNormalCaracter"/>
          </w:rPr>
          <w:t>74/1997</w:t>
        </w:r>
      </w:hyperlink>
      <w:r>
        <w:t>, f. 4.</w:t>
      </w:r>
    </w:p>
    <w:p w:rsidR="00575662" w:rsidRDefault="00575662" w:rsidP="00575662">
      <w:pPr>
        <w:pStyle w:val="SangriaIzquierdaArticulo"/>
      </w:pPr>
      <w:r>
        <w:t xml:space="preserve">Auto </w:t>
      </w:r>
      <w:hyperlink w:anchor="AUTO_1997_77" w:history="1">
        <w:r w:rsidRPr="00575662">
          <w:rPr>
            <w:rStyle w:val="TextoNormalCaracter"/>
          </w:rPr>
          <w:t>77/1997</w:t>
        </w:r>
      </w:hyperlink>
      <w:r>
        <w:t>.</w:t>
      </w:r>
    </w:p>
    <w:p w:rsidR="00575662" w:rsidRDefault="00575662" w:rsidP="00575662">
      <w:pPr>
        <w:pStyle w:val="SangriaFrancesaArticulo"/>
      </w:pPr>
      <w:r w:rsidRPr="00575662">
        <w:rPr>
          <w:rStyle w:val="TextoNormalNegritaCaracter"/>
        </w:rPr>
        <w:t>Artículo 40.2.</w:t>
      </w:r>
      <w:r w:rsidRPr="00575662">
        <w:rPr>
          <w:rStyle w:val="TextoNormalCaracter"/>
        </w:rPr>
        <w:t>-</w:t>
      </w:r>
      <w:r>
        <w:t xml:space="preserve"> Auto </w:t>
      </w:r>
      <w:hyperlink w:anchor="AUTO_1997_77" w:history="1">
        <w:r w:rsidRPr="00575662">
          <w:rPr>
            <w:rStyle w:val="TextoNormalCaracter"/>
          </w:rPr>
          <w:t>77/1997</w:t>
        </w:r>
      </w:hyperlink>
      <w:r>
        <w:t>.</w:t>
      </w:r>
    </w:p>
    <w:p w:rsidR="00575662" w:rsidRDefault="00575662" w:rsidP="00575662">
      <w:pPr>
        <w:pStyle w:val="SangriaFrancesaArticulo"/>
      </w:pPr>
      <w:r w:rsidRPr="00575662">
        <w:rPr>
          <w:rStyle w:val="TextoNormalNegritaCaracter"/>
        </w:rPr>
        <w:t>Artículo 43.</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Artículo 45.</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Artículo 45.2.</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Artículo 46.</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Artículo 47.</w:t>
      </w:r>
      <w:r w:rsidRPr="00575662">
        <w:rPr>
          <w:rStyle w:val="TextoNormalCaracter"/>
        </w:rPr>
        <w:t>-</w:t>
      </w:r>
      <w:r>
        <w:t xml:space="preserve"> Sentencia </w:t>
      </w:r>
      <w:hyperlink w:anchor="SENTENCIA_1997_61" w:history="1">
        <w:r w:rsidRPr="00575662">
          <w:rPr>
            <w:rStyle w:val="TextoNormalCaracter"/>
          </w:rPr>
          <w:t>61/1997</w:t>
        </w:r>
      </w:hyperlink>
      <w:r>
        <w:t>, ff. 6, 14, 17, 24, 28, 36, VP.</w:t>
      </w:r>
    </w:p>
    <w:p w:rsidR="00575662" w:rsidRDefault="00575662" w:rsidP="00575662">
      <w:pPr>
        <w:pStyle w:val="SangriaFrancesaArticulo"/>
      </w:pPr>
      <w:r w:rsidRPr="00575662">
        <w:rPr>
          <w:rStyle w:val="TextoNormalNegritaCaracter"/>
        </w:rPr>
        <w:t>Artículo 47 párrafo 1.</w:t>
      </w:r>
      <w:r w:rsidRPr="00575662">
        <w:rPr>
          <w:rStyle w:val="TextoNormalCaracter"/>
        </w:rPr>
        <w:t>-</w:t>
      </w:r>
      <w:r>
        <w:t xml:space="preserve"> Sentencia </w:t>
      </w:r>
      <w:hyperlink w:anchor="SENTENCIA_1997_61" w:history="1">
        <w:r w:rsidRPr="00575662">
          <w:rPr>
            <w:rStyle w:val="TextoNormalCaracter"/>
          </w:rPr>
          <w:t>61/1997</w:t>
        </w:r>
      </w:hyperlink>
      <w:r>
        <w:t>, f. 6.</w:t>
      </w:r>
    </w:p>
    <w:p w:rsidR="00575662" w:rsidRDefault="00575662" w:rsidP="00575662">
      <w:pPr>
        <w:pStyle w:val="SangriaFrancesaArticulo"/>
      </w:pPr>
      <w:r w:rsidRPr="00575662">
        <w:rPr>
          <w:rStyle w:val="TextoNormalNegritaCaracter"/>
        </w:rPr>
        <w:t>Artículo 47 párrafo 2.</w:t>
      </w:r>
      <w:r w:rsidRPr="00575662">
        <w:rPr>
          <w:rStyle w:val="TextoNormalCaracter"/>
        </w:rPr>
        <w:t>-</w:t>
      </w:r>
      <w:r>
        <w:t xml:space="preserve"> Sentencia </w:t>
      </w:r>
      <w:hyperlink w:anchor="SENTENCIA_1997_61" w:history="1">
        <w:r w:rsidRPr="00575662">
          <w:rPr>
            <w:rStyle w:val="TextoNormalCaracter"/>
          </w:rPr>
          <w:t>61/1997</w:t>
        </w:r>
      </w:hyperlink>
      <w:r>
        <w:t>, ff. 6, 14, 17.</w:t>
      </w:r>
    </w:p>
    <w:p w:rsidR="00575662" w:rsidRDefault="00575662" w:rsidP="00575662">
      <w:pPr>
        <w:pStyle w:val="SangriaFrancesaArticulo"/>
      </w:pPr>
      <w:r w:rsidRPr="00575662">
        <w:rPr>
          <w:rStyle w:val="TextoNormalNegritaCaracter"/>
        </w:rPr>
        <w:t>Artículo 53.1.</w:t>
      </w:r>
      <w:r w:rsidRPr="00575662">
        <w:rPr>
          <w:rStyle w:val="TextoNormalCaracter"/>
        </w:rPr>
        <w:t>-</w:t>
      </w:r>
      <w:r>
        <w:t xml:space="preserve"> Sentencia </w:t>
      </w:r>
      <w:hyperlink w:anchor="SENTENCIA_1997_61" w:history="1">
        <w:r w:rsidRPr="00575662">
          <w:rPr>
            <w:rStyle w:val="TextoNormalCaracter"/>
          </w:rPr>
          <w:t>61/1997</w:t>
        </w:r>
      </w:hyperlink>
      <w:r>
        <w:t>, ff. 7, 17, 34, VP.</w:t>
      </w:r>
    </w:p>
    <w:p w:rsidR="00575662" w:rsidRDefault="00575662" w:rsidP="00575662">
      <w:pPr>
        <w:pStyle w:val="SangriaFrancesaArticulo"/>
      </w:pPr>
      <w:r w:rsidRPr="00575662">
        <w:rPr>
          <w:rStyle w:val="TextoNormalNegritaCaracter"/>
        </w:rPr>
        <w:t>Artículo 53.2.</w:t>
      </w:r>
      <w:r w:rsidRPr="00575662">
        <w:rPr>
          <w:rStyle w:val="TextoNormalCaracter"/>
        </w:rPr>
        <w:t>-</w:t>
      </w:r>
      <w:r>
        <w:t xml:space="preserve"> Sentencias </w:t>
      </w:r>
      <w:hyperlink w:anchor="SENTENCIA_1997_5" w:history="1">
        <w:r w:rsidRPr="00575662">
          <w:rPr>
            <w:rStyle w:val="TextoNormalCaracter"/>
          </w:rPr>
          <w:t>5/1997</w:t>
        </w:r>
      </w:hyperlink>
      <w:r>
        <w:t xml:space="preserve">, f. 4; </w:t>
      </w:r>
      <w:hyperlink w:anchor="SENTENCIA_1997_6" w:history="1">
        <w:r w:rsidRPr="00575662">
          <w:rPr>
            <w:rStyle w:val="TextoNormalCaracter"/>
          </w:rPr>
          <w:t>6/1997</w:t>
        </w:r>
      </w:hyperlink>
      <w:r>
        <w:t xml:space="preserve">, f. 2; </w:t>
      </w:r>
      <w:hyperlink w:anchor="SENTENCIA_1997_13" w:history="1">
        <w:r w:rsidRPr="00575662">
          <w:rPr>
            <w:rStyle w:val="TextoNormalCaracter"/>
          </w:rPr>
          <w:t>13/1997</w:t>
        </w:r>
      </w:hyperlink>
      <w:r>
        <w:t xml:space="preserve">, f. 2; </w:t>
      </w:r>
      <w:hyperlink w:anchor="SENTENCIA_1997_27" w:history="1">
        <w:r w:rsidRPr="00575662">
          <w:rPr>
            <w:rStyle w:val="TextoNormalCaracter"/>
          </w:rPr>
          <w:t>27/1997</w:t>
        </w:r>
      </w:hyperlink>
      <w:r>
        <w:t xml:space="preserve">, f.2; </w:t>
      </w:r>
      <w:hyperlink w:anchor="SENTENCIA_1997_31" w:history="1">
        <w:r w:rsidRPr="00575662">
          <w:rPr>
            <w:rStyle w:val="TextoNormalCaracter"/>
          </w:rPr>
          <w:t>31/1997</w:t>
        </w:r>
      </w:hyperlink>
      <w:r>
        <w:t xml:space="preserve">, f. 1; </w:t>
      </w:r>
      <w:hyperlink w:anchor="SENTENCIA_1997_34" w:history="1">
        <w:r w:rsidRPr="00575662">
          <w:rPr>
            <w:rStyle w:val="TextoNormalCaracter"/>
          </w:rPr>
          <w:t>34/1997</w:t>
        </w:r>
      </w:hyperlink>
      <w:r>
        <w:t xml:space="preserve">, f. 2; </w:t>
      </w:r>
      <w:hyperlink w:anchor="SENTENCIA_1997_69" w:history="1">
        <w:r w:rsidRPr="00575662">
          <w:rPr>
            <w:rStyle w:val="TextoNormalCaracter"/>
          </w:rPr>
          <w:t>69/1997</w:t>
        </w:r>
      </w:hyperlink>
      <w:r>
        <w:t xml:space="preserve">, f. 4; </w:t>
      </w:r>
      <w:hyperlink w:anchor="SENTENCIA_1997_78" w:history="1">
        <w:r w:rsidRPr="00575662">
          <w:rPr>
            <w:rStyle w:val="TextoNormalCaracter"/>
          </w:rPr>
          <w:t>78/1997</w:t>
        </w:r>
      </w:hyperlink>
      <w:r>
        <w:t>, ff. 3, 4.</w:t>
      </w:r>
    </w:p>
    <w:p w:rsidR="00575662" w:rsidRDefault="00575662" w:rsidP="00575662">
      <w:pPr>
        <w:pStyle w:val="SangriaIzquierdaArticulo"/>
      </w:pPr>
      <w:r>
        <w:t xml:space="preserve">Autos </w:t>
      </w:r>
      <w:hyperlink w:anchor="AUTO_1997_30" w:history="1">
        <w:r w:rsidRPr="00575662">
          <w:rPr>
            <w:rStyle w:val="TextoNormalCaracter"/>
          </w:rPr>
          <w:t>30/1997</w:t>
        </w:r>
      </w:hyperlink>
      <w:r>
        <w:t xml:space="preserve">; </w:t>
      </w:r>
      <w:hyperlink w:anchor="AUTO_1997_95" w:history="1">
        <w:r w:rsidRPr="00575662">
          <w:rPr>
            <w:rStyle w:val="TextoNormalCaracter"/>
          </w:rPr>
          <w:t>95/1997</w:t>
        </w:r>
      </w:hyperlink>
      <w:r>
        <w:t xml:space="preserve">; </w:t>
      </w:r>
      <w:hyperlink w:anchor="AUTO_1997_111" w:history="1">
        <w:r w:rsidRPr="00575662">
          <w:rPr>
            <w:rStyle w:val="TextoNormalCaracter"/>
          </w:rPr>
          <w:t>111/1997</w:t>
        </w:r>
      </w:hyperlink>
      <w:r>
        <w:t>.</w:t>
      </w:r>
    </w:p>
    <w:p w:rsidR="00575662" w:rsidRDefault="00575662" w:rsidP="00575662">
      <w:pPr>
        <w:pStyle w:val="SangriaFrancesaArticulo"/>
      </w:pPr>
      <w:r w:rsidRPr="00575662">
        <w:rPr>
          <w:rStyle w:val="TextoNormalNegritaCaracter"/>
        </w:rPr>
        <w:t>Artículo 53.3.</w:t>
      </w:r>
      <w:r w:rsidRPr="00575662">
        <w:rPr>
          <w:rStyle w:val="TextoNormalCaracter"/>
        </w:rPr>
        <w:t>-</w:t>
      </w:r>
      <w:r>
        <w:t xml:space="preserve"> Sentencia </w:t>
      </w:r>
      <w:hyperlink w:anchor="SENTENCIA_1997_61" w:history="1">
        <w:r w:rsidRPr="00575662">
          <w:rPr>
            <w:rStyle w:val="TextoNormalCaracter"/>
          </w:rPr>
          <w:t>61/1997</w:t>
        </w:r>
      </w:hyperlink>
      <w:r>
        <w:t>, ff. 6, 24.</w:t>
      </w:r>
    </w:p>
    <w:p w:rsidR="00575662" w:rsidRDefault="00575662" w:rsidP="00575662">
      <w:pPr>
        <w:pStyle w:val="SangriaFrancesaArticulo"/>
      </w:pPr>
      <w:r w:rsidRPr="00575662">
        <w:rPr>
          <w:rStyle w:val="TextoNormalNegritaCaracter"/>
        </w:rPr>
        <w:t>Artículo 66.2.</w:t>
      </w:r>
      <w:r w:rsidRPr="00575662">
        <w:rPr>
          <w:rStyle w:val="TextoNormalCaracter"/>
        </w:rPr>
        <w:t>-</w:t>
      </w:r>
      <w:r>
        <w:t xml:space="preserve"> Sentencia </w:t>
      </w:r>
      <w:hyperlink w:anchor="SENTENCIA_1997_61" w:history="1">
        <w:r w:rsidRPr="00575662">
          <w:rPr>
            <w:rStyle w:val="TextoNormalCaracter"/>
          </w:rPr>
          <w:t>61/1997</w:t>
        </w:r>
      </w:hyperlink>
      <w:r>
        <w:t>, f. 2, VP.</w:t>
      </w:r>
    </w:p>
    <w:p w:rsidR="00575662" w:rsidRDefault="00575662" w:rsidP="00575662">
      <w:pPr>
        <w:pStyle w:val="SangriaFrancesaArticulo"/>
      </w:pPr>
      <w:r w:rsidRPr="00575662">
        <w:rPr>
          <w:rStyle w:val="TextoNormalNegritaCaracter"/>
        </w:rPr>
        <w:t>Artículo 71.</w:t>
      </w:r>
      <w:r w:rsidRPr="00575662">
        <w:rPr>
          <w:rStyle w:val="TextoNormalCaracter"/>
        </w:rPr>
        <w:t>-</w:t>
      </w:r>
      <w:r>
        <w:t xml:space="preserve"> Sentencia </w:t>
      </w:r>
      <w:hyperlink w:anchor="SENTENCIA_1997_22" w:history="1">
        <w:r w:rsidRPr="00575662">
          <w:rPr>
            <w:rStyle w:val="TextoNormalCaracter"/>
          </w:rPr>
          <w:t>22/1997</w:t>
        </w:r>
      </w:hyperlink>
      <w:r>
        <w:t>, ff. 1, 2, 5, 6.</w:t>
      </w:r>
    </w:p>
    <w:p w:rsidR="00575662" w:rsidRDefault="00575662" w:rsidP="00575662">
      <w:pPr>
        <w:pStyle w:val="SangriaFrancesaArticulo"/>
      </w:pPr>
      <w:r w:rsidRPr="00575662">
        <w:rPr>
          <w:rStyle w:val="TextoNormalNegritaCaracter"/>
        </w:rPr>
        <w:t>Artículo 71.1.</w:t>
      </w:r>
      <w:r w:rsidRPr="00575662">
        <w:rPr>
          <w:rStyle w:val="TextoNormalCaracter"/>
        </w:rPr>
        <w:t>-</w:t>
      </w:r>
      <w:r>
        <w:t xml:space="preserve"> Sentencia </w:t>
      </w:r>
      <w:hyperlink w:anchor="SENTENCIA_1997_30" w:history="1">
        <w:r w:rsidRPr="00575662">
          <w:rPr>
            <w:rStyle w:val="TextoNormalCaracter"/>
          </w:rPr>
          <w:t>30/1997</w:t>
        </w:r>
      </w:hyperlink>
      <w:r>
        <w:t>, ff. 3 a 7.</w:t>
      </w:r>
    </w:p>
    <w:p w:rsidR="00575662" w:rsidRDefault="00575662" w:rsidP="00575662">
      <w:pPr>
        <w:pStyle w:val="SangriaFrancesaArticulo"/>
      </w:pPr>
      <w:r w:rsidRPr="00575662">
        <w:rPr>
          <w:rStyle w:val="TextoNormalNegritaCaracter"/>
        </w:rPr>
        <w:t>Artículo 71.2.</w:t>
      </w:r>
      <w:r w:rsidRPr="00575662">
        <w:rPr>
          <w:rStyle w:val="TextoNormalCaracter"/>
        </w:rPr>
        <w:t>-</w:t>
      </w:r>
      <w:r>
        <w:t xml:space="preserve"> Sentencia </w:t>
      </w:r>
      <w:hyperlink w:anchor="SENTENCIA_1997_22" w:history="1">
        <w:r w:rsidRPr="00575662">
          <w:rPr>
            <w:rStyle w:val="TextoNormalCaracter"/>
          </w:rPr>
          <w:t>22/1997</w:t>
        </w:r>
      </w:hyperlink>
      <w:r>
        <w:t>, f. 7.</w:t>
      </w:r>
    </w:p>
    <w:p w:rsidR="00575662" w:rsidRDefault="00575662" w:rsidP="00575662">
      <w:pPr>
        <w:pStyle w:val="SangriaFrancesaArticulo"/>
      </w:pPr>
      <w:r w:rsidRPr="00575662">
        <w:rPr>
          <w:rStyle w:val="TextoNormalNegritaCaracter"/>
        </w:rPr>
        <w:lastRenderedPageBreak/>
        <w:t>Artículo 71.3.</w:t>
      </w:r>
      <w:r w:rsidRPr="00575662">
        <w:rPr>
          <w:rStyle w:val="TextoNormalCaracter"/>
        </w:rPr>
        <w:t>-</w:t>
      </w:r>
      <w:r>
        <w:t xml:space="preserve"> Sentencia </w:t>
      </w:r>
      <w:hyperlink w:anchor="SENTENCIA_1997_22" w:history="1">
        <w:r w:rsidRPr="00575662">
          <w:rPr>
            <w:rStyle w:val="TextoNormalCaracter"/>
          </w:rPr>
          <w:t>22/1997</w:t>
        </w:r>
      </w:hyperlink>
      <w:r>
        <w:t>, ff. 2, 5 a 8, VP.</w:t>
      </w:r>
    </w:p>
    <w:p w:rsidR="00575662" w:rsidRDefault="00575662" w:rsidP="00575662">
      <w:pPr>
        <w:pStyle w:val="SangriaFrancesaArticulo"/>
      </w:pPr>
      <w:r w:rsidRPr="00575662">
        <w:rPr>
          <w:rStyle w:val="TextoNormalNegritaCaracter"/>
        </w:rPr>
        <w:t>Artículo 81.</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Artículo 82.</w:t>
      </w:r>
      <w:r w:rsidRPr="00575662">
        <w:rPr>
          <w:rStyle w:val="TextoNormalCaracter"/>
        </w:rPr>
        <w:t>-</w:t>
      </w:r>
      <w:r>
        <w:t xml:space="preserve"> Sentencia </w:t>
      </w:r>
      <w:hyperlink w:anchor="SENTENCIA_1997_61" w:history="1">
        <w:r w:rsidRPr="00575662">
          <w:rPr>
            <w:rStyle w:val="TextoNormalCaracter"/>
          </w:rPr>
          <w:t>61/1997</w:t>
        </w:r>
      </w:hyperlink>
      <w:r>
        <w:t>, ff. 2, 12, VP.</w:t>
      </w:r>
    </w:p>
    <w:p w:rsidR="00575662" w:rsidRDefault="00575662" w:rsidP="00575662">
      <w:pPr>
        <w:pStyle w:val="SangriaFrancesaArticulo"/>
      </w:pPr>
      <w:r w:rsidRPr="00575662">
        <w:rPr>
          <w:rStyle w:val="TextoNormalNegritaCaracter"/>
        </w:rPr>
        <w:t>Artículo 82.1.</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Artículo 82.2.</w:t>
      </w:r>
      <w:r w:rsidRPr="00575662">
        <w:rPr>
          <w:rStyle w:val="TextoNormalCaracter"/>
        </w:rPr>
        <w:t>-</w:t>
      </w:r>
      <w:r>
        <w:t xml:space="preserve"> Sentencia </w:t>
      </w:r>
      <w:hyperlink w:anchor="SENTENCIA_1997_61" w:history="1">
        <w:r w:rsidRPr="00575662">
          <w:rPr>
            <w:rStyle w:val="TextoNormalCaracter"/>
          </w:rPr>
          <w:t>61/1997</w:t>
        </w:r>
      </w:hyperlink>
      <w:r>
        <w:t>, f. 2.</w:t>
      </w:r>
    </w:p>
    <w:p w:rsidR="00575662" w:rsidRDefault="00575662" w:rsidP="00575662">
      <w:pPr>
        <w:pStyle w:val="SangriaFrancesaArticulo"/>
      </w:pPr>
      <w:r w:rsidRPr="00575662">
        <w:rPr>
          <w:rStyle w:val="TextoNormalNegritaCaracter"/>
        </w:rPr>
        <w:t>Artículo 82.3.</w:t>
      </w:r>
      <w:r w:rsidRPr="00575662">
        <w:rPr>
          <w:rStyle w:val="TextoNormalCaracter"/>
        </w:rPr>
        <w:t>-</w:t>
      </w:r>
      <w:r>
        <w:t xml:space="preserve"> Sentencia </w:t>
      </w:r>
      <w:hyperlink w:anchor="SENTENCIA_1997_61" w:history="1">
        <w:r w:rsidRPr="00575662">
          <w:rPr>
            <w:rStyle w:val="TextoNormalCaracter"/>
          </w:rPr>
          <w:t>61/1997</w:t>
        </w:r>
      </w:hyperlink>
      <w:r>
        <w:t>, f. 2, VP.</w:t>
      </w:r>
    </w:p>
    <w:p w:rsidR="00575662" w:rsidRDefault="00575662" w:rsidP="00575662">
      <w:pPr>
        <w:pStyle w:val="SangriaFrancesaArticulo"/>
      </w:pPr>
      <w:r w:rsidRPr="00575662">
        <w:rPr>
          <w:rStyle w:val="TextoNormalNegritaCaracter"/>
        </w:rPr>
        <w:t>Artículos 82 a 85.</w:t>
      </w:r>
      <w:r w:rsidRPr="00575662">
        <w:rPr>
          <w:rStyle w:val="TextoNormalCaracter"/>
        </w:rPr>
        <w:t>-</w:t>
      </w:r>
      <w:r>
        <w:t xml:space="preserve"> Sentencia </w:t>
      </w:r>
      <w:hyperlink w:anchor="SENTENCIA_1997_61" w:history="1">
        <w:r w:rsidRPr="00575662">
          <w:rPr>
            <w:rStyle w:val="TextoNormalCaracter"/>
          </w:rPr>
          <w:t>61/1997</w:t>
        </w:r>
      </w:hyperlink>
      <w:r>
        <w:t>, f. 2.</w:t>
      </w:r>
    </w:p>
    <w:p w:rsidR="00575662" w:rsidRDefault="00575662" w:rsidP="00575662">
      <w:pPr>
        <w:pStyle w:val="SangriaFrancesaArticulo"/>
      </w:pPr>
      <w:r w:rsidRPr="00575662">
        <w:rPr>
          <w:rStyle w:val="TextoNormalNegritaCaracter"/>
        </w:rPr>
        <w:t>Artículo 86.1.</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Artículo 95.2.</w:t>
      </w:r>
      <w:r w:rsidRPr="00575662">
        <w:rPr>
          <w:rStyle w:val="TextoNormalCaracter"/>
        </w:rPr>
        <w:t>-</w:t>
      </w:r>
      <w:r>
        <w:t xml:space="preserve"> Autos </w:t>
      </w:r>
      <w:hyperlink w:anchor="AUTO_1997_45" w:history="1">
        <w:r w:rsidRPr="00575662">
          <w:rPr>
            <w:rStyle w:val="TextoNormalCaracter"/>
          </w:rPr>
          <w:t>45/1997</w:t>
        </w:r>
      </w:hyperlink>
      <w:r>
        <w:t xml:space="preserve">; </w:t>
      </w:r>
      <w:hyperlink w:anchor="AUTO_1997_65" w:history="1">
        <w:r w:rsidRPr="00575662">
          <w:rPr>
            <w:rStyle w:val="TextoNormalCaracter"/>
          </w:rPr>
          <w:t>65/1997</w:t>
        </w:r>
      </w:hyperlink>
      <w:r>
        <w:t>.</w:t>
      </w:r>
    </w:p>
    <w:p w:rsidR="00575662" w:rsidRDefault="00575662" w:rsidP="00575662">
      <w:pPr>
        <w:pStyle w:val="SangriaFrancesaArticulo"/>
      </w:pPr>
      <w:r w:rsidRPr="00575662">
        <w:rPr>
          <w:rStyle w:val="TextoNormalNegritaCaracter"/>
        </w:rPr>
        <w:t>Artículo 96.1.</w:t>
      </w:r>
      <w:r w:rsidRPr="00575662">
        <w:rPr>
          <w:rStyle w:val="TextoNormalCaracter"/>
        </w:rPr>
        <w:t>-</w:t>
      </w:r>
      <w:r>
        <w:t xml:space="preserve"> Sentencia </w:t>
      </w:r>
      <w:hyperlink w:anchor="SENTENCIA_1997_21" w:history="1">
        <w:r w:rsidRPr="00575662">
          <w:rPr>
            <w:rStyle w:val="TextoNormalCaracter"/>
          </w:rPr>
          <w:t>21/1997</w:t>
        </w:r>
      </w:hyperlink>
      <w:r>
        <w:t>, f. 3.</w:t>
      </w:r>
    </w:p>
    <w:p w:rsidR="00575662" w:rsidRDefault="00575662" w:rsidP="00575662">
      <w:pPr>
        <w:pStyle w:val="SangriaFrancesaArticulo"/>
      </w:pPr>
      <w:r w:rsidRPr="00575662">
        <w:rPr>
          <w:rStyle w:val="TextoNormalNegritaCaracter"/>
        </w:rPr>
        <w:t>Artículo 97.</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Artículo 103.</w:t>
      </w:r>
      <w:r w:rsidRPr="00575662">
        <w:rPr>
          <w:rStyle w:val="TextoNormalCaracter"/>
        </w:rPr>
        <w:t>-</w:t>
      </w:r>
      <w:r>
        <w:t xml:space="preserve"> Sentencia </w:t>
      </w:r>
      <w:hyperlink w:anchor="SENTENCIA_1997_73" w:history="1">
        <w:r w:rsidRPr="00575662">
          <w:rPr>
            <w:rStyle w:val="TextoNormalCaracter"/>
          </w:rPr>
          <w:t>73/1997</w:t>
        </w:r>
      </w:hyperlink>
      <w:r>
        <w:t>, f. 3.</w:t>
      </w:r>
    </w:p>
    <w:p w:rsidR="00575662" w:rsidRDefault="00575662" w:rsidP="00575662">
      <w:pPr>
        <w:pStyle w:val="SangriaFrancesaArticulo"/>
      </w:pPr>
      <w:r w:rsidRPr="00575662">
        <w:rPr>
          <w:rStyle w:val="TextoNormalNegritaCaracter"/>
        </w:rPr>
        <w:t>Artículo 103.1.</w:t>
      </w:r>
      <w:r w:rsidRPr="00575662">
        <w:rPr>
          <w:rStyle w:val="TextoNormalCaracter"/>
        </w:rPr>
        <w:t>-</w:t>
      </w:r>
      <w:r>
        <w:t xml:space="preserve"> Sentencias </w:t>
      </w:r>
      <w:hyperlink w:anchor="SENTENCIA_1997_36" w:history="1">
        <w:r w:rsidRPr="00575662">
          <w:rPr>
            <w:rStyle w:val="TextoNormalCaracter"/>
          </w:rPr>
          <w:t>36/1997</w:t>
        </w:r>
      </w:hyperlink>
      <w:r>
        <w:t xml:space="preserve">, ff. 3, 17; </w:t>
      </w:r>
      <w:hyperlink w:anchor="SENTENCIA_1997_61" w:history="1">
        <w:r w:rsidRPr="00575662">
          <w:rPr>
            <w:rStyle w:val="TextoNormalCaracter"/>
          </w:rPr>
          <w:t>61/1997</w:t>
        </w:r>
      </w:hyperlink>
      <w:r>
        <w:t>, ff. 25, 26.</w:t>
      </w:r>
    </w:p>
    <w:p w:rsidR="00575662" w:rsidRDefault="00575662" w:rsidP="00575662">
      <w:pPr>
        <w:pStyle w:val="SangriaIzquierdaArticulo"/>
      </w:pPr>
      <w:r>
        <w:t xml:space="preserve">Auto </w:t>
      </w:r>
      <w:hyperlink w:anchor="AUTO_1997_30" w:history="1">
        <w:r w:rsidRPr="00575662">
          <w:rPr>
            <w:rStyle w:val="TextoNormalCaracter"/>
          </w:rPr>
          <w:t>30/1997</w:t>
        </w:r>
      </w:hyperlink>
      <w:r>
        <w:t>.</w:t>
      </w:r>
    </w:p>
    <w:p w:rsidR="00575662" w:rsidRDefault="00575662" w:rsidP="00575662">
      <w:pPr>
        <w:pStyle w:val="SangriaFrancesaArticulo"/>
      </w:pPr>
      <w:r w:rsidRPr="00575662">
        <w:rPr>
          <w:rStyle w:val="TextoNormalNegritaCaracter"/>
        </w:rPr>
        <w:t>Artículo 105 a).</w:t>
      </w:r>
      <w:r w:rsidRPr="00575662">
        <w:rPr>
          <w:rStyle w:val="TextoNormalCaracter"/>
        </w:rPr>
        <w:t>-</w:t>
      </w:r>
      <w:r>
        <w:t xml:space="preserve"> Sentencia </w:t>
      </w:r>
      <w:hyperlink w:anchor="SENTENCIA_1997_61" w:history="1">
        <w:r w:rsidRPr="00575662">
          <w:rPr>
            <w:rStyle w:val="TextoNormalCaracter"/>
          </w:rPr>
          <w:t>61/1997</w:t>
        </w:r>
      </w:hyperlink>
      <w:r>
        <w:t>, f. 25.</w:t>
      </w:r>
    </w:p>
    <w:p w:rsidR="00575662" w:rsidRDefault="00575662" w:rsidP="00575662">
      <w:pPr>
        <w:pStyle w:val="SangriaFrancesaArticulo"/>
      </w:pPr>
      <w:r w:rsidRPr="00575662">
        <w:rPr>
          <w:rStyle w:val="TextoNormalNegritaCaracter"/>
        </w:rPr>
        <w:t>Artículo 106.1.</w:t>
      </w:r>
      <w:r w:rsidRPr="00575662">
        <w:rPr>
          <w:rStyle w:val="TextoNormalCaracter"/>
        </w:rPr>
        <w:t>-</w:t>
      </w:r>
      <w:r>
        <w:t xml:space="preserve"> Sentencia </w:t>
      </w:r>
      <w:hyperlink w:anchor="SENTENCIA_1997_36" w:history="1">
        <w:r w:rsidRPr="00575662">
          <w:rPr>
            <w:rStyle w:val="TextoNormalCaracter"/>
          </w:rPr>
          <w:t>36/1997</w:t>
        </w:r>
      </w:hyperlink>
      <w:r>
        <w:t>, f. 3.</w:t>
      </w:r>
    </w:p>
    <w:p w:rsidR="00575662" w:rsidRDefault="00575662" w:rsidP="00575662">
      <w:pPr>
        <w:pStyle w:val="SangriaIzquierdaArticulo"/>
      </w:pPr>
      <w:r>
        <w:t xml:space="preserve">Auto </w:t>
      </w:r>
      <w:hyperlink w:anchor="AUTO_1997_30" w:history="1">
        <w:r w:rsidRPr="00575662">
          <w:rPr>
            <w:rStyle w:val="TextoNormalCaracter"/>
          </w:rPr>
          <w:t>30/1997</w:t>
        </w:r>
      </w:hyperlink>
      <w:r>
        <w:t>.</w:t>
      </w:r>
    </w:p>
    <w:p w:rsidR="00575662" w:rsidRDefault="00575662" w:rsidP="00575662">
      <w:pPr>
        <w:pStyle w:val="SangriaFrancesaArticulo"/>
      </w:pPr>
      <w:r w:rsidRPr="00575662">
        <w:rPr>
          <w:rStyle w:val="TextoNormalNegritaCaracter"/>
        </w:rPr>
        <w:t>Artículo 106.2.</w:t>
      </w:r>
      <w:r w:rsidRPr="00575662">
        <w:rPr>
          <w:rStyle w:val="TextoNormalCaracter"/>
        </w:rPr>
        <w:t>-</w:t>
      </w:r>
      <w:r>
        <w:t xml:space="preserve"> Sentencia </w:t>
      </w:r>
      <w:hyperlink w:anchor="SENTENCIA_1997_61" w:history="1">
        <w:r w:rsidRPr="00575662">
          <w:rPr>
            <w:rStyle w:val="TextoNormalCaracter"/>
          </w:rPr>
          <w:t>61/1997</w:t>
        </w:r>
      </w:hyperlink>
      <w:r>
        <w:t>, f. 33.</w:t>
      </w:r>
    </w:p>
    <w:p w:rsidR="00575662" w:rsidRDefault="00575662" w:rsidP="00575662">
      <w:pPr>
        <w:pStyle w:val="SangriaFrancesaArticulo"/>
      </w:pPr>
      <w:r w:rsidRPr="00575662">
        <w:rPr>
          <w:rStyle w:val="TextoNormalNegritaCaracter"/>
        </w:rPr>
        <w:t>Artículo 117.</w:t>
      </w:r>
      <w:r w:rsidRPr="00575662">
        <w:rPr>
          <w:rStyle w:val="TextoNormalCaracter"/>
        </w:rPr>
        <w:t>-</w:t>
      </w:r>
      <w:r>
        <w:t xml:space="preserve"> Sentencias </w:t>
      </w:r>
      <w:hyperlink w:anchor="SENTENCIA_1997_54" w:history="1">
        <w:r w:rsidRPr="00575662">
          <w:rPr>
            <w:rStyle w:val="TextoNormalCaracter"/>
          </w:rPr>
          <w:t>54/1997</w:t>
        </w:r>
      </w:hyperlink>
      <w:r>
        <w:t xml:space="preserve">, f. 2; </w:t>
      </w:r>
      <w:hyperlink w:anchor="SENTENCIA_1997_64" w:history="1">
        <w:r w:rsidRPr="00575662">
          <w:rPr>
            <w:rStyle w:val="TextoNormalCaracter"/>
          </w:rPr>
          <w:t>64/1997</w:t>
        </w:r>
      </w:hyperlink>
      <w:r>
        <w:t>, f. 5.</w:t>
      </w:r>
    </w:p>
    <w:p w:rsidR="00575662" w:rsidRDefault="00575662" w:rsidP="00575662">
      <w:pPr>
        <w:pStyle w:val="SangriaIzquierdaArticulo"/>
      </w:pPr>
      <w:r>
        <w:t xml:space="preserve">Auto </w:t>
      </w:r>
      <w:hyperlink w:anchor="AUTO_1997_104" w:history="1">
        <w:r w:rsidRPr="00575662">
          <w:rPr>
            <w:rStyle w:val="TextoNormalCaracter"/>
          </w:rPr>
          <w:t>104/1997</w:t>
        </w:r>
      </w:hyperlink>
      <w:r>
        <w:t>.</w:t>
      </w:r>
    </w:p>
    <w:p w:rsidR="00575662" w:rsidRDefault="00575662" w:rsidP="00575662">
      <w:pPr>
        <w:pStyle w:val="SangriaFrancesaArticulo"/>
      </w:pPr>
      <w:r w:rsidRPr="00575662">
        <w:rPr>
          <w:rStyle w:val="TextoNormalNegritaCaracter"/>
        </w:rPr>
        <w:t>Artículo 117.1.</w:t>
      </w:r>
      <w:r w:rsidRPr="00575662">
        <w:rPr>
          <w:rStyle w:val="TextoNormalCaracter"/>
        </w:rPr>
        <w:t>-</w:t>
      </w:r>
      <w:r>
        <w:t xml:space="preserve"> Auto </w:t>
      </w:r>
      <w:hyperlink w:anchor="AUTO_1997_117" w:history="1">
        <w:r w:rsidRPr="00575662">
          <w:rPr>
            <w:rStyle w:val="TextoNormalCaracter"/>
          </w:rPr>
          <w:t>117/1997</w:t>
        </w:r>
      </w:hyperlink>
      <w:r>
        <w:t>.</w:t>
      </w:r>
    </w:p>
    <w:p w:rsidR="00575662" w:rsidRDefault="00575662" w:rsidP="00575662">
      <w:pPr>
        <w:pStyle w:val="SangriaFrancesaArticulo"/>
      </w:pPr>
      <w:r w:rsidRPr="00575662">
        <w:rPr>
          <w:rStyle w:val="TextoNormalNegritaCaracter"/>
        </w:rPr>
        <w:t>Artículo 117.3.</w:t>
      </w:r>
      <w:r w:rsidRPr="00575662">
        <w:rPr>
          <w:rStyle w:val="TextoNormalCaracter"/>
        </w:rPr>
        <w:t>-</w:t>
      </w:r>
      <w:r>
        <w:t xml:space="preserve"> Sentencias </w:t>
      </w:r>
      <w:hyperlink w:anchor="SENTENCIA_1997_6" w:history="1">
        <w:r w:rsidRPr="00575662">
          <w:rPr>
            <w:rStyle w:val="TextoNormalCaracter"/>
          </w:rPr>
          <w:t>6/1997</w:t>
        </w:r>
      </w:hyperlink>
      <w:r>
        <w:t xml:space="preserve">, f. 6; </w:t>
      </w:r>
      <w:hyperlink w:anchor="SENTENCIA_1997_30" w:history="1">
        <w:r w:rsidRPr="00575662">
          <w:rPr>
            <w:rStyle w:val="TextoNormalCaracter"/>
          </w:rPr>
          <w:t>30/1997</w:t>
        </w:r>
      </w:hyperlink>
      <w:r>
        <w:t xml:space="preserve">, f. 6; </w:t>
      </w:r>
      <w:hyperlink w:anchor="SENTENCIA_1997_38" w:history="1">
        <w:r w:rsidRPr="00575662">
          <w:rPr>
            <w:rStyle w:val="TextoNormalCaracter"/>
          </w:rPr>
          <w:t>38/1997</w:t>
        </w:r>
      </w:hyperlink>
      <w:r>
        <w:t xml:space="preserve">, f. 1; </w:t>
      </w:r>
      <w:hyperlink w:anchor="SENTENCIA_1997_58" w:history="1">
        <w:r w:rsidRPr="00575662">
          <w:rPr>
            <w:rStyle w:val="TextoNormalCaracter"/>
          </w:rPr>
          <w:t>58/1997</w:t>
        </w:r>
      </w:hyperlink>
      <w:r>
        <w:t xml:space="preserve">, f. 2; </w:t>
      </w:r>
      <w:hyperlink w:anchor="SENTENCIA_1997_76" w:history="1">
        <w:r w:rsidRPr="00575662">
          <w:rPr>
            <w:rStyle w:val="TextoNormalCaracter"/>
          </w:rPr>
          <w:t>76/1997</w:t>
        </w:r>
      </w:hyperlink>
      <w:r>
        <w:t>, f. 2.</w:t>
      </w:r>
    </w:p>
    <w:p w:rsidR="00575662" w:rsidRDefault="00575662" w:rsidP="00575662">
      <w:pPr>
        <w:pStyle w:val="SangriaIzquierdaArticulo"/>
      </w:pPr>
      <w:r>
        <w:t xml:space="preserve">Autos </w:t>
      </w:r>
      <w:hyperlink w:anchor="AUTO_1997_34" w:history="1">
        <w:r w:rsidRPr="00575662">
          <w:rPr>
            <w:rStyle w:val="TextoNormalCaracter"/>
          </w:rPr>
          <w:t>34/1997</w:t>
        </w:r>
      </w:hyperlink>
      <w:r>
        <w:t xml:space="preserve">; </w:t>
      </w:r>
      <w:hyperlink w:anchor="AUTO_1997_41" w:history="1">
        <w:r w:rsidRPr="00575662">
          <w:rPr>
            <w:rStyle w:val="TextoNormalCaracter"/>
          </w:rPr>
          <w:t>41/1997</w:t>
        </w:r>
      </w:hyperlink>
      <w:r>
        <w:t xml:space="preserve">; </w:t>
      </w:r>
      <w:hyperlink w:anchor="AUTO_1997_45" w:history="1">
        <w:r w:rsidRPr="00575662">
          <w:rPr>
            <w:rStyle w:val="TextoNormalCaracter"/>
          </w:rPr>
          <w:t>45/1997</w:t>
        </w:r>
      </w:hyperlink>
      <w:r>
        <w:t xml:space="preserve">; </w:t>
      </w:r>
      <w:hyperlink w:anchor="AUTO_1997_52" w:history="1">
        <w:r w:rsidRPr="00575662">
          <w:rPr>
            <w:rStyle w:val="TextoNormalCaracter"/>
          </w:rPr>
          <w:t>52/1997</w:t>
        </w:r>
      </w:hyperlink>
      <w:r>
        <w:t xml:space="preserve">; </w:t>
      </w:r>
      <w:hyperlink w:anchor="AUTO_1997_58" w:history="1">
        <w:r w:rsidRPr="00575662">
          <w:rPr>
            <w:rStyle w:val="TextoNormalCaracter"/>
          </w:rPr>
          <w:t>58/1997</w:t>
        </w:r>
      </w:hyperlink>
      <w:r>
        <w:t xml:space="preserve">; </w:t>
      </w:r>
      <w:hyperlink w:anchor="AUTO_1997_65" w:history="1">
        <w:r w:rsidRPr="00575662">
          <w:rPr>
            <w:rStyle w:val="TextoNormalCaracter"/>
          </w:rPr>
          <w:t>65/1997</w:t>
        </w:r>
      </w:hyperlink>
      <w:r>
        <w:t xml:space="preserve">; </w:t>
      </w:r>
      <w:hyperlink w:anchor="AUTO_1997_70" w:history="1">
        <w:r w:rsidRPr="00575662">
          <w:rPr>
            <w:rStyle w:val="TextoNormalCaracter"/>
          </w:rPr>
          <w:t>70/1997</w:t>
        </w:r>
      </w:hyperlink>
      <w:r>
        <w:t xml:space="preserve">; </w:t>
      </w:r>
      <w:hyperlink w:anchor="AUTO_1997_91" w:history="1">
        <w:r w:rsidRPr="00575662">
          <w:rPr>
            <w:rStyle w:val="TextoNormalCaracter"/>
          </w:rPr>
          <w:t>91/1997</w:t>
        </w:r>
      </w:hyperlink>
      <w:r>
        <w:t xml:space="preserve">; </w:t>
      </w:r>
      <w:hyperlink w:anchor="AUTO_1997_98" w:history="1">
        <w:r w:rsidRPr="00575662">
          <w:rPr>
            <w:rStyle w:val="TextoNormalCaracter"/>
          </w:rPr>
          <w:t>98/1997</w:t>
        </w:r>
      </w:hyperlink>
      <w:r>
        <w:t xml:space="preserve">; </w:t>
      </w:r>
      <w:hyperlink w:anchor="AUTO_1997_105" w:history="1">
        <w:r w:rsidRPr="00575662">
          <w:rPr>
            <w:rStyle w:val="TextoNormalCaracter"/>
          </w:rPr>
          <w:t>105/1997</w:t>
        </w:r>
      </w:hyperlink>
      <w:r>
        <w:t xml:space="preserve">; </w:t>
      </w:r>
      <w:hyperlink w:anchor="AUTO_1997_121" w:history="1">
        <w:r w:rsidRPr="00575662">
          <w:rPr>
            <w:rStyle w:val="TextoNormalCaracter"/>
          </w:rPr>
          <w:t>121/1997</w:t>
        </w:r>
      </w:hyperlink>
      <w:r>
        <w:t>.</w:t>
      </w:r>
    </w:p>
    <w:p w:rsidR="00575662" w:rsidRDefault="00575662" w:rsidP="00575662">
      <w:pPr>
        <w:pStyle w:val="SangriaFrancesaArticulo"/>
      </w:pPr>
      <w:r w:rsidRPr="00575662">
        <w:rPr>
          <w:rStyle w:val="TextoNormalNegritaCaracter"/>
        </w:rPr>
        <w:t>Artículo 118.</w:t>
      </w:r>
      <w:r w:rsidRPr="00575662">
        <w:rPr>
          <w:rStyle w:val="TextoNormalCaracter"/>
        </w:rPr>
        <w:t>-</w:t>
      </w:r>
      <w:r>
        <w:t xml:space="preserve"> Sentencias </w:t>
      </w:r>
      <w:hyperlink w:anchor="SENTENCIA_1997_1" w:history="1">
        <w:r w:rsidRPr="00575662">
          <w:rPr>
            <w:rStyle w:val="TextoNormalCaracter"/>
          </w:rPr>
          <w:t>1/1997</w:t>
        </w:r>
      </w:hyperlink>
      <w:r>
        <w:t xml:space="preserve">, f. 3; </w:t>
      </w:r>
      <w:hyperlink w:anchor="SENTENCIA_1997_18" w:history="1">
        <w:r w:rsidRPr="00575662">
          <w:rPr>
            <w:rStyle w:val="TextoNormalCaracter"/>
          </w:rPr>
          <w:t>18/1997</w:t>
        </w:r>
      </w:hyperlink>
      <w:r>
        <w:t>, ff. 3, 8.</w:t>
      </w:r>
    </w:p>
    <w:p w:rsidR="00575662" w:rsidRDefault="00575662" w:rsidP="00575662">
      <w:pPr>
        <w:pStyle w:val="SangriaFrancesaArticulo"/>
      </w:pPr>
      <w:r w:rsidRPr="00575662">
        <w:rPr>
          <w:rStyle w:val="TextoNormalNegritaCaracter"/>
        </w:rPr>
        <w:t>Artículo 120.3.</w:t>
      </w:r>
      <w:r w:rsidRPr="00575662">
        <w:rPr>
          <w:rStyle w:val="TextoNormalCaracter"/>
        </w:rPr>
        <w:t>-</w:t>
      </w:r>
      <w:r>
        <w:t xml:space="preserve"> Sentencias </w:t>
      </w:r>
      <w:hyperlink w:anchor="SENTENCIA_1997_54" w:history="1">
        <w:r w:rsidRPr="00575662">
          <w:rPr>
            <w:rStyle w:val="TextoNormalCaracter"/>
          </w:rPr>
          <w:t>54/1997</w:t>
        </w:r>
      </w:hyperlink>
      <w:r>
        <w:t xml:space="preserve">, f. 3; </w:t>
      </w:r>
      <w:hyperlink w:anchor="SENTENCIA_1997_56" w:history="1">
        <w:r w:rsidRPr="00575662">
          <w:rPr>
            <w:rStyle w:val="TextoNormalCaracter"/>
          </w:rPr>
          <w:t>56/1997</w:t>
        </w:r>
      </w:hyperlink>
      <w:r>
        <w:t>, VP III.</w:t>
      </w:r>
    </w:p>
    <w:p w:rsidR="00575662" w:rsidRDefault="00575662" w:rsidP="00575662">
      <w:pPr>
        <w:pStyle w:val="SangriaFrancesaArticulo"/>
      </w:pPr>
      <w:r w:rsidRPr="00575662">
        <w:rPr>
          <w:rStyle w:val="TextoNormalNegritaCaracter"/>
        </w:rPr>
        <w:t>Artículo 121.</w:t>
      </w:r>
      <w:r w:rsidRPr="00575662">
        <w:rPr>
          <w:rStyle w:val="TextoNormalCaracter"/>
        </w:rPr>
        <w:t>-</w:t>
      </w:r>
      <w:r>
        <w:t xml:space="preserve"> Sentencia </w:t>
      </w:r>
      <w:hyperlink w:anchor="SENTENCIA_1997_33" w:history="1">
        <w:r w:rsidRPr="00575662">
          <w:rPr>
            <w:rStyle w:val="TextoNormalCaracter"/>
          </w:rPr>
          <w:t>33/1997</w:t>
        </w:r>
      </w:hyperlink>
      <w:r>
        <w:t>, f. 3, VP.</w:t>
      </w:r>
    </w:p>
    <w:p w:rsidR="00575662" w:rsidRDefault="00575662" w:rsidP="00575662">
      <w:pPr>
        <w:pStyle w:val="SangriaFrancesaArticulo"/>
      </w:pPr>
      <w:r w:rsidRPr="00575662">
        <w:rPr>
          <w:rStyle w:val="TextoNormalNegritaCaracter"/>
        </w:rPr>
        <w:t>Artículo 123.</w:t>
      </w:r>
      <w:r w:rsidRPr="00575662">
        <w:rPr>
          <w:rStyle w:val="TextoNormalCaracter"/>
        </w:rPr>
        <w:t>-</w:t>
      </w:r>
      <w:r>
        <w:t xml:space="preserve"> Sentencia </w:t>
      </w:r>
      <w:hyperlink w:anchor="SENTENCIA_1997_54" w:history="1">
        <w:r w:rsidRPr="00575662">
          <w:rPr>
            <w:rStyle w:val="TextoNormalCaracter"/>
          </w:rPr>
          <w:t>54/1997</w:t>
        </w:r>
      </w:hyperlink>
      <w:r>
        <w:t>, f. 2.</w:t>
      </w:r>
    </w:p>
    <w:p w:rsidR="00575662" w:rsidRDefault="00575662" w:rsidP="00575662">
      <w:pPr>
        <w:pStyle w:val="SangriaIzquierdaArticulo"/>
      </w:pPr>
      <w:r>
        <w:t xml:space="preserve">Auto </w:t>
      </w:r>
      <w:hyperlink w:anchor="AUTO_1997_91" w:history="1">
        <w:r w:rsidRPr="00575662">
          <w:rPr>
            <w:rStyle w:val="TextoNormalCaracter"/>
          </w:rPr>
          <w:t>91/1997</w:t>
        </w:r>
      </w:hyperlink>
      <w:r>
        <w:t>.</w:t>
      </w:r>
    </w:p>
    <w:p w:rsidR="00575662" w:rsidRDefault="00575662" w:rsidP="00575662">
      <w:pPr>
        <w:pStyle w:val="SangriaFrancesaArticulo"/>
      </w:pPr>
      <w:r w:rsidRPr="00575662">
        <w:rPr>
          <w:rStyle w:val="TextoNormalNegritaCaracter"/>
        </w:rPr>
        <w:t>Artículo 123.1.</w:t>
      </w:r>
      <w:r w:rsidRPr="00575662">
        <w:rPr>
          <w:rStyle w:val="TextoNormalCaracter"/>
        </w:rPr>
        <w:t>-</w:t>
      </w:r>
      <w:r>
        <w:t xml:space="preserve"> Sentencias </w:t>
      </w:r>
      <w:hyperlink w:anchor="SENTENCIA_1997_3" w:history="1">
        <w:r w:rsidRPr="00575662">
          <w:rPr>
            <w:rStyle w:val="TextoNormalCaracter"/>
          </w:rPr>
          <w:t>3/1997</w:t>
        </w:r>
      </w:hyperlink>
      <w:r>
        <w:t xml:space="preserve">, f. 1; </w:t>
      </w:r>
      <w:hyperlink w:anchor="SENTENCIA_1997_22" w:history="1">
        <w:r w:rsidRPr="00575662">
          <w:rPr>
            <w:rStyle w:val="TextoNormalCaracter"/>
          </w:rPr>
          <w:t>22/1997</w:t>
        </w:r>
      </w:hyperlink>
      <w:r>
        <w:t>, f. 6.</w:t>
      </w:r>
    </w:p>
    <w:p w:rsidR="00575662" w:rsidRDefault="00575662" w:rsidP="00575662">
      <w:pPr>
        <w:pStyle w:val="SangriaIzquierdaArticulo"/>
      </w:pPr>
      <w:r>
        <w:t xml:space="preserve">Autos </w:t>
      </w:r>
      <w:hyperlink w:anchor="AUTO_1997_45" w:history="1">
        <w:r w:rsidRPr="00575662">
          <w:rPr>
            <w:rStyle w:val="TextoNormalCaracter"/>
          </w:rPr>
          <w:t>45/1997</w:t>
        </w:r>
      </w:hyperlink>
      <w:r>
        <w:t xml:space="preserve">; </w:t>
      </w:r>
      <w:hyperlink w:anchor="AUTO_1997_65" w:history="1">
        <w:r w:rsidRPr="00575662">
          <w:rPr>
            <w:rStyle w:val="TextoNormalCaracter"/>
          </w:rPr>
          <w:t>65/1997</w:t>
        </w:r>
      </w:hyperlink>
      <w:r>
        <w:t>.</w:t>
      </w:r>
    </w:p>
    <w:p w:rsidR="00575662" w:rsidRDefault="00575662" w:rsidP="00575662">
      <w:pPr>
        <w:pStyle w:val="SangriaFrancesaArticulo"/>
      </w:pPr>
      <w:r w:rsidRPr="00575662">
        <w:rPr>
          <w:rStyle w:val="TextoNormalNegritaCaracter"/>
        </w:rPr>
        <w:t>Artículo 124.</w:t>
      </w:r>
      <w:r w:rsidRPr="00575662">
        <w:rPr>
          <w:rStyle w:val="TextoNormalCaracter"/>
        </w:rPr>
        <w:t>-</w:t>
      </w:r>
      <w:r>
        <w:t xml:space="preserve"> Auto </w:t>
      </w:r>
      <w:hyperlink w:anchor="AUTO_1997_63" w:history="1">
        <w:r w:rsidRPr="00575662">
          <w:rPr>
            <w:rStyle w:val="TextoNormalCaracter"/>
          </w:rPr>
          <w:t>63/1997</w:t>
        </w:r>
      </w:hyperlink>
      <w:r>
        <w:t>.</w:t>
      </w:r>
    </w:p>
    <w:p w:rsidR="00575662" w:rsidRDefault="00575662" w:rsidP="00575662">
      <w:pPr>
        <w:pStyle w:val="SangriaFrancesaArticulo"/>
      </w:pPr>
      <w:r w:rsidRPr="00575662">
        <w:rPr>
          <w:rStyle w:val="TextoNormalNegritaCaracter"/>
        </w:rPr>
        <w:t>Artículo 128.1.</w:t>
      </w:r>
      <w:r w:rsidRPr="00575662">
        <w:rPr>
          <w:rStyle w:val="TextoNormalCaracter"/>
        </w:rPr>
        <w:t>-</w:t>
      </w:r>
      <w:r>
        <w:t xml:space="preserve"> Sentencia </w:t>
      </w:r>
      <w:hyperlink w:anchor="SENTENCIA_1997_61" w:history="1">
        <w:r w:rsidRPr="00575662">
          <w:rPr>
            <w:rStyle w:val="TextoNormalCaracter"/>
          </w:rPr>
          <w:t>61/1997</w:t>
        </w:r>
      </w:hyperlink>
      <w:r>
        <w:t>, f. 14, VP.</w:t>
      </w:r>
    </w:p>
    <w:p w:rsidR="00575662" w:rsidRDefault="00575662" w:rsidP="00575662">
      <w:pPr>
        <w:pStyle w:val="SangriaFrancesaArticulo"/>
      </w:pPr>
      <w:r w:rsidRPr="00575662">
        <w:rPr>
          <w:rStyle w:val="TextoNormalNegritaCaracter"/>
        </w:rPr>
        <w:t>Artículo 134.</w:t>
      </w:r>
      <w:r w:rsidRPr="00575662">
        <w:rPr>
          <w:rStyle w:val="TextoNormalCaracter"/>
        </w:rPr>
        <w:t>-</w:t>
      </w:r>
      <w:r>
        <w:t xml:space="preserve"> Sentencia </w:t>
      </w:r>
      <w:hyperlink w:anchor="SENTENCIA_1997_61" w:history="1">
        <w:r w:rsidRPr="00575662">
          <w:rPr>
            <w:rStyle w:val="TextoNormalCaracter"/>
          </w:rPr>
          <w:t>61/1997</w:t>
        </w:r>
      </w:hyperlink>
      <w:r>
        <w:t>, f. 2.</w:t>
      </w:r>
    </w:p>
    <w:p w:rsidR="00575662" w:rsidRDefault="00575662" w:rsidP="00575662">
      <w:pPr>
        <w:pStyle w:val="SangriaFrancesaArticulo"/>
      </w:pPr>
      <w:r w:rsidRPr="00575662">
        <w:rPr>
          <w:rStyle w:val="TextoNormalNegritaCaracter"/>
        </w:rPr>
        <w:t>Artículo 134.2.</w:t>
      </w:r>
      <w:r w:rsidRPr="00575662">
        <w:rPr>
          <w:rStyle w:val="TextoNormalCaracter"/>
        </w:rPr>
        <w:t>-</w:t>
      </w:r>
      <w:r>
        <w:t xml:space="preserve"> Sentencia </w:t>
      </w:r>
      <w:hyperlink w:anchor="SENTENCIA_1997_61" w:history="1">
        <w:r w:rsidRPr="00575662">
          <w:rPr>
            <w:rStyle w:val="TextoNormalCaracter"/>
          </w:rPr>
          <w:t>61/1997</w:t>
        </w:r>
      </w:hyperlink>
      <w:r>
        <w:t>, f. 2.</w:t>
      </w:r>
    </w:p>
    <w:p w:rsidR="00575662" w:rsidRDefault="00575662" w:rsidP="00575662">
      <w:pPr>
        <w:pStyle w:val="SangriaFrancesaArticulo"/>
      </w:pPr>
      <w:r w:rsidRPr="00575662">
        <w:rPr>
          <w:rStyle w:val="TextoNormalNegritaCaracter"/>
        </w:rPr>
        <w:t>Artículo 134.7.</w:t>
      </w:r>
      <w:r w:rsidRPr="00575662">
        <w:rPr>
          <w:rStyle w:val="TextoNormalCaracter"/>
        </w:rPr>
        <w:t>-</w:t>
      </w:r>
      <w:r>
        <w:t xml:space="preserve"> Sentencia </w:t>
      </w:r>
      <w:hyperlink w:anchor="SENTENCIA_1997_61" w:history="1">
        <w:r w:rsidRPr="00575662">
          <w:rPr>
            <w:rStyle w:val="TextoNormalCaracter"/>
          </w:rPr>
          <w:t>61/1997</w:t>
        </w:r>
      </w:hyperlink>
      <w:r>
        <w:t>, f. 2.</w:t>
      </w:r>
    </w:p>
    <w:p w:rsidR="00575662" w:rsidRDefault="00575662" w:rsidP="00575662">
      <w:pPr>
        <w:pStyle w:val="SangriaFrancesaArticulo"/>
      </w:pPr>
      <w:r w:rsidRPr="00575662">
        <w:rPr>
          <w:rStyle w:val="TextoNormalNegritaCaracter"/>
        </w:rPr>
        <w:t>Artículo 137.</w:t>
      </w:r>
      <w:r w:rsidRPr="00575662">
        <w:rPr>
          <w:rStyle w:val="TextoNormalCaracter"/>
        </w:rPr>
        <w:t>-</w:t>
      </w:r>
      <w:r>
        <w:t xml:space="preserve"> Sentencia </w:t>
      </w:r>
      <w:hyperlink w:anchor="SENTENCIA_1997_61" w:history="1">
        <w:r w:rsidRPr="00575662">
          <w:rPr>
            <w:rStyle w:val="TextoNormalCaracter"/>
          </w:rPr>
          <w:t>61/1997</w:t>
        </w:r>
      </w:hyperlink>
      <w:r>
        <w:t>, ff. 17, 25, VP.</w:t>
      </w:r>
    </w:p>
    <w:p w:rsidR="00575662" w:rsidRDefault="00575662" w:rsidP="00575662">
      <w:pPr>
        <w:pStyle w:val="SangriaFrancesaArticulo"/>
      </w:pPr>
      <w:r w:rsidRPr="00575662">
        <w:rPr>
          <w:rStyle w:val="TextoNormalNegritaCaracter"/>
        </w:rPr>
        <w:t>Artículo 138.2.</w:t>
      </w:r>
      <w:r w:rsidRPr="00575662">
        <w:rPr>
          <w:rStyle w:val="TextoNormalCaracter"/>
        </w:rPr>
        <w:t>-</w:t>
      </w:r>
      <w:r>
        <w:t xml:space="preserve"> Sentencia </w:t>
      </w:r>
      <w:hyperlink w:anchor="SENTENCIA_1997_61" w:history="1">
        <w:r w:rsidRPr="00575662">
          <w:rPr>
            <w:rStyle w:val="TextoNormalCaracter"/>
          </w:rPr>
          <w:t>61/1997</w:t>
        </w:r>
      </w:hyperlink>
      <w:r>
        <w:t>, f. 7.</w:t>
      </w:r>
    </w:p>
    <w:p w:rsidR="00575662" w:rsidRDefault="00575662" w:rsidP="00575662">
      <w:pPr>
        <w:pStyle w:val="SangriaFrancesaArticulo"/>
      </w:pPr>
      <w:r w:rsidRPr="00575662">
        <w:rPr>
          <w:rStyle w:val="TextoNormalNegritaCaracter"/>
        </w:rPr>
        <w:t>Artículo 139.</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Artículo 139.1.</w:t>
      </w:r>
      <w:r w:rsidRPr="00575662">
        <w:rPr>
          <w:rStyle w:val="TextoNormalCaracter"/>
        </w:rPr>
        <w:t>-</w:t>
      </w:r>
      <w:r>
        <w:t xml:space="preserve"> Sentencia </w:t>
      </w:r>
      <w:hyperlink w:anchor="SENTENCIA_1997_61" w:history="1">
        <w:r w:rsidRPr="00575662">
          <w:rPr>
            <w:rStyle w:val="TextoNormalCaracter"/>
          </w:rPr>
          <w:t>61/1997</w:t>
        </w:r>
      </w:hyperlink>
      <w:r>
        <w:t>, f. 7.</w:t>
      </w:r>
    </w:p>
    <w:p w:rsidR="00575662" w:rsidRDefault="00575662" w:rsidP="00575662">
      <w:pPr>
        <w:pStyle w:val="SangriaFrancesaArticulo"/>
      </w:pPr>
      <w:r w:rsidRPr="00575662">
        <w:rPr>
          <w:rStyle w:val="TextoNormalNegritaCaracter"/>
        </w:rPr>
        <w:t>Artículo 139.2.</w:t>
      </w:r>
      <w:r w:rsidRPr="00575662">
        <w:rPr>
          <w:rStyle w:val="TextoNormalCaracter"/>
        </w:rPr>
        <w:t>-</w:t>
      </w:r>
      <w:r>
        <w:t xml:space="preserve"> Sentencia </w:t>
      </w:r>
      <w:hyperlink w:anchor="SENTENCIA_1997_61" w:history="1">
        <w:r w:rsidRPr="00575662">
          <w:rPr>
            <w:rStyle w:val="TextoNormalCaracter"/>
          </w:rPr>
          <w:t>61/1997</w:t>
        </w:r>
      </w:hyperlink>
      <w:r>
        <w:t>, f. 7.</w:t>
      </w:r>
    </w:p>
    <w:p w:rsidR="00575662" w:rsidRDefault="00575662" w:rsidP="00575662">
      <w:pPr>
        <w:pStyle w:val="SangriaFrancesaArticulo"/>
      </w:pPr>
      <w:r w:rsidRPr="00575662">
        <w:rPr>
          <w:rStyle w:val="TextoNormalNegritaCaracter"/>
        </w:rPr>
        <w:t>Artículo 140.</w:t>
      </w:r>
      <w:r w:rsidRPr="00575662">
        <w:rPr>
          <w:rStyle w:val="TextoNormalCaracter"/>
        </w:rPr>
        <w:t>-</w:t>
      </w:r>
      <w:r>
        <w:t xml:space="preserve"> Sentencia </w:t>
      </w:r>
      <w:hyperlink w:anchor="SENTENCIA_1997_61" w:history="1">
        <w:r w:rsidRPr="00575662">
          <w:rPr>
            <w:rStyle w:val="TextoNormalCaracter"/>
          </w:rPr>
          <w:t>61/1997</w:t>
        </w:r>
      </w:hyperlink>
      <w:r>
        <w:t>, ff. 17, 25.</w:t>
      </w:r>
    </w:p>
    <w:p w:rsidR="00575662" w:rsidRDefault="00575662" w:rsidP="00575662">
      <w:pPr>
        <w:pStyle w:val="SangriaFrancesaArticulo"/>
      </w:pPr>
      <w:r w:rsidRPr="00575662">
        <w:rPr>
          <w:rStyle w:val="TextoNormalNegritaCaracter"/>
        </w:rPr>
        <w:t>Artículo 141.</w:t>
      </w:r>
      <w:r w:rsidRPr="00575662">
        <w:rPr>
          <w:rStyle w:val="TextoNormalCaracter"/>
        </w:rPr>
        <w:t>-</w:t>
      </w:r>
      <w:r>
        <w:t xml:space="preserve"> Auto </w:t>
      </w:r>
      <w:hyperlink w:anchor="AUTO_1997_104" w:history="1">
        <w:r w:rsidRPr="00575662">
          <w:rPr>
            <w:rStyle w:val="TextoNormalCaracter"/>
          </w:rPr>
          <w:t>104/1997</w:t>
        </w:r>
      </w:hyperlink>
      <w:r>
        <w:t>.</w:t>
      </w:r>
    </w:p>
    <w:p w:rsidR="00575662" w:rsidRDefault="00575662" w:rsidP="00575662">
      <w:pPr>
        <w:pStyle w:val="SangriaFrancesaArticulo"/>
      </w:pPr>
      <w:r w:rsidRPr="00575662">
        <w:rPr>
          <w:rStyle w:val="TextoNormalNegritaCaracter"/>
        </w:rPr>
        <w:t>Artículo 147.</w:t>
      </w:r>
      <w:r w:rsidRPr="00575662">
        <w:rPr>
          <w:rStyle w:val="TextoNormalCaracter"/>
        </w:rPr>
        <w:t>-</w:t>
      </w:r>
      <w:r>
        <w:t xml:space="preserve"> Sentencia </w:t>
      </w:r>
      <w:hyperlink w:anchor="SENTENCIA_1997_75" w:history="1">
        <w:r w:rsidRPr="00575662">
          <w:rPr>
            <w:rStyle w:val="TextoNormalCaracter"/>
          </w:rPr>
          <w:t>75/1997</w:t>
        </w:r>
      </w:hyperlink>
      <w:r>
        <w:t>, VP.</w:t>
      </w:r>
    </w:p>
    <w:p w:rsidR="00575662" w:rsidRDefault="00575662" w:rsidP="00575662">
      <w:pPr>
        <w:pStyle w:val="SangriaFrancesaArticulo"/>
      </w:pPr>
      <w:r w:rsidRPr="00575662">
        <w:rPr>
          <w:rStyle w:val="TextoNormalNegritaCaracter"/>
        </w:rPr>
        <w:t>Artículo 148.</w:t>
      </w:r>
      <w:r w:rsidRPr="00575662">
        <w:rPr>
          <w:rStyle w:val="TextoNormalCaracter"/>
        </w:rPr>
        <w:t>-</w:t>
      </w:r>
      <w:r>
        <w:t xml:space="preserve"> Sentencia </w:t>
      </w:r>
      <w:hyperlink w:anchor="SENTENCIA_1997_61" w:history="1">
        <w:r w:rsidRPr="00575662">
          <w:rPr>
            <w:rStyle w:val="TextoNormalCaracter"/>
          </w:rPr>
          <w:t>61/1997</w:t>
        </w:r>
      </w:hyperlink>
      <w:r>
        <w:t>, ff. 5, 12.</w:t>
      </w:r>
    </w:p>
    <w:p w:rsidR="00575662" w:rsidRDefault="00575662" w:rsidP="00575662">
      <w:pPr>
        <w:pStyle w:val="SangriaFrancesaArticulo"/>
      </w:pPr>
      <w:r w:rsidRPr="00575662">
        <w:rPr>
          <w:rStyle w:val="TextoNormalNegritaCaracter"/>
        </w:rPr>
        <w:t>Artículo 148.1.3.</w:t>
      </w:r>
      <w:r w:rsidRPr="00575662">
        <w:rPr>
          <w:rStyle w:val="TextoNormalCaracter"/>
        </w:rPr>
        <w:t>-</w:t>
      </w:r>
      <w:r>
        <w:t xml:space="preserve"> Sentencias </w:t>
      </w:r>
      <w:hyperlink w:anchor="SENTENCIA_1997_28" w:history="1">
        <w:r w:rsidRPr="00575662">
          <w:rPr>
            <w:rStyle w:val="TextoNormalCaracter"/>
          </w:rPr>
          <w:t>28/1997</w:t>
        </w:r>
      </w:hyperlink>
      <w:r>
        <w:t xml:space="preserve">, ff. 4, 6; </w:t>
      </w:r>
      <w:hyperlink w:anchor="SENTENCIA_1997_61" w:history="1">
        <w:r w:rsidRPr="00575662">
          <w:rPr>
            <w:rStyle w:val="TextoNormalCaracter"/>
          </w:rPr>
          <w:t>61/1997</w:t>
        </w:r>
      </w:hyperlink>
      <w:r>
        <w:t>, ff. 16, 17, 20, a 22, 25, 28, 34, 38, VP.</w:t>
      </w:r>
    </w:p>
    <w:p w:rsidR="00575662" w:rsidRDefault="00575662" w:rsidP="00575662">
      <w:pPr>
        <w:pStyle w:val="SangriaFrancesaArticulo"/>
      </w:pPr>
      <w:r w:rsidRPr="00575662">
        <w:rPr>
          <w:rStyle w:val="TextoNormalNegritaCaracter"/>
        </w:rPr>
        <w:lastRenderedPageBreak/>
        <w:t>Artículo 148.1.9.</w:t>
      </w:r>
      <w:r w:rsidRPr="00575662">
        <w:rPr>
          <w:rStyle w:val="TextoNormalCaracter"/>
        </w:rPr>
        <w:t>-</w:t>
      </w:r>
      <w:r>
        <w:t xml:space="preserve"> Sentencia </w:t>
      </w:r>
      <w:hyperlink w:anchor="SENTENCIA_1997_28" w:history="1">
        <w:r w:rsidRPr="00575662">
          <w:rPr>
            <w:rStyle w:val="TextoNormalCaracter"/>
          </w:rPr>
          <w:t>28/1997</w:t>
        </w:r>
      </w:hyperlink>
      <w:r>
        <w:t>, ff. 1, 4.</w:t>
      </w:r>
    </w:p>
    <w:p w:rsidR="00575662" w:rsidRDefault="00575662" w:rsidP="00575662">
      <w:pPr>
        <w:pStyle w:val="SangriaFrancesaArticulo"/>
      </w:pPr>
      <w:r w:rsidRPr="00575662">
        <w:rPr>
          <w:rStyle w:val="TextoNormalNegritaCaracter"/>
        </w:rPr>
        <w:t>Artículo 148.1.11.</w:t>
      </w:r>
      <w:r w:rsidRPr="00575662">
        <w:rPr>
          <w:rStyle w:val="TextoNormalCaracter"/>
        </w:rPr>
        <w:t>-</w:t>
      </w:r>
      <w:r>
        <w:t xml:space="preserve"> Sentencia </w:t>
      </w:r>
      <w:hyperlink w:anchor="SENTENCIA_1997_16" w:history="1">
        <w:r w:rsidRPr="00575662">
          <w:rPr>
            <w:rStyle w:val="TextoNormalCaracter"/>
          </w:rPr>
          <w:t>16/1997</w:t>
        </w:r>
      </w:hyperlink>
      <w:r>
        <w:t>, f. 1.</w:t>
      </w:r>
    </w:p>
    <w:p w:rsidR="00575662" w:rsidRDefault="00575662" w:rsidP="00575662">
      <w:pPr>
        <w:pStyle w:val="SangriaFrancesaArticulo"/>
      </w:pPr>
      <w:r w:rsidRPr="00575662">
        <w:rPr>
          <w:rStyle w:val="TextoNormalNegritaCaracter"/>
        </w:rPr>
        <w:t>Artículo 149.</w:t>
      </w:r>
      <w:r w:rsidRPr="00575662">
        <w:rPr>
          <w:rStyle w:val="TextoNormalCaracter"/>
        </w:rPr>
        <w:t>-</w:t>
      </w:r>
      <w:r>
        <w:t xml:space="preserve"> Sentencia </w:t>
      </w:r>
      <w:hyperlink w:anchor="SENTENCIA_1997_61" w:history="1">
        <w:r w:rsidRPr="00575662">
          <w:rPr>
            <w:rStyle w:val="TextoNormalCaracter"/>
          </w:rPr>
          <w:t>61/1997</w:t>
        </w:r>
      </w:hyperlink>
      <w:r>
        <w:t>, ff. 5, 12.</w:t>
      </w:r>
    </w:p>
    <w:p w:rsidR="00575662" w:rsidRDefault="00575662" w:rsidP="00575662">
      <w:pPr>
        <w:pStyle w:val="SangriaFrancesaArticulo"/>
      </w:pPr>
      <w:r w:rsidRPr="00575662">
        <w:rPr>
          <w:rStyle w:val="TextoNormalNegritaCaracter"/>
        </w:rPr>
        <w:t>Artículo 149.1.</w:t>
      </w:r>
      <w:r w:rsidRPr="00575662">
        <w:rPr>
          <w:rStyle w:val="TextoNormalCaracter"/>
        </w:rPr>
        <w:t>-</w:t>
      </w:r>
      <w:r>
        <w:t xml:space="preserve"> Sentencia </w:t>
      </w:r>
      <w:hyperlink w:anchor="SENTENCIA_1997_61" w:history="1">
        <w:r w:rsidRPr="00575662">
          <w:rPr>
            <w:rStyle w:val="TextoNormalCaracter"/>
          </w:rPr>
          <w:t>61/1997</w:t>
        </w:r>
      </w:hyperlink>
      <w:r>
        <w:t>, ff. 5, 6, 8, 13, 27.</w:t>
      </w:r>
    </w:p>
    <w:p w:rsidR="00575662" w:rsidRDefault="00575662" w:rsidP="00575662">
      <w:pPr>
        <w:pStyle w:val="SangriaFrancesaArticulo"/>
      </w:pPr>
      <w:r w:rsidRPr="00575662">
        <w:rPr>
          <w:rStyle w:val="TextoNormalNegritaCaracter"/>
        </w:rPr>
        <w:t>Artículo 149.1.1.</w:t>
      </w:r>
      <w:r w:rsidRPr="00575662">
        <w:rPr>
          <w:rStyle w:val="TextoNormalCaracter"/>
        </w:rPr>
        <w:t>-</w:t>
      </w:r>
      <w:r>
        <w:t xml:space="preserve"> Sentencias </w:t>
      </w:r>
      <w:hyperlink w:anchor="SENTENCIA_1997_16" w:history="1">
        <w:r w:rsidRPr="00575662">
          <w:rPr>
            <w:rStyle w:val="TextoNormalCaracter"/>
          </w:rPr>
          <w:t>16/1997</w:t>
        </w:r>
      </w:hyperlink>
      <w:r>
        <w:t xml:space="preserve">, f. 1; </w:t>
      </w:r>
      <w:hyperlink w:anchor="SENTENCIA_1997_61" w:history="1">
        <w:r w:rsidRPr="00575662">
          <w:rPr>
            <w:rStyle w:val="TextoNormalCaracter"/>
          </w:rPr>
          <w:t>61/1997</w:t>
        </w:r>
      </w:hyperlink>
      <w:r>
        <w:t>, ff. 5, 7 a 12, 14 a 17, 19, 20, 23 a 25, 27 a 30, 32, 34, 35, 41, VP.</w:t>
      </w:r>
    </w:p>
    <w:p w:rsidR="00575662" w:rsidRDefault="00575662" w:rsidP="00575662">
      <w:pPr>
        <w:pStyle w:val="SangriaFrancesaArticulo"/>
      </w:pPr>
      <w:r w:rsidRPr="00575662">
        <w:rPr>
          <w:rStyle w:val="TextoNormalNegritaCaracter"/>
        </w:rPr>
        <w:t>Artículo 149.1.3.</w:t>
      </w:r>
      <w:r w:rsidRPr="00575662">
        <w:rPr>
          <w:rStyle w:val="TextoNormalCaracter"/>
        </w:rPr>
        <w:t>-</w:t>
      </w:r>
      <w:r>
        <w:t xml:space="preserve"> Sentencia </w:t>
      </w:r>
      <w:hyperlink w:anchor="SENTENCIA_1997_15" w:history="1">
        <w:r w:rsidRPr="00575662">
          <w:rPr>
            <w:rStyle w:val="TextoNormalCaracter"/>
          </w:rPr>
          <w:t>15/1997</w:t>
        </w:r>
      </w:hyperlink>
      <w:r>
        <w:t>, f. 2.</w:t>
      </w:r>
    </w:p>
    <w:p w:rsidR="00575662" w:rsidRDefault="00575662" w:rsidP="00575662">
      <w:pPr>
        <w:pStyle w:val="SangriaFrancesaArticulo"/>
      </w:pPr>
      <w:r w:rsidRPr="00575662">
        <w:rPr>
          <w:rStyle w:val="TextoNormalNegritaCaracter"/>
        </w:rPr>
        <w:t>Artículo 149.1.4.</w:t>
      </w:r>
      <w:r w:rsidRPr="00575662">
        <w:rPr>
          <w:rStyle w:val="TextoNormalCaracter"/>
        </w:rPr>
        <w:t>-</w:t>
      </w:r>
      <w:r>
        <w:t xml:space="preserve"> Sentencias </w:t>
      </w:r>
      <w:hyperlink w:anchor="SENTENCIA_1997_61" w:history="1">
        <w:r w:rsidRPr="00575662">
          <w:rPr>
            <w:rStyle w:val="TextoNormalCaracter"/>
          </w:rPr>
          <w:t>61/1997</w:t>
        </w:r>
      </w:hyperlink>
      <w:r>
        <w:t xml:space="preserve">, f. 22; </w:t>
      </w:r>
      <w:hyperlink w:anchor="SENTENCIA_1997_87" w:history="1">
        <w:r w:rsidRPr="00575662">
          <w:rPr>
            <w:rStyle w:val="TextoNormalCaracter"/>
          </w:rPr>
          <w:t>87/1997</w:t>
        </w:r>
      </w:hyperlink>
      <w:r>
        <w:t>, f. 4.</w:t>
      </w:r>
    </w:p>
    <w:p w:rsidR="00575662" w:rsidRDefault="00575662" w:rsidP="00575662">
      <w:pPr>
        <w:pStyle w:val="SangriaFrancesaArticulo"/>
      </w:pPr>
      <w:r w:rsidRPr="00575662">
        <w:rPr>
          <w:rStyle w:val="TextoNormalNegritaCaracter"/>
        </w:rPr>
        <w:t>Artículo 149.1.6.</w:t>
      </w:r>
      <w:r w:rsidRPr="00575662">
        <w:rPr>
          <w:rStyle w:val="TextoNormalCaracter"/>
        </w:rPr>
        <w:t>-</w:t>
      </w:r>
      <w:r>
        <w:t xml:space="preserve"> Sentencia </w:t>
      </w:r>
      <w:hyperlink w:anchor="SENTENCIA_1997_37" w:history="1">
        <w:r w:rsidRPr="00575662">
          <w:rPr>
            <w:rStyle w:val="TextoNormalCaracter"/>
          </w:rPr>
          <w:t>37/1997</w:t>
        </w:r>
      </w:hyperlink>
      <w:r>
        <w:t>, f. 1.</w:t>
      </w:r>
    </w:p>
    <w:p w:rsidR="00575662" w:rsidRDefault="00575662" w:rsidP="00575662">
      <w:pPr>
        <w:pStyle w:val="SangriaFrancesaArticulo"/>
      </w:pPr>
      <w:r w:rsidRPr="00575662">
        <w:rPr>
          <w:rStyle w:val="TextoNormalNegritaCaracter"/>
        </w:rPr>
        <w:t>Artículo 149.1.8.</w:t>
      </w:r>
      <w:r w:rsidRPr="00575662">
        <w:rPr>
          <w:rStyle w:val="TextoNormalCaracter"/>
        </w:rPr>
        <w:t>-</w:t>
      </w:r>
      <w:r>
        <w:t xml:space="preserve"> Sentencias </w:t>
      </w:r>
      <w:hyperlink w:anchor="SENTENCIA_1997_61" w:history="1">
        <w:r w:rsidRPr="00575662">
          <w:rPr>
            <w:rStyle w:val="TextoNormalCaracter"/>
          </w:rPr>
          <w:t>61/1997</w:t>
        </w:r>
      </w:hyperlink>
      <w:r>
        <w:t xml:space="preserve">, ff. 9 a 12, 16 a 18, 26, 28 a 30, 32, 37 a 39, 41, VP; </w:t>
      </w:r>
      <w:hyperlink w:anchor="SENTENCIA_1997_87" w:history="1">
        <w:r w:rsidRPr="00575662">
          <w:rPr>
            <w:rStyle w:val="TextoNormalCaracter"/>
          </w:rPr>
          <w:t>87/1997</w:t>
        </w:r>
      </w:hyperlink>
      <w:r>
        <w:t>, f. 4.</w:t>
      </w:r>
    </w:p>
    <w:p w:rsidR="00575662" w:rsidRDefault="00575662" w:rsidP="00575662">
      <w:pPr>
        <w:pStyle w:val="SangriaFrancesaArticulo"/>
      </w:pPr>
      <w:r w:rsidRPr="00575662">
        <w:rPr>
          <w:rStyle w:val="TextoNormalNegritaCaracter"/>
        </w:rPr>
        <w:t>Artículo 149.1.10.</w:t>
      </w:r>
      <w:r w:rsidRPr="00575662">
        <w:rPr>
          <w:rStyle w:val="TextoNormalCaracter"/>
        </w:rPr>
        <w:t>-</w:t>
      </w:r>
      <w:r>
        <w:t xml:space="preserve"> Sentencia </w:t>
      </w:r>
      <w:hyperlink w:anchor="SENTENCIA_1997_15" w:history="1">
        <w:r w:rsidRPr="00575662">
          <w:rPr>
            <w:rStyle w:val="TextoNormalCaracter"/>
          </w:rPr>
          <w:t>15/1997</w:t>
        </w:r>
      </w:hyperlink>
      <w:r>
        <w:t>, f. 2.</w:t>
      </w:r>
    </w:p>
    <w:p w:rsidR="00575662" w:rsidRDefault="00575662" w:rsidP="00575662">
      <w:pPr>
        <w:pStyle w:val="SangriaFrancesaArticulo"/>
      </w:pPr>
      <w:r w:rsidRPr="00575662">
        <w:rPr>
          <w:rStyle w:val="TextoNormalNegritaCaracter"/>
        </w:rPr>
        <w:t>Artículo 149.1.11.</w:t>
      </w:r>
      <w:r w:rsidRPr="00575662">
        <w:rPr>
          <w:rStyle w:val="TextoNormalCaracter"/>
        </w:rPr>
        <w:t>-</w:t>
      </w:r>
      <w:r>
        <w:t xml:space="preserve"> Sentencia </w:t>
      </w:r>
      <w:hyperlink w:anchor="SENTENCIA_1997_37" w:history="1">
        <w:r w:rsidRPr="00575662">
          <w:rPr>
            <w:rStyle w:val="TextoNormalCaracter"/>
          </w:rPr>
          <w:t>37/1997</w:t>
        </w:r>
      </w:hyperlink>
      <w:r>
        <w:t>, ff. 3, 5.</w:t>
      </w:r>
    </w:p>
    <w:p w:rsidR="00575662" w:rsidRDefault="00575662" w:rsidP="00575662">
      <w:pPr>
        <w:pStyle w:val="SangriaFrancesaArticulo"/>
      </w:pPr>
      <w:r w:rsidRPr="00575662">
        <w:rPr>
          <w:rStyle w:val="TextoNormalNegritaCaracter"/>
        </w:rPr>
        <w:t>Artículo 149.1.13.</w:t>
      </w:r>
      <w:r w:rsidRPr="00575662">
        <w:rPr>
          <w:rStyle w:val="TextoNormalCaracter"/>
        </w:rPr>
        <w:t>-</w:t>
      </w:r>
      <w:r>
        <w:t xml:space="preserve"> Sentencias </w:t>
      </w:r>
      <w:hyperlink w:anchor="SENTENCIA_1997_61" w:history="1">
        <w:r w:rsidRPr="00575662">
          <w:rPr>
            <w:rStyle w:val="TextoNormalCaracter"/>
          </w:rPr>
          <w:t>61/1997</w:t>
        </w:r>
      </w:hyperlink>
      <w:r>
        <w:t xml:space="preserve">, ff. 12, 17, 22, 24, 36; </w:t>
      </w:r>
      <w:hyperlink w:anchor="SENTENCIA_1997_70" w:history="1">
        <w:r w:rsidRPr="00575662">
          <w:rPr>
            <w:rStyle w:val="TextoNormalCaracter"/>
          </w:rPr>
          <w:t>70/1997</w:t>
        </w:r>
      </w:hyperlink>
      <w:r>
        <w:t>, ff. 4, 5.</w:t>
      </w:r>
    </w:p>
    <w:p w:rsidR="00575662" w:rsidRDefault="00575662" w:rsidP="00575662">
      <w:pPr>
        <w:pStyle w:val="SangriaFrancesaArticulo"/>
      </w:pPr>
      <w:r w:rsidRPr="00575662">
        <w:rPr>
          <w:rStyle w:val="TextoNormalNegritaCaracter"/>
        </w:rPr>
        <w:t>Artículo 149.1.18.</w:t>
      </w:r>
      <w:r w:rsidRPr="00575662">
        <w:rPr>
          <w:rStyle w:val="TextoNormalCaracter"/>
        </w:rPr>
        <w:t>-</w:t>
      </w:r>
      <w:r>
        <w:t xml:space="preserve"> Sentencias </w:t>
      </w:r>
      <w:hyperlink w:anchor="SENTENCIA_1997_61" w:history="1">
        <w:r w:rsidRPr="00575662">
          <w:rPr>
            <w:rStyle w:val="TextoNormalCaracter"/>
          </w:rPr>
          <w:t>61/1997</w:t>
        </w:r>
      </w:hyperlink>
      <w:r>
        <w:t xml:space="preserve">, ff. 5, 10 a 12, 14, 15, 17 a 21, 24 a 37, 40, 41, VP; </w:t>
      </w:r>
      <w:hyperlink w:anchor="SENTENCIA_1997_73" w:history="1">
        <w:r w:rsidRPr="00575662">
          <w:rPr>
            <w:rStyle w:val="TextoNormalCaracter"/>
          </w:rPr>
          <w:t>73/1997</w:t>
        </w:r>
      </w:hyperlink>
      <w:r>
        <w:t>, ff. 1, 3.</w:t>
      </w:r>
    </w:p>
    <w:p w:rsidR="00575662" w:rsidRDefault="00575662" w:rsidP="00575662">
      <w:pPr>
        <w:pStyle w:val="SangriaFrancesaArticulo"/>
      </w:pPr>
      <w:r w:rsidRPr="00575662">
        <w:rPr>
          <w:rStyle w:val="TextoNormalNegritaCaracter"/>
        </w:rPr>
        <w:t>Artículo 149.1.19.</w:t>
      </w:r>
      <w:r w:rsidRPr="00575662">
        <w:rPr>
          <w:rStyle w:val="TextoNormalCaracter"/>
        </w:rPr>
        <w:t>-</w:t>
      </w:r>
      <w:r>
        <w:t xml:space="preserve"> Sentencia </w:t>
      </w:r>
      <w:hyperlink w:anchor="SENTENCIA_1997_61" w:history="1">
        <w:r w:rsidRPr="00575662">
          <w:rPr>
            <w:rStyle w:val="TextoNormalCaracter"/>
          </w:rPr>
          <w:t>61/1997</w:t>
        </w:r>
      </w:hyperlink>
      <w:r>
        <w:t>, f. 22.</w:t>
      </w:r>
    </w:p>
    <w:p w:rsidR="00575662" w:rsidRDefault="00575662" w:rsidP="00575662">
      <w:pPr>
        <w:pStyle w:val="SangriaFrancesaArticulo"/>
      </w:pPr>
      <w:r w:rsidRPr="00575662">
        <w:rPr>
          <w:rStyle w:val="TextoNormalNegritaCaracter"/>
        </w:rPr>
        <w:t>Artículo 149.1.20.</w:t>
      </w:r>
      <w:r w:rsidRPr="00575662">
        <w:rPr>
          <w:rStyle w:val="TextoNormalCaracter"/>
        </w:rPr>
        <w:t>-</w:t>
      </w:r>
      <w:r>
        <w:t xml:space="preserve"> Sentencia </w:t>
      </w:r>
      <w:hyperlink w:anchor="SENTENCIA_1997_61" w:history="1">
        <w:r w:rsidRPr="00575662">
          <w:rPr>
            <w:rStyle w:val="TextoNormalCaracter"/>
          </w:rPr>
          <w:t>61/1997</w:t>
        </w:r>
      </w:hyperlink>
      <w:r>
        <w:t>, f. 22.</w:t>
      </w:r>
    </w:p>
    <w:p w:rsidR="00575662" w:rsidRDefault="00575662" w:rsidP="00575662">
      <w:pPr>
        <w:pStyle w:val="SangriaFrancesaArticulo"/>
      </w:pPr>
      <w:r w:rsidRPr="00575662">
        <w:rPr>
          <w:rStyle w:val="TextoNormalNegritaCaracter"/>
        </w:rPr>
        <w:t>Artículo 149.1.21.</w:t>
      </w:r>
      <w:r w:rsidRPr="00575662">
        <w:rPr>
          <w:rStyle w:val="TextoNormalCaracter"/>
        </w:rPr>
        <w:t>-</w:t>
      </w:r>
      <w:r>
        <w:t xml:space="preserve"> Sentencia </w:t>
      </w:r>
      <w:hyperlink w:anchor="SENTENCIA_1997_61" w:history="1">
        <w:r w:rsidRPr="00575662">
          <w:rPr>
            <w:rStyle w:val="TextoNormalCaracter"/>
          </w:rPr>
          <w:t>61/1997</w:t>
        </w:r>
      </w:hyperlink>
      <w:r>
        <w:t>, f. 22.</w:t>
      </w:r>
    </w:p>
    <w:p w:rsidR="00575662" w:rsidRDefault="00575662" w:rsidP="00575662">
      <w:pPr>
        <w:pStyle w:val="SangriaFrancesaArticulo"/>
      </w:pPr>
      <w:r w:rsidRPr="00575662">
        <w:rPr>
          <w:rStyle w:val="TextoNormalNegritaCaracter"/>
        </w:rPr>
        <w:t>Artículo 149.1.22.</w:t>
      </w:r>
      <w:r w:rsidRPr="00575662">
        <w:rPr>
          <w:rStyle w:val="TextoNormalCaracter"/>
        </w:rPr>
        <w:t>-</w:t>
      </w:r>
      <w:r>
        <w:t xml:space="preserve"> Sentencia </w:t>
      </w:r>
      <w:hyperlink w:anchor="SENTENCIA_1997_61" w:history="1">
        <w:r w:rsidRPr="00575662">
          <w:rPr>
            <w:rStyle w:val="TextoNormalCaracter"/>
          </w:rPr>
          <w:t>61/1997</w:t>
        </w:r>
      </w:hyperlink>
      <w:r>
        <w:t>, f. 22.</w:t>
      </w:r>
    </w:p>
    <w:p w:rsidR="00575662" w:rsidRDefault="00575662" w:rsidP="00575662">
      <w:pPr>
        <w:pStyle w:val="SangriaFrancesaArticulo"/>
      </w:pPr>
      <w:r w:rsidRPr="00575662">
        <w:rPr>
          <w:rStyle w:val="TextoNormalNegritaCaracter"/>
        </w:rPr>
        <w:t>Artículo 149.1.23.</w:t>
      </w:r>
      <w:r w:rsidRPr="00575662">
        <w:rPr>
          <w:rStyle w:val="TextoNormalCaracter"/>
        </w:rPr>
        <w:t>-</w:t>
      </w:r>
      <w:r>
        <w:t xml:space="preserve"> Sentencias </w:t>
      </w:r>
      <w:hyperlink w:anchor="SENTENCIA_1997_16" w:history="1">
        <w:r w:rsidRPr="00575662">
          <w:rPr>
            <w:rStyle w:val="TextoNormalCaracter"/>
          </w:rPr>
          <w:t>16/1997</w:t>
        </w:r>
      </w:hyperlink>
      <w:r>
        <w:t xml:space="preserve">, ff. 1, 3; </w:t>
      </w:r>
      <w:hyperlink w:anchor="SENTENCIA_1997_28" w:history="1">
        <w:r w:rsidRPr="00575662">
          <w:rPr>
            <w:rStyle w:val="TextoNormalCaracter"/>
          </w:rPr>
          <w:t>28/1997</w:t>
        </w:r>
      </w:hyperlink>
      <w:r>
        <w:t xml:space="preserve">, ff. 1, 4, 6; </w:t>
      </w:r>
      <w:hyperlink w:anchor="SENTENCIA_1997_61" w:history="1">
        <w:r w:rsidRPr="00575662">
          <w:rPr>
            <w:rStyle w:val="TextoNormalCaracter"/>
          </w:rPr>
          <w:t>61/1997</w:t>
        </w:r>
      </w:hyperlink>
      <w:r>
        <w:t>, ff. 12, 16, 17, 22.</w:t>
      </w:r>
    </w:p>
    <w:p w:rsidR="00575662" w:rsidRDefault="00575662" w:rsidP="00575662">
      <w:pPr>
        <w:pStyle w:val="SangriaFrancesaArticulo"/>
      </w:pPr>
      <w:r w:rsidRPr="00575662">
        <w:rPr>
          <w:rStyle w:val="TextoNormalNegritaCaracter"/>
        </w:rPr>
        <w:t>Artículo 149.1.24.</w:t>
      </w:r>
      <w:r w:rsidRPr="00575662">
        <w:rPr>
          <w:rStyle w:val="TextoNormalCaracter"/>
        </w:rPr>
        <w:t>-</w:t>
      </w:r>
      <w:r>
        <w:t xml:space="preserve"> Sentencia </w:t>
      </w:r>
      <w:hyperlink w:anchor="SENTENCIA_1997_61" w:history="1">
        <w:r w:rsidRPr="00575662">
          <w:rPr>
            <w:rStyle w:val="TextoNormalCaracter"/>
          </w:rPr>
          <w:t>61/1997</w:t>
        </w:r>
      </w:hyperlink>
      <w:r>
        <w:t>, f. 22.</w:t>
      </w:r>
    </w:p>
    <w:p w:rsidR="00575662" w:rsidRDefault="00575662" w:rsidP="00575662">
      <w:pPr>
        <w:pStyle w:val="SangriaFrancesaArticulo"/>
      </w:pPr>
      <w:r w:rsidRPr="00575662">
        <w:rPr>
          <w:rStyle w:val="TextoNormalNegritaCaracter"/>
        </w:rPr>
        <w:t>Artículo 149.1.25.</w:t>
      </w:r>
      <w:r w:rsidRPr="00575662">
        <w:rPr>
          <w:rStyle w:val="TextoNormalCaracter"/>
        </w:rPr>
        <w:t>-</w:t>
      </w:r>
      <w:r>
        <w:t xml:space="preserve"> Sentencia </w:t>
      </w:r>
      <w:hyperlink w:anchor="SENTENCIA_1997_61" w:history="1">
        <w:r w:rsidRPr="00575662">
          <w:rPr>
            <w:rStyle w:val="TextoNormalCaracter"/>
          </w:rPr>
          <w:t>61/1997</w:t>
        </w:r>
      </w:hyperlink>
      <w:r>
        <w:t>, f. 22.</w:t>
      </w:r>
    </w:p>
    <w:p w:rsidR="00575662" w:rsidRDefault="00575662" w:rsidP="00575662">
      <w:pPr>
        <w:pStyle w:val="SangriaFrancesaArticulo"/>
      </w:pPr>
      <w:r w:rsidRPr="00575662">
        <w:rPr>
          <w:rStyle w:val="TextoNormalNegritaCaracter"/>
        </w:rPr>
        <w:t>Artículo 149.1.28.</w:t>
      </w:r>
      <w:r w:rsidRPr="00575662">
        <w:rPr>
          <w:rStyle w:val="TextoNormalCaracter"/>
        </w:rPr>
        <w:t>-</w:t>
      </w:r>
      <w:r>
        <w:t xml:space="preserve"> Sentencia </w:t>
      </w:r>
      <w:hyperlink w:anchor="SENTENCIA_1997_61" w:history="1">
        <w:r w:rsidRPr="00575662">
          <w:rPr>
            <w:rStyle w:val="TextoNormalCaracter"/>
          </w:rPr>
          <w:t>61/1997</w:t>
        </w:r>
      </w:hyperlink>
      <w:r>
        <w:t>, f. 22.</w:t>
      </w:r>
    </w:p>
    <w:p w:rsidR="00575662" w:rsidRDefault="00575662" w:rsidP="00575662">
      <w:pPr>
        <w:pStyle w:val="SangriaFrancesaArticulo"/>
      </w:pPr>
      <w:r w:rsidRPr="00575662">
        <w:rPr>
          <w:rStyle w:val="TextoNormalNegritaCaracter"/>
        </w:rPr>
        <w:t>Artículo 149.2.</w:t>
      </w:r>
      <w:r w:rsidRPr="00575662">
        <w:rPr>
          <w:rStyle w:val="TextoNormalCaracter"/>
        </w:rPr>
        <w:t>-</w:t>
      </w:r>
      <w:r>
        <w:t xml:space="preserve"> Sentencia </w:t>
      </w:r>
      <w:hyperlink w:anchor="SENTENCIA_1997_71" w:history="1">
        <w:r w:rsidRPr="00575662">
          <w:rPr>
            <w:rStyle w:val="TextoNormalCaracter"/>
          </w:rPr>
          <w:t>71/1997</w:t>
        </w:r>
      </w:hyperlink>
      <w:r>
        <w:t>, f. 3.</w:t>
      </w:r>
    </w:p>
    <w:p w:rsidR="00575662" w:rsidRDefault="00575662" w:rsidP="00575662">
      <w:pPr>
        <w:pStyle w:val="SangriaFrancesaArticulo"/>
      </w:pPr>
      <w:r w:rsidRPr="00575662">
        <w:rPr>
          <w:rStyle w:val="TextoNormalNegritaCaracter"/>
        </w:rPr>
        <w:t>Artículo 149.3.</w:t>
      </w:r>
      <w:r w:rsidRPr="00575662">
        <w:rPr>
          <w:rStyle w:val="TextoNormalCaracter"/>
        </w:rPr>
        <w:t>-</w:t>
      </w:r>
      <w:r>
        <w:t xml:space="preserve"> Sentencia </w:t>
      </w:r>
      <w:hyperlink w:anchor="SENTENCIA_1997_61" w:history="1">
        <w:r w:rsidRPr="00575662">
          <w:rPr>
            <w:rStyle w:val="TextoNormalCaracter"/>
          </w:rPr>
          <w:t>61/1997</w:t>
        </w:r>
      </w:hyperlink>
      <w:r>
        <w:t>, ff. 12, 20, VP.</w:t>
      </w:r>
    </w:p>
    <w:p w:rsidR="00575662" w:rsidRDefault="00575662" w:rsidP="00575662">
      <w:pPr>
        <w:pStyle w:val="SangriaFrancesaArticulo"/>
      </w:pPr>
      <w:r w:rsidRPr="00575662">
        <w:rPr>
          <w:rStyle w:val="TextoNormalNegritaCaracter"/>
        </w:rPr>
        <w:t>Artículo 152.</w:t>
      </w:r>
      <w:r w:rsidRPr="00575662">
        <w:rPr>
          <w:rStyle w:val="TextoNormalCaracter"/>
        </w:rPr>
        <w:t>-</w:t>
      </w:r>
      <w:r>
        <w:t xml:space="preserve"> Auto </w:t>
      </w:r>
      <w:hyperlink w:anchor="AUTO_1997_94" w:history="1">
        <w:r w:rsidRPr="00575662">
          <w:rPr>
            <w:rStyle w:val="TextoNormalCaracter"/>
          </w:rPr>
          <w:t>94/1997</w:t>
        </w:r>
      </w:hyperlink>
      <w:r>
        <w:t>.</w:t>
      </w:r>
    </w:p>
    <w:p w:rsidR="00575662" w:rsidRDefault="00575662" w:rsidP="00575662">
      <w:pPr>
        <w:pStyle w:val="SangriaFrancesaArticulo"/>
      </w:pPr>
      <w:r w:rsidRPr="00575662">
        <w:rPr>
          <w:rStyle w:val="TextoNormalNegritaCaracter"/>
        </w:rPr>
        <w:t>Artículo 161.1.</w:t>
      </w:r>
      <w:r w:rsidRPr="00575662">
        <w:rPr>
          <w:rStyle w:val="TextoNormalCaracter"/>
        </w:rPr>
        <w:t>-</w:t>
      </w:r>
      <w:r>
        <w:t xml:space="preserve"> Autos </w:t>
      </w:r>
      <w:hyperlink w:anchor="AUTO_1997_45" w:history="1">
        <w:r w:rsidRPr="00575662">
          <w:rPr>
            <w:rStyle w:val="TextoNormalCaracter"/>
          </w:rPr>
          <w:t>45/1997</w:t>
        </w:r>
      </w:hyperlink>
      <w:r>
        <w:t xml:space="preserve">; </w:t>
      </w:r>
      <w:hyperlink w:anchor="AUTO_1997_65" w:history="1">
        <w:r w:rsidRPr="00575662">
          <w:rPr>
            <w:rStyle w:val="TextoNormalCaracter"/>
          </w:rPr>
          <w:t>65/1997</w:t>
        </w:r>
      </w:hyperlink>
      <w:r>
        <w:t>.</w:t>
      </w:r>
    </w:p>
    <w:p w:rsidR="00575662" w:rsidRDefault="00575662" w:rsidP="00575662">
      <w:pPr>
        <w:pStyle w:val="SangriaFrancesaArticulo"/>
      </w:pPr>
      <w:r w:rsidRPr="00575662">
        <w:rPr>
          <w:rStyle w:val="TextoNormalNegritaCaracter"/>
        </w:rPr>
        <w:t>Artículo 161.1 b).</w:t>
      </w:r>
      <w:r w:rsidRPr="00575662">
        <w:rPr>
          <w:rStyle w:val="TextoNormalCaracter"/>
        </w:rPr>
        <w:t>-</w:t>
      </w:r>
      <w:r>
        <w:t xml:space="preserve"> Sentencias </w:t>
      </w:r>
      <w:hyperlink w:anchor="SENTENCIA_1997_3" w:history="1">
        <w:r w:rsidRPr="00575662">
          <w:rPr>
            <w:rStyle w:val="TextoNormalCaracter"/>
          </w:rPr>
          <w:t>3/1997</w:t>
        </w:r>
      </w:hyperlink>
      <w:r>
        <w:t xml:space="preserve">, f. 1; </w:t>
      </w:r>
      <w:hyperlink w:anchor="SENTENCIA_1997_27" w:history="1">
        <w:r w:rsidRPr="00575662">
          <w:rPr>
            <w:rStyle w:val="TextoNormalCaracter"/>
          </w:rPr>
          <w:t>27/1997</w:t>
        </w:r>
      </w:hyperlink>
      <w:r>
        <w:t xml:space="preserve">, f. 4; </w:t>
      </w:r>
      <w:hyperlink w:anchor="SENTENCIA_1997_31" w:history="1">
        <w:r w:rsidRPr="00575662">
          <w:rPr>
            <w:rStyle w:val="TextoNormalCaracter"/>
          </w:rPr>
          <w:t>31/1997</w:t>
        </w:r>
      </w:hyperlink>
      <w:r>
        <w:t>, f. 1.</w:t>
      </w:r>
    </w:p>
    <w:p w:rsidR="00575662" w:rsidRDefault="00575662" w:rsidP="00575662">
      <w:pPr>
        <w:pStyle w:val="SangriaFrancesaArticulo"/>
      </w:pPr>
      <w:r w:rsidRPr="00575662">
        <w:rPr>
          <w:rStyle w:val="TextoNormalNegritaCaracter"/>
        </w:rPr>
        <w:t>Artículo 161.2.</w:t>
      </w:r>
      <w:r w:rsidRPr="00575662">
        <w:rPr>
          <w:rStyle w:val="TextoNormalCaracter"/>
        </w:rPr>
        <w:t>-</w:t>
      </w:r>
      <w:r>
        <w:t xml:space="preserve"> Autos </w:t>
      </w:r>
      <w:hyperlink w:anchor="AUTO_1997_45" w:history="1">
        <w:r w:rsidRPr="00575662">
          <w:rPr>
            <w:rStyle w:val="TextoNormalCaracter"/>
          </w:rPr>
          <w:t>45/1997</w:t>
        </w:r>
      </w:hyperlink>
      <w:r>
        <w:t xml:space="preserve">; </w:t>
      </w:r>
      <w:hyperlink w:anchor="AUTO_1997_65" w:history="1">
        <w:r w:rsidRPr="00575662">
          <w:rPr>
            <w:rStyle w:val="TextoNormalCaracter"/>
          </w:rPr>
          <w:t>65/1997</w:t>
        </w:r>
      </w:hyperlink>
      <w:r>
        <w:t xml:space="preserve">; </w:t>
      </w:r>
      <w:hyperlink w:anchor="AUTO_1997_78" w:history="1">
        <w:r w:rsidRPr="00575662">
          <w:rPr>
            <w:rStyle w:val="TextoNormalCaracter"/>
          </w:rPr>
          <w:t>78/1997</w:t>
        </w:r>
      </w:hyperlink>
      <w:r>
        <w:t>.</w:t>
      </w:r>
    </w:p>
    <w:p w:rsidR="00575662" w:rsidRDefault="00575662" w:rsidP="00575662">
      <w:pPr>
        <w:pStyle w:val="SangriaFrancesaArticulo"/>
      </w:pPr>
      <w:r w:rsidRPr="00575662">
        <w:rPr>
          <w:rStyle w:val="TextoNormalNegritaCaracter"/>
        </w:rPr>
        <w:t>Artículo 162.1 a).</w:t>
      </w:r>
      <w:r w:rsidRPr="00575662">
        <w:rPr>
          <w:rStyle w:val="TextoNormalCaracter"/>
        </w:rPr>
        <w:t>-</w:t>
      </w:r>
      <w:r>
        <w:t xml:space="preserve"> Sentencia </w:t>
      </w:r>
      <w:hyperlink w:anchor="SENTENCIA_1997_61" w:history="1">
        <w:r w:rsidRPr="00575662">
          <w:rPr>
            <w:rStyle w:val="TextoNormalCaracter"/>
          </w:rPr>
          <w:t>61/1997</w:t>
        </w:r>
      </w:hyperlink>
      <w:r>
        <w:t>, f. 4.</w:t>
      </w:r>
    </w:p>
    <w:p w:rsidR="00575662" w:rsidRDefault="00575662" w:rsidP="00575662">
      <w:pPr>
        <w:pStyle w:val="SangriaFrancesaArticulo"/>
      </w:pPr>
      <w:r w:rsidRPr="00575662">
        <w:rPr>
          <w:rStyle w:val="TextoNormalNegritaCaracter"/>
        </w:rPr>
        <w:t>Artículo 162.1 b).</w:t>
      </w:r>
      <w:r w:rsidRPr="00575662">
        <w:rPr>
          <w:rStyle w:val="TextoNormalCaracter"/>
        </w:rPr>
        <w:t>-</w:t>
      </w:r>
      <w:r>
        <w:t xml:space="preserve"> Auto </w:t>
      </w:r>
      <w:hyperlink w:anchor="AUTO_1997_63" w:history="1">
        <w:r w:rsidRPr="00575662">
          <w:rPr>
            <w:rStyle w:val="TextoNormalCaracter"/>
          </w:rPr>
          <w:t>63/1997</w:t>
        </w:r>
      </w:hyperlink>
      <w:r>
        <w:t>, VP.</w:t>
      </w:r>
    </w:p>
    <w:p w:rsidR="00575662" w:rsidRDefault="00575662" w:rsidP="00575662">
      <w:pPr>
        <w:pStyle w:val="SangriaFrancesaArticulo"/>
      </w:pPr>
      <w:r w:rsidRPr="00575662">
        <w:rPr>
          <w:rStyle w:val="TextoNormalNegritaCaracter"/>
        </w:rPr>
        <w:t>Artículo 163.</w:t>
      </w:r>
      <w:r w:rsidRPr="00575662">
        <w:rPr>
          <w:rStyle w:val="TextoNormalCaracter"/>
        </w:rPr>
        <w:t>-</w:t>
      </w:r>
      <w:r>
        <w:t xml:space="preserve"> Sentencias </w:t>
      </w:r>
      <w:hyperlink w:anchor="SENTENCIA_1997_28" w:history="1">
        <w:r w:rsidRPr="00575662">
          <w:rPr>
            <w:rStyle w:val="TextoNormalCaracter"/>
          </w:rPr>
          <w:t>28/1997</w:t>
        </w:r>
      </w:hyperlink>
      <w:r>
        <w:t xml:space="preserve">, f. 3; </w:t>
      </w:r>
      <w:hyperlink w:anchor="SENTENCIA_1997_74" w:history="1">
        <w:r w:rsidRPr="00575662">
          <w:rPr>
            <w:rStyle w:val="TextoNormalCaracter"/>
          </w:rPr>
          <w:t>74/1997</w:t>
        </w:r>
      </w:hyperlink>
      <w:r>
        <w:t>, VP.</w:t>
      </w:r>
    </w:p>
    <w:p w:rsidR="00575662" w:rsidRDefault="00575662" w:rsidP="00575662">
      <w:pPr>
        <w:pStyle w:val="SangriaIzquierdaArticulo"/>
      </w:pPr>
      <w:r>
        <w:t xml:space="preserve">Autos </w:t>
      </w:r>
      <w:hyperlink w:anchor="AUTO_1997_45" w:history="1">
        <w:r w:rsidRPr="00575662">
          <w:rPr>
            <w:rStyle w:val="TextoNormalCaracter"/>
          </w:rPr>
          <w:t>45/1997</w:t>
        </w:r>
      </w:hyperlink>
      <w:r>
        <w:t xml:space="preserve">; </w:t>
      </w:r>
      <w:hyperlink w:anchor="AUTO_1997_56" w:history="1">
        <w:r w:rsidRPr="00575662">
          <w:rPr>
            <w:rStyle w:val="TextoNormalCaracter"/>
          </w:rPr>
          <w:t>56/1997</w:t>
        </w:r>
      </w:hyperlink>
      <w:r>
        <w:t xml:space="preserve">; </w:t>
      </w:r>
      <w:hyperlink w:anchor="AUTO_1997_62" w:history="1">
        <w:r w:rsidRPr="00575662">
          <w:rPr>
            <w:rStyle w:val="TextoNormalCaracter"/>
          </w:rPr>
          <w:t>62/1997</w:t>
        </w:r>
      </w:hyperlink>
      <w:r>
        <w:t xml:space="preserve">; </w:t>
      </w:r>
      <w:hyperlink w:anchor="AUTO_1997_65" w:history="1">
        <w:r w:rsidRPr="00575662">
          <w:rPr>
            <w:rStyle w:val="TextoNormalCaracter"/>
          </w:rPr>
          <w:t>65/1997</w:t>
        </w:r>
      </w:hyperlink>
      <w:r>
        <w:t>.</w:t>
      </w:r>
    </w:p>
    <w:p w:rsidR="00575662" w:rsidRDefault="00575662" w:rsidP="00575662">
      <w:pPr>
        <w:pStyle w:val="SangriaFrancesaArticulo"/>
      </w:pPr>
      <w:r w:rsidRPr="00575662">
        <w:rPr>
          <w:rStyle w:val="TextoNormalNegritaCaracter"/>
        </w:rPr>
        <w:t>Artículo 164.1.</w:t>
      </w:r>
      <w:r w:rsidRPr="00575662">
        <w:rPr>
          <w:rStyle w:val="TextoNormalCaracter"/>
        </w:rPr>
        <w:t>-</w:t>
      </w:r>
      <w:r>
        <w:t xml:space="preserve"> Sentencia </w:t>
      </w:r>
      <w:hyperlink w:anchor="SENTENCIA_1997_72" w:history="1">
        <w:r w:rsidRPr="00575662">
          <w:rPr>
            <w:rStyle w:val="TextoNormalCaracter"/>
          </w:rPr>
          <w:t>72/1997</w:t>
        </w:r>
      </w:hyperlink>
      <w:r>
        <w:t>, f. 1.</w:t>
      </w:r>
    </w:p>
    <w:p w:rsidR="00575662" w:rsidRDefault="00575662" w:rsidP="00575662">
      <w:pPr>
        <w:pStyle w:val="SangriaIzquierdaArticulo"/>
      </w:pPr>
      <w:r>
        <w:t xml:space="preserve">Auto </w:t>
      </w:r>
      <w:hyperlink w:anchor="AUTO_1997_25" w:history="1">
        <w:r w:rsidRPr="00575662">
          <w:rPr>
            <w:rStyle w:val="TextoNormalCaracter"/>
          </w:rPr>
          <w:t>25/1997</w:t>
        </w:r>
      </w:hyperlink>
      <w:r>
        <w:t>.</w:t>
      </w:r>
    </w:p>
    <w:p w:rsidR="00575662" w:rsidRDefault="00575662" w:rsidP="00575662">
      <w:pPr>
        <w:pStyle w:val="TextoNormal"/>
      </w:pPr>
    </w:p>
    <w:p w:rsidR="00575662" w:rsidRDefault="00575662" w:rsidP="00575662">
      <w:pPr>
        <w:pStyle w:val="SangriaIzquierdaArticulo"/>
      </w:pPr>
      <w:bookmarkStart w:id="219" w:name="INDICE22843"/>
    </w:p>
    <w:bookmarkEnd w:id="219"/>
    <w:p w:rsidR="00575662" w:rsidRDefault="00575662" w:rsidP="00575662">
      <w:pPr>
        <w:pStyle w:val="TextoIndiceNivel2"/>
        <w:suppressAutoHyphens/>
      </w:pPr>
      <w:r>
        <w:t>B) Tribunal Constitucional</w:t>
      </w:r>
    </w:p>
    <w:p w:rsidR="00575662" w:rsidRDefault="00575662" w:rsidP="00575662">
      <w:pPr>
        <w:pStyle w:val="TextoIndiceNivel2"/>
      </w:pPr>
    </w:p>
    <w:p w:rsidR="00575662" w:rsidRDefault="00575662" w:rsidP="00575662">
      <w:pPr>
        <w:pStyle w:val="TextoNormalNegritaCursivandice"/>
      </w:pPr>
      <w:r>
        <w:t>Ley Orgánica 2/1979, de 3 de octubre. Tribunal Constitucional</w:t>
      </w:r>
    </w:p>
    <w:p w:rsidR="00575662" w:rsidRDefault="00575662" w:rsidP="00575662">
      <w:pPr>
        <w:pStyle w:val="SangriaFrancesaArticulo"/>
      </w:pPr>
      <w:r w:rsidRPr="00575662">
        <w:rPr>
          <w:rStyle w:val="TextoNormalNegritaCaracter"/>
        </w:rPr>
        <w:t>Artículo 2.1.</w:t>
      </w:r>
      <w:r w:rsidRPr="00575662">
        <w:rPr>
          <w:rStyle w:val="TextoNormalCaracter"/>
        </w:rPr>
        <w:t>-</w:t>
      </w:r>
      <w:r>
        <w:t xml:space="preserve"> Autos </w:t>
      </w:r>
      <w:hyperlink w:anchor="AUTO_1997_45" w:history="1">
        <w:r w:rsidRPr="00575662">
          <w:rPr>
            <w:rStyle w:val="TextoNormalCaracter"/>
          </w:rPr>
          <w:t>45/1997</w:t>
        </w:r>
      </w:hyperlink>
      <w:r>
        <w:t xml:space="preserve">; </w:t>
      </w:r>
      <w:hyperlink w:anchor="AUTO_1997_65" w:history="1">
        <w:r w:rsidRPr="00575662">
          <w:rPr>
            <w:rStyle w:val="TextoNormalCaracter"/>
          </w:rPr>
          <w:t>65/1997</w:t>
        </w:r>
      </w:hyperlink>
      <w:r>
        <w:t>.</w:t>
      </w:r>
    </w:p>
    <w:p w:rsidR="00575662" w:rsidRDefault="00575662" w:rsidP="00575662">
      <w:pPr>
        <w:pStyle w:val="SangriaFrancesaArticulo"/>
      </w:pPr>
      <w:r w:rsidRPr="00575662">
        <w:rPr>
          <w:rStyle w:val="TextoNormalNegritaCaracter"/>
        </w:rPr>
        <w:t>Artículo 3.</w:t>
      </w:r>
      <w:r w:rsidRPr="00575662">
        <w:rPr>
          <w:rStyle w:val="TextoNormalCaracter"/>
        </w:rPr>
        <w:t>-</w:t>
      </w:r>
      <w:r>
        <w:t xml:space="preserve"> Autos </w:t>
      </w:r>
      <w:hyperlink w:anchor="AUTO_1997_17" w:history="1">
        <w:r w:rsidRPr="00575662">
          <w:rPr>
            <w:rStyle w:val="TextoNormalCaracter"/>
          </w:rPr>
          <w:t>17/1997</w:t>
        </w:r>
      </w:hyperlink>
      <w:r>
        <w:t xml:space="preserve">; </w:t>
      </w:r>
      <w:hyperlink w:anchor="AUTO_1997_45" w:history="1">
        <w:r w:rsidRPr="00575662">
          <w:rPr>
            <w:rStyle w:val="TextoNormalCaracter"/>
          </w:rPr>
          <w:t>45/1997</w:t>
        </w:r>
      </w:hyperlink>
      <w:r>
        <w:t xml:space="preserve">, VP; </w:t>
      </w:r>
      <w:hyperlink w:anchor="AUTO_1997_65" w:history="1">
        <w:r w:rsidRPr="00575662">
          <w:rPr>
            <w:rStyle w:val="TextoNormalCaracter"/>
          </w:rPr>
          <w:t>65/1997</w:t>
        </w:r>
      </w:hyperlink>
      <w:r>
        <w:t xml:space="preserve">; </w:t>
      </w:r>
      <w:hyperlink w:anchor="AUTO_1997_66" w:history="1">
        <w:r w:rsidRPr="00575662">
          <w:rPr>
            <w:rStyle w:val="TextoNormalCaracter"/>
          </w:rPr>
          <w:t>66/1997</w:t>
        </w:r>
      </w:hyperlink>
      <w:r>
        <w:t xml:space="preserve">; </w:t>
      </w:r>
      <w:hyperlink w:anchor="AUTO_1997_107" w:history="1">
        <w:r w:rsidRPr="00575662">
          <w:rPr>
            <w:rStyle w:val="TextoNormalCaracter"/>
          </w:rPr>
          <w:t>107/1997</w:t>
        </w:r>
      </w:hyperlink>
      <w:r>
        <w:t>.</w:t>
      </w:r>
    </w:p>
    <w:p w:rsidR="00575662" w:rsidRDefault="00575662" w:rsidP="00575662">
      <w:pPr>
        <w:pStyle w:val="SangriaFrancesaArticulo"/>
      </w:pPr>
      <w:r w:rsidRPr="00575662">
        <w:rPr>
          <w:rStyle w:val="TextoNormalNegritaCaracter"/>
        </w:rPr>
        <w:t>Artículo 4.2.</w:t>
      </w:r>
      <w:r w:rsidRPr="00575662">
        <w:rPr>
          <w:rStyle w:val="TextoNormalCaracter"/>
        </w:rPr>
        <w:t>-</w:t>
      </w:r>
      <w:r>
        <w:t xml:space="preserve"> Autos </w:t>
      </w:r>
      <w:hyperlink w:anchor="AUTO_1997_45" w:history="1">
        <w:r w:rsidRPr="00575662">
          <w:rPr>
            <w:rStyle w:val="TextoNormalCaracter"/>
          </w:rPr>
          <w:t>45/1997</w:t>
        </w:r>
      </w:hyperlink>
      <w:r>
        <w:t xml:space="preserve">; </w:t>
      </w:r>
      <w:hyperlink w:anchor="AUTO_1997_65" w:history="1">
        <w:r w:rsidRPr="00575662">
          <w:rPr>
            <w:rStyle w:val="TextoNormalCaracter"/>
          </w:rPr>
          <w:t>65/1997</w:t>
        </w:r>
      </w:hyperlink>
      <w:r>
        <w:t>.</w:t>
      </w:r>
    </w:p>
    <w:p w:rsidR="00575662" w:rsidRDefault="00575662" w:rsidP="00575662">
      <w:pPr>
        <w:pStyle w:val="SangriaFrancesaArticulo"/>
      </w:pPr>
      <w:r w:rsidRPr="00575662">
        <w:rPr>
          <w:rStyle w:val="TextoNormalNegritaCaracter"/>
        </w:rPr>
        <w:t>Artículo 27.2 b).</w:t>
      </w:r>
      <w:r w:rsidRPr="00575662">
        <w:rPr>
          <w:rStyle w:val="TextoNormalCaracter"/>
        </w:rPr>
        <w:t>-</w:t>
      </w:r>
      <w:r>
        <w:t xml:space="preserve"> Sentencia </w:t>
      </w:r>
      <w:hyperlink w:anchor="SENTENCIA_1997_61" w:history="1">
        <w:r w:rsidRPr="00575662">
          <w:rPr>
            <w:rStyle w:val="TextoNormalCaracter"/>
          </w:rPr>
          <w:t>61/1997</w:t>
        </w:r>
      </w:hyperlink>
      <w:r>
        <w:t>, f. 2.</w:t>
      </w:r>
    </w:p>
    <w:p w:rsidR="00575662" w:rsidRDefault="00575662" w:rsidP="00575662">
      <w:pPr>
        <w:pStyle w:val="SangriaFrancesaArticulo"/>
      </w:pPr>
      <w:r w:rsidRPr="00575662">
        <w:rPr>
          <w:rStyle w:val="TextoNormalNegritaCaracter"/>
        </w:rPr>
        <w:t>Artículo 32.2.</w:t>
      </w:r>
      <w:r w:rsidRPr="00575662">
        <w:rPr>
          <w:rStyle w:val="TextoNormalCaracter"/>
        </w:rPr>
        <w:t>-</w:t>
      </w:r>
      <w:r>
        <w:t xml:space="preserve"> Sentencia </w:t>
      </w:r>
      <w:hyperlink w:anchor="SENTENCIA_1997_61" w:history="1">
        <w:r w:rsidRPr="00575662">
          <w:rPr>
            <w:rStyle w:val="TextoNormalCaracter"/>
          </w:rPr>
          <w:t>61/1997</w:t>
        </w:r>
      </w:hyperlink>
      <w:r>
        <w:t>, ff. 2, 4.</w:t>
      </w:r>
    </w:p>
    <w:p w:rsidR="00575662" w:rsidRDefault="00575662" w:rsidP="00575662">
      <w:pPr>
        <w:pStyle w:val="SangriaFrancesaArticulo"/>
      </w:pPr>
      <w:r w:rsidRPr="00575662">
        <w:rPr>
          <w:rStyle w:val="TextoNormalNegritaCaracter"/>
        </w:rPr>
        <w:lastRenderedPageBreak/>
        <w:t>Artículo 33.</w:t>
      </w:r>
      <w:r w:rsidRPr="00575662">
        <w:rPr>
          <w:rStyle w:val="TextoNormalCaracter"/>
        </w:rPr>
        <w:t>-</w:t>
      </w:r>
      <w:r>
        <w:t xml:space="preserve"> Sentencia </w:t>
      </w:r>
      <w:hyperlink w:anchor="SENTENCIA_1997_61" w:history="1">
        <w:r w:rsidRPr="00575662">
          <w:rPr>
            <w:rStyle w:val="TextoNormalCaracter"/>
          </w:rPr>
          <w:t>61/1997</w:t>
        </w:r>
      </w:hyperlink>
      <w:r>
        <w:t>, ff. 2, 4.</w:t>
      </w:r>
    </w:p>
    <w:p w:rsidR="00575662" w:rsidRDefault="00575662" w:rsidP="00575662">
      <w:pPr>
        <w:pStyle w:val="SangriaFrancesaArticulo"/>
      </w:pPr>
      <w:r w:rsidRPr="00575662">
        <w:rPr>
          <w:rStyle w:val="TextoNormalNegritaCaracter"/>
        </w:rPr>
        <w:t>Artículo 35.</w:t>
      </w:r>
      <w:r w:rsidRPr="00575662">
        <w:rPr>
          <w:rStyle w:val="TextoNormalCaracter"/>
        </w:rPr>
        <w:t>-</w:t>
      </w:r>
      <w:r>
        <w:t xml:space="preserve"> Autos </w:t>
      </w:r>
      <w:hyperlink w:anchor="AUTO_1997_56" w:history="1">
        <w:r w:rsidRPr="00575662">
          <w:rPr>
            <w:rStyle w:val="TextoNormalCaracter"/>
          </w:rPr>
          <w:t>56/1997</w:t>
        </w:r>
      </w:hyperlink>
      <w:r>
        <w:t xml:space="preserve">; </w:t>
      </w:r>
      <w:hyperlink w:anchor="AUTO_1997_62" w:history="1">
        <w:r w:rsidRPr="00575662">
          <w:rPr>
            <w:rStyle w:val="TextoNormalCaracter"/>
          </w:rPr>
          <w:t>62/1997</w:t>
        </w:r>
      </w:hyperlink>
      <w:r>
        <w:t>.</w:t>
      </w:r>
    </w:p>
    <w:p w:rsidR="00575662" w:rsidRDefault="00575662" w:rsidP="00575662">
      <w:pPr>
        <w:pStyle w:val="SangriaFrancesaArticulo"/>
      </w:pPr>
      <w:r w:rsidRPr="00575662">
        <w:rPr>
          <w:rStyle w:val="TextoNormalNegritaCaracter"/>
        </w:rPr>
        <w:t>Artículo 35.1.</w:t>
      </w:r>
      <w:r w:rsidRPr="00575662">
        <w:rPr>
          <w:rStyle w:val="TextoNormalCaracter"/>
        </w:rPr>
        <w:t>-</w:t>
      </w:r>
      <w:r>
        <w:t xml:space="preserve"> Sentencias </w:t>
      </w:r>
      <w:hyperlink w:anchor="SENTENCIA_1997_28" w:history="1">
        <w:r w:rsidRPr="00575662">
          <w:rPr>
            <w:rStyle w:val="TextoNormalCaracter"/>
          </w:rPr>
          <w:t>28/1997</w:t>
        </w:r>
      </w:hyperlink>
      <w:r>
        <w:t xml:space="preserve">, f. 3; </w:t>
      </w:r>
      <w:hyperlink w:anchor="SENTENCIA_1997_74" w:history="1">
        <w:r w:rsidRPr="00575662">
          <w:rPr>
            <w:rStyle w:val="TextoNormalCaracter"/>
          </w:rPr>
          <w:t>74/1997</w:t>
        </w:r>
      </w:hyperlink>
      <w:r>
        <w:t>, VP.</w:t>
      </w:r>
    </w:p>
    <w:p w:rsidR="00575662" w:rsidRDefault="00575662" w:rsidP="00575662">
      <w:pPr>
        <w:pStyle w:val="SangriaFrancesaArticulo"/>
      </w:pPr>
      <w:r w:rsidRPr="00575662">
        <w:rPr>
          <w:rStyle w:val="TextoNormalNegritaCaracter"/>
        </w:rPr>
        <w:t>Artículo 35.2.</w:t>
      </w:r>
      <w:r w:rsidRPr="00575662">
        <w:rPr>
          <w:rStyle w:val="TextoNormalCaracter"/>
        </w:rPr>
        <w:t>-</w:t>
      </w:r>
      <w:r>
        <w:t xml:space="preserve"> Sentencias </w:t>
      </w:r>
      <w:hyperlink w:anchor="SENTENCIA_1997_28" w:history="1">
        <w:r w:rsidRPr="00575662">
          <w:rPr>
            <w:rStyle w:val="TextoNormalCaracter"/>
          </w:rPr>
          <w:t>28/1997</w:t>
        </w:r>
      </w:hyperlink>
      <w:r>
        <w:t xml:space="preserve">, f. 3; </w:t>
      </w:r>
      <w:hyperlink w:anchor="SENTENCIA_1997_38" w:history="1">
        <w:r w:rsidRPr="00575662">
          <w:rPr>
            <w:rStyle w:val="TextoNormalCaracter"/>
          </w:rPr>
          <w:t>38/1997</w:t>
        </w:r>
      </w:hyperlink>
      <w:r>
        <w:t>, f. 1.</w:t>
      </w:r>
    </w:p>
    <w:p w:rsidR="00575662" w:rsidRDefault="00575662" w:rsidP="00575662">
      <w:pPr>
        <w:pStyle w:val="SangriaIzquierdaArticulo"/>
      </w:pPr>
      <w:r>
        <w:t xml:space="preserve">Autos </w:t>
      </w:r>
      <w:hyperlink w:anchor="AUTO_1997_104" w:history="1">
        <w:r w:rsidRPr="00575662">
          <w:rPr>
            <w:rStyle w:val="TextoNormalCaracter"/>
          </w:rPr>
          <w:t>104/1997</w:t>
        </w:r>
      </w:hyperlink>
      <w:r>
        <w:t xml:space="preserve">; </w:t>
      </w:r>
      <w:hyperlink w:anchor="AUTO_1997_120" w:history="1">
        <w:r w:rsidRPr="00575662">
          <w:rPr>
            <w:rStyle w:val="TextoNormalCaracter"/>
          </w:rPr>
          <w:t>120/1997</w:t>
        </w:r>
      </w:hyperlink>
      <w:r>
        <w:t>.</w:t>
      </w:r>
    </w:p>
    <w:p w:rsidR="00575662" w:rsidRDefault="00575662" w:rsidP="00575662">
      <w:pPr>
        <w:pStyle w:val="SangriaFrancesaArticulo"/>
      </w:pPr>
      <w:r w:rsidRPr="00575662">
        <w:rPr>
          <w:rStyle w:val="TextoNormalNegritaCaracter"/>
        </w:rPr>
        <w:t>Artículo 37.1.</w:t>
      </w:r>
      <w:r w:rsidRPr="00575662">
        <w:rPr>
          <w:rStyle w:val="TextoNormalCaracter"/>
        </w:rPr>
        <w:t>-</w:t>
      </w:r>
      <w:r>
        <w:t xml:space="preserve"> Autos </w:t>
      </w:r>
      <w:hyperlink w:anchor="AUTO_1997_25" w:history="1">
        <w:r w:rsidRPr="00575662">
          <w:rPr>
            <w:rStyle w:val="TextoNormalCaracter"/>
          </w:rPr>
          <w:t>25/1997</w:t>
        </w:r>
      </w:hyperlink>
      <w:r>
        <w:t xml:space="preserve">; </w:t>
      </w:r>
      <w:hyperlink w:anchor="AUTO_1997_56" w:history="1">
        <w:r w:rsidRPr="00575662">
          <w:rPr>
            <w:rStyle w:val="TextoNormalCaracter"/>
          </w:rPr>
          <w:t>56/1997</w:t>
        </w:r>
      </w:hyperlink>
      <w:r>
        <w:t xml:space="preserve">; </w:t>
      </w:r>
      <w:hyperlink w:anchor="AUTO_1997_120" w:history="1">
        <w:r w:rsidRPr="00575662">
          <w:rPr>
            <w:rStyle w:val="TextoNormalCaracter"/>
          </w:rPr>
          <w:t>120/1997</w:t>
        </w:r>
      </w:hyperlink>
      <w:r>
        <w:t>.</w:t>
      </w:r>
    </w:p>
    <w:p w:rsidR="00575662" w:rsidRDefault="00575662" w:rsidP="00575662">
      <w:pPr>
        <w:pStyle w:val="SangriaFrancesaArticulo"/>
      </w:pPr>
      <w:r w:rsidRPr="00575662">
        <w:rPr>
          <w:rStyle w:val="TextoNormalNegritaCaracter"/>
        </w:rPr>
        <w:t>Artículo 38.1.</w:t>
      </w:r>
      <w:r w:rsidRPr="00575662">
        <w:rPr>
          <w:rStyle w:val="TextoNormalCaracter"/>
        </w:rPr>
        <w:t>-</w:t>
      </w:r>
      <w:r>
        <w:t xml:space="preserve"> Sentencia </w:t>
      </w:r>
      <w:hyperlink w:anchor="SENTENCIA_1997_72" w:history="1">
        <w:r w:rsidRPr="00575662">
          <w:rPr>
            <w:rStyle w:val="TextoNormalCaracter"/>
          </w:rPr>
          <w:t>72/1997</w:t>
        </w:r>
      </w:hyperlink>
      <w:r>
        <w:t>, f. 1.</w:t>
      </w:r>
    </w:p>
    <w:p w:rsidR="00575662" w:rsidRDefault="00575662" w:rsidP="00575662">
      <w:pPr>
        <w:pStyle w:val="SangriaIzquierdaArticulo"/>
      </w:pPr>
      <w:r>
        <w:t xml:space="preserve">Auto </w:t>
      </w:r>
      <w:hyperlink w:anchor="AUTO_1997_25" w:history="1">
        <w:r w:rsidRPr="00575662">
          <w:rPr>
            <w:rStyle w:val="TextoNormalCaracter"/>
          </w:rPr>
          <w:t>25/1997</w:t>
        </w:r>
      </w:hyperlink>
      <w:r>
        <w:t>.</w:t>
      </w:r>
    </w:p>
    <w:p w:rsidR="00575662" w:rsidRDefault="00575662" w:rsidP="00575662">
      <w:pPr>
        <w:pStyle w:val="SangriaFrancesaArticulo"/>
      </w:pPr>
      <w:r w:rsidRPr="00575662">
        <w:rPr>
          <w:rStyle w:val="TextoNormalNegritaCaracter"/>
        </w:rPr>
        <w:t>Artículo 39.1.</w:t>
      </w:r>
      <w:r w:rsidRPr="00575662">
        <w:rPr>
          <w:rStyle w:val="TextoNormalCaracter"/>
        </w:rPr>
        <w:t>-</w:t>
      </w:r>
      <w:r>
        <w:t xml:space="preserve"> Sentencia </w:t>
      </w:r>
      <w:hyperlink w:anchor="SENTENCIA_1997_61" w:history="1">
        <w:r w:rsidRPr="00575662">
          <w:rPr>
            <w:rStyle w:val="TextoNormalCaracter"/>
          </w:rPr>
          <w:t>61/1997</w:t>
        </w:r>
      </w:hyperlink>
      <w:r>
        <w:t>, f. 12.</w:t>
      </w:r>
    </w:p>
    <w:p w:rsidR="00575662" w:rsidRDefault="00575662" w:rsidP="00575662">
      <w:pPr>
        <w:pStyle w:val="SangriaFrancesaArticulo"/>
      </w:pPr>
      <w:r w:rsidRPr="00575662">
        <w:rPr>
          <w:rStyle w:val="TextoNormalNegritaCaracter"/>
        </w:rPr>
        <w:t>Artículo 41.</w:t>
      </w:r>
      <w:r w:rsidRPr="00575662">
        <w:rPr>
          <w:rStyle w:val="TextoNormalCaracter"/>
        </w:rPr>
        <w:t>-</w:t>
      </w:r>
      <w:r>
        <w:t xml:space="preserve"> Sentencia </w:t>
      </w:r>
      <w:hyperlink w:anchor="SENTENCIA_1997_31" w:history="1">
        <w:r w:rsidRPr="00575662">
          <w:rPr>
            <w:rStyle w:val="TextoNormalCaracter"/>
          </w:rPr>
          <w:t>31/1997</w:t>
        </w:r>
      </w:hyperlink>
      <w:r>
        <w:t>, f. 1.</w:t>
      </w:r>
    </w:p>
    <w:p w:rsidR="00575662" w:rsidRDefault="00575662" w:rsidP="00575662">
      <w:pPr>
        <w:pStyle w:val="SangriaFrancesaArticulo"/>
      </w:pPr>
      <w:r w:rsidRPr="00575662">
        <w:rPr>
          <w:rStyle w:val="TextoNormalNegritaCaracter"/>
        </w:rPr>
        <w:t>Artículo 41.1.</w:t>
      </w:r>
      <w:r w:rsidRPr="00575662">
        <w:rPr>
          <w:rStyle w:val="TextoNormalCaracter"/>
        </w:rPr>
        <w:t>-</w:t>
      </w:r>
      <w:r>
        <w:t xml:space="preserve"> Sentencia </w:t>
      </w:r>
      <w:hyperlink w:anchor="SENTENCIA_1997_6" w:history="1">
        <w:r w:rsidRPr="00575662">
          <w:rPr>
            <w:rStyle w:val="TextoNormalCaracter"/>
          </w:rPr>
          <w:t>6/1997</w:t>
        </w:r>
      </w:hyperlink>
      <w:r>
        <w:t>, f. 2.</w:t>
      </w:r>
    </w:p>
    <w:p w:rsidR="00575662" w:rsidRDefault="00575662" w:rsidP="00575662">
      <w:pPr>
        <w:pStyle w:val="SangriaIzquierdaArticulo"/>
      </w:pPr>
      <w:r>
        <w:t xml:space="preserve">Auto </w:t>
      </w:r>
      <w:hyperlink w:anchor="AUTO_1997_111" w:history="1">
        <w:r w:rsidRPr="00575662">
          <w:rPr>
            <w:rStyle w:val="TextoNormalCaracter"/>
          </w:rPr>
          <w:t>111/1997</w:t>
        </w:r>
      </w:hyperlink>
      <w:r>
        <w:t>.</w:t>
      </w:r>
    </w:p>
    <w:p w:rsidR="00575662" w:rsidRDefault="00575662" w:rsidP="00575662">
      <w:pPr>
        <w:pStyle w:val="SangriaFrancesaArticulo"/>
      </w:pPr>
      <w:r w:rsidRPr="00575662">
        <w:rPr>
          <w:rStyle w:val="TextoNormalNegritaCaracter"/>
        </w:rPr>
        <w:t>Artículo 41.2.</w:t>
      </w:r>
      <w:r w:rsidRPr="00575662">
        <w:rPr>
          <w:rStyle w:val="TextoNormalCaracter"/>
        </w:rPr>
        <w:t>-</w:t>
      </w:r>
      <w:r>
        <w:t xml:space="preserve"> Sentencias </w:t>
      </w:r>
      <w:hyperlink w:anchor="SENTENCIA_1997_13" w:history="1">
        <w:r w:rsidRPr="00575662">
          <w:rPr>
            <w:rStyle w:val="TextoNormalCaracter"/>
          </w:rPr>
          <w:t>13/1997</w:t>
        </w:r>
      </w:hyperlink>
      <w:r>
        <w:t xml:space="preserve">, f. 2; </w:t>
      </w:r>
      <w:hyperlink w:anchor="SENTENCIA_1997_27" w:history="1">
        <w:r w:rsidRPr="00575662">
          <w:rPr>
            <w:rStyle w:val="TextoNormalCaracter"/>
          </w:rPr>
          <w:t>27/1997</w:t>
        </w:r>
      </w:hyperlink>
      <w:r>
        <w:t xml:space="preserve">, f. 4; </w:t>
      </w:r>
      <w:hyperlink w:anchor="SENTENCIA_1997_78" w:history="1">
        <w:r w:rsidRPr="00575662">
          <w:rPr>
            <w:rStyle w:val="TextoNormalCaracter"/>
          </w:rPr>
          <w:t>78/1997</w:t>
        </w:r>
      </w:hyperlink>
      <w:r>
        <w:t>, f. 4.</w:t>
      </w:r>
    </w:p>
    <w:p w:rsidR="00575662" w:rsidRDefault="00575662" w:rsidP="00575662">
      <w:pPr>
        <w:pStyle w:val="SangriaIzquierdaArticulo"/>
      </w:pPr>
      <w:r>
        <w:t xml:space="preserve">Autos </w:t>
      </w:r>
      <w:hyperlink w:anchor="AUTO_1997_30" w:history="1">
        <w:r w:rsidRPr="00575662">
          <w:rPr>
            <w:rStyle w:val="TextoNormalCaracter"/>
          </w:rPr>
          <w:t>30/1997</w:t>
        </w:r>
      </w:hyperlink>
      <w:r>
        <w:t xml:space="preserve">; </w:t>
      </w:r>
      <w:hyperlink w:anchor="AUTO_1997_32" w:history="1">
        <w:r w:rsidRPr="00575662">
          <w:rPr>
            <w:rStyle w:val="TextoNormalCaracter"/>
          </w:rPr>
          <w:t>32/1997</w:t>
        </w:r>
      </w:hyperlink>
      <w:r>
        <w:t xml:space="preserve">; </w:t>
      </w:r>
      <w:hyperlink w:anchor="AUTO_1997_63" w:history="1">
        <w:r w:rsidRPr="00575662">
          <w:rPr>
            <w:rStyle w:val="TextoNormalCaracter"/>
          </w:rPr>
          <w:t>63/1997</w:t>
        </w:r>
      </w:hyperlink>
      <w:r>
        <w:t>.</w:t>
      </w:r>
    </w:p>
    <w:p w:rsidR="00575662" w:rsidRDefault="00575662" w:rsidP="00575662">
      <w:pPr>
        <w:pStyle w:val="SangriaFrancesaArticulo"/>
      </w:pPr>
      <w:r w:rsidRPr="00575662">
        <w:rPr>
          <w:rStyle w:val="TextoNormalNegritaCaracter"/>
        </w:rPr>
        <w:t>Artículo 41.3.</w:t>
      </w:r>
      <w:r w:rsidRPr="00575662">
        <w:rPr>
          <w:rStyle w:val="TextoNormalCaracter"/>
        </w:rPr>
        <w:t>-</w:t>
      </w:r>
      <w:r>
        <w:t xml:space="preserve"> Sentencias </w:t>
      </w:r>
      <w:hyperlink w:anchor="SENTENCIA_1997_27" w:history="1">
        <w:r w:rsidRPr="00575662">
          <w:rPr>
            <w:rStyle w:val="TextoNormalCaracter"/>
          </w:rPr>
          <w:t>27/1997</w:t>
        </w:r>
      </w:hyperlink>
      <w:r>
        <w:t xml:space="preserve">, f. 2, VP; </w:t>
      </w:r>
      <w:hyperlink w:anchor="SENTENCIA_1997_33" w:history="1">
        <w:r w:rsidRPr="00575662">
          <w:rPr>
            <w:rStyle w:val="TextoNormalCaracter"/>
          </w:rPr>
          <w:t>33/1997</w:t>
        </w:r>
      </w:hyperlink>
      <w:r>
        <w:t>, VP.</w:t>
      </w:r>
    </w:p>
    <w:p w:rsidR="00575662" w:rsidRDefault="00575662" w:rsidP="00575662">
      <w:pPr>
        <w:pStyle w:val="SangriaIzquierdaArticulo"/>
      </w:pPr>
      <w:r>
        <w:t xml:space="preserve">Auto </w:t>
      </w:r>
      <w:hyperlink w:anchor="AUTO_1997_63" w:history="1">
        <w:r w:rsidRPr="00575662">
          <w:rPr>
            <w:rStyle w:val="TextoNormalCaracter"/>
          </w:rPr>
          <w:t>63/1997</w:t>
        </w:r>
      </w:hyperlink>
      <w:r>
        <w:t>.</w:t>
      </w:r>
    </w:p>
    <w:p w:rsidR="00575662" w:rsidRDefault="00575662" w:rsidP="00575662">
      <w:pPr>
        <w:pStyle w:val="SangriaFrancesaArticulo"/>
      </w:pPr>
      <w:r w:rsidRPr="00575662">
        <w:rPr>
          <w:rStyle w:val="TextoNormalNegritaCaracter"/>
        </w:rPr>
        <w:t>Artículo 43.</w:t>
      </w:r>
      <w:r w:rsidRPr="00575662">
        <w:rPr>
          <w:rStyle w:val="TextoNormalCaracter"/>
        </w:rPr>
        <w:t>-</w:t>
      </w:r>
      <w:r>
        <w:t xml:space="preserve"> Sentencias </w:t>
      </w:r>
      <w:hyperlink w:anchor="SENTENCIA_1997_14" w:history="1">
        <w:r w:rsidRPr="00575662">
          <w:rPr>
            <w:rStyle w:val="TextoNormalCaracter"/>
          </w:rPr>
          <w:t>14/1997</w:t>
        </w:r>
      </w:hyperlink>
      <w:r>
        <w:t xml:space="preserve">, f. 2; </w:t>
      </w:r>
      <w:hyperlink w:anchor="SENTENCIA_1997_39" w:history="1">
        <w:r w:rsidRPr="00575662">
          <w:rPr>
            <w:rStyle w:val="TextoNormalCaracter"/>
          </w:rPr>
          <w:t>39/1997</w:t>
        </w:r>
      </w:hyperlink>
      <w:r>
        <w:t xml:space="preserve">, f. 2; </w:t>
      </w:r>
      <w:hyperlink w:anchor="SENTENCIA_1997_60" w:history="1">
        <w:r w:rsidRPr="00575662">
          <w:rPr>
            <w:rStyle w:val="TextoNormalCaracter"/>
          </w:rPr>
          <w:t>60/1997</w:t>
        </w:r>
      </w:hyperlink>
      <w:r>
        <w:t xml:space="preserve">, f. 5; </w:t>
      </w:r>
      <w:hyperlink w:anchor="SENTENCIA_1997_78" w:history="1">
        <w:r w:rsidRPr="00575662">
          <w:rPr>
            <w:rStyle w:val="TextoNormalCaracter"/>
          </w:rPr>
          <w:t>78/1997</w:t>
        </w:r>
      </w:hyperlink>
      <w:r>
        <w:t xml:space="preserve">, f. 1; </w:t>
      </w:r>
      <w:hyperlink w:anchor="SENTENCIA_1997_83" w:history="1">
        <w:r w:rsidRPr="00575662">
          <w:rPr>
            <w:rStyle w:val="TextoNormalCaracter"/>
          </w:rPr>
          <w:t>83/1997</w:t>
        </w:r>
      </w:hyperlink>
      <w:r>
        <w:t>, f. 1.</w:t>
      </w:r>
    </w:p>
    <w:p w:rsidR="00575662" w:rsidRDefault="00575662" w:rsidP="00575662">
      <w:pPr>
        <w:pStyle w:val="SangriaFrancesaArticulo"/>
      </w:pPr>
      <w:r w:rsidRPr="00575662">
        <w:rPr>
          <w:rStyle w:val="TextoNormalNegritaCaracter"/>
        </w:rPr>
        <w:t>Artículo 43.1.</w:t>
      </w:r>
      <w:r w:rsidRPr="00575662">
        <w:rPr>
          <w:rStyle w:val="TextoNormalCaracter"/>
        </w:rPr>
        <w:t>-</w:t>
      </w:r>
      <w:r>
        <w:t xml:space="preserve"> Sentencias </w:t>
      </w:r>
      <w:hyperlink w:anchor="SENTENCIA_1997_13" w:history="1">
        <w:r w:rsidRPr="00575662">
          <w:rPr>
            <w:rStyle w:val="TextoNormalCaracter"/>
          </w:rPr>
          <w:t>13/1997</w:t>
        </w:r>
      </w:hyperlink>
      <w:r>
        <w:t xml:space="preserve">, f. 2; </w:t>
      </w:r>
      <w:hyperlink w:anchor="SENTENCIA_1997_35" w:history="1">
        <w:r w:rsidRPr="00575662">
          <w:rPr>
            <w:rStyle w:val="TextoNormalCaracter"/>
          </w:rPr>
          <w:t>35/1997</w:t>
        </w:r>
      </w:hyperlink>
      <w:r>
        <w:t xml:space="preserve">, f. 3; </w:t>
      </w:r>
      <w:hyperlink w:anchor="SENTENCIA_1997_41" w:history="1">
        <w:r w:rsidRPr="00575662">
          <w:rPr>
            <w:rStyle w:val="TextoNormalCaracter"/>
          </w:rPr>
          <w:t>41/1997</w:t>
        </w:r>
      </w:hyperlink>
      <w:r>
        <w:t xml:space="preserve">, f. 2; </w:t>
      </w:r>
      <w:hyperlink w:anchor="SENTENCIA_1997_78" w:history="1">
        <w:r w:rsidRPr="00575662">
          <w:rPr>
            <w:rStyle w:val="TextoNormalCaracter"/>
          </w:rPr>
          <w:t>78/1997</w:t>
        </w:r>
      </w:hyperlink>
      <w:r>
        <w:t>, f. 1.</w:t>
      </w:r>
    </w:p>
    <w:p w:rsidR="00575662" w:rsidRDefault="00575662" w:rsidP="00575662">
      <w:pPr>
        <w:pStyle w:val="SangriaIzquierdaArticulo"/>
      </w:pPr>
      <w:r>
        <w:t xml:space="preserve">Auto </w:t>
      </w:r>
      <w:hyperlink w:anchor="AUTO_1997_95" w:history="1">
        <w:r w:rsidRPr="00575662">
          <w:rPr>
            <w:rStyle w:val="TextoNormalCaracter"/>
          </w:rPr>
          <w:t>95/1997</w:t>
        </w:r>
      </w:hyperlink>
      <w:r>
        <w:t>.</w:t>
      </w:r>
    </w:p>
    <w:p w:rsidR="00575662" w:rsidRDefault="00575662" w:rsidP="00575662">
      <w:pPr>
        <w:pStyle w:val="SangriaFrancesaArticulo"/>
      </w:pPr>
      <w:r w:rsidRPr="00575662">
        <w:rPr>
          <w:rStyle w:val="TextoNormalNegritaCaracter"/>
        </w:rPr>
        <w:t>Artículo 44.</w:t>
      </w:r>
      <w:r w:rsidRPr="00575662">
        <w:rPr>
          <w:rStyle w:val="TextoNormalCaracter"/>
        </w:rPr>
        <w:t>-</w:t>
      </w:r>
      <w:r>
        <w:t xml:space="preserve"> Sentencias </w:t>
      </w:r>
      <w:hyperlink w:anchor="SENTENCIA_1997_39" w:history="1">
        <w:r w:rsidRPr="00575662">
          <w:rPr>
            <w:rStyle w:val="TextoNormalCaracter"/>
          </w:rPr>
          <w:t>39/1997</w:t>
        </w:r>
      </w:hyperlink>
      <w:r>
        <w:t xml:space="preserve">, f. 2; </w:t>
      </w:r>
      <w:hyperlink w:anchor="SENTENCIA_1997_60" w:history="1">
        <w:r w:rsidRPr="00575662">
          <w:rPr>
            <w:rStyle w:val="TextoNormalCaracter"/>
          </w:rPr>
          <w:t>60/1997</w:t>
        </w:r>
      </w:hyperlink>
      <w:r>
        <w:t>, f. 5.</w:t>
      </w:r>
    </w:p>
    <w:p w:rsidR="00575662" w:rsidRDefault="00575662" w:rsidP="00575662">
      <w:pPr>
        <w:pStyle w:val="SangriaIzquierdaArticulo"/>
      </w:pPr>
      <w:r>
        <w:t xml:space="preserve">Auto </w:t>
      </w:r>
      <w:hyperlink w:anchor="AUTO_1997_32" w:history="1">
        <w:r w:rsidRPr="00575662">
          <w:rPr>
            <w:rStyle w:val="TextoNormalCaracter"/>
          </w:rPr>
          <w:t>32/1997</w:t>
        </w:r>
      </w:hyperlink>
      <w:r>
        <w:t>.</w:t>
      </w:r>
    </w:p>
    <w:p w:rsidR="00575662" w:rsidRDefault="00575662" w:rsidP="00575662">
      <w:pPr>
        <w:pStyle w:val="SangriaFrancesaArticulo"/>
      </w:pPr>
      <w:r w:rsidRPr="00575662">
        <w:rPr>
          <w:rStyle w:val="TextoNormalNegritaCaracter"/>
        </w:rPr>
        <w:t>Artículo 44.1.</w:t>
      </w:r>
      <w:r w:rsidRPr="00575662">
        <w:rPr>
          <w:rStyle w:val="TextoNormalCaracter"/>
        </w:rPr>
        <w:t>-</w:t>
      </w:r>
      <w:r>
        <w:t xml:space="preserve"> Sentencia </w:t>
      </w:r>
      <w:hyperlink w:anchor="SENTENCIA_1997_27" w:history="1">
        <w:r w:rsidRPr="00575662">
          <w:rPr>
            <w:rStyle w:val="TextoNormalCaracter"/>
          </w:rPr>
          <w:t>27/1997</w:t>
        </w:r>
      </w:hyperlink>
      <w:r>
        <w:t>, f. 4.</w:t>
      </w:r>
    </w:p>
    <w:p w:rsidR="00575662" w:rsidRDefault="00575662" w:rsidP="00575662">
      <w:pPr>
        <w:pStyle w:val="SangriaFrancesaArticulo"/>
      </w:pPr>
      <w:r w:rsidRPr="00575662">
        <w:rPr>
          <w:rStyle w:val="TextoNormalNegritaCaracter"/>
        </w:rPr>
        <w:t>Artículo 44.1 a).</w:t>
      </w:r>
      <w:r w:rsidRPr="00575662">
        <w:rPr>
          <w:rStyle w:val="TextoNormalCaracter"/>
        </w:rPr>
        <w:t>-</w:t>
      </w:r>
      <w:r>
        <w:t xml:space="preserve"> Sentencias </w:t>
      </w:r>
      <w:hyperlink w:anchor="SENTENCIA_1997_5" w:history="1">
        <w:r w:rsidRPr="00575662">
          <w:rPr>
            <w:rStyle w:val="TextoNormalCaracter"/>
          </w:rPr>
          <w:t>5/1997</w:t>
        </w:r>
      </w:hyperlink>
      <w:r>
        <w:t xml:space="preserve">, ff. 1, 4; </w:t>
      </w:r>
      <w:hyperlink w:anchor="SENTENCIA_1997_7" w:history="1">
        <w:r w:rsidRPr="00575662">
          <w:rPr>
            <w:rStyle w:val="TextoNormalCaracter"/>
          </w:rPr>
          <w:t>7/1997</w:t>
        </w:r>
      </w:hyperlink>
      <w:r>
        <w:t xml:space="preserve">, f. 2; </w:t>
      </w:r>
      <w:hyperlink w:anchor="SENTENCIA_1997_27" w:history="1">
        <w:r w:rsidRPr="00575662">
          <w:rPr>
            <w:rStyle w:val="TextoNormalCaracter"/>
          </w:rPr>
          <w:t>27/1997</w:t>
        </w:r>
      </w:hyperlink>
      <w:r>
        <w:t xml:space="preserve">, f. 2; </w:t>
      </w:r>
      <w:hyperlink w:anchor="SENTENCIA_1997_35" w:history="1">
        <w:r w:rsidRPr="00575662">
          <w:rPr>
            <w:rStyle w:val="TextoNormalCaracter"/>
          </w:rPr>
          <w:t>35/1997</w:t>
        </w:r>
      </w:hyperlink>
      <w:r>
        <w:t xml:space="preserve">, f. 3; </w:t>
      </w:r>
      <w:hyperlink w:anchor="SENTENCIA_1997_36" w:history="1">
        <w:r w:rsidRPr="00575662">
          <w:rPr>
            <w:rStyle w:val="TextoNormalCaracter"/>
          </w:rPr>
          <w:t>36/1997</w:t>
        </w:r>
      </w:hyperlink>
      <w:r>
        <w:t xml:space="preserve">, f. 2; </w:t>
      </w:r>
      <w:hyperlink w:anchor="SENTENCIA_1997_41" w:history="1">
        <w:r w:rsidRPr="00575662">
          <w:rPr>
            <w:rStyle w:val="TextoNormalCaracter"/>
          </w:rPr>
          <w:t>41/1997</w:t>
        </w:r>
      </w:hyperlink>
      <w:r>
        <w:t xml:space="preserve">, ff. 2, 3; </w:t>
      </w:r>
      <w:hyperlink w:anchor="SENTENCIA_1997_54" w:history="1">
        <w:r w:rsidRPr="00575662">
          <w:rPr>
            <w:rStyle w:val="TextoNormalCaracter"/>
          </w:rPr>
          <w:t>54/1997</w:t>
        </w:r>
      </w:hyperlink>
      <w:r>
        <w:t xml:space="preserve">, f. 1; </w:t>
      </w:r>
      <w:hyperlink w:anchor="SENTENCIA_1997_69" w:history="1">
        <w:r w:rsidRPr="00575662">
          <w:rPr>
            <w:rStyle w:val="TextoNormalCaracter"/>
          </w:rPr>
          <w:t>69/1997</w:t>
        </w:r>
      </w:hyperlink>
      <w:r>
        <w:t xml:space="preserve">, f. 2; </w:t>
      </w:r>
      <w:hyperlink w:anchor="SENTENCIA_1997_79" w:history="1">
        <w:r w:rsidRPr="00575662">
          <w:rPr>
            <w:rStyle w:val="TextoNormalCaracter"/>
          </w:rPr>
          <w:t>79/1997</w:t>
        </w:r>
      </w:hyperlink>
      <w:r>
        <w:t>, f. 1.</w:t>
      </w:r>
    </w:p>
    <w:p w:rsidR="00575662" w:rsidRDefault="00575662" w:rsidP="00575662">
      <w:pPr>
        <w:pStyle w:val="SangriaIzquierdaArticulo"/>
      </w:pPr>
      <w:r>
        <w:t xml:space="preserve">Autos </w:t>
      </w:r>
      <w:hyperlink w:anchor="AUTO_1997_30" w:history="1">
        <w:r w:rsidRPr="00575662">
          <w:rPr>
            <w:rStyle w:val="TextoNormalCaracter"/>
          </w:rPr>
          <w:t>30/1997</w:t>
        </w:r>
      </w:hyperlink>
      <w:r>
        <w:t xml:space="preserve">; </w:t>
      </w:r>
      <w:hyperlink w:anchor="AUTO_1997_90" w:history="1">
        <w:r w:rsidRPr="00575662">
          <w:rPr>
            <w:rStyle w:val="TextoNormalCaracter"/>
          </w:rPr>
          <w:t>90/1997</w:t>
        </w:r>
      </w:hyperlink>
      <w:r>
        <w:t xml:space="preserve">; </w:t>
      </w:r>
      <w:hyperlink w:anchor="AUTO_1997_95" w:history="1">
        <w:r w:rsidRPr="00575662">
          <w:rPr>
            <w:rStyle w:val="TextoNormalCaracter"/>
          </w:rPr>
          <w:t>95/1997</w:t>
        </w:r>
      </w:hyperlink>
      <w:r>
        <w:t xml:space="preserve">; </w:t>
      </w:r>
      <w:hyperlink w:anchor="AUTO_1997_111" w:history="1">
        <w:r w:rsidRPr="00575662">
          <w:rPr>
            <w:rStyle w:val="TextoNormalCaracter"/>
          </w:rPr>
          <w:t>111/1997</w:t>
        </w:r>
      </w:hyperlink>
      <w:r>
        <w:t xml:space="preserve">; </w:t>
      </w:r>
      <w:hyperlink w:anchor="AUTO_1997_117" w:history="1">
        <w:r w:rsidRPr="00575662">
          <w:rPr>
            <w:rStyle w:val="TextoNormalCaracter"/>
          </w:rPr>
          <w:t>117/1997</w:t>
        </w:r>
      </w:hyperlink>
      <w:r>
        <w:t>.</w:t>
      </w:r>
    </w:p>
    <w:p w:rsidR="00575662" w:rsidRDefault="00575662" w:rsidP="00575662">
      <w:pPr>
        <w:pStyle w:val="SangriaFrancesaArticulo"/>
      </w:pPr>
      <w:r w:rsidRPr="00575662">
        <w:rPr>
          <w:rStyle w:val="TextoNormalNegritaCaracter"/>
        </w:rPr>
        <w:t>Artículo 44.1 b).</w:t>
      </w:r>
      <w:r w:rsidRPr="00575662">
        <w:rPr>
          <w:rStyle w:val="TextoNormalCaracter"/>
        </w:rPr>
        <w:t>-</w:t>
      </w:r>
      <w:r>
        <w:t xml:space="preserve"> Sentencias </w:t>
      </w:r>
      <w:hyperlink w:anchor="SENTENCIA_1997_3" w:history="1">
        <w:r w:rsidRPr="00575662">
          <w:rPr>
            <w:rStyle w:val="TextoNormalCaracter"/>
          </w:rPr>
          <w:t>3/1997</w:t>
        </w:r>
      </w:hyperlink>
      <w:r>
        <w:t xml:space="preserve">, f. 1; </w:t>
      </w:r>
      <w:hyperlink w:anchor="SENTENCIA_1997_13" w:history="1">
        <w:r w:rsidRPr="00575662">
          <w:rPr>
            <w:rStyle w:val="TextoNormalCaracter"/>
          </w:rPr>
          <w:t>13/1997</w:t>
        </w:r>
      </w:hyperlink>
      <w:r>
        <w:t xml:space="preserve">, f. 2; </w:t>
      </w:r>
      <w:hyperlink w:anchor="SENTENCIA_1997_41" w:history="1">
        <w:r w:rsidRPr="00575662">
          <w:rPr>
            <w:rStyle w:val="TextoNormalCaracter"/>
          </w:rPr>
          <w:t>41/1997</w:t>
        </w:r>
      </w:hyperlink>
      <w:r>
        <w:t xml:space="preserve">, ff. 1, 8; </w:t>
      </w:r>
      <w:hyperlink w:anchor="SENTENCIA_1997_50" w:history="1">
        <w:r w:rsidRPr="00575662">
          <w:rPr>
            <w:rStyle w:val="TextoNormalCaracter"/>
          </w:rPr>
          <w:t>50/1997</w:t>
        </w:r>
      </w:hyperlink>
      <w:r>
        <w:t xml:space="preserve">, f. 4; </w:t>
      </w:r>
      <w:hyperlink w:anchor="SENTENCIA_1997_55" w:history="1">
        <w:r w:rsidRPr="00575662">
          <w:rPr>
            <w:rStyle w:val="TextoNormalCaracter"/>
          </w:rPr>
          <w:t>55/1997</w:t>
        </w:r>
      </w:hyperlink>
      <w:r>
        <w:t xml:space="preserve">, VP; </w:t>
      </w:r>
      <w:hyperlink w:anchor="SENTENCIA_1997_59" w:history="1">
        <w:r w:rsidRPr="00575662">
          <w:rPr>
            <w:rStyle w:val="TextoNormalCaracter"/>
          </w:rPr>
          <w:t>59/1997</w:t>
        </w:r>
      </w:hyperlink>
      <w:r>
        <w:t xml:space="preserve">, f. 2; </w:t>
      </w:r>
      <w:hyperlink w:anchor="SENTENCIA_1997_76" w:history="1">
        <w:r w:rsidRPr="00575662">
          <w:rPr>
            <w:rStyle w:val="TextoNormalCaracter"/>
          </w:rPr>
          <w:t>76/1997</w:t>
        </w:r>
      </w:hyperlink>
      <w:r>
        <w:t>, f. 3.</w:t>
      </w:r>
    </w:p>
    <w:p w:rsidR="00575662" w:rsidRDefault="00575662" w:rsidP="00575662">
      <w:pPr>
        <w:pStyle w:val="SangriaIzquierdaArticulo"/>
      </w:pPr>
      <w:r>
        <w:t xml:space="preserve">Autos </w:t>
      </w:r>
      <w:hyperlink w:anchor="AUTO_1997_23" w:history="1">
        <w:r w:rsidRPr="00575662">
          <w:rPr>
            <w:rStyle w:val="TextoNormalCaracter"/>
          </w:rPr>
          <w:t>23/1997</w:t>
        </w:r>
      </w:hyperlink>
      <w:r>
        <w:t xml:space="preserve">; </w:t>
      </w:r>
      <w:hyperlink w:anchor="AUTO_1997_91" w:history="1">
        <w:r w:rsidRPr="00575662">
          <w:rPr>
            <w:rStyle w:val="TextoNormalCaracter"/>
          </w:rPr>
          <w:t>91/1997</w:t>
        </w:r>
      </w:hyperlink>
      <w:r>
        <w:t>.</w:t>
      </w:r>
    </w:p>
    <w:p w:rsidR="00575662" w:rsidRDefault="00575662" w:rsidP="00575662">
      <w:pPr>
        <w:pStyle w:val="SangriaFrancesaArticulo"/>
      </w:pPr>
      <w:r w:rsidRPr="00575662">
        <w:rPr>
          <w:rStyle w:val="TextoNormalNegritaCaracter"/>
        </w:rPr>
        <w:t>Artículo 44.1 c).</w:t>
      </w:r>
      <w:r w:rsidRPr="00575662">
        <w:rPr>
          <w:rStyle w:val="TextoNormalCaracter"/>
        </w:rPr>
        <w:t>-</w:t>
      </w:r>
      <w:r>
        <w:t xml:space="preserve"> Sentencias </w:t>
      </w:r>
      <w:hyperlink w:anchor="SENTENCIA_1997_22" w:history="1">
        <w:r w:rsidRPr="00575662">
          <w:rPr>
            <w:rStyle w:val="TextoNormalCaracter"/>
          </w:rPr>
          <w:t>22/1997</w:t>
        </w:r>
      </w:hyperlink>
      <w:r>
        <w:t xml:space="preserve">, f. 3; </w:t>
      </w:r>
      <w:hyperlink w:anchor="SENTENCIA_1997_34" w:history="1">
        <w:r w:rsidRPr="00575662">
          <w:rPr>
            <w:rStyle w:val="TextoNormalCaracter"/>
          </w:rPr>
          <w:t>34/1997</w:t>
        </w:r>
      </w:hyperlink>
      <w:r>
        <w:t xml:space="preserve">, f. 1; </w:t>
      </w:r>
      <w:hyperlink w:anchor="SENTENCIA_1997_44" w:history="1">
        <w:r w:rsidRPr="00575662">
          <w:rPr>
            <w:rStyle w:val="TextoNormalCaracter"/>
          </w:rPr>
          <w:t>44/1997</w:t>
        </w:r>
      </w:hyperlink>
      <w:r>
        <w:t xml:space="preserve">, f. 3; </w:t>
      </w:r>
      <w:hyperlink w:anchor="SENTENCIA_1997_69" w:history="1">
        <w:r w:rsidRPr="00575662">
          <w:rPr>
            <w:rStyle w:val="TextoNormalCaracter"/>
          </w:rPr>
          <w:t>69/1997</w:t>
        </w:r>
      </w:hyperlink>
      <w:r>
        <w:t xml:space="preserve">, f. 2; </w:t>
      </w:r>
      <w:hyperlink w:anchor="SENTENCIA_1997_82" w:history="1">
        <w:r w:rsidRPr="00575662">
          <w:rPr>
            <w:rStyle w:val="TextoNormalCaracter"/>
          </w:rPr>
          <w:t>82/1997</w:t>
        </w:r>
      </w:hyperlink>
      <w:r>
        <w:t>, f. 2.</w:t>
      </w:r>
    </w:p>
    <w:p w:rsidR="00575662" w:rsidRDefault="00575662" w:rsidP="00575662">
      <w:pPr>
        <w:pStyle w:val="SangriaIzquierdaArticulo"/>
      </w:pPr>
      <w:r>
        <w:t xml:space="preserve">Auto </w:t>
      </w:r>
      <w:hyperlink w:anchor="AUTO_1997_114" w:history="1">
        <w:r w:rsidRPr="00575662">
          <w:rPr>
            <w:rStyle w:val="TextoNormalCaracter"/>
          </w:rPr>
          <w:t>114/1997</w:t>
        </w:r>
      </w:hyperlink>
      <w:r>
        <w:t>.</w:t>
      </w:r>
    </w:p>
    <w:p w:rsidR="00575662" w:rsidRDefault="00575662" w:rsidP="00575662">
      <w:pPr>
        <w:pStyle w:val="SangriaFrancesaArticulo"/>
      </w:pPr>
      <w:r w:rsidRPr="00575662">
        <w:rPr>
          <w:rStyle w:val="TextoNormalNegritaCaracter"/>
        </w:rPr>
        <w:t>Artículo 44.2.</w:t>
      </w:r>
      <w:r w:rsidRPr="00575662">
        <w:rPr>
          <w:rStyle w:val="TextoNormalCaracter"/>
        </w:rPr>
        <w:t>-</w:t>
      </w:r>
      <w:r>
        <w:t xml:space="preserve"> Sentencias </w:t>
      </w:r>
      <w:hyperlink w:anchor="SENTENCIA_1997_7" w:history="1">
        <w:r w:rsidRPr="00575662">
          <w:rPr>
            <w:rStyle w:val="TextoNormalCaracter"/>
          </w:rPr>
          <w:t>7/1997</w:t>
        </w:r>
      </w:hyperlink>
      <w:r>
        <w:t xml:space="preserve">, f. 2; </w:t>
      </w:r>
      <w:hyperlink w:anchor="SENTENCIA_1997_8" w:history="1">
        <w:r w:rsidRPr="00575662">
          <w:rPr>
            <w:rStyle w:val="TextoNormalCaracter"/>
          </w:rPr>
          <w:t>8/1997</w:t>
        </w:r>
      </w:hyperlink>
      <w:r>
        <w:t xml:space="preserve">, f. 2; </w:t>
      </w:r>
      <w:hyperlink w:anchor="SENTENCIA_1997_19" w:history="1">
        <w:r w:rsidRPr="00575662">
          <w:rPr>
            <w:rStyle w:val="TextoNormalCaracter"/>
          </w:rPr>
          <w:t>19/1997</w:t>
        </w:r>
      </w:hyperlink>
      <w:r>
        <w:t xml:space="preserve">, f. 2; </w:t>
      </w:r>
      <w:hyperlink w:anchor="SENTENCIA_1997_30" w:history="1">
        <w:r w:rsidRPr="00575662">
          <w:rPr>
            <w:rStyle w:val="TextoNormalCaracter"/>
          </w:rPr>
          <w:t>30/1997</w:t>
        </w:r>
      </w:hyperlink>
      <w:r>
        <w:t>, f. 2.</w:t>
      </w:r>
    </w:p>
    <w:p w:rsidR="00575662" w:rsidRDefault="00575662" w:rsidP="00575662">
      <w:pPr>
        <w:pStyle w:val="SangriaIzquierdaArticulo"/>
      </w:pPr>
      <w:r>
        <w:t xml:space="preserve">Auto </w:t>
      </w:r>
      <w:hyperlink w:anchor="AUTO_1997_90" w:history="1">
        <w:r w:rsidRPr="00575662">
          <w:rPr>
            <w:rStyle w:val="TextoNormalCaracter"/>
          </w:rPr>
          <w:t>90/1997</w:t>
        </w:r>
      </w:hyperlink>
      <w:r>
        <w:t>.</w:t>
      </w:r>
    </w:p>
    <w:p w:rsidR="00575662" w:rsidRDefault="00575662" w:rsidP="00575662">
      <w:pPr>
        <w:pStyle w:val="SangriaFrancesaArticulo"/>
      </w:pPr>
      <w:r w:rsidRPr="00575662">
        <w:rPr>
          <w:rStyle w:val="TextoNormalNegritaCaracter"/>
        </w:rPr>
        <w:t>Artículo 46.1.</w:t>
      </w:r>
      <w:r w:rsidRPr="00575662">
        <w:rPr>
          <w:rStyle w:val="TextoNormalCaracter"/>
        </w:rPr>
        <w:t>-</w:t>
      </w:r>
      <w:r>
        <w:t xml:space="preserve"> Sentencia </w:t>
      </w:r>
      <w:hyperlink w:anchor="SENTENCIA_1997_25" w:history="1">
        <w:r w:rsidRPr="00575662">
          <w:rPr>
            <w:rStyle w:val="TextoNormalCaracter"/>
          </w:rPr>
          <w:t>25/1997</w:t>
        </w:r>
      </w:hyperlink>
      <w:r>
        <w:t>, f. 4.</w:t>
      </w:r>
    </w:p>
    <w:p w:rsidR="00575662" w:rsidRDefault="00575662" w:rsidP="00575662">
      <w:pPr>
        <w:pStyle w:val="SangriaFrancesaArticulo"/>
      </w:pPr>
      <w:r w:rsidRPr="00575662">
        <w:rPr>
          <w:rStyle w:val="TextoNormalNegritaCaracter"/>
        </w:rPr>
        <w:t>Artículo 46.1 b).</w:t>
      </w:r>
      <w:r w:rsidRPr="00575662">
        <w:rPr>
          <w:rStyle w:val="TextoNormalCaracter"/>
        </w:rPr>
        <w:t>-</w:t>
      </w:r>
      <w:r>
        <w:t xml:space="preserve"> Auto </w:t>
      </w:r>
      <w:hyperlink w:anchor="AUTO_1997_63" w:history="1">
        <w:r w:rsidRPr="00575662">
          <w:rPr>
            <w:rStyle w:val="TextoNormalCaracter"/>
          </w:rPr>
          <w:t>63/1997</w:t>
        </w:r>
      </w:hyperlink>
      <w:r>
        <w:t>, VP.</w:t>
      </w:r>
    </w:p>
    <w:p w:rsidR="00575662" w:rsidRDefault="00575662" w:rsidP="00575662">
      <w:pPr>
        <w:pStyle w:val="SangriaFrancesaArticulo"/>
      </w:pPr>
      <w:r w:rsidRPr="00575662">
        <w:rPr>
          <w:rStyle w:val="TextoNormalNegritaCaracter"/>
        </w:rPr>
        <w:t>Artículo 47.1.</w:t>
      </w:r>
      <w:r w:rsidRPr="00575662">
        <w:rPr>
          <w:rStyle w:val="TextoNormalCaracter"/>
        </w:rPr>
        <w:t>-</w:t>
      </w:r>
      <w:r>
        <w:t xml:space="preserve"> Auto </w:t>
      </w:r>
      <w:hyperlink w:anchor="AUTO_1997_21" w:history="1">
        <w:r w:rsidRPr="00575662">
          <w:rPr>
            <w:rStyle w:val="TextoNormalCaracter"/>
          </w:rPr>
          <w:t>21/1997</w:t>
        </w:r>
      </w:hyperlink>
      <w:r>
        <w:t>.</w:t>
      </w:r>
    </w:p>
    <w:p w:rsidR="00575662" w:rsidRDefault="00575662" w:rsidP="00575662">
      <w:pPr>
        <w:pStyle w:val="SangriaFrancesaArticulo"/>
      </w:pPr>
      <w:r w:rsidRPr="00575662">
        <w:rPr>
          <w:rStyle w:val="TextoNormalNegritaCaracter"/>
        </w:rPr>
        <w:t>Artículo 49.1.</w:t>
      </w:r>
      <w:r w:rsidRPr="00575662">
        <w:rPr>
          <w:rStyle w:val="TextoNormalCaracter"/>
        </w:rPr>
        <w:t>-</w:t>
      </w:r>
      <w:r>
        <w:t xml:space="preserve"> Sentencia </w:t>
      </w:r>
      <w:hyperlink w:anchor="SENTENCIA_1997_27" w:history="1">
        <w:r w:rsidRPr="00575662">
          <w:rPr>
            <w:rStyle w:val="TextoNormalCaracter"/>
          </w:rPr>
          <w:t>27/1997</w:t>
        </w:r>
      </w:hyperlink>
      <w:r>
        <w:t>, VP.</w:t>
      </w:r>
    </w:p>
    <w:p w:rsidR="00575662" w:rsidRDefault="00575662" w:rsidP="00575662">
      <w:pPr>
        <w:pStyle w:val="SangriaFrancesaArticulo"/>
      </w:pPr>
      <w:r w:rsidRPr="00575662">
        <w:rPr>
          <w:rStyle w:val="TextoNormalNegritaCaracter"/>
        </w:rPr>
        <w:t>Artículo 50.1.</w:t>
      </w:r>
      <w:r w:rsidRPr="00575662">
        <w:rPr>
          <w:rStyle w:val="TextoNormalCaracter"/>
        </w:rPr>
        <w:t>-</w:t>
      </w:r>
      <w:r>
        <w:t xml:space="preserve"> Auto </w:t>
      </w:r>
      <w:hyperlink w:anchor="AUTO_1997_30" w:history="1">
        <w:r w:rsidRPr="00575662">
          <w:rPr>
            <w:rStyle w:val="TextoNormalCaracter"/>
          </w:rPr>
          <w:t>30/1997</w:t>
        </w:r>
      </w:hyperlink>
      <w:r>
        <w:t>.</w:t>
      </w:r>
    </w:p>
    <w:p w:rsidR="00575662" w:rsidRDefault="00575662" w:rsidP="00575662">
      <w:pPr>
        <w:pStyle w:val="SangriaFrancesaArticulo"/>
      </w:pPr>
      <w:r w:rsidRPr="00575662">
        <w:rPr>
          <w:rStyle w:val="TextoNormalNegritaCaracter"/>
        </w:rPr>
        <w:t>Artículo 50.1 a).</w:t>
      </w:r>
      <w:r w:rsidRPr="00575662">
        <w:rPr>
          <w:rStyle w:val="TextoNormalCaracter"/>
        </w:rPr>
        <w:t>-</w:t>
      </w:r>
      <w:r>
        <w:t xml:space="preserve"> Sentencias </w:t>
      </w:r>
      <w:hyperlink w:anchor="SENTENCIA_1997_5" w:history="1">
        <w:r w:rsidRPr="00575662">
          <w:rPr>
            <w:rStyle w:val="TextoNormalCaracter"/>
          </w:rPr>
          <w:t>5/1997</w:t>
        </w:r>
      </w:hyperlink>
      <w:r>
        <w:t xml:space="preserve">, f. 4; </w:t>
      </w:r>
      <w:hyperlink w:anchor="SENTENCIA_1997_54" w:history="1">
        <w:r w:rsidRPr="00575662">
          <w:rPr>
            <w:rStyle w:val="TextoNormalCaracter"/>
          </w:rPr>
          <w:t>54/1997</w:t>
        </w:r>
      </w:hyperlink>
      <w:r>
        <w:t>, f. 1.</w:t>
      </w:r>
    </w:p>
    <w:p w:rsidR="00575662" w:rsidRDefault="00575662" w:rsidP="00575662">
      <w:pPr>
        <w:pStyle w:val="SangriaIzquierdaArticulo"/>
      </w:pPr>
      <w:r>
        <w:t xml:space="preserve">Autos </w:t>
      </w:r>
      <w:hyperlink w:anchor="AUTO_1997_30" w:history="1">
        <w:r w:rsidRPr="00575662">
          <w:rPr>
            <w:rStyle w:val="TextoNormalCaracter"/>
          </w:rPr>
          <w:t>30/1997</w:t>
        </w:r>
      </w:hyperlink>
      <w:r>
        <w:t xml:space="preserve">; </w:t>
      </w:r>
      <w:hyperlink w:anchor="AUTO_1997_63" w:history="1">
        <w:r w:rsidRPr="00575662">
          <w:rPr>
            <w:rStyle w:val="TextoNormalCaracter"/>
          </w:rPr>
          <w:t>63/1997</w:t>
        </w:r>
      </w:hyperlink>
      <w:r>
        <w:t xml:space="preserve">; </w:t>
      </w:r>
      <w:hyperlink w:anchor="AUTO_1997_114" w:history="1">
        <w:r w:rsidRPr="00575662">
          <w:rPr>
            <w:rStyle w:val="TextoNormalCaracter"/>
          </w:rPr>
          <w:t>114/1997</w:t>
        </w:r>
      </w:hyperlink>
      <w:r>
        <w:t xml:space="preserve">; </w:t>
      </w:r>
      <w:hyperlink w:anchor="AUTO_1997_117" w:history="1">
        <w:r w:rsidRPr="00575662">
          <w:rPr>
            <w:rStyle w:val="TextoNormalCaracter"/>
          </w:rPr>
          <w:t>117/1997</w:t>
        </w:r>
      </w:hyperlink>
      <w:r>
        <w:t>.</w:t>
      </w:r>
    </w:p>
    <w:p w:rsidR="00575662" w:rsidRDefault="00575662" w:rsidP="00575662">
      <w:pPr>
        <w:pStyle w:val="SangriaFrancesaArticulo"/>
      </w:pPr>
      <w:r w:rsidRPr="00575662">
        <w:rPr>
          <w:rStyle w:val="TextoNormalNegritaCaracter"/>
        </w:rPr>
        <w:t>Artículo 50.1 b).</w:t>
      </w:r>
      <w:r w:rsidRPr="00575662">
        <w:rPr>
          <w:rStyle w:val="TextoNormalCaracter"/>
        </w:rPr>
        <w:t>-</w:t>
      </w:r>
      <w:r>
        <w:t xml:space="preserve"> Auto </w:t>
      </w:r>
      <w:hyperlink w:anchor="AUTO_1997_30" w:history="1">
        <w:r w:rsidRPr="00575662">
          <w:rPr>
            <w:rStyle w:val="TextoNormalCaracter"/>
          </w:rPr>
          <w:t>30/1997</w:t>
        </w:r>
      </w:hyperlink>
      <w:r>
        <w:t>.</w:t>
      </w:r>
    </w:p>
    <w:p w:rsidR="00575662" w:rsidRDefault="00575662" w:rsidP="00575662">
      <w:pPr>
        <w:pStyle w:val="SangriaFrancesaArticulo"/>
      </w:pPr>
      <w:r w:rsidRPr="00575662">
        <w:rPr>
          <w:rStyle w:val="TextoNormalNegritaCaracter"/>
        </w:rPr>
        <w:t>Artículo 50.1 c).</w:t>
      </w:r>
      <w:r w:rsidRPr="00575662">
        <w:rPr>
          <w:rStyle w:val="TextoNormalCaracter"/>
        </w:rPr>
        <w:t>-</w:t>
      </w:r>
      <w:r>
        <w:t xml:space="preserve"> Autos </w:t>
      </w:r>
      <w:hyperlink w:anchor="AUTO_1997_4" w:history="1">
        <w:r w:rsidRPr="00575662">
          <w:rPr>
            <w:rStyle w:val="TextoNormalCaracter"/>
          </w:rPr>
          <w:t>4/1997</w:t>
        </w:r>
      </w:hyperlink>
      <w:r>
        <w:t xml:space="preserve">; </w:t>
      </w:r>
      <w:hyperlink w:anchor="AUTO_1997_15" w:history="1">
        <w:r w:rsidRPr="00575662">
          <w:rPr>
            <w:rStyle w:val="TextoNormalCaracter"/>
          </w:rPr>
          <w:t>15/1997</w:t>
        </w:r>
      </w:hyperlink>
      <w:r>
        <w:t xml:space="preserve">; </w:t>
      </w:r>
      <w:hyperlink w:anchor="AUTO_1997_30" w:history="1">
        <w:r w:rsidRPr="00575662">
          <w:rPr>
            <w:rStyle w:val="TextoNormalCaracter"/>
          </w:rPr>
          <w:t>30/1997</w:t>
        </w:r>
      </w:hyperlink>
      <w:r>
        <w:t xml:space="preserve">; </w:t>
      </w:r>
      <w:hyperlink w:anchor="AUTO_1997_32" w:history="1">
        <w:r w:rsidRPr="00575662">
          <w:rPr>
            <w:rStyle w:val="TextoNormalCaracter"/>
          </w:rPr>
          <w:t>32/1997</w:t>
        </w:r>
      </w:hyperlink>
      <w:r>
        <w:t xml:space="preserve">; </w:t>
      </w:r>
      <w:hyperlink w:anchor="AUTO_1997_33" w:history="1">
        <w:r w:rsidRPr="00575662">
          <w:rPr>
            <w:rStyle w:val="TextoNormalCaracter"/>
          </w:rPr>
          <w:t>33/1997</w:t>
        </w:r>
      </w:hyperlink>
      <w:r>
        <w:t xml:space="preserve">; </w:t>
      </w:r>
      <w:hyperlink w:anchor="AUTO_1997_59" w:history="1">
        <w:r w:rsidRPr="00575662">
          <w:rPr>
            <w:rStyle w:val="TextoNormalCaracter"/>
          </w:rPr>
          <w:t>59/1997</w:t>
        </w:r>
      </w:hyperlink>
      <w:r>
        <w:t xml:space="preserve">; </w:t>
      </w:r>
      <w:hyperlink w:anchor="AUTO_1997_80" w:history="1">
        <w:r w:rsidRPr="00575662">
          <w:rPr>
            <w:rStyle w:val="TextoNormalCaracter"/>
          </w:rPr>
          <w:t>80/1997</w:t>
        </w:r>
      </w:hyperlink>
      <w:r>
        <w:t xml:space="preserve">; </w:t>
      </w:r>
      <w:hyperlink w:anchor="AUTO_1997_91" w:history="1">
        <w:r w:rsidRPr="00575662">
          <w:rPr>
            <w:rStyle w:val="TextoNormalCaracter"/>
          </w:rPr>
          <w:t>91/1997</w:t>
        </w:r>
      </w:hyperlink>
      <w:r>
        <w:t xml:space="preserve">; </w:t>
      </w:r>
      <w:hyperlink w:anchor="AUTO_1997_92" w:history="1">
        <w:r w:rsidRPr="00575662">
          <w:rPr>
            <w:rStyle w:val="TextoNormalCaracter"/>
          </w:rPr>
          <w:t>92/1997</w:t>
        </w:r>
      </w:hyperlink>
      <w:r>
        <w:t xml:space="preserve">; </w:t>
      </w:r>
      <w:hyperlink w:anchor="AUTO_1997_94" w:history="1">
        <w:r w:rsidRPr="00575662">
          <w:rPr>
            <w:rStyle w:val="TextoNormalCaracter"/>
          </w:rPr>
          <w:t>94/1997</w:t>
        </w:r>
      </w:hyperlink>
      <w:r>
        <w:t xml:space="preserve">; </w:t>
      </w:r>
      <w:hyperlink w:anchor="AUTO_1997_108" w:history="1">
        <w:r w:rsidRPr="00575662">
          <w:rPr>
            <w:rStyle w:val="TextoNormalCaracter"/>
          </w:rPr>
          <w:t>108/1997</w:t>
        </w:r>
      </w:hyperlink>
      <w:r>
        <w:t xml:space="preserve">; </w:t>
      </w:r>
      <w:hyperlink w:anchor="AUTO_1997_114" w:history="1">
        <w:r w:rsidRPr="00575662">
          <w:rPr>
            <w:rStyle w:val="TextoNormalCaracter"/>
          </w:rPr>
          <w:t>114/1997</w:t>
        </w:r>
      </w:hyperlink>
      <w:r>
        <w:t xml:space="preserve">; </w:t>
      </w:r>
      <w:hyperlink w:anchor="AUTO_1997_115" w:history="1">
        <w:r w:rsidRPr="00575662">
          <w:rPr>
            <w:rStyle w:val="TextoNormalCaracter"/>
          </w:rPr>
          <w:t>115/1997</w:t>
        </w:r>
      </w:hyperlink>
      <w:r>
        <w:t xml:space="preserve">; </w:t>
      </w:r>
      <w:hyperlink w:anchor="AUTO_1997_117" w:history="1">
        <w:r w:rsidRPr="00575662">
          <w:rPr>
            <w:rStyle w:val="TextoNormalCaracter"/>
          </w:rPr>
          <w:t>117/1997</w:t>
        </w:r>
      </w:hyperlink>
      <w:r>
        <w:t xml:space="preserve">; </w:t>
      </w:r>
      <w:hyperlink w:anchor="AUTO_1997_118" w:history="1">
        <w:r w:rsidRPr="00575662">
          <w:rPr>
            <w:rStyle w:val="TextoNormalCaracter"/>
          </w:rPr>
          <w:t>118/1997</w:t>
        </w:r>
      </w:hyperlink>
      <w:r>
        <w:t xml:space="preserve">; </w:t>
      </w:r>
      <w:hyperlink w:anchor="AUTO_1997_121" w:history="1">
        <w:r w:rsidRPr="00575662">
          <w:rPr>
            <w:rStyle w:val="TextoNormalCaracter"/>
          </w:rPr>
          <w:t>121/1997</w:t>
        </w:r>
      </w:hyperlink>
      <w:r>
        <w:t xml:space="preserve">; </w:t>
      </w:r>
      <w:hyperlink w:anchor="AUTO_1997_122" w:history="1">
        <w:r w:rsidRPr="00575662">
          <w:rPr>
            <w:rStyle w:val="TextoNormalCaracter"/>
          </w:rPr>
          <w:t>122/1997</w:t>
        </w:r>
      </w:hyperlink>
      <w:r>
        <w:t>.</w:t>
      </w:r>
    </w:p>
    <w:p w:rsidR="00575662" w:rsidRDefault="00575662" w:rsidP="00575662">
      <w:pPr>
        <w:pStyle w:val="SangriaFrancesaArticulo"/>
      </w:pPr>
      <w:r w:rsidRPr="00575662">
        <w:rPr>
          <w:rStyle w:val="TextoNormalNegritaCaracter"/>
        </w:rPr>
        <w:t>Artículo 50.1 d).</w:t>
      </w:r>
      <w:r w:rsidRPr="00575662">
        <w:rPr>
          <w:rStyle w:val="TextoNormalCaracter"/>
        </w:rPr>
        <w:t>-</w:t>
      </w:r>
      <w:r>
        <w:t xml:space="preserve"> Auto </w:t>
      </w:r>
      <w:hyperlink w:anchor="AUTO_1997_30" w:history="1">
        <w:r w:rsidRPr="00575662">
          <w:rPr>
            <w:rStyle w:val="TextoNormalCaracter"/>
          </w:rPr>
          <w:t>30/1997</w:t>
        </w:r>
      </w:hyperlink>
      <w:r>
        <w:t>.</w:t>
      </w:r>
    </w:p>
    <w:p w:rsidR="00575662" w:rsidRDefault="00575662" w:rsidP="00575662">
      <w:pPr>
        <w:pStyle w:val="SangriaFrancesaArticulo"/>
      </w:pPr>
      <w:r w:rsidRPr="00575662">
        <w:rPr>
          <w:rStyle w:val="TextoNormalNegritaCaracter"/>
        </w:rPr>
        <w:t>Artículo 50.3.</w:t>
      </w:r>
      <w:r w:rsidRPr="00575662">
        <w:rPr>
          <w:rStyle w:val="TextoNormalCaracter"/>
        </w:rPr>
        <w:t>-</w:t>
      </w:r>
      <w:r>
        <w:t xml:space="preserve"> Autos </w:t>
      </w:r>
      <w:hyperlink w:anchor="AUTO_1997_4" w:history="1">
        <w:r w:rsidRPr="00575662">
          <w:rPr>
            <w:rStyle w:val="TextoNormalCaracter"/>
          </w:rPr>
          <w:t>4/1997</w:t>
        </w:r>
      </w:hyperlink>
      <w:r>
        <w:t xml:space="preserve">; </w:t>
      </w:r>
      <w:hyperlink w:anchor="AUTO_1997_63" w:history="1">
        <w:r w:rsidRPr="00575662">
          <w:rPr>
            <w:rStyle w:val="TextoNormalCaracter"/>
          </w:rPr>
          <w:t>63/1997</w:t>
        </w:r>
      </w:hyperlink>
      <w:r>
        <w:t xml:space="preserve">; </w:t>
      </w:r>
      <w:hyperlink w:anchor="AUTO_1997_79" w:history="1">
        <w:r w:rsidRPr="00575662">
          <w:rPr>
            <w:rStyle w:val="TextoNormalCaracter"/>
          </w:rPr>
          <w:t>79/1997</w:t>
        </w:r>
      </w:hyperlink>
      <w:r>
        <w:t xml:space="preserve">; </w:t>
      </w:r>
      <w:hyperlink w:anchor="AUTO_1997_80" w:history="1">
        <w:r w:rsidRPr="00575662">
          <w:rPr>
            <w:rStyle w:val="TextoNormalCaracter"/>
          </w:rPr>
          <w:t>80/1997</w:t>
        </w:r>
      </w:hyperlink>
      <w:r>
        <w:t xml:space="preserve">; </w:t>
      </w:r>
      <w:hyperlink w:anchor="AUTO_1997_95" w:history="1">
        <w:r w:rsidRPr="00575662">
          <w:rPr>
            <w:rStyle w:val="TextoNormalCaracter"/>
          </w:rPr>
          <w:t>95/1997</w:t>
        </w:r>
      </w:hyperlink>
      <w:r>
        <w:t xml:space="preserve">; </w:t>
      </w:r>
      <w:hyperlink w:anchor="AUTO_1997_108" w:history="1">
        <w:r w:rsidRPr="00575662">
          <w:rPr>
            <w:rStyle w:val="TextoNormalCaracter"/>
          </w:rPr>
          <w:t>108/1997</w:t>
        </w:r>
      </w:hyperlink>
      <w:r>
        <w:t xml:space="preserve">; </w:t>
      </w:r>
      <w:hyperlink w:anchor="AUTO_1997_118" w:history="1">
        <w:r w:rsidRPr="00575662">
          <w:rPr>
            <w:rStyle w:val="TextoNormalCaracter"/>
          </w:rPr>
          <w:t>118/1997</w:t>
        </w:r>
      </w:hyperlink>
      <w:r>
        <w:t>.</w:t>
      </w:r>
    </w:p>
    <w:p w:rsidR="00575662" w:rsidRDefault="00575662" w:rsidP="00575662">
      <w:pPr>
        <w:pStyle w:val="SangriaFrancesaArticulo"/>
      </w:pPr>
      <w:r w:rsidRPr="00575662">
        <w:rPr>
          <w:rStyle w:val="TextoNormalNegritaCaracter"/>
        </w:rPr>
        <w:lastRenderedPageBreak/>
        <w:t>Artículo 51.</w:t>
      </w:r>
      <w:r w:rsidRPr="00575662">
        <w:rPr>
          <w:rStyle w:val="TextoNormalCaracter"/>
        </w:rPr>
        <w:t>-</w:t>
      </w:r>
      <w:r>
        <w:t xml:space="preserve"> Auto </w:t>
      </w:r>
      <w:hyperlink w:anchor="AUTO_1997_121" w:history="1">
        <w:r w:rsidRPr="00575662">
          <w:rPr>
            <w:rStyle w:val="TextoNormalCaracter"/>
          </w:rPr>
          <w:t>121/1997</w:t>
        </w:r>
      </w:hyperlink>
      <w:r>
        <w:t>.</w:t>
      </w:r>
    </w:p>
    <w:p w:rsidR="00575662" w:rsidRDefault="00575662" w:rsidP="00575662">
      <w:pPr>
        <w:pStyle w:val="SangriaFrancesaArticulo"/>
      </w:pPr>
      <w:r w:rsidRPr="00575662">
        <w:rPr>
          <w:rStyle w:val="TextoNormalNegritaCaracter"/>
        </w:rPr>
        <w:t>Artículo 52.</w:t>
      </w:r>
      <w:r w:rsidRPr="00575662">
        <w:rPr>
          <w:rStyle w:val="TextoNormalCaracter"/>
        </w:rPr>
        <w:t>-</w:t>
      </w:r>
      <w:r>
        <w:t xml:space="preserve"> Sentencia </w:t>
      </w:r>
      <w:hyperlink w:anchor="SENTENCIA_1997_56" w:history="1">
        <w:r w:rsidRPr="00575662">
          <w:rPr>
            <w:rStyle w:val="TextoNormalCaracter"/>
          </w:rPr>
          <w:t>56/1997</w:t>
        </w:r>
      </w:hyperlink>
      <w:r>
        <w:t>, f. 1.</w:t>
      </w:r>
    </w:p>
    <w:p w:rsidR="00575662" w:rsidRDefault="00575662" w:rsidP="00575662">
      <w:pPr>
        <w:pStyle w:val="SangriaFrancesaArticulo"/>
      </w:pPr>
      <w:r w:rsidRPr="00575662">
        <w:rPr>
          <w:rStyle w:val="TextoNormalNegritaCaracter"/>
        </w:rPr>
        <w:t>Artículo 54.</w:t>
      </w:r>
      <w:r w:rsidRPr="00575662">
        <w:rPr>
          <w:rStyle w:val="TextoNormalCaracter"/>
        </w:rPr>
        <w:t>-</w:t>
      </w:r>
      <w:r>
        <w:t xml:space="preserve"> Sentencia </w:t>
      </w:r>
      <w:hyperlink w:anchor="SENTENCIA_1997_27" w:history="1">
        <w:r w:rsidRPr="00575662">
          <w:rPr>
            <w:rStyle w:val="TextoNormalCaracter"/>
          </w:rPr>
          <w:t>27/1997</w:t>
        </w:r>
      </w:hyperlink>
      <w:r>
        <w:t>, VP.</w:t>
      </w:r>
    </w:p>
    <w:p w:rsidR="00575662" w:rsidRDefault="00575662" w:rsidP="00575662">
      <w:pPr>
        <w:pStyle w:val="SangriaFrancesaArticulo"/>
      </w:pPr>
      <w:r w:rsidRPr="00575662">
        <w:rPr>
          <w:rStyle w:val="TextoNormalNegritaCaracter"/>
        </w:rPr>
        <w:t>Artículo 55.</w:t>
      </w:r>
      <w:r w:rsidRPr="00575662">
        <w:rPr>
          <w:rStyle w:val="TextoNormalCaracter"/>
        </w:rPr>
        <w:t>-</w:t>
      </w:r>
      <w:r>
        <w:t xml:space="preserve"> Sentencia </w:t>
      </w:r>
      <w:hyperlink w:anchor="SENTENCIA_1997_52" w:history="1">
        <w:r w:rsidRPr="00575662">
          <w:rPr>
            <w:rStyle w:val="TextoNormalCaracter"/>
          </w:rPr>
          <w:t>52/1997</w:t>
        </w:r>
      </w:hyperlink>
      <w:r>
        <w:t>, f. 5.</w:t>
      </w:r>
    </w:p>
    <w:p w:rsidR="00575662" w:rsidRDefault="00575662" w:rsidP="00575662">
      <w:pPr>
        <w:pStyle w:val="SangriaFrancesaArticulo"/>
      </w:pPr>
      <w:r w:rsidRPr="00575662">
        <w:rPr>
          <w:rStyle w:val="TextoNormalNegritaCaracter"/>
        </w:rPr>
        <w:t>Artículo 55.1.</w:t>
      </w:r>
      <w:r w:rsidRPr="00575662">
        <w:rPr>
          <w:rStyle w:val="TextoNormalCaracter"/>
        </w:rPr>
        <w:t>-</w:t>
      </w:r>
      <w:r>
        <w:t xml:space="preserve"> Sentencia </w:t>
      </w:r>
      <w:hyperlink w:anchor="SENTENCIA_1997_33" w:history="1">
        <w:r w:rsidRPr="00575662">
          <w:rPr>
            <w:rStyle w:val="TextoNormalCaracter"/>
          </w:rPr>
          <w:t>33/1997</w:t>
        </w:r>
      </w:hyperlink>
      <w:r>
        <w:t>, VP.</w:t>
      </w:r>
    </w:p>
    <w:p w:rsidR="00575662" w:rsidRDefault="00575662" w:rsidP="00575662">
      <w:pPr>
        <w:pStyle w:val="SangriaFrancesaArticulo"/>
      </w:pPr>
      <w:r w:rsidRPr="00575662">
        <w:rPr>
          <w:rStyle w:val="TextoNormalNegritaCaracter"/>
        </w:rPr>
        <w:t>Artículo 55.1 a).</w:t>
      </w:r>
      <w:r w:rsidRPr="00575662">
        <w:rPr>
          <w:rStyle w:val="TextoNormalCaracter"/>
        </w:rPr>
        <w:t>-</w:t>
      </w:r>
      <w:r>
        <w:t xml:space="preserve"> Sentencia </w:t>
      </w:r>
      <w:hyperlink w:anchor="SENTENCIA_1997_69" w:history="1">
        <w:r w:rsidRPr="00575662">
          <w:rPr>
            <w:rStyle w:val="TextoNormalCaracter"/>
          </w:rPr>
          <w:t>69/1997</w:t>
        </w:r>
      </w:hyperlink>
      <w:r>
        <w:t>, f. 4.</w:t>
      </w:r>
    </w:p>
    <w:p w:rsidR="00575662" w:rsidRDefault="00575662" w:rsidP="00575662">
      <w:pPr>
        <w:pStyle w:val="SangriaFrancesaArticulo"/>
      </w:pPr>
      <w:r w:rsidRPr="00575662">
        <w:rPr>
          <w:rStyle w:val="TextoNormalNegritaCaracter"/>
        </w:rPr>
        <w:t>Artículo 55.1 b).</w:t>
      </w:r>
      <w:r w:rsidRPr="00575662">
        <w:rPr>
          <w:rStyle w:val="TextoNormalCaracter"/>
        </w:rPr>
        <w:t>-</w:t>
      </w:r>
      <w:r>
        <w:t xml:space="preserve"> Sentencia </w:t>
      </w:r>
      <w:hyperlink w:anchor="SENTENCIA_1997_69" w:history="1">
        <w:r w:rsidRPr="00575662">
          <w:rPr>
            <w:rStyle w:val="TextoNormalCaracter"/>
          </w:rPr>
          <w:t>69/1997</w:t>
        </w:r>
      </w:hyperlink>
      <w:r>
        <w:t>, f. 4.</w:t>
      </w:r>
    </w:p>
    <w:p w:rsidR="00575662" w:rsidRDefault="00575662" w:rsidP="00575662">
      <w:pPr>
        <w:pStyle w:val="SangriaFrancesaArticulo"/>
      </w:pPr>
      <w:r w:rsidRPr="00575662">
        <w:rPr>
          <w:rStyle w:val="TextoNormalNegritaCaracter"/>
        </w:rPr>
        <w:t>Artículo 55.1 c).</w:t>
      </w:r>
      <w:r w:rsidRPr="00575662">
        <w:rPr>
          <w:rStyle w:val="TextoNormalCaracter"/>
        </w:rPr>
        <w:t>-</w:t>
      </w:r>
      <w:r>
        <w:t xml:space="preserve"> Sentencias </w:t>
      </w:r>
      <w:hyperlink w:anchor="SENTENCIA_1997_13" w:history="1">
        <w:r w:rsidRPr="00575662">
          <w:rPr>
            <w:rStyle w:val="TextoNormalCaracter"/>
          </w:rPr>
          <w:t>13/1997</w:t>
        </w:r>
      </w:hyperlink>
      <w:r>
        <w:t xml:space="preserve">, f. 5; </w:t>
      </w:r>
      <w:hyperlink w:anchor="SENTENCIA_1997_69" w:history="1">
        <w:r w:rsidRPr="00575662">
          <w:rPr>
            <w:rStyle w:val="TextoNormalCaracter"/>
          </w:rPr>
          <w:t>69/1997</w:t>
        </w:r>
      </w:hyperlink>
      <w:r>
        <w:t>, f. 7.</w:t>
      </w:r>
    </w:p>
    <w:p w:rsidR="00575662" w:rsidRDefault="00575662" w:rsidP="00575662">
      <w:pPr>
        <w:pStyle w:val="SangriaFrancesaArticulo"/>
      </w:pPr>
      <w:r w:rsidRPr="00575662">
        <w:rPr>
          <w:rStyle w:val="TextoNormalNegritaCaracter"/>
        </w:rPr>
        <w:t>Artículo 55.2.</w:t>
      </w:r>
      <w:r w:rsidRPr="00575662">
        <w:rPr>
          <w:rStyle w:val="TextoNormalCaracter"/>
        </w:rPr>
        <w:t>-</w:t>
      </w:r>
      <w:r>
        <w:t xml:space="preserve"> Sentencias </w:t>
      </w:r>
      <w:hyperlink w:anchor="SENTENCIA_1997_23" w:history="1">
        <w:r w:rsidRPr="00575662">
          <w:rPr>
            <w:rStyle w:val="TextoNormalCaracter"/>
          </w:rPr>
          <w:t>23/1997</w:t>
        </w:r>
      </w:hyperlink>
      <w:r>
        <w:t xml:space="preserve">, f. 6; </w:t>
      </w:r>
      <w:hyperlink w:anchor="SENTENCIA_1997_46" w:history="1">
        <w:r w:rsidRPr="00575662">
          <w:rPr>
            <w:rStyle w:val="TextoNormalCaracter"/>
          </w:rPr>
          <w:t>46/1997</w:t>
        </w:r>
      </w:hyperlink>
      <w:r>
        <w:t xml:space="preserve">, f. 2; </w:t>
      </w:r>
      <w:hyperlink w:anchor="SENTENCIA_1997_48" w:history="1">
        <w:r w:rsidRPr="00575662">
          <w:rPr>
            <w:rStyle w:val="TextoNormalCaracter"/>
          </w:rPr>
          <w:t>48/1997</w:t>
        </w:r>
      </w:hyperlink>
      <w:r>
        <w:t xml:space="preserve">, f. 2; </w:t>
      </w:r>
      <w:hyperlink w:anchor="SENTENCIA_1997_74" w:history="1">
        <w:r w:rsidRPr="00575662">
          <w:rPr>
            <w:rStyle w:val="TextoNormalCaracter"/>
          </w:rPr>
          <w:t>74/1997</w:t>
        </w:r>
      </w:hyperlink>
      <w:r>
        <w:t>, f. 1.</w:t>
      </w:r>
    </w:p>
    <w:p w:rsidR="00575662" w:rsidRDefault="00575662" w:rsidP="00575662">
      <w:pPr>
        <w:pStyle w:val="SangriaFrancesaArticulo"/>
      </w:pPr>
      <w:r w:rsidRPr="00575662">
        <w:rPr>
          <w:rStyle w:val="TextoNormalNegritaCaracter"/>
        </w:rPr>
        <w:t>Artículo 56.</w:t>
      </w:r>
      <w:r w:rsidRPr="00575662">
        <w:rPr>
          <w:rStyle w:val="TextoNormalCaracter"/>
        </w:rPr>
        <w:t>-</w:t>
      </w:r>
      <w:r>
        <w:t xml:space="preserve"> Autos </w:t>
      </w:r>
      <w:hyperlink w:anchor="AUTO_1997_1" w:history="1">
        <w:r w:rsidRPr="00575662">
          <w:rPr>
            <w:rStyle w:val="TextoNormalCaracter"/>
          </w:rPr>
          <w:t>1/1997</w:t>
        </w:r>
      </w:hyperlink>
      <w:r>
        <w:t xml:space="preserve">; </w:t>
      </w:r>
      <w:hyperlink w:anchor="AUTO_1997_2" w:history="1">
        <w:r w:rsidRPr="00575662">
          <w:rPr>
            <w:rStyle w:val="TextoNormalCaracter"/>
          </w:rPr>
          <w:t>2/1997</w:t>
        </w:r>
      </w:hyperlink>
      <w:r>
        <w:t xml:space="preserve">; </w:t>
      </w:r>
      <w:hyperlink w:anchor="AUTO_1997_3" w:history="1">
        <w:r w:rsidRPr="00575662">
          <w:rPr>
            <w:rStyle w:val="TextoNormalCaracter"/>
          </w:rPr>
          <w:t>3/1997</w:t>
        </w:r>
      </w:hyperlink>
      <w:r>
        <w:t xml:space="preserve">; </w:t>
      </w:r>
      <w:hyperlink w:anchor="AUTO_1997_22" w:history="1">
        <w:r w:rsidRPr="00575662">
          <w:rPr>
            <w:rStyle w:val="TextoNormalCaracter"/>
          </w:rPr>
          <w:t>22/1997</w:t>
        </w:r>
      </w:hyperlink>
      <w:r>
        <w:t xml:space="preserve">; </w:t>
      </w:r>
      <w:hyperlink w:anchor="AUTO_1997_34" w:history="1">
        <w:r w:rsidRPr="00575662">
          <w:rPr>
            <w:rStyle w:val="TextoNormalCaracter"/>
          </w:rPr>
          <w:t>34/1997</w:t>
        </w:r>
      </w:hyperlink>
      <w:r>
        <w:t xml:space="preserve">; </w:t>
      </w:r>
      <w:hyperlink w:anchor="AUTO_1997_36" w:history="1">
        <w:r w:rsidRPr="00575662">
          <w:rPr>
            <w:rStyle w:val="TextoNormalCaracter"/>
          </w:rPr>
          <w:t>36/1997</w:t>
        </w:r>
      </w:hyperlink>
      <w:r>
        <w:t xml:space="preserve">; </w:t>
      </w:r>
      <w:hyperlink w:anchor="AUTO_1997_38" w:history="1">
        <w:r w:rsidRPr="00575662">
          <w:rPr>
            <w:rStyle w:val="TextoNormalCaracter"/>
          </w:rPr>
          <w:t>38/1997</w:t>
        </w:r>
      </w:hyperlink>
      <w:r>
        <w:t xml:space="preserve">; </w:t>
      </w:r>
      <w:hyperlink w:anchor="AUTO_1997_39" w:history="1">
        <w:r w:rsidRPr="00575662">
          <w:rPr>
            <w:rStyle w:val="TextoNormalCaracter"/>
          </w:rPr>
          <w:t>39/1997</w:t>
        </w:r>
      </w:hyperlink>
      <w:r>
        <w:t xml:space="preserve">; </w:t>
      </w:r>
      <w:hyperlink w:anchor="AUTO_1997_40" w:history="1">
        <w:r w:rsidRPr="00575662">
          <w:rPr>
            <w:rStyle w:val="TextoNormalCaracter"/>
          </w:rPr>
          <w:t>40/1997</w:t>
        </w:r>
      </w:hyperlink>
      <w:r>
        <w:t xml:space="preserve">; </w:t>
      </w:r>
      <w:hyperlink w:anchor="AUTO_1997_51" w:history="1">
        <w:r w:rsidRPr="00575662">
          <w:rPr>
            <w:rStyle w:val="TextoNormalCaracter"/>
          </w:rPr>
          <w:t>51/1997</w:t>
        </w:r>
      </w:hyperlink>
      <w:r>
        <w:t xml:space="preserve">; </w:t>
      </w:r>
      <w:hyperlink w:anchor="AUTO_1997_56" w:history="1">
        <w:r w:rsidRPr="00575662">
          <w:rPr>
            <w:rStyle w:val="TextoNormalCaracter"/>
          </w:rPr>
          <w:t>56/1997</w:t>
        </w:r>
      </w:hyperlink>
      <w:r>
        <w:t xml:space="preserve">; </w:t>
      </w:r>
      <w:hyperlink w:anchor="AUTO_1997_102" w:history="1">
        <w:r w:rsidRPr="00575662">
          <w:rPr>
            <w:rStyle w:val="TextoNormalCaracter"/>
          </w:rPr>
          <w:t>102/1997</w:t>
        </w:r>
      </w:hyperlink>
      <w:r>
        <w:t>.</w:t>
      </w:r>
    </w:p>
    <w:p w:rsidR="00575662" w:rsidRDefault="00575662" w:rsidP="00575662">
      <w:pPr>
        <w:pStyle w:val="SangriaFrancesaArticulo"/>
      </w:pPr>
      <w:r w:rsidRPr="00575662">
        <w:rPr>
          <w:rStyle w:val="TextoNormalNegritaCaracter"/>
        </w:rPr>
        <w:t>Artículo 56.1.</w:t>
      </w:r>
      <w:r w:rsidRPr="00575662">
        <w:rPr>
          <w:rStyle w:val="TextoNormalCaracter"/>
        </w:rPr>
        <w:t>-</w:t>
      </w:r>
      <w:r>
        <w:t xml:space="preserve"> Autos </w:t>
      </w:r>
      <w:hyperlink w:anchor="AUTO_1997_5" w:history="1">
        <w:r w:rsidRPr="00575662">
          <w:rPr>
            <w:rStyle w:val="TextoNormalCaracter"/>
          </w:rPr>
          <w:t>5/1997</w:t>
        </w:r>
      </w:hyperlink>
      <w:r>
        <w:t xml:space="preserve">; </w:t>
      </w:r>
      <w:hyperlink w:anchor="AUTO_1997_6" w:history="1">
        <w:r w:rsidRPr="00575662">
          <w:rPr>
            <w:rStyle w:val="TextoNormalCaracter"/>
          </w:rPr>
          <w:t>6/1997</w:t>
        </w:r>
      </w:hyperlink>
      <w:r>
        <w:t xml:space="preserve">; </w:t>
      </w:r>
      <w:hyperlink w:anchor="AUTO_1997_8" w:history="1">
        <w:r w:rsidRPr="00575662">
          <w:rPr>
            <w:rStyle w:val="TextoNormalCaracter"/>
          </w:rPr>
          <w:t>8/1997</w:t>
        </w:r>
      </w:hyperlink>
      <w:r>
        <w:t xml:space="preserve">; </w:t>
      </w:r>
      <w:hyperlink w:anchor="AUTO_1997_9" w:history="1">
        <w:r w:rsidRPr="00575662">
          <w:rPr>
            <w:rStyle w:val="TextoNormalCaracter"/>
          </w:rPr>
          <w:t>9/1997</w:t>
        </w:r>
      </w:hyperlink>
      <w:r>
        <w:t xml:space="preserve">; </w:t>
      </w:r>
      <w:hyperlink w:anchor="AUTO_1997_16" w:history="1">
        <w:r w:rsidRPr="00575662">
          <w:rPr>
            <w:rStyle w:val="TextoNormalCaracter"/>
          </w:rPr>
          <w:t>16/1997</w:t>
        </w:r>
      </w:hyperlink>
      <w:r>
        <w:t xml:space="preserve">; </w:t>
      </w:r>
      <w:hyperlink w:anchor="AUTO_1997_18" w:history="1">
        <w:r w:rsidRPr="00575662">
          <w:rPr>
            <w:rStyle w:val="TextoNormalCaracter"/>
          </w:rPr>
          <w:t>18/1997</w:t>
        </w:r>
      </w:hyperlink>
      <w:r>
        <w:t xml:space="preserve">; </w:t>
      </w:r>
      <w:hyperlink w:anchor="AUTO_1997_20" w:history="1">
        <w:r w:rsidRPr="00575662">
          <w:rPr>
            <w:rStyle w:val="TextoNormalCaracter"/>
          </w:rPr>
          <w:t>20/1997</w:t>
        </w:r>
      </w:hyperlink>
      <w:r>
        <w:t xml:space="preserve">; </w:t>
      </w:r>
      <w:hyperlink w:anchor="AUTO_1997_34" w:history="1">
        <w:r w:rsidRPr="00575662">
          <w:rPr>
            <w:rStyle w:val="TextoNormalCaracter"/>
          </w:rPr>
          <w:t>34/1997</w:t>
        </w:r>
      </w:hyperlink>
      <w:r>
        <w:t xml:space="preserve">; </w:t>
      </w:r>
      <w:hyperlink w:anchor="AUTO_1997_36" w:history="1">
        <w:r w:rsidRPr="00575662">
          <w:rPr>
            <w:rStyle w:val="TextoNormalCaracter"/>
          </w:rPr>
          <w:t>36/1997</w:t>
        </w:r>
      </w:hyperlink>
      <w:r>
        <w:t xml:space="preserve">; </w:t>
      </w:r>
      <w:hyperlink w:anchor="AUTO_1997_41" w:history="1">
        <w:r w:rsidRPr="00575662">
          <w:rPr>
            <w:rStyle w:val="TextoNormalCaracter"/>
          </w:rPr>
          <w:t>41/1997</w:t>
        </w:r>
      </w:hyperlink>
      <w:r>
        <w:t xml:space="preserve">; </w:t>
      </w:r>
      <w:hyperlink w:anchor="AUTO_1997_47" w:history="1">
        <w:r w:rsidRPr="00575662">
          <w:rPr>
            <w:rStyle w:val="TextoNormalCaracter"/>
          </w:rPr>
          <w:t>47/1997</w:t>
        </w:r>
      </w:hyperlink>
      <w:r>
        <w:t xml:space="preserve">; </w:t>
      </w:r>
      <w:hyperlink w:anchor="AUTO_1997_49" w:history="1">
        <w:r w:rsidRPr="00575662">
          <w:rPr>
            <w:rStyle w:val="TextoNormalCaracter"/>
          </w:rPr>
          <w:t>49/1997</w:t>
        </w:r>
      </w:hyperlink>
      <w:r>
        <w:t xml:space="preserve">; </w:t>
      </w:r>
      <w:hyperlink w:anchor="AUTO_1997_52" w:history="1">
        <w:r w:rsidRPr="00575662">
          <w:rPr>
            <w:rStyle w:val="TextoNormalCaracter"/>
          </w:rPr>
          <w:t>52/1997</w:t>
        </w:r>
      </w:hyperlink>
      <w:r>
        <w:t xml:space="preserve">; </w:t>
      </w:r>
      <w:hyperlink w:anchor="AUTO_1997_58" w:history="1">
        <w:r w:rsidRPr="00575662">
          <w:rPr>
            <w:rStyle w:val="TextoNormalCaracter"/>
          </w:rPr>
          <w:t>58/1997</w:t>
        </w:r>
      </w:hyperlink>
      <w:r>
        <w:t xml:space="preserve">; </w:t>
      </w:r>
      <w:hyperlink w:anchor="AUTO_1997_61" w:history="1">
        <w:r w:rsidRPr="00575662">
          <w:rPr>
            <w:rStyle w:val="TextoNormalCaracter"/>
          </w:rPr>
          <w:t>61/1997</w:t>
        </w:r>
      </w:hyperlink>
      <w:r>
        <w:t xml:space="preserve">; </w:t>
      </w:r>
      <w:hyperlink w:anchor="AUTO_1997_69" w:history="1">
        <w:r w:rsidRPr="00575662">
          <w:rPr>
            <w:rStyle w:val="TextoNormalCaracter"/>
          </w:rPr>
          <w:t>69/1997</w:t>
        </w:r>
      </w:hyperlink>
      <w:r>
        <w:t xml:space="preserve">; </w:t>
      </w:r>
      <w:hyperlink w:anchor="AUTO_1997_71" w:history="1">
        <w:r w:rsidRPr="00575662">
          <w:rPr>
            <w:rStyle w:val="TextoNormalCaracter"/>
          </w:rPr>
          <w:t>71/1997</w:t>
        </w:r>
      </w:hyperlink>
      <w:r>
        <w:t xml:space="preserve">; </w:t>
      </w:r>
      <w:hyperlink w:anchor="AUTO_1997_72" w:history="1">
        <w:r w:rsidRPr="00575662">
          <w:rPr>
            <w:rStyle w:val="TextoNormalCaracter"/>
          </w:rPr>
          <w:t>72/1997</w:t>
        </w:r>
      </w:hyperlink>
      <w:r>
        <w:t xml:space="preserve">; </w:t>
      </w:r>
      <w:hyperlink w:anchor="AUTO_1997_74" w:history="1">
        <w:r w:rsidRPr="00575662">
          <w:rPr>
            <w:rStyle w:val="TextoNormalCaracter"/>
          </w:rPr>
          <w:t>74/1997</w:t>
        </w:r>
      </w:hyperlink>
      <w:r>
        <w:t xml:space="preserve">; </w:t>
      </w:r>
      <w:hyperlink w:anchor="AUTO_1997_83" w:history="1">
        <w:r w:rsidRPr="00575662">
          <w:rPr>
            <w:rStyle w:val="TextoNormalCaracter"/>
          </w:rPr>
          <w:t>83/1997</w:t>
        </w:r>
      </w:hyperlink>
      <w:r>
        <w:t xml:space="preserve">; </w:t>
      </w:r>
      <w:hyperlink w:anchor="AUTO_1997_84" w:history="1">
        <w:r w:rsidRPr="00575662">
          <w:rPr>
            <w:rStyle w:val="TextoNormalCaracter"/>
          </w:rPr>
          <w:t>84/1997</w:t>
        </w:r>
      </w:hyperlink>
      <w:r>
        <w:t xml:space="preserve">; </w:t>
      </w:r>
      <w:hyperlink w:anchor="AUTO_1997_86" w:history="1">
        <w:r w:rsidRPr="00575662">
          <w:rPr>
            <w:rStyle w:val="TextoNormalCaracter"/>
          </w:rPr>
          <w:t>86/1997</w:t>
        </w:r>
      </w:hyperlink>
      <w:r>
        <w:t xml:space="preserve">; </w:t>
      </w:r>
      <w:hyperlink w:anchor="AUTO_1997_87" w:history="1">
        <w:r w:rsidRPr="00575662">
          <w:rPr>
            <w:rStyle w:val="TextoNormalCaracter"/>
          </w:rPr>
          <w:t>87/1997</w:t>
        </w:r>
      </w:hyperlink>
      <w:r>
        <w:t xml:space="preserve">; </w:t>
      </w:r>
      <w:hyperlink w:anchor="AUTO_1997_88" w:history="1">
        <w:r w:rsidRPr="00575662">
          <w:rPr>
            <w:rStyle w:val="TextoNormalCaracter"/>
          </w:rPr>
          <w:t>88/1997</w:t>
        </w:r>
      </w:hyperlink>
      <w:r>
        <w:t xml:space="preserve">; </w:t>
      </w:r>
      <w:hyperlink w:anchor="AUTO_1997_89" w:history="1">
        <w:r w:rsidRPr="00575662">
          <w:rPr>
            <w:rStyle w:val="TextoNormalCaracter"/>
          </w:rPr>
          <w:t>89/1997</w:t>
        </w:r>
      </w:hyperlink>
      <w:r>
        <w:t xml:space="preserve">; </w:t>
      </w:r>
      <w:hyperlink w:anchor="AUTO_1997_97" w:history="1">
        <w:r w:rsidRPr="00575662">
          <w:rPr>
            <w:rStyle w:val="TextoNormalCaracter"/>
          </w:rPr>
          <w:t>97/1997</w:t>
        </w:r>
      </w:hyperlink>
      <w:r>
        <w:t xml:space="preserve">; </w:t>
      </w:r>
      <w:hyperlink w:anchor="AUTO_1997_98" w:history="1">
        <w:r w:rsidRPr="00575662">
          <w:rPr>
            <w:rStyle w:val="TextoNormalCaracter"/>
          </w:rPr>
          <w:t>98/1997</w:t>
        </w:r>
      </w:hyperlink>
      <w:r>
        <w:t xml:space="preserve">; </w:t>
      </w:r>
      <w:hyperlink w:anchor="AUTO_1997_109" w:history="1">
        <w:r w:rsidRPr="00575662">
          <w:rPr>
            <w:rStyle w:val="TextoNormalCaracter"/>
          </w:rPr>
          <w:t>109/1997</w:t>
        </w:r>
      </w:hyperlink>
      <w:r>
        <w:t xml:space="preserve">; </w:t>
      </w:r>
      <w:hyperlink w:anchor="AUTO_1997_113" w:history="1">
        <w:r w:rsidRPr="00575662">
          <w:rPr>
            <w:rStyle w:val="TextoNormalCaracter"/>
          </w:rPr>
          <w:t>113/1997</w:t>
        </w:r>
      </w:hyperlink>
      <w:r>
        <w:t>.</w:t>
      </w:r>
    </w:p>
    <w:p w:rsidR="00575662" w:rsidRDefault="00575662" w:rsidP="00575662">
      <w:pPr>
        <w:pStyle w:val="SangriaFrancesaArticulo"/>
      </w:pPr>
      <w:r w:rsidRPr="00575662">
        <w:rPr>
          <w:rStyle w:val="TextoNormalNegritaCaracter"/>
        </w:rPr>
        <w:t>Artículo 58.</w:t>
      </w:r>
      <w:r w:rsidRPr="00575662">
        <w:rPr>
          <w:rStyle w:val="TextoNormalCaracter"/>
        </w:rPr>
        <w:t>-</w:t>
      </w:r>
      <w:r>
        <w:t xml:space="preserve"> Sentencia </w:t>
      </w:r>
      <w:hyperlink w:anchor="SENTENCIA_1997_33" w:history="1">
        <w:r w:rsidRPr="00575662">
          <w:rPr>
            <w:rStyle w:val="TextoNormalCaracter"/>
          </w:rPr>
          <w:t>33/1997</w:t>
        </w:r>
      </w:hyperlink>
      <w:r>
        <w:t>, f. 3.</w:t>
      </w:r>
    </w:p>
    <w:p w:rsidR="00575662" w:rsidRDefault="00575662" w:rsidP="00575662">
      <w:pPr>
        <w:pStyle w:val="SangriaFrancesaArticulo"/>
      </w:pPr>
      <w:r w:rsidRPr="00575662">
        <w:rPr>
          <w:rStyle w:val="TextoNormalNegritaCaracter"/>
        </w:rPr>
        <w:t>Artículo 80.</w:t>
      </w:r>
      <w:r w:rsidRPr="00575662">
        <w:rPr>
          <w:rStyle w:val="TextoNormalCaracter"/>
        </w:rPr>
        <w:t>-</w:t>
      </w:r>
      <w:r>
        <w:t xml:space="preserve"> Autos </w:t>
      </w:r>
      <w:hyperlink w:anchor="AUTO_1997_21" w:history="1">
        <w:r w:rsidRPr="00575662">
          <w:rPr>
            <w:rStyle w:val="TextoNormalCaracter"/>
          </w:rPr>
          <w:t>21/1997</w:t>
        </w:r>
      </w:hyperlink>
      <w:r>
        <w:t xml:space="preserve">; </w:t>
      </w:r>
      <w:hyperlink w:anchor="AUTO_1997_45" w:history="1">
        <w:r w:rsidRPr="00575662">
          <w:rPr>
            <w:rStyle w:val="TextoNormalCaracter"/>
          </w:rPr>
          <w:t>45/1997</w:t>
        </w:r>
      </w:hyperlink>
      <w:r>
        <w:t xml:space="preserve">; </w:t>
      </w:r>
      <w:hyperlink w:anchor="AUTO_1997_65" w:history="1">
        <w:r w:rsidRPr="00575662">
          <w:rPr>
            <w:rStyle w:val="TextoNormalCaracter"/>
          </w:rPr>
          <w:t>65/1997</w:t>
        </w:r>
      </w:hyperlink>
      <w:r>
        <w:t xml:space="preserve">; </w:t>
      </w:r>
      <w:hyperlink w:anchor="AUTO_1997_107" w:history="1">
        <w:r w:rsidRPr="00575662">
          <w:rPr>
            <w:rStyle w:val="TextoNormalCaracter"/>
          </w:rPr>
          <w:t>107/1997</w:t>
        </w:r>
      </w:hyperlink>
      <w:r>
        <w:t>.</w:t>
      </w:r>
    </w:p>
    <w:p w:rsidR="00575662" w:rsidRDefault="00575662" w:rsidP="00575662">
      <w:pPr>
        <w:pStyle w:val="SangriaFrancesaArticulo"/>
      </w:pPr>
      <w:r w:rsidRPr="00575662">
        <w:rPr>
          <w:rStyle w:val="TextoNormalNegritaCaracter"/>
        </w:rPr>
        <w:t>Artículo 84.</w:t>
      </w:r>
      <w:r w:rsidRPr="00575662">
        <w:rPr>
          <w:rStyle w:val="TextoNormalCaracter"/>
        </w:rPr>
        <w:t>-</w:t>
      </w:r>
      <w:r>
        <w:t xml:space="preserve"> Sentencia </w:t>
      </w:r>
      <w:hyperlink w:anchor="SENTENCIA_1997_81" w:history="1">
        <w:r w:rsidRPr="00575662">
          <w:rPr>
            <w:rStyle w:val="TextoNormalCaracter"/>
          </w:rPr>
          <w:t>81/1997</w:t>
        </w:r>
      </w:hyperlink>
      <w:r>
        <w:t>, f. 1.</w:t>
      </w:r>
    </w:p>
    <w:p w:rsidR="00575662" w:rsidRDefault="00575662" w:rsidP="00575662">
      <w:pPr>
        <w:pStyle w:val="SangriaFrancesaArticulo"/>
      </w:pPr>
      <w:r w:rsidRPr="00575662">
        <w:rPr>
          <w:rStyle w:val="TextoNormalNegritaCaracter"/>
        </w:rPr>
        <w:t>Artículo 86.</w:t>
      </w:r>
      <w:r w:rsidRPr="00575662">
        <w:rPr>
          <w:rStyle w:val="TextoNormalCaracter"/>
        </w:rPr>
        <w:t>-</w:t>
      </w:r>
      <w:r>
        <w:t xml:space="preserve"> Auto </w:t>
      </w:r>
      <w:hyperlink w:anchor="AUTO_1997_54" w:history="1">
        <w:r w:rsidRPr="00575662">
          <w:rPr>
            <w:rStyle w:val="TextoNormalCaracter"/>
          </w:rPr>
          <w:t>54/1997</w:t>
        </w:r>
      </w:hyperlink>
      <w:r>
        <w:t>.</w:t>
      </w:r>
    </w:p>
    <w:p w:rsidR="00575662" w:rsidRDefault="00575662" w:rsidP="00575662">
      <w:pPr>
        <w:pStyle w:val="TextoNormal"/>
      </w:pPr>
    </w:p>
    <w:p w:rsidR="00575662" w:rsidRDefault="00575662" w:rsidP="00575662">
      <w:pPr>
        <w:pStyle w:val="SangriaFrancesaArticulo"/>
      </w:pPr>
      <w:bookmarkStart w:id="220" w:name="INDICE22844"/>
    </w:p>
    <w:bookmarkEnd w:id="220"/>
    <w:p w:rsidR="00575662" w:rsidRDefault="00575662" w:rsidP="00575662">
      <w:pPr>
        <w:pStyle w:val="TextoIndiceNivel2"/>
        <w:suppressAutoHyphens/>
      </w:pPr>
      <w:r>
        <w:t>C) Cortes Generales</w:t>
      </w:r>
    </w:p>
    <w:p w:rsidR="00575662" w:rsidRDefault="00575662" w:rsidP="00575662">
      <w:pPr>
        <w:pStyle w:val="TextoIndiceNivel2"/>
      </w:pPr>
    </w:p>
    <w:p w:rsidR="00575662" w:rsidRDefault="00575662" w:rsidP="00575662">
      <w:pPr>
        <w:pStyle w:val="TextoNormalNegritaCursivandice"/>
      </w:pPr>
      <w:r>
        <w:t>Reglamento del Congreso de los Diputados, de 10 de febrero de 1982</w:t>
      </w:r>
    </w:p>
    <w:p w:rsidR="00575662" w:rsidRDefault="00575662" w:rsidP="00575662">
      <w:pPr>
        <w:pStyle w:val="SangriaFrancesaArticulo"/>
      </w:pPr>
      <w:r w:rsidRPr="00575662">
        <w:rPr>
          <w:rStyle w:val="TextoNormalNegritaCaracter"/>
        </w:rPr>
        <w:t>Artículo 20.2.</w:t>
      </w:r>
      <w:r w:rsidRPr="00575662">
        <w:rPr>
          <w:rStyle w:val="TextoNormalCaracter"/>
        </w:rPr>
        <w:t>-</w:t>
      </w:r>
      <w:r>
        <w:t xml:space="preserve"> Sentencia </w:t>
      </w:r>
      <w:hyperlink w:anchor="SENTENCIA_1997_22" w:history="1">
        <w:r w:rsidRPr="00575662">
          <w:rPr>
            <w:rStyle w:val="TextoNormalCaracter"/>
          </w:rPr>
          <w:t>22/1997</w:t>
        </w:r>
      </w:hyperlink>
      <w:r>
        <w:t>, f. 4.</w:t>
      </w:r>
    </w:p>
    <w:p w:rsidR="00575662" w:rsidRDefault="00575662" w:rsidP="00575662">
      <w:pPr>
        <w:pStyle w:val="SangriaFrancesaArticulo"/>
      </w:pPr>
      <w:r w:rsidRPr="00575662">
        <w:rPr>
          <w:rStyle w:val="TextoNormalNegritaCaracter"/>
        </w:rPr>
        <w:t>Artículo 21.</w:t>
      </w:r>
      <w:r w:rsidRPr="00575662">
        <w:rPr>
          <w:rStyle w:val="TextoNormalCaracter"/>
        </w:rPr>
        <w:t>-</w:t>
      </w:r>
      <w:r>
        <w:t xml:space="preserve"> Sentencia </w:t>
      </w:r>
      <w:hyperlink w:anchor="SENTENCIA_1997_22" w:history="1">
        <w:r w:rsidRPr="00575662">
          <w:rPr>
            <w:rStyle w:val="TextoNormalCaracter"/>
          </w:rPr>
          <w:t>22/1997</w:t>
        </w:r>
      </w:hyperlink>
      <w:r>
        <w:t>, f. 4.</w:t>
      </w:r>
    </w:p>
    <w:p w:rsidR="00575662" w:rsidRDefault="00575662" w:rsidP="00575662">
      <w:pPr>
        <w:pStyle w:val="SangriaFrancesaArticulo"/>
      </w:pPr>
    </w:p>
    <w:p w:rsidR="00575662" w:rsidRDefault="00575662" w:rsidP="00575662">
      <w:pPr>
        <w:pStyle w:val="TextoNormalNegritaCursivandice"/>
      </w:pPr>
      <w:r>
        <w:t>Reglamento del Senado, de 26 de mayo de 1982</w:t>
      </w:r>
    </w:p>
    <w:p w:rsidR="00575662" w:rsidRDefault="00575662" w:rsidP="00575662">
      <w:pPr>
        <w:pStyle w:val="SangriaFrancesaArticulo"/>
      </w:pPr>
      <w:r w:rsidRPr="00575662">
        <w:rPr>
          <w:rStyle w:val="TextoNormalNegritaCaracter"/>
        </w:rPr>
        <w:t>Artículo 22.</w:t>
      </w:r>
      <w:r w:rsidRPr="00575662">
        <w:rPr>
          <w:rStyle w:val="TextoNormalCaracter"/>
        </w:rPr>
        <w:t>-</w:t>
      </w:r>
      <w:r>
        <w:t xml:space="preserve"> Sentencia </w:t>
      </w:r>
      <w:hyperlink w:anchor="SENTENCIA_1997_22" w:history="1">
        <w:r w:rsidRPr="00575662">
          <w:rPr>
            <w:rStyle w:val="TextoNormalCaracter"/>
          </w:rPr>
          <w:t>22/1997</w:t>
        </w:r>
      </w:hyperlink>
      <w:r>
        <w:t>, f. 4.</w:t>
      </w:r>
    </w:p>
    <w:p w:rsidR="00575662" w:rsidRDefault="00575662" w:rsidP="00575662">
      <w:pPr>
        <w:pStyle w:val="TextoNormal"/>
      </w:pPr>
    </w:p>
    <w:p w:rsidR="00575662" w:rsidRDefault="00575662" w:rsidP="00575662">
      <w:pPr>
        <w:pStyle w:val="SangriaFrancesaArticulo"/>
      </w:pPr>
      <w:bookmarkStart w:id="221" w:name="INDICE22845"/>
    </w:p>
    <w:bookmarkEnd w:id="221"/>
    <w:p w:rsidR="00575662" w:rsidRDefault="00575662" w:rsidP="00575662">
      <w:pPr>
        <w:pStyle w:val="TextoIndiceNivel2"/>
        <w:suppressAutoHyphens/>
      </w:pPr>
      <w:r>
        <w:t>D) Leyes Orgánicas</w:t>
      </w:r>
    </w:p>
    <w:p w:rsidR="00575662" w:rsidRDefault="00575662" w:rsidP="00575662">
      <w:pPr>
        <w:pStyle w:val="TextoIndiceNivel2"/>
      </w:pPr>
    </w:p>
    <w:p w:rsidR="00575662" w:rsidRDefault="00575662" w:rsidP="00575662">
      <w:pPr>
        <w:pStyle w:val="TextoNormalNegritaCursivandice"/>
      </w:pPr>
      <w:r>
        <w:t>Ley Orgánica 1/1979, de 26 de septiembre. General penitenciaria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60" w:history="1">
        <w:r w:rsidRPr="00575662">
          <w:rPr>
            <w:rStyle w:val="TextoNormalCaracter"/>
          </w:rPr>
          <w:t>60/1997</w:t>
        </w:r>
      </w:hyperlink>
      <w:r>
        <w:t>, f. 2.</w:t>
      </w:r>
    </w:p>
    <w:p w:rsidR="00575662" w:rsidRDefault="00575662" w:rsidP="00575662">
      <w:pPr>
        <w:pStyle w:val="SangriaFrancesaArticulo"/>
      </w:pPr>
      <w:r w:rsidRPr="00575662">
        <w:rPr>
          <w:rStyle w:val="TextoNormalNegritaCaracter"/>
        </w:rPr>
        <w:t>Artículo 1.</w:t>
      </w:r>
      <w:r w:rsidRPr="00575662">
        <w:rPr>
          <w:rStyle w:val="TextoNormalCaracter"/>
        </w:rPr>
        <w:t>-</w:t>
      </w:r>
      <w:r>
        <w:t xml:space="preserve"> Sentencia </w:t>
      </w:r>
      <w:hyperlink w:anchor="SENTENCIA_1997_60" w:history="1">
        <w:r w:rsidRPr="00575662">
          <w:rPr>
            <w:rStyle w:val="TextoNormalCaracter"/>
          </w:rPr>
          <w:t>60/1997</w:t>
        </w:r>
      </w:hyperlink>
      <w:r>
        <w:t>, f. 1.</w:t>
      </w:r>
    </w:p>
    <w:p w:rsidR="00575662" w:rsidRDefault="00575662" w:rsidP="00575662">
      <w:pPr>
        <w:pStyle w:val="SangriaFrancesaArticulo"/>
      </w:pPr>
      <w:r w:rsidRPr="00575662">
        <w:rPr>
          <w:rStyle w:val="TextoNormalNegritaCaracter"/>
        </w:rPr>
        <w:t>Artículo 45.</w:t>
      </w:r>
      <w:r w:rsidRPr="00575662">
        <w:rPr>
          <w:rStyle w:val="TextoNormalCaracter"/>
        </w:rPr>
        <w:t>-</w:t>
      </w:r>
      <w:r>
        <w:t xml:space="preserve"> Sentencia </w:t>
      </w:r>
      <w:hyperlink w:anchor="SENTENCIA_1997_39" w:history="1">
        <w:r w:rsidRPr="00575662">
          <w:rPr>
            <w:rStyle w:val="TextoNormalCaracter"/>
          </w:rPr>
          <w:t>39/1997</w:t>
        </w:r>
      </w:hyperlink>
      <w:r>
        <w:t>, f. 4.</w:t>
      </w:r>
    </w:p>
    <w:p w:rsidR="00575662" w:rsidRDefault="00575662" w:rsidP="00575662">
      <w:pPr>
        <w:pStyle w:val="SangriaFrancesaArticulo"/>
      </w:pPr>
      <w:r w:rsidRPr="00575662">
        <w:rPr>
          <w:rStyle w:val="TextoNormalNegritaCaracter"/>
        </w:rPr>
        <w:t>Artículo 47.2.</w:t>
      </w:r>
      <w:r w:rsidRPr="00575662">
        <w:rPr>
          <w:rStyle w:val="TextoNormalCaracter"/>
        </w:rPr>
        <w:t>-</w:t>
      </w:r>
      <w:r>
        <w:t xml:space="preserve"> Sentencias </w:t>
      </w:r>
      <w:hyperlink w:anchor="SENTENCIA_1997_2" w:history="1">
        <w:r w:rsidRPr="00575662">
          <w:rPr>
            <w:rStyle w:val="TextoNormalCaracter"/>
          </w:rPr>
          <w:t>2/1997</w:t>
        </w:r>
      </w:hyperlink>
      <w:r>
        <w:t xml:space="preserve">, f. 4; </w:t>
      </w:r>
      <w:hyperlink w:anchor="SENTENCIA_1997_81" w:history="1">
        <w:r w:rsidRPr="00575662">
          <w:rPr>
            <w:rStyle w:val="TextoNormalCaracter"/>
          </w:rPr>
          <w:t>81/1997</w:t>
        </w:r>
      </w:hyperlink>
      <w:r>
        <w:t>, ff. 3, 5.</w:t>
      </w:r>
    </w:p>
    <w:p w:rsidR="00575662" w:rsidRDefault="00575662" w:rsidP="00575662">
      <w:pPr>
        <w:pStyle w:val="SangriaFrancesaArticulo"/>
      </w:pPr>
      <w:r w:rsidRPr="00575662">
        <w:rPr>
          <w:rStyle w:val="TextoNormalNegritaCaracter"/>
        </w:rPr>
        <w:t>Artículo 76.1.</w:t>
      </w:r>
      <w:r w:rsidRPr="00575662">
        <w:rPr>
          <w:rStyle w:val="TextoNormalCaracter"/>
        </w:rPr>
        <w:t>-</w:t>
      </w:r>
      <w:r>
        <w:t xml:space="preserve"> Sentencias </w:t>
      </w:r>
      <w:hyperlink w:anchor="SENTENCIA_1997_39" w:history="1">
        <w:r w:rsidRPr="00575662">
          <w:rPr>
            <w:rStyle w:val="TextoNormalCaracter"/>
          </w:rPr>
          <w:t>39/1997</w:t>
        </w:r>
      </w:hyperlink>
      <w:r>
        <w:t xml:space="preserve">, f. 2; </w:t>
      </w:r>
      <w:hyperlink w:anchor="SENTENCIA_1997_83" w:history="1">
        <w:r w:rsidRPr="00575662">
          <w:rPr>
            <w:rStyle w:val="TextoNormalCaracter"/>
          </w:rPr>
          <w:t>83/1997</w:t>
        </w:r>
      </w:hyperlink>
      <w:r>
        <w:t>, f. 2.</w:t>
      </w:r>
    </w:p>
    <w:p w:rsidR="00575662" w:rsidRDefault="00575662" w:rsidP="00575662">
      <w:pPr>
        <w:pStyle w:val="SangriaFrancesaArticulo"/>
      </w:pPr>
      <w:r w:rsidRPr="00575662">
        <w:rPr>
          <w:rStyle w:val="TextoNormalNegritaCaracter"/>
        </w:rPr>
        <w:t>Artículo 76.2 e).</w:t>
      </w:r>
      <w:r w:rsidRPr="00575662">
        <w:rPr>
          <w:rStyle w:val="TextoNormalCaracter"/>
        </w:rPr>
        <w:t>-</w:t>
      </w:r>
      <w:r>
        <w:t xml:space="preserve"> Sentencias </w:t>
      </w:r>
      <w:hyperlink w:anchor="SENTENCIA_1997_39" w:history="1">
        <w:r w:rsidRPr="00575662">
          <w:rPr>
            <w:rStyle w:val="TextoNormalCaracter"/>
          </w:rPr>
          <w:t>39/1997</w:t>
        </w:r>
      </w:hyperlink>
      <w:r>
        <w:t xml:space="preserve">, f. 2; </w:t>
      </w:r>
      <w:hyperlink w:anchor="SENTENCIA_1997_83" w:history="1">
        <w:r w:rsidRPr="00575662">
          <w:rPr>
            <w:rStyle w:val="TextoNormalCaracter"/>
          </w:rPr>
          <w:t>83/1997</w:t>
        </w:r>
      </w:hyperlink>
      <w:r>
        <w:t>, f. 2.</w:t>
      </w:r>
    </w:p>
    <w:p w:rsidR="00575662" w:rsidRDefault="00575662" w:rsidP="00575662">
      <w:pPr>
        <w:pStyle w:val="SangriaFrancesaArticulo"/>
      </w:pPr>
    </w:p>
    <w:p w:rsidR="00575662" w:rsidRDefault="00575662" w:rsidP="00575662">
      <w:pPr>
        <w:pStyle w:val="TextoNormalNegritaCursivandice"/>
      </w:pPr>
      <w:r>
        <w:t>Ley Orgánica 7/1982, de 13 de julio. Contrabando</w:t>
      </w:r>
    </w:p>
    <w:p w:rsidR="00575662" w:rsidRDefault="00575662" w:rsidP="00575662">
      <w:pPr>
        <w:pStyle w:val="SangriaFrancesaArticulo"/>
      </w:pPr>
      <w:r w:rsidRPr="00575662">
        <w:rPr>
          <w:rStyle w:val="TextoNormalNegritaCaracter"/>
        </w:rPr>
        <w:t>Artículo 1.1.4.</w:t>
      </w:r>
      <w:r w:rsidRPr="00575662">
        <w:rPr>
          <w:rStyle w:val="TextoNormalCaracter"/>
        </w:rPr>
        <w:t>-</w:t>
      </w:r>
      <w:r>
        <w:t xml:space="preserve"> Auto </w:t>
      </w:r>
      <w:hyperlink w:anchor="AUTO_1997_49" w:history="1">
        <w:r w:rsidRPr="00575662">
          <w:rPr>
            <w:rStyle w:val="TextoNormalCaracter"/>
          </w:rPr>
          <w:t>49/1997</w:t>
        </w:r>
      </w:hyperlink>
      <w:r>
        <w:t>.</w:t>
      </w:r>
    </w:p>
    <w:p w:rsidR="00575662" w:rsidRDefault="00575662" w:rsidP="00575662">
      <w:pPr>
        <w:pStyle w:val="SangriaFrancesaArticulo"/>
      </w:pPr>
      <w:r w:rsidRPr="00575662">
        <w:rPr>
          <w:rStyle w:val="TextoNormalNegritaCaracter"/>
        </w:rPr>
        <w:t>Artículo 1.3.1.</w:t>
      </w:r>
      <w:r w:rsidRPr="00575662">
        <w:rPr>
          <w:rStyle w:val="TextoNormalCaracter"/>
        </w:rPr>
        <w:t>-</w:t>
      </w:r>
      <w:r>
        <w:t xml:space="preserve"> Auto </w:t>
      </w:r>
      <w:hyperlink w:anchor="AUTO_1997_49" w:history="1">
        <w:r w:rsidRPr="00575662">
          <w:rPr>
            <w:rStyle w:val="TextoNormalCaracter"/>
          </w:rPr>
          <w:t>49/1997</w:t>
        </w:r>
      </w:hyperlink>
      <w:r>
        <w:t>.</w:t>
      </w:r>
    </w:p>
    <w:p w:rsidR="00575662" w:rsidRDefault="00575662" w:rsidP="00575662">
      <w:pPr>
        <w:pStyle w:val="SangriaFrancesaArticulo"/>
      </w:pPr>
      <w:r w:rsidRPr="00575662">
        <w:rPr>
          <w:rStyle w:val="TextoNormalNegritaCaracter"/>
        </w:rPr>
        <w:t>Artículo 2.</w:t>
      </w:r>
      <w:r w:rsidRPr="00575662">
        <w:rPr>
          <w:rStyle w:val="TextoNormalCaracter"/>
        </w:rPr>
        <w:t>-</w:t>
      </w:r>
      <w:r>
        <w:t xml:space="preserve"> Auto </w:t>
      </w:r>
      <w:hyperlink w:anchor="AUTO_1997_49" w:history="1">
        <w:r w:rsidRPr="00575662">
          <w:rPr>
            <w:rStyle w:val="TextoNormalCaracter"/>
          </w:rPr>
          <w:t>49/1997</w:t>
        </w:r>
      </w:hyperlink>
      <w:r>
        <w:t>.</w:t>
      </w:r>
    </w:p>
    <w:p w:rsidR="00575662" w:rsidRDefault="00575662" w:rsidP="00575662">
      <w:pPr>
        <w:pStyle w:val="SangriaFrancesaArticulo"/>
      </w:pPr>
    </w:p>
    <w:p w:rsidR="00575662" w:rsidRDefault="00575662" w:rsidP="00575662">
      <w:pPr>
        <w:pStyle w:val="TextoNormalNegritaCursivandice"/>
      </w:pPr>
      <w:r>
        <w:t>Ley Orgánica 8/1983, de 25 de junio. Reforma urgente y parcial del Código penal</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Auto </w:t>
      </w:r>
      <w:hyperlink w:anchor="AUTO_1997_90" w:history="1">
        <w:r w:rsidRPr="00575662">
          <w:rPr>
            <w:rStyle w:val="TextoNormalCaracter"/>
          </w:rPr>
          <w:t>90/1997</w:t>
        </w:r>
      </w:hyperlink>
      <w:r>
        <w:t>.</w:t>
      </w:r>
    </w:p>
    <w:p w:rsidR="00575662" w:rsidRDefault="00575662" w:rsidP="00575662">
      <w:pPr>
        <w:pStyle w:val="SangriaFrancesaArticulo"/>
      </w:pPr>
    </w:p>
    <w:p w:rsidR="00575662" w:rsidRDefault="00575662" w:rsidP="00575662">
      <w:pPr>
        <w:pStyle w:val="TextoNormalNegritaCursivandice"/>
      </w:pPr>
      <w:r>
        <w:t>Ley Orgánica 11/1983, de 25 de agosto. Reforma universitaria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75" w:history="1">
        <w:r w:rsidRPr="00575662">
          <w:rPr>
            <w:rStyle w:val="TextoNormalCaracter"/>
          </w:rPr>
          <w:t>75/1997</w:t>
        </w:r>
      </w:hyperlink>
      <w:r>
        <w:t>, f. 3, VP.</w:t>
      </w:r>
    </w:p>
    <w:p w:rsidR="00575662" w:rsidRDefault="00575662" w:rsidP="00575662">
      <w:pPr>
        <w:pStyle w:val="SangriaFrancesaArticulo"/>
      </w:pPr>
      <w:r w:rsidRPr="00575662">
        <w:rPr>
          <w:rStyle w:val="TextoNormalNegritaCaracter"/>
        </w:rPr>
        <w:t>Artículo 1.</w:t>
      </w:r>
      <w:r w:rsidRPr="00575662">
        <w:rPr>
          <w:rStyle w:val="TextoNormalCaracter"/>
        </w:rPr>
        <w:t>-</w:t>
      </w:r>
      <w:r>
        <w:t xml:space="preserve"> Sentencia </w:t>
      </w:r>
      <w:hyperlink w:anchor="SENTENCIA_1997_75" w:history="1">
        <w:r w:rsidRPr="00575662">
          <w:rPr>
            <w:rStyle w:val="TextoNormalCaracter"/>
          </w:rPr>
          <w:t>75/1997</w:t>
        </w:r>
      </w:hyperlink>
      <w:r>
        <w:t>, f. 3.</w:t>
      </w:r>
    </w:p>
    <w:p w:rsidR="00575662" w:rsidRDefault="00575662" w:rsidP="00575662">
      <w:pPr>
        <w:pStyle w:val="SangriaFrancesaArticulo"/>
      </w:pPr>
      <w:r w:rsidRPr="00575662">
        <w:rPr>
          <w:rStyle w:val="TextoNormalNegritaCaracter"/>
        </w:rPr>
        <w:t>Artículo 2.</w:t>
      </w:r>
      <w:r w:rsidRPr="00575662">
        <w:rPr>
          <w:rStyle w:val="TextoNormalCaracter"/>
        </w:rPr>
        <w:t>-</w:t>
      </w:r>
      <w:r>
        <w:t xml:space="preserve"> Sentencia </w:t>
      </w:r>
      <w:hyperlink w:anchor="SENTENCIA_1997_75" w:history="1">
        <w:r w:rsidRPr="00575662">
          <w:rPr>
            <w:rStyle w:val="TextoNormalCaracter"/>
          </w:rPr>
          <w:t>75/1997</w:t>
        </w:r>
      </w:hyperlink>
      <w:r>
        <w:t>, VP.</w:t>
      </w:r>
    </w:p>
    <w:p w:rsidR="00575662" w:rsidRDefault="00575662" w:rsidP="00575662">
      <w:pPr>
        <w:pStyle w:val="SangriaFrancesaArticulo"/>
      </w:pPr>
      <w:r w:rsidRPr="00575662">
        <w:rPr>
          <w:rStyle w:val="TextoNormalNegritaCaracter"/>
        </w:rPr>
        <w:t>Artículo 3.</w:t>
      </w:r>
      <w:r w:rsidRPr="00575662">
        <w:rPr>
          <w:rStyle w:val="TextoNormalCaracter"/>
        </w:rPr>
        <w:t>-</w:t>
      </w:r>
      <w:r>
        <w:t xml:space="preserve"> Sentencia </w:t>
      </w:r>
      <w:hyperlink w:anchor="SENTENCIA_1997_75" w:history="1">
        <w:r w:rsidRPr="00575662">
          <w:rPr>
            <w:rStyle w:val="TextoNormalCaracter"/>
          </w:rPr>
          <w:t>75/1997</w:t>
        </w:r>
      </w:hyperlink>
      <w:r>
        <w:t>, VP.</w:t>
      </w:r>
    </w:p>
    <w:p w:rsidR="00575662" w:rsidRDefault="00575662" w:rsidP="00575662">
      <w:pPr>
        <w:pStyle w:val="SangriaFrancesaArticulo"/>
      </w:pPr>
      <w:r w:rsidRPr="00575662">
        <w:rPr>
          <w:rStyle w:val="TextoNormalNegritaCaracter"/>
        </w:rPr>
        <w:t>Artículo 3.2.</w:t>
      </w:r>
      <w:r w:rsidRPr="00575662">
        <w:rPr>
          <w:rStyle w:val="TextoNormalCaracter"/>
        </w:rPr>
        <w:t>-</w:t>
      </w:r>
      <w:r>
        <w:t xml:space="preserve"> Sentencia </w:t>
      </w:r>
      <w:hyperlink w:anchor="SENTENCIA_1997_75" w:history="1">
        <w:r w:rsidRPr="00575662">
          <w:rPr>
            <w:rStyle w:val="TextoNormalCaracter"/>
          </w:rPr>
          <w:t>75/1997</w:t>
        </w:r>
      </w:hyperlink>
      <w:r>
        <w:t>, ff. 2 a 4.</w:t>
      </w:r>
    </w:p>
    <w:p w:rsidR="00575662" w:rsidRDefault="00575662" w:rsidP="00575662">
      <w:pPr>
        <w:pStyle w:val="SangriaFrancesaArticulo"/>
      </w:pPr>
      <w:r w:rsidRPr="00575662">
        <w:rPr>
          <w:rStyle w:val="TextoNormalNegritaCaracter"/>
        </w:rPr>
        <w:t>Artículo 3.2 a).</w:t>
      </w:r>
      <w:r w:rsidRPr="00575662">
        <w:rPr>
          <w:rStyle w:val="TextoNormalCaracter"/>
        </w:rPr>
        <w:t>-</w:t>
      </w:r>
      <w:r>
        <w:t xml:space="preserve"> Sentencia </w:t>
      </w:r>
      <w:hyperlink w:anchor="SENTENCIA_1997_75" w:history="1">
        <w:r w:rsidRPr="00575662">
          <w:rPr>
            <w:rStyle w:val="TextoNormalCaracter"/>
          </w:rPr>
          <w:t>75/1997</w:t>
        </w:r>
      </w:hyperlink>
      <w:r>
        <w:t>, f. 3.</w:t>
      </w:r>
    </w:p>
    <w:p w:rsidR="00575662" w:rsidRDefault="00575662" w:rsidP="00575662">
      <w:pPr>
        <w:pStyle w:val="SangriaFrancesaArticulo"/>
      </w:pPr>
      <w:r w:rsidRPr="00575662">
        <w:rPr>
          <w:rStyle w:val="TextoNormalNegritaCaracter"/>
        </w:rPr>
        <w:t>Disposición transitoria segunda.</w:t>
      </w:r>
      <w:r w:rsidRPr="00575662">
        <w:rPr>
          <w:rStyle w:val="TextoNormalCaracter"/>
        </w:rPr>
        <w:t>-</w:t>
      </w:r>
      <w:r>
        <w:t xml:space="preserve"> Sentencia </w:t>
      </w:r>
      <w:hyperlink w:anchor="SENTENCIA_1997_75" w:history="1">
        <w:r w:rsidRPr="00575662">
          <w:rPr>
            <w:rStyle w:val="TextoNormalCaracter"/>
          </w:rPr>
          <w:t>75/1997</w:t>
        </w:r>
      </w:hyperlink>
      <w:r>
        <w:t>, f. 3.</w:t>
      </w:r>
    </w:p>
    <w:p w:rsidR="00575662" w:rsidRDefault="00575662" w:rsidP="00575662">
      <w:pPr>
        <w:pStyle w:val="SangriaFrancesaArticulo"/>
      </w:pPr>
    </w:p>
    <w:p w:rsidR="00575662" w:rsidRDefault="00575662" w:rsidP="00575662">
      <w:pPr>
        <w:pStyle w:val="TextoNormalNegritaCursivandice"/>
      </w:pPr>
      <w:r>
        <w:t>Ley Orgánica 6/1984, de 24 de mayo. Regula del procedimiento de Habeas Corpus.</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Auto </w:t>
      </w:r>
      <w:hyperlink w:anchor="AUTO_1997_115" w:history="1">
        <w:r w:rsidRPr="00575662">
          <w:rPr>
            <w:rStyle w:val="TextoNormalCaracter"/>
          </w:rPr>
          <w:t>115/1997</w:t>
        </w:r>
      </w:hyperlink>
      <w:r>
        <w:t>.</w:t>
      </w:r>
    </w:p>
    <w:p w:rsidR="00575662" w:rsidRDefault="00575662" w:rsidP="00575662">
      <w:pPr>
        <w:pStyle w:val="SangriaFrancesaArticulo"/>
      </w:pPr>
    </w:p>
    <w:p w:rsidR="00575662" w:rsidRDefault="00575662" w:rsidP="00575662">
      <w:pPr>
        <w:pStyle w:val="TextoNormalNegritaCursivandice"/>
      </w:pPr>
      <w:r>
        <w:t>Ley Orgánica 5/1985, de 19 de junio. Régimen electoral general</w:t>
      </w:r>
    </w:p>
    <w:p w:rsidR="00575662" w:rsidRDefault="00575662" w:rsidP="00575662">
      <w:pPr>
        <w:pStyle w:val="SangriaFrancesaArticulo"/>
      </w:pPr>
      <w:r w:rsidRPr="00575662">
        <w:rPr>
          <w:rStyle w:val="TextoNormalNegritaCaracter"/>
        </w:rPr>
        <w:t>Artículo 21.2.</w:t>
      </w:r>
      <w:r w:rsidRPr="00575662">
        <w:rPr>
          <w:rStyle w:val="TextoNormalCaracter"/>
        </w:rPr>
        <w:t>-</w:t>
      </w:r>
      <w:r>
        <w:t xml:space="preserve"> Sentencias </w:t>
      </w:r>
      <w:hyperlink w:anchor="SENTENCIA_1997_46" w:history="1">
        <w:r w:rsidRPr="00575662">
          <w:rPr>
            <w:rStyle w:val="TextoNormalCaracter"/>
          </w:rPr>
          <w:t>46/1997</w:t>
        </w:r>
      </w:hyperlink>
      <w:r>
        <w:t xml:space="preserve">, ff. 1, 2; </w:t>
      </w:r>
      <w:hyperlink w:anchor="SENTENCIA_1997_48" w:history="1">
        <w:r w:rsidRPr="00575662">
          <w:rPr>
            <w:rStyle w:val="TextoNormalCaracter"/>
          </w:rPr>
          <w:t>48/1997</w:t>
        </w:r>
      </w:hyperlink>
      <w:r>
        <w:t>, ff. 1, 2.</w:t>
      </w:r>
    </w:p>
    <w:p w:rsidR="00575662" w:rsidRDefault="00575662" w:rsidP="00575662">
      <w:pPr>
        <w:pStyle w:val="SangriaFrancesaArticulo"/>
      </w:pPr>
      <w:r w:rsidRPr="00575662">
        <w:rPr>
          <w:rStyle w:val="TextoNormalNegritaCaracter"/>
        </w:rPr>
        <w:t>Artículo 49.</w:t>
      </w:r>
      <w:r w:rsidRPr="00575662">
        <w:rPr>
          <w:rStyle w:val="TextoNormalCaracter"/>
        </w:rPr>
        <w:t>-</w:t>
      </w:r>
      <w:r>
        <w:t xml:space="preserve"> Sentencia </w:t>
      </w:r>
      <w:hyperlink w:anchor="SENTENCIA_1997_13" w:history="1">
        <w:r w:rsidRPr="00575662">
          <w:rPr>
            <w:rStyle w:val="TextoNormalCaracter"/>
          </w:rPr>
          <w:t>13/1997</w:t>
        </w:r>
      </w:hyperlink>
      <w:r>
        <w:t>, f. 4.</w:t>
      </w:r>
    </w:p>
    <w:p w:rsidR="00575662" w:rsidRDefault="00575662" w:rsidP="00575662">
      <w:pPr>
        <w:pStyle w:val="SangriaFrancesaArticulo"/>
      </w:pPr>
    </w:p>
    <w:p w:rsidR="00575662" w:rsidRDefault="00575662" w:rsidP="00575662">
      <w:pPr>
        <w:pStyle w:val="TextoNormalNegritaCursivandice"/>
      </w:pPr>
      <w:r>
        <w:t>Ley Orgánica 6/1985, de 1 de julio. Poder judicial</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22" w:history="1">
        <w:r w:rsidRPr="00575662">
          <w:rPr>
            <w:rStyle w:val="TextoNormalCaracter"/>
          </w:rPr>
          <w:t>22/1997</w:t>
        </w:r>
      </w:hyperlink>
      <w:r>
        <w:t>, f. 7.</w:t>
      </w:r>
    </w:p>
    <w:p w:rsidR="00575662" w:rsidRDefault="00575662" w:rsidP="00575662">
      <w:pPr>
        <w:pStyle w:val="SangriaFrancesaArticulo"/>
      </w:pPr>
      <w:r w:rsidRPr="00575662">
        <w:rPr>
          <w:rStyle w:val="TextoNormalNegritaCaracter"/>
        </w:rPr>
        <w:t>Libro V.</w:t>
      </w:r>
      <w:r w:rsidRPr="00575662">
        <w:rPr>
          <w:rStyle w:val="TextoNormalCaracter"/>
        </w:rPr>
        <w:t>-</w:t>
      </w:r>
      <w:r>
        <w:t xml:space="preserve"> Auto </w:t>
      </w:r>
      <w:hyperlink w:anchor="AUTO_1997_17" w:history="1">
        <w:r w:rsidRPr="00575662">
          <w:rPr>
            <w:rStyle w:val="TextoNormalCaracter"/>
          </w:rPr>
          <w:t>17/1997</w:t>
        </w:r>
      </w:hyperlink>
      <w:r>
        <w:t>.</w:t>
      </w:r>
    </w:p>
    <w:p w:rsidR="00575662" w:rsidRDefault="00575662" w:rsidP="00575662">
      <w:pPr>
        <w:pStyle w:val="SangriaFrancesaArticulo"/>
      </w:pPr>
      <w:r w:rsidRPr="00575662">
        <w:rPr>
          <w:rStyle w:val="TextoNormalNegritaCaracter"/>
        </w:rPr>
        <w:t>Título II, capítulo II.</w:t>
      </w:r>
      <w:r w:rsidRPr="00575662">
        <w:rPr>
          <w:rStyle w:val="TextoNormalCaracter"/>
        </w:rPr>
        <w:t>-</w:t>
      </w:r>
      <w:r>
        <w:t xml:space="preserve"> Auto </w:t>
      </w:r>
      <w:hyperlink w:anchor="AUTO_1997_104" w:history="1">
        <w:r w:rsidRPr="00575662">
          <w:rPr>
            <w:rStyle w:val="TextoNormalCaracter"/>
          </w:rPr>
          <w:t>104/1997</w:t>
        </w:r>
      </w:hyperlink>
      <w:r>
        <w:t>.</w:t>
      </w:r>
    </w:p>
    <w:p w:rsidR="00575662" w:rsidRDefault="00575662" w:rsidP="00575662">
      <w:pPr>
        <w:pStyle w:val="SangriaFrancesaArticulo"/>
      </w:pPr>
      <w:r w:rsidRPr="00575662">
        <w:rPr>
          <w:rStyle w:val="TextoNormalNegritaCaracter"/>
        </w:rPr>
        <w:t>Artículo 4.</w:t>
      </w:r>
      <w:r w:rsidRPr="00575662">
        <w:rPr>
          <w:rStyle w:val="TextoNormalCaracter"/>
        </w:rPr>
        <w:t>-</w:t>
      </w:r>
      <w:r>
        <w:t xml:space="preserve"> Sentencia </w:t>
      </w:r>
      <w:hyperlink w:anchor="SENTENCIA_1997_30" w:history="1">
        <w:r w:rsidRPr="00575662">
          <w:rPr>
            <w:rStyle w:val="TextoNormalCaracter"/>
          </w:rPr>
          <w:t>30/1997</w:t>
        </w:r>
      </w:hyperlink>
      <w:r>
        <w:t>, f. 6.</w:t>
      </w:r>
    </w:p>
    <w:p w:rsidR="00575662" w:rsidRDefault="00575662" w:rsidP="00575662">
      <w:pPr>
        <w:pStyle w:val="SangriaFrancesaArticulo"/>
      </w:pPr>
      <w:r w:rsidRPr="00575662">
        <w:rPr>
          <w:rStyle w:val="TextoNormalNegritaCaracter"/>
        </w:rPr>
        <w:t>Artículo 9.6.</w:t>
      </w:r>
      <w:r w:rsidRPr="00575662">
        <w:rPr>
          <w:rStyle w:val="TextoNormalCaracter"/>
        </w:rPr>
        <w:t>-</w:t>
      </w:r>
      <w:r>
        <w:t xml:space="preserve"> Sentencia </w:t>
      </w:r>
      <w:hyperlink w:anchor="SENTENCIA_1997_30" w:history="1">
        <w:r w:rsidRPr="00575662">
          <w:rPr>
            <w:rStyle w:val="TextoNormalCaracter"/>
          </w:rPr>
          <w:t>30/1997</w:t>
        </w:r>
      </w:hyperlink>
      <w:r>
        <w:t>, f. 7.</w:t>
      </w:r>
    </w:p>
    <w:p w:rsidR="00575662" w:rsidRDefault="00575662" w:rsidP="00575662">
      <w:pPr>
        <w:pStyle w:val="SangriaFrancesaArticulo"/>
      </w:pPr>
      <w:r w:rsidRPr="00575662">
        <w:rPr>
          <w:rStyle w:val="TextoNormalNegritaCaracter"/>
        </w:rPr>
        <w:t>Artículo 11.3.</w:t>
      </w:r>
      <w:r w:rsidRPr="00575662">
        <w:rPr>
          <w:rStyle w:val="TextoNormalCaracter"/>
        </w:rPr>
        <w:t>-</w:t>
      </w:r>
      <w:r>
        <w:t xml:space="preserve"> Sentencia </w:t>
      </w:r>
      <w:hyperlink w:anchor="SENTENCIA_1997_79" w:history="1">
        <w:r w:rsidRPr="00575662">
          <w:rPr>
            <w:rStyle w:val="TextoNormalCaracter"/>
          </w:rPr>
          <w:t>79/1997</w:t>
        </w:r>
      </w:hyperlink>
      <w:r>
        <w:t>, f. 5.</w:t>
      </w:r>
    </w:p>
    <w:p w:rsidR="00575662" w:rsidRDefault="00575662" w:rsidP="00575662">
      <w:pPr>
        <w:pStyle w:val="SangriaFrancesaArticulo"/>
      </w:pPr>
      <w:r w:rsidRPr="00575662">
        <w:rPr>
          <w:rStyle w:val="TextoNormalNegritaCaracter"/>
        </w:rPr>
        <w:t>Artículo 17.</w:t>
      </w:r>
      <w:r w:rsidRPr="00575662">
        <w:rPr>
          <w:rStyle w:val="TextoNormalCaracter"/>
        </w:rPr>
        <w:t>-</w:t>
      </w:r>
      <w:r>
        <w:t xml:space="preserve"> Sentencia </w:t>
      </w:r>
      <w:hyperlink w:anchor="SENTENCIA_1997_18" w:history="1">
        <w:r w:rsidRPr="00575662">
          <w:rPr>
            <w:rStyle w:val="TextoNormalCaracter"/>
          </w:rPr>
          <w:t>18/1997</w:t>
        </w:r>
      </w:hyperlink>
      <w:r>
        <w:t>, f. 8.</w:t>
      </w:r>
    </w:p>
    <w:p w:rsidR="00575662" w:rsidRDefault="00575662" w:rsidP="00575662">
      <w:pPr>
        <w:pStyle w:val="SangriaFrancesaArticulo"/>
      </w:pPr>
      <w:r w:rsidRPr="00575662">
        <w:rPr>
          <w:rStyle w:val="TextoNormalNegritaCaracter"/>
        </w:rPr>
        <w:t>Artículo 21.1.</w:t>
      </w:r>
      <w:r w:rsidRPr="00575662">
        <w:rPr>
          <w:rStyle w:val="TextoNormalCaracter"/>
        </w:rPr>
        <w:t>-</w:t>
      </w:r>
      <w:r>
        <w:t xml:space="preserve"> Sentencia </w:t>
      </w:r>
      <w:hyperlink w:anchor="SENTENCIA_1997_18" w:history="1">
        <w:r w:rsidRPr="00575662">
          <w:rPr>
            <w:rStyle w:val="TextoNormalCaracter"/>
          </w:rPr>
          <w:t>18/1997</w:t>
        </w:r>
      </w:hyperlink>
      <w:r>
        <w:t>, f. 6.</w:t>
      </w:r>
    </w:p>
    <w:p w:rsidR="00575662" w:rsidRDefault="00575662" w:rsidP="00575662">
      <w:pPr>
        <w:pStyle w:val="SangriaFrancesaArticulo"/>
      </w:pPr>
      <w:r w:rsidRPr="00575662">
        <w:rPr>
          <w:rStyle w:val="TextoNormalNegritaCaracter"/>
        </w:rPr>
        <w:t>Artículo 23.4.</w:t>
      </w:r>
      <w:r w:rsidRPr="00575662">
        <w:rPr>
          <w:rStyle w:val="TextoNormalCaracter"/>
        </w:rPr>
        <w:t>-</w:t>
      </w:r>
      <w:r>
        <w:t xml:space="preserve"> Sentencia </w:t>
      </w:r>
      <w:hyperlink w:anchor="SENTENCIA_1997_21" w:history="1">
        <w:r w:rsidRPr="00575662">
          <w:rPr>
            <w:rStyle w:val="TextoNormalCaracter"/>
          </w:rPr>
          <w:t>21/1997</w:t>
        </w:r>
      </w:hyperlink>
      <w:r>
        <w:t>, f. 3.</w:t>
      </w:r>
    </w:p>
    <w:p w:rsidR="00575662" w:rsidRDefault="00575662" w:rsidP="00575662">
      <w:pPr>
        <w:pStyle w:val="SangriaFrancesaArticulo"/>
      </w:pPr>
      <w:r w:rsidRPr="00575662">
        <w:rPr>
          <w:rStyle w:val="TextoNormalNegritaCaracter"/>
        </w:rPr>
        <w:t>Artículo 23.4 f).</w:t>
      </w:r>
      <w:r w:rsidRPr="00575662">
        <w:rPr>
          <w:rStyle w:val="TextoNormalCaracter"/>
        </w:rPr>
        <w:t>-</w:t>
      </w:r>
      <w:r>
        <w:t xml:space="preserve"> Sentencia </w:t>
      </w:r>
      <w:hyperlink w:anchor="SENTENCIA_1997_21" w:history="1">
        <w:r w:rsidRPr="00575662">
          <w:rPr>
            <w:rStyle w:val="TextoNormalCaracter"/>
          </w:rPr>
          <w:t>21/1997</w:t>
        </w:r>
      </w:hyperlink>
      <w:r>
        <w:t>, f. 3.</w:t>
      </w:r>
    </w:p>
    <w:p w:rsidR="00575662" w:rsidRDefault="00575662" w:rsidP="00575662">
      <w:pPr>
        <w:pStyle w:val="SangriaFrancesaArticulo"/>
      </w:pPr>
      <w:r w:rsidRPr="00575662">
        <w:rPr>
          <w:rStyle w:val="TextoNormalNegritaCaracter"/>
        </w:rPr>
        <w:t>Artículo 24.</w:t>
      </w:r>
      <w:r w:rsidRPr="00575662">
        <w:rPr>
          <w:rStyle w:val="TextoNormalCaracter"/>
        </w:rPr>
        <w:t>-</w:t>
      </w:r>
      <w:r>
        <w:t xml:space="preserve"> Auto </w:t>
      </w:r>
      <w:hyperlink w:anchor="AUTO_1997_95" w:history="1">
        <w:r w:rsidRPr="00575662">
          <w:rPr>
            <w:rStyle w:val="TextoNormalCaracter"/>
          </w:rPr>
          <w:t>95/1997</w:t>
        </w:r>
      </w:hyperlink>
      <w:r>
        <w:t>.</w:t>
      </w:r>
    </w:p>
    <w:p w:rsidR="00575662" w:rsidRDefault="00575662" w:rsidP="00575662">
      <w:pPr>
        <w:pStyle w:val="SangriaFrancesaArticulo"/>
      </w:pPr>
      <w:r w:rsidRPr="00575662">
        <w:rPr>
          <w:rStyle w:val="TextoNormalNegritaCaracter"/>
        </w:rPr>
        <w:t>Artículo 30.</w:t>
      </w:r>
      <w:r w:rsidRPr="00575662">
        <w:rPr>
          <w:rStyle w:val="TextoNormalCaracter"/>
        </w:rPr>
        <w:t>-</w:t>
      </w:r>
      <w:r>
        <w:t xml:space="preserve"> Auto </w:t>
      </w:r>
      <w:hyperlink w:anchor="AUTO_1997_104" w:history="1">
        <w:r w:rsidRPr="00575662">
          <w:rPr>
            <w:rStyle w:val="TextoNormalCaracter"/>
          </w:rPr>
          <w:t>104/1997</w:t>
        </w:r>
      </w:hyperlink>
      <w:r>
        <w:t>.</w:t>
      </w:r>
    </w:p>
    <w:p w:rsidR="00575662" w:rsidRDefault="00575662" w:rsidP="00575662">
      <w:pPr>
        <w:pStyle w:val="SangriaFrancesaArticulo"/>
      </w:pPr>
      <w:r w:rsidRPr="00575662">
        <w:rPr>
          <w:rStyle w:val="TextoNormalNegritaCaracter"/>
        </w:rPr>
        <w:t>Artículo 33.</w:t>
      </w:r>
      <w:r w:rsidRPr="00575662">
        <w:rPr>
          <w:rStyle w:val="TextoNormalCaracter"/>
        </w:rPr>
        <w:t>-</w:t>
      </w:r>
      <w:r>
        <w:t xml:space="preserve"> Auto </w:t>
      </w:r>
      <w:hyperlink w:anchor="AUTO_1997_104" w:history="1">
        <w:r w:rsidRPr="00575662">
          <w:rPr>
            <w:rStyle w:val="TextoNormalCaracter"/>
          </w:rPr>
          <w:t>104/1997</w:t>
        </w:r>
      </w:hyperlink>
      <w:r>
        <w:t>.</w:t>
      </w:r>
    </w:p>
    <w:p w:rsidR="00575662" w:rsidRDefault="00575662" w:rsidP="00575662">
      <w:pPr>
        <w:pStyle w:val="SangriaFrancesaArticulo"/>
      </w:pPr>
      <w:r w:rsidRPr="00575662">
        <w:rPr>
          <w:rStyle w:val="TextoNormalNegritaCaracter"/>
        </w:rPr>
        <w:t>Artículo 80.</w:t>
      </w:r>
      <w:r w:rsidRPr="00575662">
        <w:rPr>
          <w:rStyle w:val="TextoNormalCaracter"/>
        </w:rPr>
        <w:t>-</w:t>
      </w:r>
      <w:r>
        <w:t xml:space="preserve"> Auto </w:t>
      </w:r>
      <w:hyperlink w:anchor="AUTO_1997_104" w:history="1">
        <w:r w:rsidRPr="00575662">
          <w:rPr>
            <w:rStyle w:val="TextoNormalCaracter"/>
          </w:rPr>
          <w:t>104/1997</w:t>
        </w:r>
      </w:hyperlink>
      <w:r>
        <w:t>.</w:t>
      </w:r>
    </w:p>
    <w:p w:rsidR="00575662" w:rsidRDefault="00575662" w:rsidP="00575662">
      <w:pPr>
        <w:pStyle w:val="SangriaFrancesaArticulo"/>
      </w:pPr>
      <w:r w:rsidRPr="00575662">
        <w:rPr>
          <w:rStyle w:val="TextoNormalNegritaCaracter"/>
        </w:rPr>
        <w:t>Artículo 94.</w:t>
      </w:r>
      <w:r w:rsidRPr="00575662">
        <w:rPr>
          <w:rStyle w:val="TextoNormalCaracter"/>
        </w:rPr>
        <w:t>-</w:t>
      </w:r>
      <w:r>
        <w:t xml:space="preserve"> Sentencias </w:t>
      </w:r>
      <w:hyperlink w:anchor="SENTENCIA_1997_39" w:history="1">
        <w:r w:rsidRPr="00575662">
          <w:rPr>
            <w:rStyle w:val="TextoNormalCaracter"/>
          </w:rPr>
          <w:t>39/1997</w:t>
        </w:r>
      </w:hyperlink>
      <w:r>
        <w:t xml:space="preserve">, f. 2; </w:t>
      </w:r>
      <w:hyperlink w:anchor="SENTENCIA_1997_83" w:history="1">
        <w:r w:rsidRPr="00575662">
          <w:rPr>
            <w:rStyle w:val="TextoNormalCaracter"/>
          </w:rPr>
          <w:t>83/1997</w:t>
        </w:r>
      </w:hyperlink>
      <w:r>
        <w:t>, f. 2.</w:t>
      </w:r>
    </w:p>
    <w:p w:rsidR="00575662" w:rsidRDefault="00575662" w:rsidP="00575662">
      <w:pPr>
        <w:pStyle w:val="SangriaFrancesaArticulo"/>
      </w:pPr>
      <w:r w:rsidRPr="00575662">
        <w:rPr>
          <w:rStyle w:val="TextoNormalNegritaCaracter"/>
        </w:rPr>
        <w:t>Artículo 184.1.</w:t>
      </w:r>
      <w:r w:rsidRPr="00575662">
        <w:rPr>
          <w:rStyle w:val="TextoNormalCaracter"/>
        </w:rPr>
        <w:t>-</w:t>
      </w:r>
      <w:r>
        <w:t xml:space="preserve"> Auto </w:t>
      </w:r>
      <w:hyperlink w:anchor="AUTO_1997_111" w:history="1">
        <w:r w:rsidRPr="00575662">
          <w:rPr>
            <w:rStyle w:val="TextoNormalCaracter"/>
          </w:rPr>
          <w:t>111/1997</w:t>
        </w:r>
      </w:hyperlink>
      <w:r>
        <w:t>.</w:t>
      </w:r>
    </w:p>
    <w:p w:rsidR="00575662" w:rsidRDefault="00575662" w:rsidP="00575662">
      <w:pPr>
        <w:pStyle w:val="SangriaFrancesaArticulo"/>
      </w:pPr>
      <w:r w:rsidRPr="00575662">
        <w:rPr>
          <w:rStyle w:val="TextoNormalNegritaCaracter"/>
        </w:rPr>
        <w:t>Artículo 202.</w:t>
      </w:r>
      <w:r w:rsidRPr="00575662">
        <w:rPr>
          <w:rStyle w:val="TextoNormalCaracter"/>
        </w:rPr>
        <w:t>-</w:t>
      </w:r>
      <w:r>
        <w:t xml:space="preserve"> Sentencia </w:t>
      </w:r>
      <w:hyperlink w:anchor="SENTENCIA_1997_64" w:history="1">
        <w:r w:rsidRPr="00575662">
          <w:rPr>
            <w:rStyle w:val="TextoNormalCaracter"/>
          </w:rPr>
          <w:t>64/1997</w:t>
        </w:r>
      </w:hyperlink>
      <w:r>
        <w:t>, f. 3.</w:t>
      </w:r>
    </w:p>
    <w:p w:rsidR="00575662" w:rsidRDefault="00575662" w:rsidP="00575662">
      <w:pPr>
        <w:pStyle w:val="SangriaFrancesaArticulo"/>
      </w:pPr>
      <w:r w:rsidRPr="00575662">
        <w:rPr>
          <w:rStyle w:val="TextoNormalNegritaCaracter"/>
        </w:rPr>
        <w:t>Artículo 203.2.</w:t>
      </w:r>
      <w:r w:rsidRPr="00575662">
        <w:rPr>
          <w:rStyle w:val="TextoNormalCaracter"/>
        </w:rPr>
        <w:t>-</w:t>
      </w:r>
      <w:r>
        <w:t xml:space="preserve"> Sentencia </w:t>
      </w:r>
      <w:hyperlink w:anchor="SENTENCIA_1997_61" w:history="1">
        <w:r w:rsidRPr="00575662">
          <w:rPr>
            <w:rStyle w:val="TextoNormalCaracter"/>
          </w:rPr>
          <w:t>61/1997</w:t>
        </w:r>
      </w:hyperlink>
      <w:r>
        <w:t>, f. 3.</w:t>
      </w:r>
    </w:p>
    <w:p w:rsidR="00575662" w:rsidRDefault="00575662" w:rsidP="00575662">
      <w:pPr>
        <w:pStyle w:val="SangriaFrancesaArticulo"/>
      </w:pPr>
      <w:r w:rsidRPr="00575662">
        <w:rPr>
          <w:rStyle w:val="TextoNormalNegritaCaracter"/>
        </w:rPr>
        <w:t>Artículo 217.</w:t>
      </w:r>
      <w:r w:rsidRPr="00575662">
        <w:rPr>
          <w:rStyle w:val="TextoNormalCaracter"/>
        </w:rPr>
        <w:t>-</w:t>
      </w:r>
      <w:r>
        <w:t xml:space="preserve"> Sentencia </w:t>
      </w:r>
      <w:hyperlink w:anchor="SENTENCIA_1997_7" w:history="1">
        <w:r w:rsidRPr="00575662">
          <w:rPr>
            <w:rStyle w:val="TextoNormalCaracter"/>
          </w:rPr>
          <w:t>7/1997</w:t>
        </w:r>
      </w:hyperlink>
      <w:r>
        <w:t>, f. 3.</w:t>
      </w:r>
    </w:p>
    <w:p w:rsidR="00575662" w:rsidRDefault="00575662" w:rsidP="00575662">
      <w:pPr>
        <w:pStyle w:val="SangriaFrancesaArticulo"/>
      </w:pPr>
      <w:r w:rsidRPr="00575662">
        <w:rPr>
          <w:rStyle w:val="TextoNormalNegritaCaracter"/>
        </w:rPr>
        <w:t>Artículo 219.</w:t>
      </w:r>
      <w:r w:rsidRPr="00575662">
        <w:rPr>
          <w:rStyle w:val="TextoNormalCaracter"/>
        </w:rPr>
        <w:t>-</w:t>
      </w:r>
      <w:r>
        <w:t xml:space="preserve"> Sentencia </w:t>
      </w:r>
      <w:hyperlink w:anchor="SENTENCIA_1997_64" w:history="1">
        <w:r w:rsidRPr="00575662">
          <w:rPr>
            <w:rStyle w:val="TextoNormalCaracter"/>
          </w:rPr>
          <w:t>64/1997</w:t>
        </w:r>
      </w:hyperlink>
      <w:r>
        <w:t>, f. 4.</w:t>
      </w:r>
    </w:p>
    <w:p w:rsidR="00575662" w:rsidRDefault="00575662" w:rsidP="00575662">
      <w:pPr>
        <w:pStyle w:val="SangriaFrancesaArticulo"/>
      </w:pPr>
      <w:r w:rsidRPr="00575662">
        <w:rPr>
          <w:rStyle w:val="TextoNormalNegritaCaracter"/>
        </w:rPr>
        <w:t>Artículo 220.</w:t>
      </w:r>
      <w:r w:rsidRPr="00575662">
        <w:rPr>
          <w:rStyle w:val="TextoNormalCaracter"/>
        </w:rPr>
        <w:t>-</w:t>
      </w:r>
      <w:r>
        <w:t xml:space="preserve"> Sentencia </w:t>
      </w:r>
      <w:hyperlink w:anchor="SENTENCIA_1997_64" w:history="1">
        <w:r w:rsidRPr="00575662">
          <w:rPr>
            <w:rStyle w:val="TextoNormalCaracter"/>
          </w:rPr>
          <w:t>64/1997</w:t>
        </w:r>
      </w:hyperlink>
      <w:r>
        <w:t>, f. 4.</w:t>
      </w:r>
    </w:p>
    <w:p w:rsidR="00575662" w:rsidRDefault="00575662" w:rsidP="00575662">
      <w:pPr>
        <w:pStyle w:val="SangriaFrancesaArticulo"/>
      </w:pPr>
      <w:r w:rsidRPr="00575662">
        <w:rPr>
          <w:rStyle w:val="TextoNormalNegritaCaracter"/>
        </w:rPr>
        <w:t>Artículo 223.1.</w:t>
      </w:r>
      <w:r w:rsidRPr="00575662">
        <w:rPr>
          <w:rStyle w:val="TextoNormalCaracter"/>
        </w:rPr>
        <w:t>-</w:t>
      </w:r>
      <w:r>
        <w:t xml:space="preserve"> Sentencia </w:t>
      </w:r>
      <w:hyperlink w:anchor="SENTENCIA_1997_7" w:history="1">
        <w:r w:rsidRPr="00575662">
          <w:rPr>
            <w:rStyle w:val="TextoNormalCaracter"/>
          </w:rPr>
          <w:t>7/1997</w:t>
        </w:r>
      </w:hyperlink>
      <w:r>
        <w:t>, f. 2.</w:t>
      </w:r>
    </w:p>
    <w:p w:rsidR="00575662" w:rsidRDefault="00575662" w:rsidP="00575662">
      <w:pPr>
        <w:pStyle w:val="SangriaFrancesaArticulo"/>
      </w:pPr>
      <w:r w:rsidRPr="00575662">
        <w:rPr>
          <w:rStyle w:val="TextoNormalNegritaCaracter"/>
        </w:rPr>
        <w:t>Artículo 228.</w:t>
      </w:r>
      <w:r w:rsidRPr="00575662">
        <w:rPr>
          <w:rStyle w:val="TextoNormalCaracter"/>
        </w:rPr>
        <w:t>-</w:t>
      </w:r>
      <w:r>
        <w:t xml:space="preserve"> Sentencia </w:t>
      </w:r>
      <w:hyperlink w:anchor="SENTENCIA_1997_7" w:history="1">
        <w:r w:rsidRPr="00575662">
          <w:rPr>
            <w:rStyle w:val="TextoNormalCaracter"/>
          </w:rPr>
          <w:t>7/1997</w:t>
        </w:r>
      </w:hyperlink>
      <w:r>
        <w:t>, f. 2.</w:t>
      </w:r>
    </w:p>
    <w:p w:rsidR="00575662" w:rsidRDefault="00575662" w:rsidP="00575662">
      <w:pPr>
        <w:pStyle w:val="SangriaFrancesaArticulo"/>
      </w:pPr>
      <w:r w:rsidRPr="00575662">
        <w:rPr>
          <w:rStyle w:val="TextoNormalNegritaCaracter"/>
        </w:rPr>
        <w:t>Artículo 231.2.</w:t>
      </w:r>
      <w:r w:rsidRPr="00575662">
        <w:rPr>
          <w:rStyle w:val="TextoNormalCaracter"/>
        </w:rPr>
        <w:t>-</w:t>
      </w:r>
      <w:r>
        <w:t xml:space="preserve"> Sentencia </w:t>
      </w:r>
      <w:hyperlink w:anchor="SENTENCIA_1997_87" w:history="1">
        <w:r w:rsidRPr="00575662">
          <w:rPr>
            <w:rStyle w:val="TextoNormalCaracter"/>
          </w:rPr>
          <w:t>87/1997</w:t>
        </w:r>
      </w:hyperlink>
      <w:r>
        <w:t>, f. 6.</w:t>
      </w:r>
    </w:p>
    <w:p w:rsidR="00575662" w:rsidRDefault="00575662" w:rsidP="00575662">
      <w:pPr>
        <w:pStyle w:val="SangriaFrancesaArticulo"/>
      </w:pPr>
      <w:r w:rsidRPr="00575662">
        <w:rPr>
          <w:rStyle w:val="TextoNormalNegritaCaracter"/>
        </w:rPr>
        <w:t>Artículo 238.1.</w:t>
      </w:r>
      <w:r w:rsidRPr="00575662">
        <w:rPr>
          <w:rStyle w:val="TextoNormalCaracter"/>
        </w:rPr>
        <w:t>-</w:t>
      </w:r>
      <w:r>
        <w:t xml:space="preserve"> Auto </w:t>
      </w:r>
      <w:hyperlink w:anchor="AUTO_1997_32" w:history="1">
        <w:r w:rsidRPr="00575662">
          <w:rPr>
            <w:rStyle w:val="TextoNormalCaracter"/>
          </w:rPr>
          <w:t>32/1997</w:t>
        </w:r>
      </w:hyperlink>
      <w:r>
        <w:t>.</w:t>
      </w:r>
    </w:p>
    <w:p w:rsidR="00575662" w:rsidRDefault="00575662" w:rsidP="00575662">
      <w:pPr>
        <w:pStyle w:val="SangriaFrancesaArticulo"/>
      </w:pPr>
      <w:r w:rsidRPr="00575662">
        <w:rPr>
          <w:rStyle w:val="TextoNormalNegritaCaracter"/>
        </w:rPr>
        <w:t>Artículo 240.</w:t>
      </w:r>
      <w:r w:rsidRPr="00575662">
        <w:rPr>
          <w:rStyle w:val="TextoNormalCaracter"/>
        </w:rPr>
        <w:t>-</w:t>
      </w:r>
      <w:r>
        <w:t xml:space="preserve"> Sentencia </w:t>
      </w:r>
      <w:hyperlink w:anchor="SENTENCIA_1997_29" w:history="1">
        <w:r w:rsidRPr="00575662">
          <w:rPr>
            <w:rStyle w:val="TextoNormalCaracter"/>
          </w:rPr>
          <w:t>29/1997</w:t>
        </w:r>
      </w:hyperlink>
      <w:r>
        <w:t>, f. 1.</w:t>
      </w:r>
    </w:p>
    <w:p w:rsidR="00575662" w:rsidRDefault="00575662" w:rsidP="00575662">
      <w:pPr>
        <w:pStyle w:val="SangriaFrancesaArticulo"/>
      </w:pPr>
      <w:r w:rsidRPr="00575662">
        <w:rPr>
          <w:rStyle w:val="TextoNormalNegritaCaracter"/>
        </w:rPr>
        <w:t>Artículo 240.2.</w:t>
      </w:r>
      <w:r w:rsidRPr="00575662">
        <w:rPr>
          <w:rStyle w:val="TextoNormalCaracter"/>
        </w:rPr>
        <w:t>-</w:t>
      </w:r>
      <w:r>
        <w:t xml:space="preserve"> Sentencias </w:t>
      </w:r>
      <w:hyperlink w:anchor="SENTENCIA_1997_7" w:history="1">
        <w:r w:rsidRPr="00575662">
          <w:rPr>
            <w:rStyle w:val="TextoNormalCaracter"/>
          </w:rPr>
          <w:t>7/1997</w:t>
        </w:r>
      </w:hyperlink>
      <w:r>
        <w:t xml:space="preserve">, f. 2; </w:t>
      </w:r>
      <w:hyperlink w:anchor="SENTENCIA_1997_77" w:history="1">
        <w:r w:rsidRPr="00575662">
          <w:rPr>
            <w:rStyle w:val="TextoNormalCaracter"/>
          </w:rPr>
          <w:t>77/1997</w:t>
        </w:r>
      </w:hyperlink>
      <w:r>
        <w:t>, f. 1.</w:t>
      </w:r>
    </w:p>
    <w:p w:rsidR="00575662" w:rsidRDefault="00575662" w:rsidP="00575662">
      <w:pPr>
        <w:pStyle w:val="SangriaIzquierdaArticulo"/>
      </w:pPr>
      <w:r>
        <w:lastRenderedPageBreak/>
        <w:t xml:space="preserve">Auto </w:t>
      </w:r>
      <w:hyperlink w:anchor="AUTO_1997_32" w:history="1">
        <w:r w:rsidRPr="00575662">
          <w:rPr>
            <w:rStyle w:val="TextoNormalCaracter"/>
          </w:rPr>
          <w:t>32/1997</w:t>
        </w:r>
      </w:hyperlink>
      <w:r>
        <w:t>.</w:t>
      </w:r>
    </w:p>
    <w:p w:rsidR="00575662" w:rsidRDefault="00575662" w:rsidP="00575662">
      <w:pPr>
        <w:pStyle w:val="SangriaFrancesaArticulo"/>
      </w:pPr>
      <w:r w:rsidRPr="00575662">
        <w:rPr>
          <w:rStyle w:val="TextoNormalNegritaCaracter"/>
        </w:rPr>
        <w:t>Artículo 261.</w:t>
      </w:r>
      <w:r w:rsidRPr="00575662">
        <w:rPr>
          <w:rStyle w:val="TextoNormalCaracter"/>
        </w:rPr>
        <w:t>-</w:t>
      </w:r>
      <w:r>
        <w:t xml:space="preserve"> Sentencia </w:t>
      </w:r>
      <w:hyperlink w:anchor="SENTENCIA_1997_21" w:history="1">
        <w:r w:rsidRPr="00575662">
          <w:rPr>
            <w:rStyle w:val="TextoNormalCaracter"/>
          </w:rPr>
          <w:t>21/1997</w:t>
        </w:r>
      </w:hyperlink>
      <w:r>
        <w:t>, f. 5.</w:t>
      </w:r>
    </w:p>
    <w:p w:rsidR="00575662" w:rsidRDefault="00575662" w:rsidP="00575662">
      <w:pPr>
        <w:pStyle w:val="SangriaFrancesaArticulo"/>
      </w:pPr>
      <w:r w:rsidRPr="00575662">
        <w:rPr>
          <w:rStyle w:val="TextoNormalNegritaCaracter"/>
        </w:rPr>
        <w:t>Artículo 281.</w:t>
      </w:r>
      <w:r w:rsidRPr="00575662">
        <w:rPr>
          <w:rStyle w:val="TextoNormalCaracter"/>
        </w:rPr>
        <w:t>-</w:t>
      </w:r>
      <w:r>
        <w:t xml:space="preserve"> Sentencia </w:t>
      </w:r>
      <w:hyperlink w:anchor="SENTENCIA_1997_25" w:history="1">
        <w:r w:rsidRPr="00575662">
          <w:rPr>
            <w:rStyle w:val="TextoNormalCaracter"/>
          </w:rPr>
          <w:t>25/1997</w:t>
        </w:r>
      </w:hyperlink>
      <w:r>
        <w:t>, f. 3.</w:t>
      </w:r>
    </w:p>
    <w:p w:rsidR="00575662" w:rsidRDefault="00575662" w:rsidP="00575662">
      <w:pPr>
        <w:pStyle w:val="SangriaFrancesaArticulo"/>
      </w:pPr>
      <w:r w:rsidRPr="00575662">
        <w:rPr>
          <w:rStyle w:val="TextoNormalNegritaCaracter"/>
        </w:rPr>
        <w:t>Artículo 292.</w:t>
      </w:r>
      <w:r w:rsidRPr="00575662">
        <w:rPr>
          <w:rStyle w:val="TextoNormalCaracter"/>
        </w:rPr>
        <w:t>-</w:t>
      </w:r>
      <w:r>
        <w:t xml:space="preserve"> Sentencia </w:t>
      </w:r>
      <w:hyperlink w:anchor="SENTENCIA_1997_33" w:history="1">
        <w:r w:rsidRPr="00575662">
          <w:rPr>
            <w:rStyle w:val="TextoNormalCaracter"/>
          </w:rPr>
          <w:t>33/1997</w:t>
        </w:r>
      </w:hyperlink>
      <w:r>
        <w:t>, f. 3, VP.</w:t>
      </w:r>
    </w:p>
    <w:p w:rsidR="00575662" w:rsidRDefault="00575662" w:rsidP="00575662">
      <w:pPr>
        <w:pStyle w:val="SangriaFrancesaArticulo"/>
      </w:pPr>
      <w:r w:rsidRPr="00575662">
        <w:rPr>
          <w:rStyle w:val="TextoNormalNegritaCaracter"/>
        </w:rPr>
        <w:t>Artículo 293.</w:t>
      </w:r>
      <w:r w:rsidRPr="00575662">
        <w:rPr>
          <w:rStyle w:val="TextoNormalCaracter"/>
        </w:rPr>
        <w:t>-</w:t>
      </w:r>
      <w:r>
        <w:t xml:space="preserve"> Sentencia </w:t>
      </w:r>
      <w:hyperlink w:anchor="SENTENCIA_1997_33" w:history="1">
        <w:r w:rsidRPr="00575662">
          <w:rPr>
            <w:rStyle w:val="TextoNormalCaracter"/>
          </w:rPr>
          <w:t>33/1997</w:t>
        </w:r>
      </w:hyperlink>
      <w:r>
        <w:t>, VP.</w:t>
      </w:r>
    </w:p>
    <w:p w:rsidR="00575662" w:rsidRDefault="00575662" w:rsidP="00575662">
      <w:pPr>
        <w:pStyle w:val="SangriaFrancesaArticulo"/>
      </w:pPr>
      <w:r w:rsidRPr="00575662">
        <w:rPr>
          <w:rStyle w:val="TextoNormalNegritaCaracter"/>
        </w:rPr>
        <w:t>Artículo 473.1.</w:t>
      </w:r>
      <w:r w:rsidRPr="00575662">
        <w:rPr>
          <w:rStyle w:val="TextoNormalCaracter"/>
        </w:rPr>
        <w:t>-</w:t>
      </w:r>
      <w:r>
        <w:t xml:space="preserve"> Sentencia </w:t>
      </w:r>
      <w:hyperlink w:anchor="SENTENCIA_1997_25" w:history="1">
        <w:r w:rsidRPr="00575662">
          <w:rPr>
            <w:rStyle w:val="TextoNormalCaracter"/>
          </w:rPr>
          <w:t>25/1997</w:t>
        </w:r>
      </w:hyperlink>
      <w:r>
        <w:t>, f. 3.</w:t>
      </w:r>
    </w:p>
    <w:p w:rsidR="00575662" w:rsidRDefault="00575662" w:rsidP="00575662">
      <w:pPr>
        <w:pStyle w:val="SangriaFrancesaArticulo"/>
      </w:pPr>
      <w:r w:rsidRPr="00575662">
        <w:rPr>
          <w:rStyle w:val="TextoNormalNegritaCaracter"/>
        </w:rPr>
        <w:t>Disposición adicional quinta, apartado 5.</w:t>
      </w:r>
      <w:r w:rsidRPr="00575662">
        <w:rPr>
          <w:rStyle w:val="TextoNormalCaracter"/>
        </w:rPr>
        <w:t>-</w:t>
      </w:r>
      <w:r>
        <w:t xml:space="preserve"> Sentencia </w:t>
      </w:r>
      <w:hyperlink w:anchor="SENTENCIA_1997_39" w:history="1">
        <w:r w:rsidRPr="00575662">
          <w:rPr>
            <w:rStyle w:val="TextoNormalCaracter"/>
          </w:rPr>
          <w:t>39/1997</w:t>
        </w:r>
      </w:hyperlink>
      <w:r>
        <w:t>, f. 3.</w:t>
      </w:r>
    </w:p>
    <w:p w:rsidR="00575662" w:rsidRDefault="00575662" w:rsidP="00575662">
      <w:pPr>
        <w:pStyle w:val="SangriaFrancesaArticulo"/>
      </w:pPr>
      <w:r w:rsidRPr="00575662">
        <w:rPr>
          <w:rStyle w:val="TextoNormalNegritaCaracter"/>
        </w:rPr>
        <w:t>Disposición transitoria trigésima.</w:t>
      </w:r>
      <w:r w:rsidRPr="00575662">
        <w:rPr>
          <w:rStyle w:val="TextoNormalCaracter"/>
        </w:rPr>
        <w:t>-</w:t>
      </w:r>
      <w:r>
        <w:t xml:space="preserve"> Auto </w:t>
      </w:r>
      <w:hyperlink w:anchor="AUTO_1997_94" w:history="1">
        <w:r w:rsidRPr="00575662">
          <w:rPr>
            <w:rStyle w:val="TextoNormalCaracter"/>
          </w:rPr>
          <w:t>94/1997</w:t>
        </w:r>
      </w:hyperlink>
      <w:r>
        <w:t>.</w:t>
      </w:r>
    </w:p>
    <w:p w:rsidR="00575662" w:rsidRDefault="00575662" w:rsidP="00575662">
      <w:pPr>
        <w:pStyle w:val="SangriaFrancesaArticulo"/>
      </w:pPr>
    </w:p>
    <w:p w:rsidR="00575662" w:rsidRDefault="00575662" w:rsidP="00575662">
      <w:pPr>
        <w:pStyle w:val="TextoNormalNegritaCursivandice"/>
      </w:pPr>
      <w:r>
        <w:t>Ley Orgánica 7/1985, de 1 de julio. Derechos y libertades de los extranjeros en España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Auto </w:t>
      </w:r>
      <w:hyperlink w:anchor="AUTO_1997_106" w:history="1">
        <w:r w:rsidRPr="00575662">
          <w:rPr>
            <w:rStyle w:val="TextoNormalCaracter"/>
          </w:rPr>
          <w:t>106/1997</w:t>
        </w:r>
      </w:hyperlink>
      <w:r>
        <w:t>.</w:t>
      </w:r>
    </w:p>
    <w:p w:rsidR="00575662" w:rsidRDefault="00575662" w:rsidP="00575662">
      <w:pPr>
        <w:pStyle w:val="SangriaFrancesaArticulo"/>
      </w:pPr>
      <w:r w:rsidRPr="00575662">
        <w:rPr>
          <w:rStyle w:val="TextoNormalNegritaCaracter"/>
        </w:rPr>
        <w:t>Artículo 21.2.</w:t>
      </w:r>
      <w:r w:rsidRPr="00575662">
        <w:rPr>
          <w:rStyle w:val="TextoNormalCaracter"/>
        </w:rPr>
        <w:t>-</w:t>
      </w:r>
      <w:r>
        <w:t xml:space="preserve"> Autos </w:t>
      </w:r>
      <w:hyperlink w:anchor="AUTO_1997_33" w:history="1">
        <w:r w:rsidRPr="00575662">
          <w:rPr>
            <w:rStyle w:val="TextoNormalCaracter"/>
          </w:rPr>
          <w:t>33/1997</w:t>
        </w:r>
      </w:hyperlink>
      <w:r>
        <w:t xml:space="preserve">; </w:t>
      </w:r>
      <w:hyperlink w:anchor="AUTO_1997_106" w:history="1">
        <w:r w:rsidRPr="00575662">
          <w:rPr>
            <w:rStyle w:val="TextoNormalCaracter"/>
          </w:rPr>
          <w:t>106/1997</w:t>
        </w:r>
      </w:hyperlink>
      <w:r>
        <w:t>.</w:t>
      </w:r>
    </w:p>
    <w:p w:rsidR="00575662" w:rsidRDefault="00575662" w:rsidP="00575662">
      <w:pPr>
        <w:pStyle w:val="SangriaFrancesaArticulo"/>
      </w:pPr>
      <w:r w:rsidRPr="00575662">
        <w:rPr>
          <w:rStyle w:val="TextoNormalNegritaCaracter"/>
        </w:rPr>
        <w:t>Artículo 21.2.2.</w:t>
      </w:r>
      <w:r w:rsidRPr="00575662">
        <w:rPr>
          <w:rStyle w:val="TextoNormalCaracter"/>
        </w:rPr>
        <w:t>-</w:t>
      </w:r>
      <w:r>
        <w:t xml:space="preserve"> Auto </w:t>
      </w:r>
      <w:hyperlink w:anchor="AUTO_1997_106" w:history="1">
        <w:r w:rsidRPr="00575662">
          <w:rPr>
            <w:rStyle w:val="TextoNormalCaracter"/>
          </w:rPr>
          <w:t>106/1997</w:t>
        </w:r>
      </w:hyperlink>
      <w:r>
        <w:t>.</w:t>
      </w:r>
    </w:p>
    <w:p w:rsidR="00575662" w:rsidRDefault="00575662" w:rsidP="00575662">
      <w:pPr>
        <w:pStyle w:val="SangriaFrancesaArticulo"/>
      </w:pPr>
      <w:r w:rsidRPr="00575662">
        <w:rPr>
          <w:rStyle w:val="TextoNormalNegritaCaracter"/>
        </w:rPr>
        <w:t>Artículo 26.1.</w:t>
      </w:r>
      <w:r w:rsidRPr="00575662">
        <w:rPr>
          <w:rStyle w:val="TextoNormalCaracter"/>
        </w:rPr>
        <w:t>-</w:t>
      </w:r>
      <w:r>
        <w:t xml:space="preserve"> Auto </w:t>
      </w:r>
      <w:hyperlink w:anchor="AUTO_1997_33" w:history="1">
        <w:r w:rsidRPr="00575662">
          <w:rPr>
            <w:rStyle w:val="TextoNormalCaracter"/>
          </w:rPr>
          <w:t>33/1997</w:t>
        </w:r>
      </w:hyperlink>
      <w:r>
        <w:t>.</w:t>
      </w:r>
    </w:p>
    <w:p w:rsidR="00575662" w:rsidRDefault="00575662" w:rsidP="00575662">
      <w:pPr>
        <w:pStyle w:val="SangriaFrancesaArticulo"/>
      </w:pPr>
    </w:p>
    <w:p w:rsidR="00575662" w:rsidRDefault="00575662" w:rsidP="00575662">
      <w:pPr>
        <w:pStyle w:val="TextoNormalNegritaCursivandice"/>
      </w:pPr>
      <w:r>
        <w:t>Ley Orgánica 11/1985, de 2 de agosto. Libertad sindical</w:t>
      </w:r>
    </w:p>
    <w:p w:rsidR="00575662" w:rsidRDefault="00575662" w:rsidP="00575662">
      <w:pPr>
        <w:pStyle w:val="SangriaFrancesaArticulo"/>
      </w:pPr>
      <w:r w:rsidRPr="00575662">
        <w:rPr>
          <w:rStyle w:val="TextoNormalNegritaCaracter"/>
        </w:rPr>
        <w:t>Artículo 2.2 d).</w:t>
      </w:r>
      <w:r w:rsidRPr="00575662">
        <w:rPr>
          <w:rStyle w:val="TextoNormalCaracter"/>
        </w:rPr>
        <w:t>-</w:t>
      </w:r>
      <w:r>
        <w:t xml:space="preserve"> Sentencia </w:t>
      </w:r>
      <w:hyperlink w:anchor="SENTENCIA_1997_13" w:history="1">
        <w:r w:rsidRPr="00575662">
          <w:rPr>
            <w:rStyle w:val="TextoNormalCaracter"/>
          </w:rPr>
          <w:t>13/1997</w:t>
        </w:r>
      </w:hyperlink>
      <w:r>
        <w:t>, f. 3.</w:t>
      </w:r>
    </w:p>
    <w:p w:rsidR="00575662" w:rsidRDefault="00575662" w:rsidP="00575662">
      <w:pPr>
        <w:pStyle w:val="SangriaFrancesaArticulo"/>
      </w:pPr>
      <w:r w:rsidRPr="00575662">
        <w:rPr>
          <w:rStyle w:val="TextoNormalNegritaCaracter"/>
        </w:rPr>
        <w:t>Artículo 6.</w:t>
      </w:r>
      <w:r w:rsidRPr="00575662">
        <w:rPr>
          <w:rStyle w:val="TextoNormalCaracter"/>
        </w:rPr>
        <w:t>-</w:t>
      </w:r>
      <w:r>
        <w:t xml:space="preserve"> Sentencia </w:t>
      </w:r>
      <w:hyperlink w:anchor="SENTENCIA_1997_27" w:history="1">
        <w:r w:rsidRPr="00575662">
          <w:rPr>
            <w:rStyle w:val="TextoNormalCaracter"/>
          </w:rPr>
          <w:t>27/1997</w:t>
        </w:r>
      </w:hyperlink>
      <w:r>
        <w:t>, VP.</w:t>
      </w:r>
    </w:p>
    <w:p w:rsidR="00575662" w:rsidRDefault="00575662" w:rsidP="00575662">
      <w:pPr>
        <w:pStyle w:val="SangriaFrancesaArticulo"/>
      </w:pPr>
    </w:p>
    <w:p w:rsidR="00575662" w:rsidRDefault="00575662" w:rsidP="00575662">
      <w:pPr>
        <w:pStyle w:val="TextoNormalNegritaCursivandice"/>
      </w:pPr>
      <w:r>
        <w:t>Ley Orgánica 13/1985, de 9 de diciembre. Código penal militar</w:t>
      </w:r>
    </w:p>
    <w:p w:rsidR="00575662" w:rsidRDefault="00575662" w:rsidP="00575662">
      <w:pPr>
        <w:pStyle w:val="SangriaFrancesaArticulo"/>
      </w:pPr>
      <w:r w:rsidRPr="00575662">
        <w:rPr>
          <w:rStyle w:val="TextoNormalNegritaCaracter"/>
        </w:rPr>
        <w:t>Artículo 27.</w:t>
      </w:r>
      <w:r w:rsidRPr="00575662">
        <w:rPr>
          <w:rStyle w:val="TextoNormalCaracter"/>
        </w:rPr>
        <w:t>-</w:t>
      </w:r>
      <w:r>
        <w:t xml:space="preserve"> Sentencia </w:t>
      </w:r>
      <w:hyperlink w:anchor="SENTENCIA_1997_56" w:history="1">
        <w:r w:rsidRPr="00575662">
          <w:rPr>
            <w:rStyle w:val="TextoNormalCaracter"/>
          </w:rPr>
          <w:t>56/1997</w:t>
        </w:r>
      </w:hyperlink>
      <w:r>
        <w:t>, ff. 8, 10, VP II, VP III.</w:t>
      </w:r>
    </w:p>
    <w:p w:rsidR="00575662" w:rsidRDefault="00575662" w:rsidP="00575662">
      <w:pPr>
        <w:pStyle w:val="SangriaFrancesaArticulo"/>
      </w:pPr>
      <w:r w:rsidRPr="00575662">
        <w:rPr>
          <w:rStyle w:val="TextoNormalNegritaCaracter"/>
        </w:rPr>
        <w:t>Artículo 53.</w:t>
      </w:r>
      <w:r w:rsidRPr="00575662">
        <w:rPr>
          <w:rStyle w:val="TextoNormalCaracter"/>
        </w:rPr>
        <w:t>-</w:t>
      </w:r>
      <w:r>
        <w:t xml:space="preserve"> Sentencia </w:t>
      </w:r>
      <w:hyperlink w:anchor="SENTENCIA_1997_56" w:history="1">
        <w:r w:rsidRPr="00575662">
          <w:rPr>
            <w:rStyle w:val="TextoNormalCaracter"/>
          </w:rPr>
          <w:t>56/1997</w:t>
        </w:r>
      </w:hyperlink>
      <w:r>
        <w:t>, f. 12.</w:t>
      </w:r>
    </w:p>
    <w:p w:rsidR="00575662" w:rsidRDefault="00575662" w:rsidP="00575662">
      <w:pPr>
        <w:pStyle w:val="SangriaFrancesaArticulo"/>
      </w:pPr>
      <w:r w:rsidRPr="00575662">
        <w:rPr>
          <w:rStyle w:val="TextoNormalNegritaCaracter"/>
        </w:rPr>
        <w:t>Artículo 127.</w:t>
      </w:r>
      <w:r w:rsidRPr="00575662">
        <w:rPr>
          <w:rStyle w:val="TextoNormalCaracter"/>
        </w:rPr>
        <w:t>-</w:t>
      </w:r>
      <w:r>
        <w:t xml:space="preserve"> Sentencia </w:t>
      </w:r>
      <w:hyperlink w:anchor="SENTENCIA_1997_43" w:history="1">
        <w:r w:rsidRPr="00575662">
          <w:rPr>
            <w:rStyle w:val="TextoNormalCaracter"/>
          </w:rPr>
          <w:t>43/1997</w:t>
        </w:r>
      </w:hyperlink>
      <w:r>
        <w:t>, ff. 1, 3 a 6.</w:t>
      </w:r>
    </w:p>
    <w:p w:rsidR="00575662" w:rsidRDefault="00575662" w:rsidP="00575662">
      <w:pPr>
        <w:pStyle w:val="SangriaFrancesaArticulo"/>
      </w:pPr>
    </w:p>
    <w:p w:rsidR="00575662" w:rsidRDefault="00575662" w:rsidP="00575662">
      <w:pPr>
        <w:pStyle w:val="TextoNormalNegritaCursivandice"/>
      </w:pPr>
      <w:r>
        <w:t>Ley Orgánica 2/1989, de 13 de abril. Procesal militar</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56" w:history="1">
        <w:r w:rsidRPr="00575662">
          <w:rPr>
            <w:rStyle w:val="TextoNormalCaracter"/>
          </w:rPr>
          <w:t>56/1997</w:t>
        </w:r>
      </w:hyperlink>
      <w:r>
        <w:t>, VP I, VP II, VP III.</w:t>
      </w:r>
    </w:p>
    <w:p w:rsidR="00575662" w:rsidRDefault="00575662" w:rsidP="00575662">
      <w:pPr>
        <w:pStyle w:val="SangriaFrancesaArticulo"/>
      </w:pPr>
      <w:r w:rsidRPr="00575662">
        <w:rPr>
          <w:rStyle w:val="TextoNormalNegritaCaracter"/>
        </w:rPr>
        <w:t>Libro II, título II, capítulo VIII, sección cuarta.</w:t>
      </w:r>
      <w:r w:rsidRPr="00575662">
        <w:rPr>
          <w:rStyle w:val="TextoNormalCaracter"/>
        </w:rPr>
        <w:t>-</w:t>
      </w:r>
      <w:r>
        <w:t xml:space="preserve"> Sentencia </w:t>
      </w:r>
      <w:hyperlink w:anchor="SENTENCIA_1997_56" w:history="1">
        <w:r w:rsidRPr="00575662">
          <w:rPr>
            <w:rStyle w:val="TextoNormalCaracter"/>
          </w:rPr>
          <w:t>56/1997</w:t>
        </w:r>
      </w:hyperlink>
      <w:r>
        <w:t>, f. 8.</w:t>
      </w:r>
    </w:p>
    <w:p w:rsidR="00575662" w:rsidRDefault="00575662" w:rsidP="00575662">
      <w:pPr>
        <w:pStyle w:val="SangriaFrancesaArticulo"/>
      </w:pPr>
      <w:r w:rsidRPr="00575662">
        <w:rPr>
          <w:rStyle w:val="TextoNormalNegritaCaracter"/>
        </w:rPr>
        <w:t>Libro II, título II, capítulo VIII, sección quinta.</w:t>
      </w:r>
      <w:r w:rsidRPr="00575662">
        <w:rPr>
          <w:rStyle w:val="TextoNormalCaracter"/>
        </w:rPr>
        <w:t>-</w:t>
      </w:r>
      <w:r>
        <w:t xml:space="preserve"> Sentencia </w:t>
      </w:r>
      <w:hyperlink w:anchor="SENTENCIA_1997_56" w:history="1">
        <w:r w:rsidRPr="00575662">
          <w:rPr>
            <w:rStyle w:val="TextoNormalCaracter"/>
          </w:rPr>
          <w:t>56/1997</w:t>
        </w:r>
      </w:hyperlink>
      <w:r>
        <w:t>, f. 8.</w:t>
      </w:r>
    </w:p>
    <w:p w:rsidR="00575662" w:rsidRDefault="00575662" w:rsidP="00575662">
      <w:pPr>
        <w:pStyle w:val="SangriaFrancesaArticulo"/>
      </w:pPr>
      <w:r w:rsidRPr="00575662">
        <w:rPr>
          <w:rStyle w:val="TextoNormalNegritaCaracter"/>
        </w:rPr>
        <w:t>Libro II, título II, capítulo VIII, sección tercera.</w:t>
      </w:r>
      <w:r w:rsidRPr="00575662">
        <w:rPr>
          <w:rStyle w:val="TextoNormalCaracter"/>
        </w:rPr>
        <w:t>-</w:t>
      </w:r>
      <w:r>
        <w:t xml:space="preserve"> Sentencia </w:t>
      </w:r>
      <w:hyperlink w:anchor="SENTENCIA_1997_56" w:history="1">
        <w:r w:rsidRPr="00575662">
          <w:rPr>
            <w:rStyle w:val="TextoNormalCaracter"/>
          </w:rPr>
          <w:t>56/1997</w:t>
        </w:r>
      </w:hyperlink>
      <w:r>
        <w:t>, f. 8.</w:t>
      </w:r>
    </w:p>
    <w:p w:rsidR="00575662" w:rsidRDefault="00575662" w:rsidP="00575662">
      <w:pPr>
        <w:pStyle w:val="SangriaFrancesaArticulo"/>
      </w:pPr>
      <w:r w:rsidRPr="00575662">
        <w:rPr>
          <w:rStyle w:val="TextoNormalNegritaCaracter"/>
        </w:rPr>
        <w:t>Artículo 215.</w:t>
      </w:r>
      <w:r w:rsidRPr="00575662">
        <w:rPr>
          <w:rStyle w:val="TextoNormalCaracter"/>
        </w:rPr>
        <w:t>-</w:t>
      </w:r>
      <w:r>
        <w:t xml:space="preserve"> Sentencia </w:t>
      </w:r>
      <w:hyperlink w:anchor="SENTENCIA_1997_56" w:history="1">
        <w:r w:rsidRPr="00575662">
          <w:rPr>
            <w:rStyle w:val="TextoNormalCaracter"/>
          </w:rPr>
          <w:t>56/1997</w:t>
        </w:r>
      </w:hyperlink>
      <w:r>
        <w:t>, f. 2, VP III.</w:t>
      </w:r>
    </w:p>
    <w:p w:rsidR="00575662" w:rsidRDefault="00575662" w:rsidP="00575662">
      <w:pPr>
        <w:pStyle w:val="SangriaFrancesaArticulo"/>
      </w:pPr>
      <w:r w:rsidRPr="00575662">
        <w:rPr>
          <w:rStyle w:val="TextoNormalNegritaCaracter"/>
        </w:rPr>
        <w:t>Artículo 216.</w:t>
      </w:r>
      <w:r w:rsidRPr="00575662">
        <w:rPr>
          <w:rStyle w:val="TextoNormalCaracter"/>
        </w:rPr>
        <w:t>-</w:t>
      </w:r>
      <w:r>
        <w:t xml:space="preserve"> Sentencia </w:t>
      </w:r>
      <w:hyperlink w:anchor="SENTENCIA_1997_56" w:history="1">
        <w:r w:rsidRPr="00575662">
          <w:rPr>
            <w:rStyle w:val="TextoNormalCaracter"/>
          </w:rPr>
          <w:t>56/1997</w:t>
        </w:r>
      </w:hyperlink>
      <w:r>
        <w:t>, f. 8.</w:t>
      </w:r>
    </w:p>
    <w:p w:rsidR="00575662" w:rsidRDefault="00575662" w:rsidP="00575662">
      <w:pPr>
        <w:pStyle w:val="SangriaFrancesaArticulo"/>
      </w:pPr>
      <w:r w:rsidRPr="00575662">
        <w:rPr>
          <w:rStyle w:val="TextoNormalNegritaCaracter"/>
        </w:rPr>
        <w:t>Artículo 217.</w:t>
      </w:r>
      <w:r w:rsidRPr="00575662">
        <w:rPr>
          <w:rStyle w:val="TextoNormalCaracter"/>
        </w:rPr>
        <w:t>-</w:t>
      </w:r>
      <w:r>
        <w:t xml:space="preserve"> Sentencia </w:t>
      </w:r>
      <w:hyperlink w:anchor="SENTENCIA_1997_56" w:history="1">
        <w:r w:rsidRPr="00575662">
          <w:rPr>
            <w:rStyle w:val="TextoNormalCaracter"/>
          </w:rPr>
          <w:t>56/1997</w:t>
        </w:r>
      </w:hyperlink>
      <w:r>
        <w:t>, f. 8.</w:t>
      </w:r>
    </w:p>
    <w:p w:rsidR="00575662" w:rsidRDefault="00575662" w:rsidP="00575662">
      <w:pPr>
        <w:pStyle w:val="SangriaFrancesaArticulo"/>
      </w:pPr>
      <w:r w:rsidRPr="00575662">
        <w:rPr>
          <w:rStyle w:val="TextoNormalNegritaCaracter"/>
        </w:rPr>
        <w:t>Artículo 218.</w:t>
      </w:r>
      <w:r w:rsidRPr="00575662">
        <w:rPr>
          <w:rStyle w:val="TextoNormalCaracter"/>
        </w:rPr>
        <w:t>-</w:t>
      </w:r>
      <w:r>
        <w:t xml:space="preserve"> Sentencia </w:t>
      </w:r>
      <w:hyperlink w:anchor="SENTENCIA_1997_56" w:history="1">
        <w:r w:rsidRPr="00575662">
          <w:rPr>
            <w:rStyle w:val="TextoNormalCaracter"/>
          </w:rPr>
          <w:t>56/1997</w:t>
        </w:r>
      </w:hyperlink>
      <w:r>
        <w:t>, ff. 1, 3, 5, 7 a 9, VP II, VP III.</w:t>
      </w:r>
    </w:p>
    <w:p w:rsidR="00575662" w:rsidRDefault="00575662" w:rsidP="00575662">
      <w:pPr>
        <w:pStyle w:val="SangriaFrancesaArticulo"/>
      </w:pPr>
      <w:r w:rsidRPr="00575662">
        <w:rPr>
          <w:rStyle w:val="TextoNormalNegritaCaracter"/>
        </w:rPr>
        <w:t>Artículo 218.1.</w:t>
      </w:r>
      <w:r w:rsidRPr="00575662">
        <w:rPr>
          <w:rStyle w:val="TextoNormalCaracter"/>
        </w:rPr>
        <w:t>-</w:t>
      </w:r>
      <w:r>
        <w:t xml:space="preserve"> Sentencia </w:t>
      </w:r>
      <w:hyperlink w:anchor="SENTENCIA_1997_56" w:history="1">
        <w:r w:rsidRPr="00575662">
          <w:rPr>
            <w:rStyle w:val="TextoNormalCaracter"/>
          </w:rPr>
          <w:t>56/1997</w:t>
        </w:r>
      </w:hyperlink>
      <w:r>
        <w:t>, ff. 1, 3.</w:t>
      </w:r>
    </w:p>
    <w:p w:rsidR="00575662" w:rsidRDefault="00575662" w:rsidP="00575662">
      <w:pPr>
        <w:pStyle w:val="SangriaFrancesaArticulo"/>
      </w:pPr>
      <w:r w:rsidRPr="00575662">
        <w:rPr>
          <w:rStyle w:val="TextoNormalNegritaCaracter"/>
        </w:rPr>
        <w:t>Artículo 218.2.</w:t>
      </w:r>
      <w:r w:rsidRPr="00575662">
        <w:rPr>
          <w:rStyle w:val="TextoNormalCaracter"/>
        </w:rPr>
        <w:t>-</w:t>
      </w:r>
      <w:r>
        <w:t xml:space="preserve"> Sentencia </w:t>
      </w:r>
      <w:hyperlink w:anchor="SENTENCIA_1997_56" w:history="1">
        <w:r w:rsidRPr="00575662">
          <w:rPr>
            <w:rStyle w:val="TextoNormalCaracter"/>
          </w:rPr>
          <w:t>56/1997</w:t>
        </w:r>
      </w:hyperlink>
      <w:r>
        <w:t>, f. 11, VP II.</w:t>
      </w:r>
    </w:p>
    <w:p w:rsidR="00575662" w:rsidRDefault="00575662" w:rsidP="00575662">
      <w:pPr>
        <w:pStyle w:val="SangriaFrancesaArticulo"/>
      </w:pPr>
      <w:r w:rsidRPr="00575662">
        <w:rPr>
          <w:rStyle w:val="TextoNormalNegritaCaracter"/>
        </w:rPr>
        <w:t>Artículo 225.</w:t>
      </w:r>
      <w:r w:rsidRPr="00575662">
        <w:rPr>
          <w:rStyle w:val="TextoNormalCaracter"/>
        </w:rPr>
        <w:t>-</w:t>
      </w:r>
      <w:r>
        <w:t xml:space="preserve"> Sentencia </w:t>
      </w:r>
      <w:hyperlink w:anchor="SENTENCIA_1997_56" w:history="1">
        <w:r w:rsidRPr="00575662">
          <w:rPr>
            <w:rStyle w:val="TextoNormalCaracter"/>
          </w:rPr>
          <w:t>56/1997</w:t>
        </w:r>
      </w:hyperlink>
      <w:r>
        <w:t>, ff. 2, 9, 10, VP I, VP II.</w:t>
      </w:r>
    </w:p>
    <w:p w:rsidR="00575662" w:rsidRDefault="00575662" w:rsidP="00575662">
      <w:pPr>
        <w:pStyle w:val="SangriaFrancesaArticulo"/>
      </w:pPr>
      <w:r w:rsidRPr="00575662">
        <w:rPr>
          <w:rStyle w:val="TextoNormalNegritaCaracter"/>
        </w:rPr>
        <w:t>Artículo 226.</w:t>
      </w:r>
      <w:r w:rsidRPr="00575662">
        <w:rPr>
          <w:rStyle w:val="TextoNormalCaracter"/>
        </w:rPr>
        <w:t>-</w:t>
      </w:r>
      <w:r>
        <w:t xml:space="preserve"> Sentencia </w:t>
      </w:r>
      <w:hyperlink w:anchor="SENTENCIA_1997_56" w:history="1">
        <w:r w:rsidRPr="00575662">
          <w:rPr>
            <w:rStyle w:val="TextoNormalCaracter"/>
          </w:rPr>
          <w:t>56/1997</w:t>
        </w:r>
      </w:hyperlink>
      <w:r>
        <w:t>, ff. 9, 10, VP II, VP III.</w:t>
      </w:r>
    </w:p>
    <w:p w:rsidR="00575662" w:rsidRDefault="00575662" w:rsidP="00575662">
      <w:pPr>
        <w:pStyle w:val="SangriaFrancesaArticulo"/>
      </w:pPr>
      <w:r w:rsidRPr="00575662">
        <w:rPr>
          <w:rStyle w:val="TextoNormalNegritaCaracter"/>
        </w:rPr>
        <w:t>Artículo 226.1.</w:t>
      </w:r>
      <w:r w:rsidRPr="00575662">
        <w:rPr>
          <w:rStyle w:val="TextoNormalCaracter"/>
        </w:rPr>
        <w:t>-</w:t>
      </w:r>
      <w:r>
        <w:t xml:space="preserve"> Sentencia </w:t>
      </w:r>
      <w:hyperlink w:anchor="SENTENCIA_1997_56" w:history="1">
        <w:r w:rsidRPr="00575662">
          <w:rPr>
            <w:rStyle w:val="TextoNormalCaracter"/>
          </w:rPr>
          <w:t>56/1997</w:t>
        </w:r>
      </w:hyperlink>
      <w:r>
        <w:t>, f. 10.</w:t>
      </w:r>
    </w:p>
    <w:p w:rsidR="00575662" w:rsidRDefault="00575662" w:rsidP="00575662">
      <w:pPr>
        <w:pStyle w:val="SangriaFrancesaArticulo"/>
      </w:pPr>
      <w:r w:rsidRPr="00575662">
        <w:rPr>
          <w:rStyle w:val="TextoNormalNegritaCaracter"/>
        </w:rPr>
        <w:t>Artículo 226.2.</w:t>
      </w:r>
      <w:r w:rsidRPr="00575662">
        <w:rPr>
          <w:rStyle w:val="TextoNormalCaracter"/>
        </w:rPr>
        <w:t>-</w:t>
      </w:r>
      <w:r>
        <w:t xml:space="preserve"> Sentencia </w:t>
      </w:r>
      <w:hyperlink w:anchor="SENTENCIA_1997_56" w:history="1">
        <w:r w:rsidRPr="00575662">
          <w:rPr>
            <w:rStyle w:val="TextoNormalCaracter"/>
          </w:rPr>
          <w:t>56/1997</w:t>
        </w:r>
      </w:hyperlink>
      <w:r>
        <w:t>, f. 10.</w:t>
      </w:r>
    </w:p>
    <w:p w:rsidR="00575662" w:rsidRDefault="00575662" w:rsidP="00575662">
      <w:pPr>
        <w:pStyle w:val="SangriaFrancesaArticulo"/>
      </w:pPr>
      <w:r w:rsidRPr="00575662">
        <w:rPr>
          <w:rStyle w:val="TextoNormalNegritaCaracter"/>
        </w:rPr>
        <w:t>Artículo 227.</w:t>
      </w:r>
      <w:r w:rsidRPr="00575662">
        <w:rPr>
          <w:rStyle w:val="TextoNormalCaracter"/>
        </w:rPr>
        <w:t>-</w:t>
      </w:r>
      <w:r>
        <w:t xml:space="preserve"> Sentencia </w:t>
      </w:r>
      <w:hyperlink w:anchor="SENTENCIA_1997_56" w:history="1">
        <w:r w:rsidRPr="00575662">
          <w:rPr>
            <w:rStyle w:val="TextoNormalCaracter"/>
          </w:rPr>
          <w:t>56/1997</w:t>
        </w:r>
      </w:hyperlink>
      <w:r>
        <w:t>, ff. 9, 10, VP II, VP III.</w:t>
      </w:r>
    </w:p>
    <w:p w:rsidR="00575662" w:rsidRDefault="00575662" w:rsidP="00575662">
      <w:pPr>
        <w:pStyle w:val="SangriaFrancesaArticulo"/>
      </w:pPr>
      <w:r w:rsidRPr="00575662">
        <w:rPr>
          <w:rStyle w:val="TextoNormalNegritaCaracter"/>
        </w:rPr>
        <w:t>Artículo 232.</w:t>
      </w:r>
      <w:r w:rsidRPr="00575662">
        <w:rPr>
          <w:rStyle w:val="TextoNormalCaracter"/>
        </w:rPr>
        <w:t>-</w:t>
      </w:r>
      <w:r>
        <w:t xml:space="preserve"> Sentencia </w:t>
      </w:r>
      <w:hyperlink w:anchor="SENTENCIA_1997_56" w:history="1">
        <w:r w:rsidRPr="00575662">
          <w:rPr>
            <w:rStyle w:val="TextoNormalCaracter"/>
          </w:rPr>
          <w:t>56/1997</w:t>
        </w:r>
      </w:hyperlink>
      <w:r>
        <w:t>, VP II.</w:t>
      </w:r>
    </w:p>
    <w:p w:rsidR="00575662" w:rsidRDefault="00575662" w:rsidP="00575662">
      <w:pPr>
        <w:pStyle w:val="SangriaFrancesaArticulo"/>
      </w:pPr>
      <w:r w:rsidRPr="00575662">
        <w:rPr>
          <w:rStyle w:val="TextoNormalNegritaCaracter"/>
        </w:rPr>
        <w:t>Artículo 234.</w:t>
      </w:r>
      <w:r w:rsidRPr="00575662">
        <w:rPr>
          <w:rStyle w:val="TextoNormalCaracter"/>
        </w:rPr>
        <w:t>-</w:t>
      </w:r>
      <w:r>
        <w:t xml:space="preserve"> Sentencia </w:t>
      </w:r>
      <w:hyperlink w:anchor="SENTENCIA_1997_56" w:history="1">
        <w:r w:rsidRPr="00575662">
          <w:rPr>
            <w:rStyle w:val="TextoNormalCaracter"/>
          </w:rPr>
          <w:t>56/1997</w:t>
        </w:r>
      </w:hyperlink>
      <w:r>
        <w:t>, f. 9, VP II.</w:t>
      </w:r>
    </w:p>
    <w:p w:rsidR="00575662" w:rsidRDefault="00575662" w:rsidP="00575662">
      <w:pPr>
        <w:pStyle w:val="SangriaFrancesaArticulo"/>
      </w:pPr>
    </w:p>
    <w:p w:rsidR="00575662" w:rsidRDefault="00575662" w:rsidP="00575662">
      <w:pPr>
        <w:pStyle w:val="TextoNormalNegritaCursivandice"/>
      </w:pPr>
      <w:r>
        <w:t>Ley Orgánica 3/1989, de 21 de junio. Código penal. Actualización</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26" w:history="1">
        <w:r w:rsidRPr="00575662">
          <w:rPr>
            <w:rStyle w:val="TextoNormalCaracter"/>
          </w:rPr>
          <w:t>26/1997</w:t>
        </w:r>
      </w:hyperlink>
      <w:r>
        <w:t>, ff. 1, 4.</w:t>
      </w:r>
    </w:p>
    <w:p w:rsidR="00575662" w:rsidRDefault="00575662" w:rsidP="00575662">
      <w:pPr>
        <w:pStyle w:val="SangriaFrancesaArticulo"/>
      </w:pPr>
      <w:r w:rsidRPr="00575662">
        <w:rPr>
          <w:rStyle w:val="TextoNormalNegritaCaracter"/>
        </w:rPr>
        <w:t>Preámbulo.</w:t>
      </w:r>
      <w:r w:rsidRPr="00575662">
        <w:rPr>
          <w:rStyle w:val="TextoNormalCaracter"/>
        </w:rPr>
        <w:t>-</w:t>
      </w:r>
      <w:r>
        <w:t xml:space="preserve"> Sentencia </w:t>
      </w:r>
      <w:hyperlink w:anchor="SENTENCIA_1997_74" w:history="1">
        <w:r w:rsidRPr="00575662">
          <w:rPr>
            <w:rStyle w:val="TextoNormalCaracter"/>
          </w:rPr>
          <w:t>74/1997</w:t>
        </w:r>
      </w:hyperlink>
      <w:r>
        <w:t>, f. 3.</w:t>
      </w:r>
    </w:p>
    <w:p w:rsidR="00575662" w:rsidRDefault="00575662" w:rsidP="00575662">
      <w:pPr>
        <w:pStyle w:val="SangriaFrancesaArticulo"/>
      </w:pPr>
    </w:p>
    <w:p w:rsidR="00575662" w:rsidRDefault="00575662" w:rsidP="00575662">
      <w:pPr>
        <w:pStyle w:val="TextoNormalNegritaCursivandice"/>
      </w:pPr>
      <w:r>
        <w:lastRenderedPageBreak/>
        <w:t>Ley Orgánica 13/1991, de 20 de diciembre. Servicio Militar</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43" w:history="1">
        <w:r w:rsidRPr="00575662">
          <w:rPr>
            <w:rStyle w:val="TextoNormalCaracter"/>
          </w:rPr>
          <w:t>43/1997</w:t>
        </w:r>
      </w:hyperlink>
      <w:r>
        <w:t>, f. 4.</w:t>
      </w:r>
    </w:p>
    <w:p w:rsidR="00575662" w:rsidRDefault="00575662" w:rsidP="00575662">
      <w:pPr>
        <w:pStyle w:val="SangriaFrancesaArticulo"/>
      </w:pPr>
    </w:p>
    <w:p w:rsidR="00575662" w:rsidRDefault="00575662" w:rsidP="00575662">
      <w:pPr>
        <w:pStyle w:val="TextoNormalNegritaCursivandice"/>
      </w:pPr>
      <w:r>
        <w:t>Ley Orgánica 5/1995, de 22 de mayo. Tribunal del Jurado</w:t>
      </w:r>
    </w:p>
    <w:p w:rsidR="00575662" w:rsidRDefault="00575662" w:rsidP="00575662">
      <w:pPr>
        <w:pStyle w:val="SangriaFrancesaArticulo"/>
      </w:pPr>
      <w:r w:rsidRPr="00575662">
        <w:rPr>
          <w:rStyle w:val="TextoNormalNegritaCaracter"/>
        </w:rPr>
        <w:t>Artículo 14.</w:t>
      </w:r>
      <w:r w:rsidRPr="00575662">
        <w:rPr>
          <w:rStyle w:val="TextoNormalCaracter"/>
        </w:rPr>
        <w:t>-</w:t>
      </w:r>
      <w:r>
        <w:t xml:space="preserve"> Auto </w:t>
      </w:r>
      <w:hyperlink w:anchor="AUTO_1997_95" w:history="1">
        <w:r w:rsidRPr="00575662">
          <w:rPr>
            <w:rStyle w:val="TextoNormalCaracter"/>
          </w:rPr>
          <w:t>95/1997</w:t>
        </w:r>
      </w:hyperlink>
      <w:r>
        <w:t>.</w:t>
      </w:r>
    </w:p>
    <w:p w:rsidR="00575662" w:rsidRDefault="00575662" w:rsidP="00575662">
      <w:pPr>
        <w:pStyle w:val="SangriaFrancesaArticulo"/>
      </w:pPr>
      <w:r w:rsidRPr="00575662">
        <w:rPr>
          <w:rStyle w:val="TextoNormalNegritaCaracter"/>
        </w:rPr>
        <w:t>Artículo 14.1.</w:t>
      </w:r>
      <w:r w:rsidRPr="00575662">
        <w:rPr>
          <w:rStyle w:val="TextoNormalCaracter"/>
        </w:rPr>
        <w:t>-</w:t>
      </w:r>
      <w:r>
        <w:t xml:space="preserve"> Auto </w:t>
      </w:r>
      <w:hyperlink w:anchor="AUTO_1997_95" w:history="1">
        <w:r w:rsidRPr="00575662">
          <w:rPr>
            <w:rStyle w:val="TextoNormalCaracter"/>
          </w:rPr>
          <w:t>95/1997</w:t>
        </w:r>
      </w:hyperlink>
      <w:r>
        <w:t>.</w:t>
      </w:r>
    </w:p>
    <w:p w:rsidR="00575662" w:rsidRDefault="00575662" w:rsidP="00575662">
      <w:pPr>
        <w:pStyle w:val="SangriaFrancesaArticulo"/>
      </w:pPr>
      <w:r w:rsidRPr="00575662">
        <w:rPr>
          <w:rStyle w:val="TextoNormalNegritaCaracter"/>
        </w:rPr>
        <w:t>Artículo 15.</w:t>
      </w:r>
      <w:r w:rsidRPr="00575662">
        <w:rPr>
          <w:rStyle w:val="TextoNormalCaracter"/>
        </w:rPr>
        <w:t>-</w:t>
      </w:r>
      <w:r>
        <w:t xml:space="preserve"> Auto </w:t>
      </w:r>
      <w:hyperlink w:anchor="AUTO_1997_95" w:history="1">
        <w:r w:rsidRPr="00575662">
          <w:rPr>
            <w:rStyle w:val="TextoNormalCaracter"/>
          </w:rPr>
          <w:t>95/1997</w:t>
        </w:r>
      </w:hyperlink>
      <w:r>
        <w:t>.</w:t>
      </w:r>
    </w:p>
    <w:p w:rsidR="00575662" w:rsidRDefault="00575662" w:rsidP="00575662">
      <w:pPr>
        <w:pStyle w:val="SangriaFrancesaArticulo"/>
      </w:pPr>
    </w:p>
    <w:p w:rsidR="00575662" w:rsidRDefault="00575662" w:rsidP="00575662">
      <w:pPr>
        <w:pStyle w:val="TextoNormalNegritaCursivandice"/>
      </w:pPr>
      <w:r>
        <w:t>Ley Orgánica 10/1995, de 23 de noviembre. Código penal</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22" w:history="1">
        <w:r w:rsidRPr="00575662">
          <w:rPr>
            <w:rStyle w:val="TextoNormalCaracter"/>
          </w:rPr>
          <w:t>22/1997</w:t>
        </w:r>
      </w:hyperlink>
      <w:r>
        <w:t>, VP.</w:t>
      </w:r>
    </w:p>
    <w:p w:rsidR="00575662" w:rsidRDefault="00575662" w:rsidP="00575662">
      <w:pPr>
        <w:pStyle w:val="SangriaIzquierdaArticulo"/>
      </w:pPr>
      <w:r>
        <w:t xml:space="preserve">Autos </w:t>
      </w:r>
      <w:hyperlink w:anchor="AUTO_1997_97" w:history="1">
        <w:r w:rsidRPr="00575662">
          <w:rPr>
            <w:rStyle w:val="TextoNormalCaracter"/>
          </w:rPr>
          <w:t>97/1997</w:t>
        </w:r>
      </w:hyperlink>
      <w:r>
        <w:t xml:space="preserve">; </w:t>
      </w:r>
      <w:hyperlink w:anchor="AUTO_1997_114" w:history="1">
        <w:r w:rsidRPr="00575662">
          <w:rPr>
            <w:rStyle w:val="TextoNormalCaracter"/>
          </w:rPr>
          <w:t>114/1997</w:t>
        </w:r>
      </w:hyperlink>
      <w:r>
        <w:t>.</w:t>
      </w:r>
    </w:p>
    <w:p w:rsidR="00575662" w:rsidRDefault="00575662" w:rsidP="00575662">
      <w:pPr>
        <w:pStyle w:val="SangriaFrancesaArticulo"/>
      </w:pPr>
      <w:r w:rsidRPr="00575662">
        <w:rPr>
          <w:rStyle w:val="TextoNormalNegritaCaracter"/>
        </w:rPr>
        <w:t>Artículo 2.</w:t>
      </w:r>
      <w:r w:rsidRPr="00575662">
        <w:rPr>
          <w:rStyle w:val="TextoNormalCaracter"/>
        </w:rPr>
        <w:t>-</w:t>
      </w:r>
      <w:r>
        <w:t xml:space="preserve"> Sentencia </w:t>
      </w:r>
      <w:hyperlink w:anchor="SENTENCIA_1997_38" w:history="1">
        <w:r w:rsidRPr="00575662">
          <w:rPr>
            <w:rStyle w:val="TextoNormalCaracter"/>
          </w:rPr>
          <w:t>38/1997</w:t>
        </w:r>
      </w:hyperlink>
      <w:r>
        <w:t>, f. 6.</w:t>
      </w:r>
    </w:p>
    <w:p w:rsidR="00575662" w:rsidRDefault="00575662" w:rsidP="00575662">
      <w:pPr>
        <w:pStyle w:val="SangriaFrancesaArticulo"/>
      </w:pPr>
      <w:r w:rsidRPr="00575662">
        <w:rPr>
          <w:rStyle w:val="TextoNormalNegritaCaracter"/>
        </w:rPr>
        <w:t>Artículo 2.1.</w:t>
      </w:r>
      <w:r w:rsidRPr="00575662">
        <w:rPr>
          <w:rStyle w:val="TextoNormalCaracter"/>
        </w:rPr>
        <w:t>-</w:t>
      </w:r>
      <w:r>
        <w:t xml:space="preserve"> Sentencia </w:t>
      </w:r>
      <w:hyperlink w:anchor="SENTENCIA_1997_38" w:history="1">
        <w:r w:rsidRPr="00575662">
          <w:rPr>
            <w:rStyle w:val="TextoNormalCaracter"/>
          </w:rPr>
          <w:t>38/1997</w:t>
        </w:r>
      </w:hyperlink>
      <w:r>
        <w:t>, f. 6.</w:t>
      </w:r>
    </w:p>
    <w:p w:rsidR="00575662" w:rsidRDefault="00575662" w:rsidP="00575662">
      <w:pPr>
        <w:pStyle w:val="SangriaFrancesaArticulo"/>
      </w:pPr>
      <w:r w:rsidRPr="00575662">
        <w:rPr>
          <w:rStyle w:val="TextoNormalNegritaCaracter"/>
        </w:rPr>
        <w:t>Artículo 2.2.</w:t>
      </w:r>
      <w:r w:rsidRPr="00575662">
        <w:rPr>
          <w:rStyle w:val="TextoNormalCaracter"/>
        </w:rPr>
        <w:t>-</w:t>
      </w:r>
      <w:r>
        <w:t xml:space="preserve"> Sentencia </w:t>
      </w:r>
      <w:hyperlink w:anchor="SENTENCIA_1997_38" w:history="1">
        <w:r w:rsidRPr="00575662">
          <w:rPr>
            <w:rStyle w:val="TextoNormalCaracter"/>
          </w:rPr>
          <w:t>38/1997</w:t>
        </w:r>
      </w:hyperlink>
      <w:r>
        <w:t>, f. 6.</w:t>
      </w:r>
    </w:p>
    <w:p w:rsidR="00575662" w:rsidRDefault="00575662" w:rsidP="00575662">
      <w:pPr>
        <w:pStyle w:val="SangriaFrancesaArticulo"/>
      </w:pPr>
      <w:r w:rsidRPr="00575662">
        <w:rPr>
          <w:rStyle w:val="TextoNormalNegritaCaracter"/>
        </w:rPr>
        <w:t>Artículo 33.</w:t>
      </w:r>
      <w:r w:rsidRPr="00575662">
        <w:rPr>
          <w:rStyle w:val="TextoNormalCaracter"/>
        </w:rPr>
        <w:t>-</w:t>
      </w:r>
      <w:r>
        <w:t xml:space="preserve"> Auto </w:t>
      </w:r>
      <w:hyperlink w:anchor="AUTO_1997_106" w:history="1">
        <w:r w:rsidRPr="00575662">
          <w:rPr>
            <w:rStyle w:val="TextoNormalCaracter"/>
          </w:rPr>
          <w:t>106/1997</w:t>
        </w:r>
      </w:hyperlink>
      <w:r>
        <w:t>.</w:t>
      </w:r>
    </w:p>
    <w:p w:rsidR="00575662" w:rsidRDefault="00575662" w:rsidP="00575662">
      <w:pPr>
        <w:pStyle w:val="SangriaFrancesaArticulo"/>
      </w:pPr>
      <w:r w:rsidRPr="00575662">
        <w:rPr>
          <w:rStyle w:val="TextoNormalNegritaCaracter"/>
        </w:rPr>
        <w:t>Artículos 35 a 38.</w:t>
      </w:r>
      <w:r w:rsidRPr="00575662">
        <w:rPr>
          <w:rStyle w:val="TextoNormalCaracter"/>
        </w:rPr>
        <w:t>-</w:t>
      </w:r>
      <w:r>
        <w:t xml:space="preserve"> Sentencia </w:t>
      </w:r>
      <w:hyperlink w:anchor="SENTENCIA_1997_56" w:history="1">
        <w:r w:rsidRPr="00575662">
          <w:rPr>
            <w:rStyle w:val="TextoNormalCaracter"/>
          </w:rPr>
          <w:t>56/1997</w:t>
        </w:r>
      </w:hyperlink>
      <w:r>
        <w:t>, VP III.</w:t>
      </w:r>
    </w:p>
    <w:p w:rsidR="00575662" w:rsidRDefault="00575662" w:rsidP="00575662">
      <w:pPr>
        <w:pStyle w:val="SangriaFrancesaArticulo"/>
      </w:pPr>
      <w:r w:rsidRPr="00575662">
        <w:rPr>
          <w:rStyle w:val="TextoNormalNegritaCaracter"/>
        </w:rPr>
        <w:t>Artículo 39.</w:t>
      </w:r>
      <w:r w:rsidRPr="00575662">
        <w:rPr>
          <w:rStyle w:val="TextoNormalCaracter"/>
        </w:rPr>
        <w:t>-</w:t>
      </w:r>
      <w:r>
        <w:t xml:space="preserve"> Sentencia </w:t>
      </w:r>
      <w:hyperlink w:anchor="SENTENCIA_1997_56" w:history="1">
        <w:r w:rsidRPr="00575662">
          <w:rPr>
            <w:rStyle w:val="TextoNormalCaracter"/>
          </w:rPr>
          <w:t>56/1997</w:t>
        </w:r>
      </w:hyperlink>
      <w:r>
        <w:t>, VP I.</w:t>
      </w:r>
    </w:p>
    <w:p w:rsidR="00575662" w:rsidRDefault="00575662" w:rsidP="00575662">
      <w:pPr>
        <w:pStyle w:val="SangriaFrancesaArticulo"/>
      </w:pPr>
      <w:r w:rsidRPr="00575662">
        <w:rPr>
          <w:rStyle w:val="TextoNormalNegritaCaracter"/>
        </w:rPr>
        <w:t>Artículo 58.</w:t>
      </w:r>
      <w:r w:rsidRPr="00575662">
        <w:rPr>
          <w:rStyle w:val="TextoNormalCaracter"/>
        </w:rPr>
        <w:t>-</w:t>
      </w:r>
      <w:r>
        <w:t xml:space="preserve"> Sentencia </w:t>
      </w:r>
      <w:hyperlink w:anchor="SENTENCIA_1997_56" w:history="1">
        <w:r w:rsidRPr="00575662">
          <w:rPr>
            <w:rStyle w:val="TextoNormalCaracter"/>
          </w:rPr>
          <w:t>56/1997</w:t>
        </w:r>
      </w:hyperlink>
      <w:r>
        <w:t>, VP III.</w:t>
      </w:r>
    </w:p>
    <w:p w:rsidR="00575662" w:rsidRDefault="00575662" w:rsidP="00575662">
      <w:pPr>
        <w:pStyle w:val="SangriaFrancesaArticulo"/>
      </w:pPr>
      <w:r w:rsidRPr="00575662">
        <w:rPr>
          <w:rStyle w:val="TextoNormalNegritaCaracter"/>
        </w:rPr>
        <w:t>Artículo 83.</w:t>
      </w:r>
      <w:r w:rsidRPr="00575662">
        <w:rPr>
          <w:rStyle w:val="TextoNormalCaracter"/>
        </w:rPr>
        <w:t>-</w:t>
      </w:r>
      <w:r>
        <w:t xml:space="preserve"> Sentencia </w:t>
      </w:r>
      <w:hyperlink w:anchor="SENTENCIA_1997_56" w:history="1">
        <w:r w:rsidRPr="00575662">
          <w:rPr>
            <w:rStyle w:val="TextoNormalCaracter"/>
          </w:rPr>
          <w:t>56/1997</w:t>
        </w:r>
      </w:hyperlink>
      <w:r>
        <w:t>, VP I.</w:t>
      </w:r>
    </w:p>
    <w:p w:rsidR="00575662" w:rsidRDefault="00575662" w:rsidP="00575662">
      <w:pPr>
        <w:pStyle w:val="SangriaFrancesaArticulo"/>
      </w:pPr>
      <w:r w:rsidRPr="00575662">
        <w:rPr>
          <w:rStyle w:val="TextoNormalNegritaCaracter"/>
        </w:rPr>
        <w:t>Artículo 89.</w:t>
      </w:r>
      <w:r w:rsidRPr="00575662">
        <w:rPr>
          <w:rStyle w:val="TextoNormalCaracter"/>
        </w:rPr>
        <w:t>-</w:t>
      </w:r>
      <w:r>
        <w:t xml:space="preserve"> Auto </w:t>
      </w:r>
      <w:hyperlink w:anchor="AUTO_1997_106" w:history="1">
        <w:r w:rsidRPr="00575662">
          <w:rPr>
            <w:rStyle w:val="TextoNormalCaracter"/>
          </w:rPr>
          <w:t>106/1997</w:t>
        </w:r>
      </w:hyperlink>
      <w:r>
        <w:t>.</w:t>
      </w:r>
    </w:p>
    <w:p w:rsidR="00575662" w:rsidRDefault="00575662" w:rsidP="00575662">
      <w:pPr>
        <w:pStyle w:val="SangriaFrancesaArticulo"/>
      </w:pPr>
      <w:r w:rsidRPr="00575662">
        <w:rPr>
          <w:rStyle w:val="TextoNormalNegritaCaracter"/>
        </w:rPr>
        <w:t>Artículo 89.1.</w:t>
      </w:r>
      <w:r w:rsidRPr="00575662">
        <w:rPr>
          <w:rStyle w:val="TextoNormalCaracter"/>
        </w:rPr>
        <w:t>-</w:t>
      </w:r>
      <w:r>
        <w:t xml:space="preserve"> Auto </w:t>
      </w:r>
      <w:hyperlink w:anchor="AUTO_1997_106" w:history="1">
        <w:r w:rsidRPr="00575662">
          <w:rPr>
            <w:rStyle w:val="TextoNormalCaracter"/>
          </w:rPr>
          <w:t>106/1997</w:t>
        </w:r>
      </w:hyperlink>
      <w:r>
        <w:t>.</w:t>
      </w:r>
    </w:p>
    <w:p w:rsidR="00575662" w:rsidRDefault="00575662" w:rsidP="00575662">
      <w:pPr>
        <w:pStyle w:val="SangriaFrancesaArticulo"/>
      </w:pPr>
      <w:r w:rsidRPr="00575662">
        <w:rPr>
          <w:rStyle w:val="TextoNormalNegritaCaracter"/>
        </w:rPr>
        <w:t>Artículo 96.</w:t>
      </w:r>
      <w:r w:rsidRPr="00575662">
        <w:rPr>
          <w:rStyle w:val="TextoNormalCaracter"/>
        </w:rPr>
        <w:t>-</w:t>
      </w:r>
      <w:r>
        <w:t xml:space="preserve"> Sentencia </w:t>
      </w:r>
      <w:hyperlink w:anchor="SENTENCIA_1997_56" w:history="1">
        <w:r w:rsidRPr="00575662">
          <w:rPr>
            <w:rStyle w:val="TextoNormalCaracter"/>
          </w:rPr>
          <w:t>56/1997</w:t>
        </w:r>
      </w:hyperlink>
      <w:r>
        <w:t>, VP I.</w:t>
      </w:r>
    </w:p>
    <w:p w:rsidR="00575662" w:rsidRDefault="00575662" w:rsidP="00575662">
      <w:pPr>
        <w:pStyle w:val="SangriaFrancesaArticulo"/>
      </w:pPr>
      <w:r w:rsidRPr="00575662">
        <w:rPr>
          <w:rStyle w:val="TextoNormalNegritaCaracter"/>
        </w:rPr>
        <w:t>Artículo 105.</w:t>
      </w:r>
      <w:r w:rsidRPr="00575662">
        <w:rPr>
          <w:rStyle w:val="TextoNormalCaracter"/>
        </w:rPr>
        <w:t>-</w:t>
      </w:r>
      <w:r>
        <w:t xml:space="preserve"> Sentencia </w:t>
      </w:r>
      <w:hyperlink w:anchor="SENTENCIA_1997_56" w:history="1">
        <w:r w:rsidRPr="00575662">
          <w:rPr>
            <w:rStyle w:val="TextoNormalCaracter"/>
          </w:rPr>
          <w:t>56/1997</w:t>
        </w:r>
      </w:hyperlink>
      <w:r>
        <w:t>, VP III.</w:t>
      </w:r>
    </w:p>
    <w:p w:rsidR="00575662" w:rsidRDefault="00575662" w:rsidP="00575662">
      <w:pPr>
        <w:pStyle w:val="SangriaFrancesaArticulo"/>
      </w:pPr>
      <w:r w:rsidRPr="00575662">
        <w:rPr>
          <w:rStyle w:val="TextoNormalNegritaCaracter"/>
        </w:rPr>
        <w:t>Disposición derogatoria única, apartado 2.</w:t>
      </w:r>
      <w:r w:rsidRPr="00575662">
        <w:rPr>
          <w:rStyle w:val="TextoNormalCaracter"/>
        </w:rPr>
        <w:t>-</w:t>
      </w:r>
      <w:r>
        <w:t xml:space="preserve"> Auto </w:t>
      </w:r>
      <w:hyperlink w:anchor="AUTO_1997_106" w:history="1">
        <w:r w:rsidRPr="00575662">
          <w:rPr>
            <w:rStyle w:val="TextoNormalCaracter"/>
          </w:rPr>
          <w:t>106/1997</w:t>
        </w:r>
      </w:hyperlink>
      <w:r>
        <w:t>.</w:t>
      </w:r>
    </w:p>
    <w:p w:rsidR="00575662" w:rsidRDefault="00575662" w:rsidP="00575662">
      <w:pPr>
        <w:pStyle w:val="TextoNormal"/>
      </w:pPr>
    </w:p>
    <w:p w:rsidR="00575662" w:rsidRDefault="00575662" w:rsidP="00575662">
      <w:pPr>
        <w:pStyle w:val="SangriaFrancesaArticulo"/>
      </w:pPr>
      <w:bookmarkStart w:id="222" w:name="INDICE22846"/>
    </w:p>
    <w:bookmarkEnd w:id="222"/>
    <w:p w:rsidR="00575662" w:rsidRDefault="00575662" w:rsidP="00575662">
      <w:pPr>
        <w:pStyle w:val="TextoIndiceNivel2"/>
        <w:suppressAutoHyphens/>
      </w:pPr>
      <w:r>
        <w:t>E) Leyes de las Cortes Generales</w:t>
      </w:r>
    </w:p>
    <w:p w:rsidR="00575662" w:rsidRDefault="00575662" w:rsidP="00575662">
      <w:pPr>
        <w:pStyle w:val="TextoIndiceNivel2"/>
      </w:pPr>
    </w:p>
    <w:p w:rsidR="00575662" w:rsidRDefault="00575662" w:rsidP="00575662">
      <w:pPr>
        <w:pStyle w:val="TextoNormalNegritaCursivandice"/>
      </w:pPr>
      <w:r>
        <w:t>Ley 8/1980, de 10 de marzo. Estatuto de los trabajadores</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Auto </w:t>
      </w:r>
      <w:hyperlink w:anchor="AUTO_1997_56" w:history="1">
        <w:r w:rsidRPr="00575662">
          <w:rPr>
            <w:rStyle w:val="TextoNormalCaracter"/>
          </w:rPr>
          <w:t>56/1997</w:t>
        </w:r>
      </w:hyperlink>
      <w:r>
        <w:t>.</w:t>
      </w:r>
    </w:p>
    <w:p w:rsidR="00575662" w:rsidRDefault="00575662" w:rsidP="00575662">
      <w:pPr>
        <w:pStyle w:val="SangriaFrancesaArticulo"/>
      </w:pPr>
      <w:r w:rsidRPr="00575662">
        <w:rPr>
          <w:rStyle w:val="TextoNormalNegritaCaracter"/>
        </w:rPr>
        <w:t>Artículo 1.3 g)</w:t>
      </w:r>
      <w:r>
        <w:t xml:space="preserve"> </w:t>
      </w:r>
      <w:r w:rsidRPr="00575662">
        <w:rPr>
          <w:rStyle w:val="TextoNormalCaracter"/>
        </w:rPr>
        <w:t>(redactado por la Ley 11/1994, de 19 de mayo)</w:t>
      </w:r>
      <w:r w:rsidRPr="00575662">
        <w:rPr>
          <w:rStyle w:val="TextoNormalNegritaCaracter"/>
        </w:rPr>
        <w:t>.</w:t>
      </w:r>
      <w:r w:rsidRPr="00575662">
        <w:rPr>
          <w:rStyle w:val="TextoNormalCaracter"/>
        </w:rPr>
        <w:t>-</w:t>
      </w:r>
      <w:r>
        <w:t xml:space="preserve"> Auto </w:t>
      </w:r>
      <w:hyperlink w:anchor="AUTO_1997_56" w:history="1">
        <w:r w:rsidRPr="00575662">
          <w:rPr>
            <w:rStyle w:val="TextoNormalCaracter"/>
          </w:rPr>
          <w:t>56/1997</w:t>
        </w:r>
      </w:hyperlink>
      <w:r>
        <w:t>.</w:t>
      </w:r>
    </w:p>
    <w:p w:rsidR="00575662" w:rsidRDefault="00575662" w:rsidP="00575662">
      <w:pPr>
        <w:pStyle w:val="SangriaFrancesaArticulo"/>
      </w:pPr>
      <w:r w:rsidRPr="00575662">
        <w:rPr>
          <w:rStyle w:val="TextoNormalNegritaCaracter"/>
        </w:rPr>
        <w:t>Artículo 3.5.</w:t>
      </w:r>
      <w:r w:rsidRPr="00575662">
        <w:rPr>
          <w:rStyle w:val="TextoNormalCaracter"/>
        </w:rPr>
        <w:t>-</w:t>
      </w:r>
      <w:r>
        <w:t xml:space="preserve"> Sentencia </w:t>
      </w:r>
      <w:hyperlink w:anchor="SENTENCIA_1997_57" w:history="1">
        <w:r w:rsidRPr="00575662">
          <w:rPr>
            <w:rStyle w:val="TextoNormalCaracter"/>
          </w:rPr>
          <w:t>57/1997</w:t>
        </w:r>
      </w:hyperlink>
      <w:r>
        <w:t>, f. 5.</w:t>
      </w:r>
    </w:p>
    <w:p w:rsidR="00575662" w:rsidRDefault="00575662" w:rsidP="00575662">
      <w:pPr>
        <w:pStyle w:val="SangriaFrancesaArticulo"/>
      </w:pPr>
      <w:r w:rsidRPr="00575662">
        <w:rPr>
          <w:rStyle w:val="TextoNormalNegritaCaracter"/>
        </w:rPr>
        <w:t>Artículo 4.1 g).</w:t>
      </w:r>
      <w:r w:rsidRPr="00575662">
        <w:rPr>
          <w:rStyle w:val="TextoNormalCaracter"/>
        </w:rPr>
        <w:t>-</w:t>
      </w:r>
      <w:r>
        <w:t xml:space="preserve"> Auto </w:t>
      </w:r>
      <w:hyperlink w:anchor="AUTO_1997_32" w:history="1">
        <w:r w:rsidRPr="00575662">
          <w:rPr>
            <w:rStyle w:val="TextoNormalCaracter"/>
          </w:rPr>
          <w:t>32/1997</w:t>
        </w:r>
      </w:hyperlink>
      <w:r>
        <w:t>.</w:t>
      </w:r>
    </w:p>
    <w:p w:rsidR="00575662" w:rsidRDefault="00575662" w:rsidP="00575662">
      <w:pPr>
        <w:pStyle w:val="SangriaFrancesaArticulo"/>
      </w:pPr>
      <w:r w:rsidRPr="00575662">
        <w:rPr>
          <w:rStyle w:val="TextoNormalNegritaCaracter"/>
        </w:rPr>
        <w:t>Artículo 4.2 c).</w:t>
      </w:r>
      <w:r w:rsidRPr="00575662">
        <w:rPr>
          <w:rStyle w:val="TextoNormalCaracter"/>
        </w:rPr>
        <w:t>-</w:t>
      </w:r>
      <w:r>
        <w:t xml:space="preserve"> Sentencia </w:t>
      </w:r>
      <w:hyperlink w:anchor="SENTENCIA_1997_82" w:history="1">
        <w:r w:rsidRPr="00575662">
          <w:rPr>
            <w:rStyle w:val="TextoNormalCaracter"/>
          </w:rPr>
          <w:t>82/1997</w:t>
        </w:r>
      </w:hyperlink>
      <w:r>
        <w:t>, f. 3.</w:t>
      </w:r>
    </w:p>
    <w:p w:rsidR="00575662" w:rsidRDefault="00575662" w:rsidP="00575662">
      <w:pPr>
        <w:pStyle w:val="SangriaFrancesaArticulo"/>
      </w:pPr>
      <w:r w:rsidRPr="00575662">
        <w:rPr>
          <w:rStyle w:val="TextoNormalNegritaCaracter"/>
        </w:rPr>
        <w:t>Artículo 4.2 g).</w:t>
      </w:r>
      <w:r w:rsidRPr="00575662">
        <w:rPr>
          <w:rStyle w:val="TextoNormalCaracter"/>
        </w:rPr>
        <w:t>-</w:t>
      </w:r>
      <w:r>
        <w:t xml:space="preserve"> Auto </w:t>
      </w:r>
      <w:hyperlink w:anchor="AUTO_1997_32" w:history="1">
        <w:r w:rsidRPr="00575662">
          <w:rPr>
            <w:rStyle w:val="TextoNormalCaracter"/>
          </w:rPr>
          <w:t>32/1997</w:t>
        </w:r>
      </w:hyperlink>
      <w:r>
        <w:t>.</w:t>
      </w:r>
    </w:p>
    <w:p w:rsidR="00575662" w:rsidRDefault="00575662" w:rsidP="00575662">
      <w:pPr>
        <w:pStyle w:val="SangriaFrancesaArticulo"/>
      </w:pPr>
      <w:r w:rsidRPr="00575662">
        <w:rPr>
          <w:rStyle w:val="TextoNormalNegritaCaracter"/>
        </w:rPr>
        <w:t>Artículo 17.</w:t>
      </w:r>
      <w:r w:rsidRPr="00575662">
        <w:rPr>
          <w:rStyle w:val="TextoNormalCaracter"/>
        </w:rPr>
        <w:t>-</w:t>
      </w:r>
      <w:r>
        <w:t xml:space="preserve"> Sentencia </w:t>
      </w:r>
      <w:hyperlink w:anchor="SENTENCIA_1997_82" w:history="1">
        <w:r w:rsidRPr="00575662">
          <w:rPr>
            <w:rStyle w:val="TextoNormalCaracter"/>
          </w:rPr>
          <w:t>82/1997</w:t>
        </w:r>
      </w:hyperlink>
      <w:r>
        <w:t>, f. 3.</w:t>
      </w:r>
    </w:p>
    <w:p w:rsidR="00575662" w:rsidRDefault="00575662" w:rsidP="00575662">
      <w:pPr>
        <w:pStyle w:val="SangriaFrancesaArticulo"/>
      </w:pPr>
      <w:r w:rsidRPr="00575662">
        <w:rPr>
          <w:rStyle w:val="TextoNormalNegritaCaracter"/>
        </w:rPr>
        <w:t>Artículo 69.1.</w:t>
      </w:r>
      <w:r w:rsidRPr="00575662">
        <w:rPr>
          <w:rStyle w:val="TextoNormalCaracter"/>
        </w:rPr>
        <w:t>-</w:t>
      </w:r>
      <w:r>
        <w:t xml:space="preserve"> Auto </w:t>
      </w:r>
      <w:hyperlink w:anchor="AUTO_1997_32" w:history="1">
        <w:r w:rsidRPr="00575662">
          <w:rPr>
            <w:rStyle w:val="TextoNormalCaracter"/>
          </w:rPr>
          <w:t>32/1997</w:t>
        </w:r>
      </w:hyperlink>
      <w:r>
        <w:t>.</w:t>
      </w:r>
    </w:p>
    <w:p w:rsidR="00575662" w:rsidRDefault="00575662" w:rsidP="00575662">
      <w:pPr>
        <w:pStyle w:val="SangriaFrancesaArticulo"/>
      </w:pPr>
      <w:r w:rsidRPr="00575662">
        <w:rPr>
          <w:rStyle w:val="TextoNormalNegritaCaracter"/>
        </w:rPr>
        <w:t>Artículo 71.2 a).</w:t>
      </w:r>
      <w:r w:rsidRPr="00575662">
        <w:rPr>
          <w:rStyle w:val="TextoNormalCaracter"/>
        </w:rPr>
        <w:t>-</w:t>
      </w:r>
      <w:r>
        <w:t xml:space="preserve"> Sentencia </w:t>
      </w:r>
      <w:hyperlink w:anchor="SENTENCIA_1997_13" w:history="1">
        <w:r w:rsidRPr="00575662">
          <w:rPr>
            <w:rStyle w:val="TextoNormalCaracter"/>
          </w:rPr>
          <w:t>13/1997</w:t>
        </w:r>
      </w:hyperlink>
      <w:r>
        <w:t>, f. 4.</w:t>
      </w:r>
    </w:p>
    <w:p w:rsidR="00575662" w:rsidRDefault="00575662" w:rsidP="00575662">
      <w:pPr>
        <w:pStyle w:val="SangriaFrancesaArticulo"/>
      </w:pPr>
      <w:r w:rsidRPr="00575662">
        <w:rPr>
          <w:rStyle w:val="TextoNormalNegritaCaracter"/>
        </w:rPr>
        <w:t>Artículo 74.3.3.</w:t>
      </w:r>
      <w:r w:rsidRPr="00575662">
        <w:rPr>
          <w:rStyle w:val="TextoNormalCaracter"/>
        </w:rPr>
        <w:t>-</w:t>
      </w:r>
      <w:r>
        <w:t xml:space="preserve"> Sentencia </w:t>
      </w:r>
      <w:hyperlink w:anchor="SENTENCIA_1997_13" w:history="1">
        <w:r w:rsidRPr="00575662">
          <w:rPr>
            <w:rStyle w:val="TextoNormalCaracter"/>
          </w:rPr>
          <w:t>13/1997</w:t>
        </w:r>
      </w:hyperlink>
      <w:r>
        <w:t>, f. 4.</w:t>
      </w:r>
    </w:p>
    <w:p w:rsidR="00575662" w:rsidRDefault="00575662" w:rsidP="00575662">
      <w:pPr>
        <w:pStyle w:val="SangriaFrancesaArticulo"/>
      </w:pPr>
      <w:r w:rsidRPr="00575662">
        <w:rPr>
          <w:rStyle w:val="TextoNormalNegritaCaracter"/>
        </w:rPr>
        <w:t>Artículo 76.</w:t>
      </w:r>
      <w:r w:rsidRPr="00575662">
        <w:rPr>
          <w:rStyle w:val="TextoNormalCaracter"/>
        </w:rPr>
        <w:t>-</w:t>
      </w:r>
      <w:r>
        <w:t xml:space="preserve"> Sentencia </w:t>
      </w:r>
      <w:hyperlink w:anchor="SENTENCIA_1997_52" w:history="1">
        <w:r w:rsidRPr="00575662">
          <w:rPr>
            <w:rStyle w:val="TextoNormalCaracter"/>
          </w:rPr>
          <w:t>52/1997</w:t>
        </w:r>
      </w:hyperlink>
      <w:r>
        <w:t>, ff. 2, 5.</w:t>
      </w:r>
    </w:p>
    <w:p w:rsidR="00575662" w:rsidRDefault="00575662" w:rsidP="00575662">
      <w:pPr>
        <w:pStyle w:val="SangriaFrancesaArticulo"/>
      </w:pPr>
      <w:r w:rsidRPr="00575662">
        <w:rPr>
          <w:rStyle w:val="TextoNormalNegritaCaracter"/>
        </w:rPr>
        <w:t>Artículo 76.2.</w:t>
      </w:r>
      <w:r w:rsidRPr="00575662">
        <w:rPr>
          <w:rStyle w:val="TextoNormalCaracter"/>
        </w:rPr>
        <w:t>-</w:t>
      </w:r>
      <w:r>
        <w:t xml:space="preserve"> Sentencia </w:t>
      </w:r>
      <w:hyperlink w:anchor="SENTENCIA_1997_52" w:history="1">
        <w:r w:rsidRPr="00575662">
          <w:rPr>
            <w:rStyle w:val="TextoNormalCaracter"/>
          </w:rPr>
          <w:t>52/1997</w:t>
        </w:r>
      </w:hyperlink>
      <w:r>
        <w:t>, f. 2.</w:t>
      </w:r>
    </w:p>
    <w:p w:rsidR="00575662" w:rsidRDefault="00575662" w:rsidP="00575662">
      <w:pPr>
        <w:pStyle w:val="SangriaFrancesaArticulo"/>
      </w:pPr>
      <w:r w:rsidRPr="00575662">
        <w:rPr>
          <w:rStyle w:val="TextoNormalNegritaCaracter"/>
        </w:rPr>
        <w:t>Artículo 76.3.</w:t>
      </w:r>
      <w:r w:rsidRPr="00575662">
        <w:rPr>
          <w:rStyle w:val="TextoNormalCaracter"/>
        </w:rPr>
        <w:t>-</w:t>
      </w:r>
      <w:r>
        <w:t xml:space="preserve"> Auto </w:t>
      </w:r>
      <w:hyperlink w:anchor="AUTO_1997_32" w:history="1">
        <w:r w:rsidRPr="00575662">
          <w:rPr>
            <w:rStyle w:val="TextoNormalCaracter"/>
          </w:rPr>
          <w:t>32/1997</w:t>
        </w:r>
      </w:hyperlink>
      <w:r>
        <w:t>.</w:t>
      </w:r>
    </w:p>
    <w:p w:rsidR="00575662" w:rsidRDefault="00575662" w:rsidP="00575662">
      <w:pPr>
        <w:pStyle w:val="SangriaFrancesaArticulo"/>
      </w:pPr>
    </w:p>
    <w:p w:rsidR="00575662" w:rsidRDefault="00575662" w:rsidP="00575662">
      <w:pPr>
        <w:pStyle w:val="TextoNormalNegritaCursivandice"/>
      </w:pPr>
      <w:r>
        <w:t>Ley 30/1981, de 7 de julio. Modificación de la regulación del matrimonio en el Código civil y determinación del procedimiento a seguir en las causas de nulidad, separación y divorcio</w:t>
      </w:r>
    </w:p>
    <w:p w:rsidR="00575662" w:rsidRDefault="00575662" w:rsidP="00575662">
      <w:pPr>
        <w:pStyle w:val="SangriaFrancesaArticulo"/>
      </w:pPr>
      <w:r w:rsidRPr="00575662">
        <w:rPr>
          <w:rStyle w:val="TextoNormalNegritaCaracter"/>
        </w:rPr>
        <w:lastRenderedPageBreak/>
        <w:t>Disposición adicional sexta, apartado 11.</w:t>
      </w:r>
      <w:r w:rsidRPr="00575662">
        <w:rPr>
          <w:rStyle w:val="TextoNormalCaracter"/>
        </w:rPr>
        <w:t>-</w:t>
      </w:r>
      <w:r>
        <w:t xml:space="preserve"> Sentencia </w:t>
      </w:r>
      <w:hyperlink w:anchor="SENTENCIA_1997_54" w:history="1">
        <w:r w:rsidRPr="00575662">
          <w:rPr>
            <w:rStyle w:val="TextoNormalCaracter"/>
          </w:rPr>
          <w:t>54/1997</w:t>
        </w:r>
      </w:hyperlink>
      <w:r>
        <w:t>, f. 1.</w:t>
      </w:r>
    </w:p>
    <w:p w:rsidR="00575662" w:rsidRDefault="00575662" w:rsidP="00575662">
      <w:pPr>
        <w:pStyle w:val="SangriaFrancesaArticulo"/>
      </w:pPr>
      <w:r w:rsidRPr="00575662">
        <w:rPr>
          <w:rStyle w:val="TextoNormalNegritaCaracter"/>
        </w:rPr>
        <w:t>Disposición adicional sexta, apartado 8.</w:t>
      </w:r>
      <w:r w:rsidRPr="00575662">
        <w:rPr>
          <w:rStyle w:val="TextoNormalCaracter"/>
        </w:rPr>
        <w:t>-</w:t>
      </w:r>
      <w:r>
        <w:t xml:space="preserve"> Sentencia </w:t>
      </w:r>
      <w:hyperlink w:anchor="SENTENCIA_1997_54" w:history="1">
        <w:r w:rsidRPr="00575662">
          <w:rPr>
            <w:rStyle w:val="TextoNormalCaracter"/>
          </w:rPr>
          <w:t>54/1997</w:t>
        </w:r>
      </w:hyperlink>
      <w:r>
        <w:t>, f. 1.</w:t>
      </w:r>
    </w:p>
    <w:p w:rsidR="00575662" w:rsidRDefault="00575662" w:rsidP="00575662">
      <w:pPr>
        <w:pStyle w:val="SangriaFrancesaArticulo"/>
      </w:pPr>
    </w:p>
    <w:p w:rsidR="00575662" w:rsidRDefault="00575662" w:rsidP="00575662">
      <w:pPr>
        <w:pStyle w:val="TextoNormalNegritaCursivandice"/>
      </w:pPr>
      <w:r>
        <w:t>Ley 50/1981, de 30 de diciembre. Estatuto orgánico del Ministerio Fiscal</w:t>
      </w:r>
    </w:p>
    <w:p w:rsidR="00575662" w:rsidRDefault="00575662" w:rsidP="00575662">
      <w:pPr>
        <w:pStyle w:val="SangriaFrancesaArticulo"/>
      </w:pPr>
      <w:r w:rsidRPr="00575662">
        <w:rPr>
          <w:rStyle w:val="TextoNormalNegritaCaracter"/>
        </w:rPr>
        <w:t>Artículo 3.4.</w:t>
      </w:r>
      <w:r w:rsidRPr="00575662">
        <w:rPr>
          <w:rStyle w:val="TextoNormalCaracter"/>
        </w:rPr>
        <w:t>-</w:t>
      </w:r>
      <w:r>
        <w:t xml:space="preserve"> Auto </w:t>
      </w:r>
      <w:hyperlink w:anchor="AUTO_1997_63" w:history="1">
        <w:r w:rsidRPr="00575662">
          <w:rPr>
            <w:rStyle w:val="TextoNormalCaracter"/>
          </w:rPr>
          <w:t>63/1997</w:t>
        </w:r>
      </w:hyperlink>
      <w:r>
        <w:t>, VP.</w:t>
      </w:r>
    </w:p>
    <w:p w:rsidR="00575662" w:rsidRDefault="00575662" w:rsidP="00575662">
      <w:pPr>
        <w:pStyle w:val="SangriaFrancesaArticulo"/>
      </w:pPr>
    </w:p>
    <w:p w:rsidR="00575662" w:rsidRDefault="00575662" w:rsidP="00575662">
      <w:pPr>
        <w:pStyle w:val="TextoNormalNegritaCursivandice"/>
      </w:pPr>
      <w:r>
        <w:t>Ley 34/1984, de 6 de agosto. Reforma de la Ley de enjuiciamiento civil</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53" w:history="1">
        <w:r w:rsidRPr="00575662">
          <w:rPr>
            <w:rStyle w:val="TextoNormalCaracter"/>
          </w:rPr>
          <w:t>53/1997</w:t>
        </w:r>
      </w:hyperlink>
      <w:r>
        <w:t>, f. 1.</w:t>
      </w:r>
    </w:p>
    <w:p w:rsidR="00575662" w:rsidRDefault="00575662" w:rsidP="00575662">
      <w:pPr>
        <w:pStyle w:val="SangriaFrancesaArticulo"/>
      </w:pPr>
    </w:p>
    <w:p w:rsidR="00575662" w:rsidRDefault="00575662" w:rsidP="00575662">
      <w:pPr>
        <w:pStyle w:val="TextoNormalNegritaCursivandice"/>
      </w:pPr>
      <w:r>
        <w:t>Ley 53/1984, de 26 de diciembre. Incompatibilidades del personal al servicio de las Administraciones públicas</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73" w:history="1">
        <w:r w:rsidRPr="00575662">
          <w:rPr>
            <w:rStyle w:val="TextoNormalCaracter"/>
          </w:rPr>
          <w:t>73/1997</w:t>
        </w:r>
      </w:hyperlink>
      <w:r>
        <w:t>, f. 1.</w:t>
      </w:r>
    </w:p>
    <w:p w:rsidR="00575662" w:rsidRDefault="00575662" w:rsidP="00575662">
      <w:pPr>
        <w:pStyle w:val="SangriaFrancesaArticulo"/>
      </w:pPr>
      <w:r w:rsidRPr="00575662">
        <w:rPr>
          <w:rStyle w:val="TextoNormalNegritaCaracter"/>
        </w:rPr>
        <w:t>Artículo 4.2.</w:t>
      </w:r>
      <w:r w:rsidRPr="00575662">
        <w:rPr>
          <w:rStyle w:val="TextoNormalCaracter"/>
        </w:rPr>
        <w:t>-</w:t>
      </w:r>
      <w:r>
        <w:t xml:space="preserve"> Sentencia </w:t>
      </w:r>
      <w:hyperlink w:anchor="SENTENCIA_1997_73" w:history="1">
        <w:r w:rsidRPr="00575662">
          <w:rPr>
            <w:rStyle w:val="TextoNormalCaracter"/>
          </w:rPr>
          <w:t>73/1997</w:t>
        </w:r>
      </w:hyperlink>
      <w:r>
        <w:t>, f. 3.</w:t>
      </w:r>
    </w:p>
    <w:p w:rsidR="00575662" w:rsidRDefault="00575662" w:rsidP="00575662">
      <w:pPr>
        <w:pStyle w:val="SangriaFrancesaArticulo"/>
      </w:pPr>
      <w:r w:rsidRPr="00575662">
        <w:rPr>
          <w:rStyle w:val="TextoNormalNegritaCaracter"/>
        </w:rPr>
        <w:t>Artículo 5.</w:t>
      </w:r>
      <w:r w:rsidRPr="00575662">
        <w:rPr>
          <w:rStyle w:val="TextoNormalCaracter"/>
        </w:rPr>
        <w:t>-</w:t>
      </w:r>
      <w:r>
        <w:t xml:space="preserve"> Sentencia </w:t>
      </w:r>
      <w:hyperlink w:anchor="SENTENCIA_1997_73" w:history="1">
        <w:r w:rsidRPr="00575662">
          <w:rPr>
            <w:rStyle w:val="TextoNormalCaracter"/>
          </w:rPr>
          <w:t>73/1997</w:t>
        </w:r>
      </w:hyperlink>
      <w:r>
        <w:t>, f. 2.</w:t>
      </w:r>
    </w:p>
    <w:p w:rsidR="00575662" w:rsidRDefault="00575662" w:rsidP="00575662">
      <w:pPr>
        <w:pStyle w:val="SangriaFrancesaArticulo"/>
      </w:pPr>
      <w:r w:rsidRPr="00575662">
        <w:rPr>
          <w:rStyle w:val="TextoNormalNegritaCaracter"/>
        </w:rPr>
        <w:t>Artículo 5 a).</w:t>
      </w:r>
      <w:r w:rsidRPr="00575662">
        <w:rPr>
          <w:rStyle w:val="TextoNormalCaracter"/>
        </w:rPr>
        <w:t>-</w:t>
      </w:r>
      <w:r>
        <w:t xml:space="preserve"> Sentencia </w:t>
      </w:r>
      <w:hyperlink w:anchor="SENTENCIA_1997_73" w:history="1">
        <w:r w:rsidRPr="00575662">
          <w:rPr>
            <w:rStyle w:val="TextoNormalCaracter"/>
          </w:rPr>
          <w:t>73/1997</w:t>
        </w:r>
      </w:hyperlink>
      <w:r>
        <w:t>, ff. 1 a 5.</w:t>
      </w:r>
    </w:p>
    <w:p w:rsidR="00575662" w:rsidRDefault="00575662" w:rsidP="00575662">
      <w:pPr>
        <w:pStyle w:val="SangriaFrancesaArticulo"/>
      </w:pPr>
      <w:r w:rsidRPr="00575662">
        <w:rPr>
          <w:rStyle w:val="TextoNormalNegritaCaracter"/>
        </w:rPr>
        <w:t>Artículo 16.1.</w:t>
      </w:r>
      <w:r w:rsidRPr="00575662">
        <w:rPr>
          <w:rStyle w:val="TextoNormalCaracter"/>
        </w:rPr>
        <w:t>-</w:t>
      </w:r>
      <w:r>
        <w:t xml:space="preserve"> Sentencia </w:t>
      </w:r>
      <w:hyperlink w:anchor="SENTENCIA_1997_73" w:history="1">
        <w:r w:rsidRPr="00575662">
          <w:rPr>
            <w:rStyle w:val="TextoNormalCaracter"/>
          </w:rPr>
          <w:t>73/1997</w:t>
        </w:r>
      </w:hyperlink>
      <w:r>
        <w:t>, ff. 1, 5.</w:t>
      </w:r>
    </w:p>
    <w:p w:rsidR="00575662" w:rsidRDefault="00575662" w:rsidP="00575662">
      <w:pPr>
        <w:pStyle w:val="SangriaFrancesaArticulo"/>
      </w:pPr>
      <w:r w:rsidRPr="00575662">
        <w:rPr>
          <w:rStyle w:val="TextoNormalNegritaCaracter"/>
        </w:rPr>
        <w:t>Disposición final primera.</w:t>
      </w:r>
      <w:r w:rsidRPr="00575662">
        <w:rPr>
          <w:rStyle w:val="TextoNormalCaracter"/>
        </w:rPr>
        <w:t>-</w:t>
      </w:r>
      <w:r>
        <w:t xml:space="preserve"> Sentencia </w:t>
      </w:r>
      <w:hyperlink w:anchor="SENTENCIA_1997_73" w:history="1">
        <w:r w:rsidRPr="00575662">
          <w:rPr>
            <w:rStyle w:val="TextoNormalCaracter"/>
          </w:rPr>
          <w:t>73/1997</w:t>
        </w:r>
      </w:hyperlink>
      <w:r>
        <w:t>, ff. 1, 3.</w:t>
      </w:r>
    </w:p>
    <w:p w:rsidR="00575662" w:rsidRDefault="00575662" w:rsidP="00575662">
      <w:pPr>
        <w:pStyle w:val="SangriaFrancesaArticulo"/>
      </w:pPr>
    </w:p>
    <w:p w:rsidR="00575662" w:rsidRDefault="00575662" w:rsidP="00575662">
      <w:pPr>
        <w:pStyle w:val="TextoNormalNegritaCursivandice"/>
      </w:pPr>
      <w:r>
        <w:t>Ley 7/1985, de 2 de abril. Reguladora de bases del régimen local</w:t>
      </w:r>
    </w:p>
    <w:p w:rsidR="00575662" w:rsidRDefault="00575662" w:rsidP="00575662">
      <w:pPr>
        <w:pStyle w:val="SangriaFrancesaArticulo"/>
      </w:pPr>
      <w:r w:rsidRPr="00575662">
        <w:rPr>
          <w:rStyle w:val="TextoNormalNegritaCaracter"/>
        </w:rPr>
        <w:t>Artículo 2.</w:t>
      </w:r>
      <w:r w:rsidRPr="00575662">
        <w:rPr>
          <w:rStyle w:val="TextoNormalCaracter"/>
        </w:rPr>
        <w:t>-</w:t>
      </w:r>
      <w:r>
        <w:t xml:space="preserve"> Sentencia </w:t>
      </w:r>
      <w:hyperlink w:anchor="SENTENCIA_1997_61" w:history="1">
        <w:r w:rsidRPr="00575662">
          <w:rPr>
            <w:rStyle w:val="TextoNormalCaracter"/>
          </w:rPr>
          <w:t>61/1997</w:t>
        </w:r>
      </w:hyperlink>
      <w:r>
        <w:t>, f. 25.</w:t>
      </w:r>
    </w:p>
    <w:p w:rsidR="00575662" w:rsidRDefault="00575662" w:rsidP="00575662">
      <w:pPr>
        <w:pStyle w:val="SangriaFrancesaArticulo"/>
      </w:pPr>
      <w:r w:rsidRPr="00575662">
        <w:rPr>
          <w:rStyle w:val="TextoNormalNegritaCaracter"/>
        </w:rPr>
        <w:t>Artículo 2.1.</w:t>
      </w:r>
      <w:r w:rsidRPr="00575662">
        <w:rPr>
          <w:rStyle w:val="TextoNormalCaracter"/>
        </w:rPr>
        <w:t>-</w:t>
      </w:r>
      <w:r>
        <w:t xml:space="preserve"> Sentencia </w:t>
      </w:r>
      <w:hyperlink w:anchor="SENTENCIA_1997_61" w:history="1">
        <w:r w:rsidRPr="00575662">
          <w:rPr>
            <w:rStyle w:val="TextoNormalCaracter"/>
          </w:rPr>
          <w:t>61/1997</w:t>
        </w:r>
      </w:hyperlink>
      <w:r>
        <w:t>, f. 25.</w:t>
      </w:r>
    </w:p>
    <w:p w:rsidR="00575662" w:rsidRDefault="00575662" w:rsidP="00575662">
      <w:pPr>
        <w:pStyle w:val="SangriaFrancesaArticulo"/>
      </w:pPr>
      <w:r w:rsidRPr="00575662">
        <w:rPr>
          <w:rStyle w:val="TextoNormalNegritaCaracter"/>
        </w:rPr>
        <w:t>Artículo 2.2.</w:t>
      </w:r>
      <w:r w:rsidRPr="00575662">
        <w:rPr>
          <w:rStyle w:val="TextoNormalCaracter"/>
        </w:rPr>
        <w:t>-</w:t>
      </w:r>
      <w:r>
        <w:t xml:space="preserve"> Sentencia </w:t>
      </w:r>
      <w:hyperlink w:anchor="SENTENCIA_1997_61" w:history="1">
        <w:r w:rsidRPr="00575662">
          <w:rPr>
            <w:rStyle w:val="TextoNormalCaracter"/>
          </w:rPr>
          <w:t>61/1997</w:t>
        </w:r>
      </w:hyperlink>
      <w:r>
        <w:t>, f. 25.</w:t>
      </w:r>
    </w:p>
    <w:p w:rsidR="00575662" w:rsidRDefault="00575662" w:rsidP="00575662">
      <w:pPr>
        <w:pStyle w:val="SangriaFrancesaArticulo"/>
      </w:pPr>
      <w:r w:rsidRPr="00575662">
        <w:rPr>
          <w:rStyle w:val="TextoNormalNegritaCaracter"/>
        </w:rPr>
        <w:t>Artículo 25.2 d).</w:t>
      </w:r>
      <w:r w:rsidRPr="00575662">
        <w:rPr>
          <w:rStyle w:val="TextoNormalCaracter"/>
        </w:rPr>
        <w:t>-</w:t>
      </w:r>
      <w:r>
        <w:t xml:space="preserve"> Sentencia </w:t>
      </w:r>
      <w:hyperlink w:anchor="SENTENCIA_1997_61" w:history="1">
        <w:r w:rsidRPr="00575662">
          <w:rPr>
            <w:rStyle w:val="TextoNormalCaracter"/>
          </w:rPr>
          <w:t>61/1997</w:t>
        </w:r>
      </w:hyperlink>
      <w:r>
        <w:t>, f. 25.</w:t>
      </w:r>
    </w:p>
    <w:p w:rsidR="00575662" w:rsidRDefault="00575662" w:rsidP="00575662">
      <w:pPr>
        <w:pStyle w:val="SangriaFrancesaArticulo"/>
      </w:pPr>
      <w:r w:rsidRPr="00575662">
        <w:rPr>
          <w:rStyle w:val="TextoNormalNegritaCaracter"/>
        </w:rPr>
        <w:t>Artículo 56.1.</w:t>
      </w:r>
      <w:r w:rsidRPr="00575662">
        <w:rPr>
          <w:rStyle w:val="TextoNormalCaracter"/>
        </w:rPr>
        <w:t>-</w:t>
      </w:r>
      <w:r>
        <w:t xml:space="preserve"> Sentencia </w:t>
      </w:r>
      <w:hyperlink w:anchor="SENTENCIA_1997_61" w:history="1">
        <w:r w:rsidRPr="00575662">
          <w:rPr>
            <w:rStyle w:val="TextoNormalCaracter"/>
          </w:rPr>
          <w:t>61/1997</w:t>
        </w:r>
      </w:hyperlink>
      <w:r>
        <w:t>, f. 26.</w:t>
      </w:r>
    </w:p>
    <w:p w:rsidR="00575662" w:rsidRDefault="00575662" w:rsidP="00575662">
      <w:pPr>
        <w:pStyle w:val="SangriaFrancesaArticulo"/>
      </w:pPr>
      <w:r w:rsidRPr="00575662">
        <w:rPr>
          <w:rStyle w:val="TextoNormalNegritaCaracter"/>
        </w:rPr>
        <w:t>Artículo 64.</w:t>
      </w:r>
      <w:r w:rsidRPr="00575662">
        <w:rPr>
          <w:rStyle w:val="TextoNormalCaracter"/>
        </w:rPr>
        <w:t>-</w:t>
      </w:r>
      <w:r>
        <w:t xml:space="preserve"> Sentencia </w:t>
      </w:r>
      <w:hyperlink w:anchor="SENTENCIA_1997_61" w:history="1">
        <w:r w:rsidRPr="00575662">
          <w:rPr>
            <w:rStyle w:val="TextoNormalCaracter"/>
          </w:rPr>
          <w:t>61/1997</w:t>
        </w:r>
      </w:hyperlink>
      <w:r>
        <w:t>, f. 26.</w:t>
      </w:r>
    </w:p>
    <w:p w:rsidR="00575662" w:rsidRDefault="00575662" w:rsidP="00575662">
      <w:pPr>
        <w:pStyle w:val="SangriaFrancesaArticulo"/>
      </w:pPr>
      <w:r w:rsidRPr="00575662">
        <w:rPr>
          <w:rStyle w:val="TextoNormalNegritaCaracter"/>
        </w:rPr>
        <w:t>Artículo 70.2.</w:t>
      </w:r>
      <w:r w:rsidRPr="00575662">
        <w:rPr>
          <w:rStyle w:val="TextoNormalCaracter"/>
        </w:rPr>
        <w:t>-</w:t>
      </w:r>
      <w:r>
        <w:t xml:space="preserve"> Sentencia </w:t>
      </w:r>
      <w:hyperlink w:anchor="SENTENCIA_1997_61" w:history="1">
        <w:r w:rsidRPr="00575662">
          <w:rPr>
            <w:rStyle w:val="TextoNormalCaracter"/>
          </w:rPr>
          <w:t>61/1997</w:t>
        </w:r>
      </w:hyperlink>
      <w:r>
        <w:t>, f. 25.</w:t>
      </w:r>
    </w:p>
    <w:p w:rsidR="00575662" w:rsidRDefault="00575662" w:rsidP="00575662">
      <w:pPr>
        <w:pStyle w:val="SangriaFrancesaArticulo"/>
      </w:pPr>
      <w:r w:rsidRPr="00575662">
        <w:rPr>
          <w:rStyle w:val="TextoNormalNegritaCaracter"/>
        </w:rPr>
        <w:t>Artículo 70.2</w:t>
      </w:r>
      <w:r>
        <w:t xml:space="preserve"> </w:t>
      </w:r>
      <w:r w:rsidRPr="00575662">
        <w:rPr>
          <w:rStyle w:val="TextoNormalCaracter"/>
        </w:rPr>
        <w:t>(redactado por la Ley 39/1994, de 30 de diciembre)</w:t>
      </w:r>
      <w:r w:rsidRPr="00575662">
        <w:rPr>
          <w:rStyle w:val="TextoNormalNegritaCaracter"/>
        </w:rPr>
        <w:t>.</w:t>
      </w:r>
      <w:r w:rsidRPr="00575662">
        <w:rPr>
          <w:rStyle w:val="TextoNormalCaracter"/>
        </w:rPr>
        <w:t>-</w:t>
      </w:r>
      <w:r>
        <w:t xml:space="preserve"> Sentencia </w:t>
      </w:r>
      <w:hyperlink w:anchor="SENTENCIA_1997_61" w:history="1">
        <w:r w:rsidRPr="00575662">
          <w:rPr>
            <w:rStyle w:val="TextoNormalCaracter"/>
          </w:rPr>
          <w:t>61/1997</w:t>
        </w:r>
      </w:hyperlink>
      <w:r>
        <w:t>, f. 25.</w:t>
      </w:r>
    </w:p>
    <w:p w:rsidR="00575662" w:rsidRDefault="00575662" w:rsidP="00575662">
      <w:pPr>
        <w:pStyle w:val="SangriaFrancesaArticulo"/>
      </w:pPr>
      <w:r w:rsidRPr="00575662">
        <w:rPr>
          <w:rStyle w:val="TextoNormalNegritaCaracter"/>
        </w:rPr>
        <w:t>Artículo 80.2.</w:t>
      </w:r>
      <w:r w:rsidRPr="00575662">
        <w:rPr>
          <w:rStyle w:val="TextoNormalCaracter"/>
        </w:rPr>
        <w:t>-</w:t>
      </w:r>
      <w:r>
        <w:t xml:space="preserve"> Sentencia </w:t>
      </w:r>
      <w:hyperlink w:anchor="SENTENCIA_1997_61" w:history="1">
        <w:r w:rsidRPr="00575662">
          <w:rPr>
            <w:rStyle w:val="TextoNormalCaracter"/>
          </w:rPr>
          <w:t>61/1997</w:t>
        </w:r>
      </w:hyperlink>
      <w:r>
        <w:t>, f. 36.</w:t>
      </w:r>
    </w:p>
    <w:p w:rsidR="00575662" w:rsidRDefault="00575662" w:rsidP="00575662">
      <w:pPr>
        <w:pStyle w:val="SangriaFrancesaArticulo"/>
      </w:pPr>
      <w:r w:rsidRPr="00575662">
        <w:rPr>
          <w:rStyle w:val="TextoNormalNegritaCaracter"/>
        </w:rPr>
        <w:t>Disposición final primera.</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p>
    <w:p w:rsidR="00575662" w:rsidRDefault="00575662" w:rsidP="00575662">
      <w:pPr>
        <w:pStyle w:val="TextoNormalNegritaCursivandice"/>
      </w:pPr>
      <w:r>
        <w:t>Ley 10/1985, de 26 de abril. Modificación parcial de la Ley general tributaria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Sentencias </w:t>
      </w:r>
      <w:hyperlink w:anchor="SENTENCIA_1997_38" w:history="1">
        <w:r w:rsidRPr="00575662">
          <w:rPr>
            <w:rStyle w:val="TextoNormalCaracter"/>
          </w:rPr>
          <w:t>38/1997</w:t>
        </w:r>
      </w:hyperlink>
      <w:r>
        <w:t xml:space="preserve">, ff. 1, 5, 6; </w:t>
      </w:r>
      <w:hyperlink w:anchor="SENTENCIA_1997_63" w:history="1">
        <w:r w:rsidRPr="00575662">
          <w:rPr>
            <w:rStyle w:val="TextoNormalCaracter"/>
          </w:rPr>
          <w:t>63/1997</w:t>
        </w:r>
      </w:hyperlink>
      <w:r>
        <w:t>, f. 2.</w:t>
      </w:r>
    </w:p>
    <w:p w:rsidR="00575662" w:rsidRDefault="00575662" w:rsidP="00575662">
      <w:pPr>
        <w:pStyle w:val="SangriaFrancesaArticulo"/>
      </w:pPr>
    </w:p>
    <w:p w:rsidR="00575662" w:rsidRDefault="00575662" w:rsidP="00575662">
      <w:pPr>
        <w:pStyle w:val="TextoNormalNegritaCursivandice"/>
      </w:pPr>
      <w:r>
        <w:t>Ley 19/1985, de 16 de julio. Cambiaria y del cheque</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37" w:history="1">
        <w:r w:rsidRPr="00575662">
          <w:rPr>
            <w:rStyle w:val="TextoNormalCaracter"/>
          </w:rPr>
          <w:t>37/1997</w:t>
        </w:r>
      </w:hyperlink>
      <w:r>
        <w:t>, f. 3.</w:t>
      </w:r>
    </w:p>
    <w:p w:rsidR="00575662" w:rsidRDefault="00575662" w:rsidP="00575662">
      <w:pPr>
        <w:pStyle w:val="SangriaFrancesaArticulo"/>
      </w:pPr>
      <w:r w:rsidRPr="00575662">
        <w:rPr>
          <w:rStyle w:val="TextoNormalNegritaCaracter"/>
        </w:rPr>
        <w:t>Artículo 51.</w:t>
      </w:r>
      <w:r w:rsidRPr="00575662">
        <w:rPr>
          <w:rStyle w:val="TextoNormalCaracter"/>
        </w:rPr>
        <w:t>-</w:t>
      </w:r>
      <w:r>
        <w:t xml:space="preserve"> Sentencia </w:t>
      </w:r>
      <w:hyperlink w:anchor="SENTENCIA_1997_37" w:history="1">
        <w:r w:rsidRPr="00575662">
          <w:rPr>
            <w:rStyle w:val="TextoNormalCaracter"/>
          </w:rPr>
          <w:t>37/1997</w:t>
        </w:r>
      </w:hyperlink>
      <w:r>
        <w:t>, f. 3.</w:t>
      </w:r>
    </w:p>
    <w:p w:rsidR="00575662" w:rsidRDefault="00575662" w:rsidP="00575662">
      <w:pPr>
        <w:pStyle w:val="SangriaFrancesaArticulo"/>
      </w:pPr>
      <w:r w:rsidRPr="00575662">
        <w:rPr>
          <w:rStyle w:val="TextoNormalNegritaCaracter"/>
        </w:rPr>
        <w:t>Artículo 137.</w:t>
      </w:r>
      <w:r w:rsidRPr="00575662">
        <w:rPr>
          <w:rStyle w:val="TextoNormalCaracter"/>
        </w:rPr>
        <w:t>-</w:t>
      </w:r>
      <w:r>
        <w:t xml:space="preserve"> Sentencia </w:t>
      </w:r>
      <w:hyperlink w:anchor="SENTENCIA_1997_37" w:history="1">
        <w:r w:rsidRPr="00575662">
          <w:rPr>
            <w:rStyle w:val="TextoNormalCaracter"/>
          </w:rPr>
          <w:t>37/1997</w:t>
        </w:r>
      </w:hyperlink>
      <w:r>
        <w:t>, f. 3.</w:t>
      </w:r>
    </w:p>
    <w:p w:rsidR="00575662" w:rsidRDefault="00575662" w:rsidP="00575662">
      <w:pPr>
        <w:pStyle w:val="SangriaFrancesaArticulo"/>
      </w:pPr>
      <w:r w:rsidRPr="00575662">
        <w:rPr>
          <w:rStyle w:val="TextoNormalNegritaCaracter"/>
        </w:rPr>
        <w:t>Artículo 146 c).</w:t>
      </w:r>
      <w:r w:rsidRPr="00575662">
        <w:rPr>
          <w:rStyle w:val="TextoNormalCaracter"/>
        </w:rPr>
        <w:t>-</w:t>
      </w:r>
      <w:r>
        <w:t xml:space="preserve"> Sentencia </w:t>
      </w:r>
      <w:hyperlink w:anchor="SENTENCIA_1997_37" w:history="1">
        <w:r w:rsidRPr="00575662">
          <w:rPr>
            <w:rStyle w:val="TextoNormalCaracter"/>
          </w:rPr>
          <w:t>37/1997</w:t>
        </w:r>
      </w:hyperlink>
      <w:r>
        <w:t>, f. 3.</w:t>
      </w:r>
    </w:p>
    <w:p w:rsidR="00575662" w:rsidRDefault="00575662" w:rsidP="00575662">
      <w:pPr>
        <w:pStyle w:val="SangriaFrancesaArticulo"/>
      </w:pPr>
      <w:r w:rsidRPr="00575662">
        <w:rPr>
          <w:rStyle w:val="TextoNormalNegritaCaracter"/>
        </w:rPr>
        <w:t>Disposición final primera.</w:t>
      </w:r>
      <w:r w:rsidRPr="00575662">
        <w:rPr>
          <w:rStyle w:val="TextoNormalCaracter"/>
        </w:rPr>
        <w:t>-</w:t>
      </w:r>
      <w:r>
        <w:t xml:space="preserve"> Sentencia </w:t>
      </w:r>
      <w:hyperlink w:anchor="SENTENCIA_1997_37" w:history="1">
        <w:r w:rsidRPr="00575662">
          <w:rPr>
            <w:rStyle w:val="TextoNormalCaracter"/>
          </w:rPr>
          <w:t>37/1997</w:t>
        </w:r>
      </w:hyperlink>
      <w:r>
        <w:t>, f. 3.</w:t>
      </w:r>
    </w:p>
    <w:p w:rsidR="00575662" w:rsidRDefault="00575662" w:rsidP="00575662">
      <w:pPr>
        <w:pStyle w:val="SangriaFrancesaArticulo"/>
      </w:pPr>
    </w:p>
    <w:p w:rsidR="00575662" w:rsidRDefault="00575662" w:rsidP="00575662">
      <w:pPr>
        <w:pStyle w:val="TextoNormalNegritaCursivandice"/>
      </w:pPr>
      <w:r>
        <w:t>Ley 38/1988, de 28 de diciembre. Demarcación y planta judicial</w:t>
      </w:r>
    </w:p>
    <w:p w:rsidR="00575662" w:rsidRDefault="00575662" w:rsidP="00575662">
      <w:pPr>
        <w:pStyle w:val="SangriaFrancesaArticulo"/>
      </w:pPr>
      <w:r w:rsidRPr="00575662">
        <w:rPr>
          <w:rStyle w:val="TextoNormalNegritaCaracter"/>
        </w:rPr>
        <w:t>Artículo 2.5.</w:t>
      </w:r>
      <w:r w:rsidRPr="00575662">
        <w:rPr>
          <w:rStyle w:val="TextoNormalCaracter"/>
        </w:rPr>
        <w:t>-</w:t>
      </w:r>
      <w:r>
        <w:t xml:space="preserve"> Autos </w:t>
      </w:r>
      <w:hyperlink w:anchor="AUTO_1997_94" w:history="1">
        <w:r w:rsidRPr="00575662">
          <w:rPr>
            <w:rStyle w:val="TextoNormalCaracter"/>
          </w:rPr>
          <w:t>94/1997</w:t>
        </w:r>
      </w:hyperlink>
      <w:r>
        <w:t xml:space="preserve">; </w:t>
      </w:r>
      <w:hyperlink w:anchor="AUTO_1997_104" w:history="1">
        <w:r w:rsidRPr="00575662">
          <w:rPr>
            <w:rStyle w:val="TextoNormalCaracter"/>
          </w:rPr>
          <w:t>104/1997</w:t>
        </w:r>
      </w:hyperlink>
      <w:r>
        <w:t>.</w:t>
      </w:r>
    </w:p>
    <w:p w:rsidR="00575662" w:rsidRDefault="00575662" w:rsidP="00575662">
      <w:pPr>
        <w:pStyle w:val="SangriaFrancesaArticulo"/>
      </w:pPr>
      <w:r w:rsidRPr="00575662">
        <w:rPr>
          <w:rStyle w:val="TextoNormalNegritaCaracter"/>
        </w:rPr>
        <w:t>Artículo 3.3.</w:t>
      </w:r>
      <w:r w:rsidRPr="00575662">
        <w:rPr>
          <w:rStyle w:val="TextoNormalCaracter"/>
        </w:rPr>
        <w:t>-</w:t>
      </w:r>
      <w:r>
        <w:t xml:space="preserve"> Auto </w:t>
      </w:r>
      <w:hyperlink w:anchor="AUTO_1997_104" w:history="1">
        <w:r w:rsidRPr="00575662">
          <w:rPr>
            <w:rStyle w:val="TextoNormalCaracter"/>
          </w:rPr>
          <w:t>104/1997</w:t>
        </w:r>
      </w:hyperlink>
      <w:r>
        <w:t>.</w:t>
      </w:r>
    </w:p>
    <w:p w:rsidR="00575662" w:rsidRDefault="00575662" w:rsidP="00575662">
      <w:pPr>
        <w:pStyle w:val="SangriaFrancesaArticulo"/>
      </w:pPr>
    </w:p>
    <w:p w:rsidR="00575662" w:rsidRDefault="00575662" w:rsidP="00575662">
      <w:pPr>
        <w:pStyle w:val="TextoNormalNegritaCursivandice"/>
      </w:pPr>
      <w:r>
        <w:t>Ley 4/1989, de 27 de marzo. Conservación de los espacios naturales y de la flora y fauna silvestres</w:t>
      </w:r>
    </w:p>
    <w:p w:rsidR="00575662" w:rsidRDefault="00575662" w:rsidP="00575662">
      <w:pPr>
        <w:pStyle w:val="SangriaFrancesaArticulo"/>
      </w:pPr>
      <w:r w:rsidRPr="00575662">
        <w:rPr>
          <w:rStyle w:val="TextoNormalNegritaCaracter"/>
        </w:rPr>
        <w:lastRenderedPageBreak/>
        <w:t>En general.</w:t>
      </w:r>
      <w:r w:rsidRPr="00575662">
        <w:rPr>
          <w:rStyle w:val="TextoNormalCaracter"/>
        </w:rPr>
        <w:t>-</w:t>
      </w:r>
      <w:r>
        <w:t xml:space="preserve"> Sentencias </w:t>
      </w:r>
      <w:hyperlink w:anchor="SENTENCIA_1997_16" w:history="1">
        <w:r w:rsidRPr="00575662">
          <w:rPr>
            <w:rStyle w:val="TextoNormalCaracter"/>
          </w:rPr>
          <w:t>16/1997</w:t>
        </w:r>
      </w:hyperlink>
      <w:r>
        <w:t xml:space="preserve">, ff. 1, 2; </w:t>
      </w:r>
      <w:hyperlink w:anchor="SENTENCIA_1997_28" w:history="1">
        <w:r w:rsidRPr="00575662">
          <w:rPr>
            <w:rStyle w:val="TextoNormalCaracter"/>
          </w:rPr>
          <w:t>28/1997</w:t>
        </w:r>
      </w:hyperlink>
      <w:r>
        <w:t>, ff. 1, 4.</w:t>
      </w:r>
    </w:p>
    <w:p w:rsidR="00575662" w:rsidRDefault="00575662" w:rsidP="00575662">
      <w:pPr>
        <w:pStyle w:val="SangriaFrancesaArticulo"/>
      </w:pPr>
      <w:r w:rsidRPr="00575662">
        <w:rPr>
          <w:rStyle w:val="TextoNormalNegritaCaracter"/>
        </w:rPr>
        <w:t>Artículo 38.</w:t>
      </w:r>
      <w:r w:rsidRPr="00575662">
        <w:rPr>
          <w:rStyle w:val="TextoNormalCaracter"/>
        </w:rPr>
        <w:t>-</w:t>
      </w:r>
      <w:r>
        <w:t xml:space="preserve"> Sentencia </w:t>
      </w:r>
      <w:hyperlink w:anchor="SENTENCIA_1997_16" w:history="1">
        <w:r w:rsidRPr="00575662">
          <w:rPr>
            <w:rStyle w:val="TextoNormalCaracter"/>
          </w:rPr>
          <w:t>16/1997</w:t>
        </w:r>
      </w:hyperlink>
      <w:r>
        <w:t>, ff. 1 a 3.</w:t>
      </w:r>
    </w:p>
    <w:p w:rsidR="00575662" w:rsidRDefault="00575662" w:rsidP="00575662">
      <w:pPr>
        <w:pStyle w:val="SangriaFrancesaArticulo"/>
      </w:pPr>
      <w:r w:rsidRPr="00575662">
        <w:rPr>
          <w:rStyle w:val="TextoNormalNegritaCaracter"/>
        </w:rPr>
        <w:t>Artículo 39.</w:t>
      </w:r>
      <w:r w:rsidRPr="00575662">
        <w:rPr>
          <w:rStyle w:val="TextoNormalCaracter"/>
        </w:rPr>
        <w:t>-</w:t>
      </w:r>
      <w:r>
        <w:t xml:space="preserve"> Sentencia </w:t>
      </w:r>
      <w:hyperlink w:anchor="SENTENCIA_1997_16" w:history="1">
        <w:r w:rsidRPr="00575662">
          <w:rPr>
            <w:rStyle w:val="TextoNormalCaracter"/>
          </w:rPr>
          <w:t>16/1997</w:t>
        </w:r>
      </w:hyperlink>
      <w:r>
        <w:t>, ff. 1 a 3.</w:t>
      </w:r>
    </w:p>
    <w:p w:rsidR="00575662" w:rsidRDefault="00575662" w:rsidP="00575662">
      <w:pPr>
        <w:pStyle w:val="SangriaFrancesaArticulo"/>
      </w:pPr>
    </w:p>
    <w:p w:rsidR="00575662" w:rsidRDefault="00575662" w:rsidP="00575662">
      <w:pPr>
        <w:pStyle w:val="TextoNormalNegritaCursivandice"/>
      </w:pPr>
      <w:r>
        <w:t>Ley 20/1989, de 28 de julio. Adaptación del impuesto sobre la renta de las personas físicas y del impuesto extraordinario sobre el patrimonio de las personas físicas</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Sentencias </w:t>
      </w:r>
      <w:hyperlink w:anchor="SENTENCIA_1997_38" w:history="1">
        <w:r w:rsidRPr="00575662">
          <w:rPr>
            <w:rStyle w:val="TextoNormalCaracter"/>
          </w:rPr>
          <w:t>38/1997</w:t>
        </w:r>
      </w:hyperlink>
      <w:r>
        <w:t xml:space="preserve">, ff. 1, 3 a 6; </w:t>
      </w:r>
      <w:hyperlink w:anchor="SENTENCIA_1997_62" w:history="1">
        <w:r w:rsidRPr="00575662">
          <w:rPr>
            <w:rStyle w:val="TextoNormalCaracter"/>
          </w:rPr>
          <w:t>62/1997</w:t>
        </w:r>
      </w:hyperlink>
      <w:r>
        <w:t xml:space="preserve">, f. 4; </w:t>
      </w:r>
      <w:hyperlink w:anchor="SENTENCIA_1997_63" w:history="1">
        <w:r w:rsidRPr="00575662">
          <w:rPr>
            <w:rStyle w:val="TextoNormalCaracter"/>
          </w:rPr>
          <w:t>63/1997</w:t>
        </w:r>
      </w:hyperlink>
      <w:r>
        <w:t>, ff. 1 , 2.</w:t>
      </w:r>
    </w:p>
    <w:p w:rsidR="00575662" w:rsidRDefault="00575662" w:rsidP="00575662">
      <w:pPr>
        <w:pStyle w:val="SangriaFrancesaArticulo"/>
      </w:pPr>
      <w:r w:rsidRPr="00575662">
        <w:rPr>
          <w:rStyle w:val="TextoNormalNegritaCaracter"/>
        </w:rPr>
        <w:t>Capítulo I.</w:t>
      </w:r>
      <w:r w:rsidRPr="00575662">
        <w:rPr>
          <w:rStyle w:val="TextoNormalCaracter"/>
        </w:rPr>
        <w:t>-</w:t>
      </w:r>
      <w:r>
        <w:t xml:space="preserve"> Sentencia </w:t>
      </w:r>
      <w:hyperlink w:anchor="SENTENCIA_1997_38" w:history="1">
        <w:r w:rsidRPr="00575662">
          <w:rPr>
            <w:rStyle w:val="TextoNormalCaracter"/>
          </w:rPr>
          <w:t>38/1997</w:t>
        </w:r>
      </w:hyperlink>
      <w:r>
        <w:t>, f. 2.</w:t>
      </w:r>
    </w:p>
    <w:p w:rsidR="00575662" w:rsidRDefault="00575662" w:rsidP="00575662">
      <w:pPr>
        <w:pStyle w:val="SangriaFrancesaArticulo"/>
      </w:pPr>
      <w:r w:rsidRPr="00575662">
        <w:rPr>
          <w:rStyle w:val="TextoNormalNegritaCaracter"/>
        </w:rPr>
        <w:t>Capítulo III.</w:t>
      </w:r>
      <w:r w:rsidRPr="00575662">
        <w:rPr>
          <w:rStyle w:val="TextoNormalCaracter"/>
        </w:rPr>
        <w:t>-</w:t>
      </w:r>
      <w:r>
        <w:t xml:space="preserve"> Sentencia </w:t>
      </w:r>
      <w:hyperlink w:anchor="SENTENCIA_1997_38" w:history="1">
        <w:r w:rsidRPr="00575662">
          <w:rPr>
            <w:rStyle w:val="TextoNormalCaracter"/>
          </w:rPr>
          <w:t>38/1997</w:t>
        </w:r>
      </w:hyperlink>
      <w:r>
        <w:t>, ff. 1, 2, 4.</w:t>
      </w:r>
    </w:p>
    <w:p w:rsidR="00575662" w:rsidRDefault="00575662" w:rsidP="00575662">
      <w:pPr>
        <w:pStyle w:val="SangriaFrancesaArticulo"/>
      </w:pPr>
      <w:r w:rsidRPr="00575662">
        <w:rPr>
          <w:rStyle w:val="TextoNormalNegritaCaracter"/>
        </w:rPr>
        <w:t>Exposición de motivos.</w:t>
      </w:r>
      <w:r w:rsidRPr="00575662">
        <w:rPr>
          <w:rStyle w:val="TextoNormalCaracter"/>
        </w:rPr>
        <w:t>-</w:t>
      </w:r>
      <w:r>
        <w:t xml:space="preserve"> Sentencia </w:t>
      </w:r>
      <w:hyperlink w:anchor="SENTENCIA_1997_38" w:history="1">
        <w:r w:rsidRPr="00575662">
          <w:rPr>
            <w:rStyle w:val="TextoNormalCaracter"/>
          </w:rPr>
          <w:t>38/1997</w:t>
        </w:r>
      </w:hyperlink>
      <w:r>
        <w:t>, f. 4.</w:t>
      </w:r>
    </w:p>
    <w:p w:rsidR="00575662" w:rsidRDefault="00575662" w:rsidP="00575662">
      <w:pPr>
        <w:pStyle w:val="SangriaFrancesaArticulo"/>
      </w:pPr>
      <w:r w:rsidRPr="00575662">
        <w:rPr>
          <w:rStyle w:val="TextoNormalNegritaCaracter"/>
        </w:rPr>
        <w:t>Artículo 1.</w:t>
      </w:r>
      <w:r w:rsidRPr="00575662">
        <w:rPr>
          <w:rStyle w:val="TextoNormalCaracter"/>
        </w:rPr>
        <w:t>-</w:t>
      </w:r>
      <w:r>
        <w:t xml:space="preserve"> Sentencia </w:t>
      </w:r>
      <w:hyperlink w:anchor="SENTENCIA_1997_38" w:history="1">
        <w:r w:rsidRPr="00575662">
          <w:rPr>
            <w:rStyle w:val="TextoNormalCaracter"/>
          </w:rPr>
          <w:t>38/1997</w:t>
        </w:r>
      </w:hyperlink>
      <w:r>
        <w:t>, f. 4.</w:t>
      </w:r>
    </w:p>
    <w:p w:rsidR="00575662" w:rsidRDefault="00575662" w:rsidP="00575662">
      <w:pPr>
        <w:pStyle w:val="SangriaFrancesaArticulo"/>
      </w:pPr>
      <w:r w:rsidRPr="00575662">
        <w:rPr>
          <w:rStyle w:val="TextoNormalNegritaCaracter"/>
        </w:rPr>
        <w:t>Artículo 2.</w:t>
      </w:r>
      <w:r w:rsidRPr="00575662">
        <w:rPr>
          <w:rStyle w:val="TextoNormalCaracter"/>
        </w:rPr>
        <w:t>-</w:t>
      </w:r>
      <w:r>
        <w:t xml:space="preserve"> Sentencias </w:t>
      </w:r>
      <w:hyperlink w:anchor="SENTENCIA_1997_38" w:history="1">
        <w:r w:rsidRPr="00575662">
          <w:rPr>
            <w:rStyle w:val="TextoNormalCaracter"/>
          </w:rPr>
          <w:t>38/1997</w:t>
        </w:r>
      </w:hyperlink>
      <w:r>
        <w:t xml:space="preserve">, f. 6; </w:t>
      </w:r>
      <w:hyperlink w:anchor="SENTENCIA_1997_62" w:history="1">
        <w:r w:rsidRPr="00575662">
          <w:rPr>
            <w:rStyle w:val="TextoNormalCaracter"/>
          </w:rPr>
          <w:t>62/1997</w:t>
        </w:r>
      </w:hyperlink>
      <w:r>
        <w:t>, f. 4.</w:t>
      </w:r>
    </w:p>
    <w:p w:rsidR="00575662" w:rsidRDefault="00575662" w:rsidP="00575662">
      <w:pPr>
        <w:pStyle w:val="SangriaFrancesaArticulo"/>
      </w:pPr>
      <w:r w:rsidRPr="00575662">
        <w:rPr>
          <w:rStyle w:val="TextoNormalNegritaCaracter"/>
        </w:rPr>
        <w:t>Artículo 15.</w:t>
      </w:r>
      <w:r w:rsidRPr="00575662">
        <w:rPr>
          <w:rStyle w:val="TextoNormalCaracter"/>
        </w:rPr>
        <w:t>-</w:t>
      </w:r>
      <w:r>
        <w:t xml:space="preserve"> Sentencia </w:t>
      </w:r>
      <w:hyperlink w:anchor="SENTENCIA_1997_38" w:history="1">
        <w:r w:rsidRPr="00575662">
          <w:rPr>
            <w:rStyle w:val="TextoNormalCaracter"/>
          </w:rPr>
          <w:t>38/1997</w:t>
        </w:r>
      </w:hyperlink>
      <w:r>
        <w:t>, f. 4.</w:t>
      </w:r>
    </w:p>
    <w:p w:rsidR="00575662" w:rsidRDefault="00575662" w:rsidP="00575662">
      <w:pPr>
        <w:pStyle w:val="SangriaFrancesaArticulo"/>
      </w:pPr>
      <w:r w:rsidRPr="00575662">
        <w:rPr>
          <w:rStyle w:val="TextoNormalNegritaCaracter"/>
        </w:rPr>
        <w:t>Artículo 15.3.</w:t>
      </w:r>
      <w:r w:rsidRPr="00575662">
        <w:rPr>
          <w:rStyle w:val="TextoNormalCaracter"/>
        </w:rPr>
        <w:t>-</w:t>
      </w:r>
      <w:r>
        <w:t xml:space="preserve"> Sentencias </w:t>
      </w:r>
      <w:hyperlink w:anchor="SENTENCIA_1997_38" w:history="1">
        <w:r w:rsidRPr="00575662">
          <w:rPr>
            <w:rStyle w:val="TextoNormalCaracter"/>
          </w:rPr>
          <w:t>38/1997</w:t>
        </w:r>
      </w:hyperlink>
      <w:r>
        <w:t xml:space="preserve">, ff. 1, 2, 5, 6; </w:t>
      </w:r>
      <w:hyperlink w:anchor="SENTENCIA_1997_62" w:history="1">
        <w:r w:rsidRPr="00575662">
          <w:rPr>
            <w:rStyle w:val="TextoNormalCaracter"/>
          </w:rPr>
          <w:t>62/1997</w:t>
        </w:r>
      </w:hyperlink>
      <w:r>
        <w:t xml:space="preserve">, f. 4; </w:t>
      </w:r>
      <w:hyperlink w:anchor="SENTENCIA_1997_63" w:history="1">
        <w:r w:rsidRPr="00575662">
          <w:rPr>
            <w:rStyle w:val="TextoNormalCaracter"/>
          </w:rPr>
          <w:t>63/1997</w:t>
        </w:r>
      </w:hyperlink>
      <w:r>
        <w:t>, f. 2.</w:t>
      </w:r>
    </w:p>
    <w:p w:rsidR="00575662" w:rsidRDefault="00575662" w:rsidP="00575662">
      <w:pPr>
        <w:pStyle w:val="SangriaFrancesaArticulo"/>
      </w:pPr>
      <w:r w:rsidRPr="00575662">
        <w:rPr>
          <w:rStyle w:val="TextoNormalNegritaCaracter"/>
        </w:rPr>
        <w:t>Artículo 16.</w:t>
      </w:r>
      <w:r w:rsidRPr="00575662">
        <w:rPr>
          <w:rStyle w:val="TextoNormalCaracter"/>
        </w:rPr>
        <w:t>-</w:t>
      </w:r>
      <w:r>
        <w:t xml:space="preserve"> Sentencia </w:t>
      </w:r>
      <w:hyperlink w:anchor="SENTENCIA_1997_38" w:history="1">
        <w:r w:rsidRPr="00575662">
          <w:rPr>
            <w:rStyle w:val="TextoNormalCaracter"/>
          </w:rPr>
          <w:t>38/1997</w:t>
        </w:r>
      </w:hyperlink>
      <w:r>
        <w:t>, f. 4.</w:t>
      </w:r>
    </w:p>
    <w:p w:rsidR="00575662" w:rsidRDefault="00575662" w:rsidP="00575662">
      <w:pPr>
        <w:pStyle w:val="SangriaFrancesaArticulo"/>
      </w:pPr>
      <w:r w:rsidRPr="00575662">
        <w:rPr>
          <w:rStyle w:val="TextoNormalNegritaCaracter"/>
        </w:rPr>
        <w:t>Artículo 17.</w:t>
      </w:r>
      <w:r w:rsidRPr="00575662">
        <w:rPr>
          <w:rStyle w:val="TextoNormalCaracter"/>
        </w:rPr>
        <w:t>-</w:t>
      </w:r>
      <w:r>
        <w:t xml:space="preserve"> Sentencias </w:t>
      </w:r>
      <w:hyperlink w:anchor="SENTENCIA_1997_38" w:history="1">
        <w:r w:rsidRPr="00575662">
          <w:rPr>
            <w:rStyle w:val="TextoNormalCaracter"/>
          </w:rPr>
          <w:t>38/1997</w:t>
        </w:r>
      </w:hyperlink>
      <w:r>
        <w:t xml:space="preserve">, ff. 1, 4; </w:t>
      </w:r>
      <w:hyperlink w:anchor="SENTENCIA_1997_62" w:history="1">
        <w:r w:rsidRPr="00575662">
          <w:rPr>
            <w:rStyle w:val="TextoNormalCaracter"/>
          </w:rPr>
          <w:t>62/1997</w:t>
        </w:r>
      </w:hyperlink>
      <w:r>
        <w:t>, f. 4.</w:t>
      </w:r>
    </w:p>
    <w:p w:rsidR="00575662" w:rsidRDefault="00575662" w:rsidP="00575662">
      <w:pPr>
        <w:pStyle w:val="SangriaFrancesaArticulo"/>
      </w:pPr>
      <w:r w:rsidRPr="00575662">
        <w:rPr>
          <w:rStyle w:val="TextoNormalNegritaCaracter"/>
        </w:rPr>
        <w:t>Artículo 19.</w:t>
      </w:r>
      <w:r w:rsidRPr="00575662">
        <w:rPr>
          <w:rStyle w:val="TextoNormalCaracter"/>
        </w:rPr>
        <w:t>-</w:t>
      </w:r>
      <w:r>
        <w:t xml:space="preserve"> Sentencias </w:t>
      </w:r>
      <w:hyperlink w:anchor="SENTENCIA_1997_38" w:history="1">
        <w:r w:rsidRPr="00575662">
          <w:rPr>
            <w:rStyle w:val="TextoNormalCaracter"/>
          </w:rPr>
          <w:t>38/1997</w:t>
        </w:r>
      </w:hyperlink>
      <w:r>
        <w:t xml:space="preserve">, f. 1; </w:t>
      </w:r>
      <w:hyperlink w:anchor="SENTENCIA_1997_62" w:history="1">
        <w:r w:rsidRPr="00575662">
          <w:rPr>
            <w:rStyle w:val="TextoNormalCaracter"/>
          </w:rPr>
          <w:t>62/1997</w:t>
        </w:r>
      </w:hyperlink>
      <w:r>
        <w:t>, f. 4.</w:t>
      </w:r>
    </w:p>
    <w:p w:rsidR="00575662" w:rsidRDefault="00575662" w:rsidP="00575662">
      <w:pPr>
        <w:pStyle w:val="SangriaFrancesaArticulo"/>
      </w:pPr>
    </w:p>
    <w:p w:rsidR="00575662" w:rsidRDefault="00575662" w:rsidP="00575662">
      <w:pPr>
        <w:pStyle w:val="TextoNormalNegritaCursivandice"/>
      </w:pPr>
      <w:r>
        <w:t>Ley 8/1990, de 25 de julio. Reforma del régimen urbanístico y valoraciones del suelo</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61" w:history="1">
        <w:r w:rsidRPr="00575662">
          <w:rPr>
            <w:rStyle w:val="TextoNormalCaracter"/>
          </w:rPr>
          <w:t>61/1997</w:t>
        </w:r>
      </w:hyperlink>
      <w:r>
        <w:t>, ff. 1 a 4, 12, 14, 17, 18, 34, VP.</w:t>
      </w:r>
    </w:p>
    <w:p w:rsidR="00575662" w:rsidRDefault="00575662" w:rsidP="00575662">
      <w:pPr>
        <w:pStyle w:val="SangriaFrancesaArticulo"/>
      </w:pPr>
      <w:r w:rsidRPr="00575662">
        <w:rPr>
          <w:rStyle w:val="TextoNormalNegritaCaracter"/>
        </w:rPr>
        <w:t>Preámbulo.</w:t>
      </w:r>
      <w:r w:rsidRPr="00575662">
        <w:rPr>
          <w:rStyle w:val="TextoNormalCaracter"/>
        </w:rPr>
        <w:t>-</w:t>
      </w:r>
      <w:r>
        <w:t xml:space="preserve"> Sentencia </w:t>
      </w:r>
      <w:hyperlink w:anchor="SENTENCIA_1997_61" w:history="1">
        <w:r w:rsidRPr="00575662">
          <w:rPr>
            <w:rStyle w:val="TextoNormalCaracter"/>
          </w:rPr>
          <w:t>61/1997</w:t>
        </w:r>
      </w:hyperlink>
      <w:r>
        <w:t>, ff. 6, 16, 17, VP.</w:t>
      </w:r>
    </w:p>
    <w:p w:rsidR="00575662" w:rsidRDefault="00575662" w:rsidP="00575662">
      <w:pPr>
        <w:pStyle w:val="SangriaFrancesaArticulo"/>
      </w:pPr>
      <w:r w:rsidRPr="00575662">
        <w:rPr>
          <w:rStyle w:val="TextoNormalNegritaCaracter"/>
        </w:rPr>
        <w:t>Preámbulo II.</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Preámbulo III.</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Preámbulo IV.</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5.</w:t>
      </w:r>
      <w:r w:rsidRPr="00575662">
        <w:rPr>
          <w:rStyle w:val="TextoNormalCaracter"/>
        </w:rPr>
        <w:t>-</w:t>
      </w:r>
      <w:r>
        <w:t xml:space="preserve"> Sentencia </w:t>
      </w:r>
      <w:hyperlink w:anchor="SENTENCIA_1997_61" w:history="1">
        <w:r w:rsidRPr="00575662">
          <w:rPr>
            <w:rStyle w:val="TextoNormalCaracter"/>
          </w:rPr>
          <w:t>61/1997</w:t>
        </w:r>
      </w:hyperlink>
      <w:r>
        <w:t>, f. 16.</w:t>
      </w:r>
    </w:p>
    <w:p w:rsidR="00575662" w:rsidRDefault="00575662" w:rsidP="00575662">
      <w:pPr>
        <w:pStyle w:val="SangriaFrancesaArticulo"/>
      </w:pPr>
      <w:r w:rsidRPr="00575662">
        <w:rPr>
          <w:rStyle w:val="TextoNormalNegritaCaracter"/>
        </w:rPr>
        <w:t>Artículo 6.</w:t>
      </w:r>
      <w:r w:rsidRPr="00575662">
        <w:rPr>
          <w:rStyle w:val="TextoNormalCaracter"/>
        </w:rPr>
        <w:t>-</w:t>
      </w:r>
      <w:r>
        <w:t xml:space="preserve"> Sentencia </w:t>
      </w:r>
      <w:hyperlink w:anchor="SENTENCIA_1997_61" w:history="1">
        <w:r w:rsidRPr="00575662">
          <w:rPr>
            <w:rStyle w:val="TextoNormalCaracter"/>
          </w:rPr>
          <w:t>61/1997</w:t>
        </w:r>
      </w:hyperlink>
      <w:r>
        <w:t>, f. 16.</w:t>
      </w:r>
    </w:p>
    <w:p w:rsidR="00575662" w:rsidRDefault="00575662" w:rsidP="00575662">
      <w:pPr>
        <w:pStyle w:val="SangriaFrancesaArticulo"/>
      </w:pPr>
      <w:r w:rsidRPr="00575662">
        <w:rPr>
          <w:rStyle w:val="TextoNormalNegritaCaracter"/>
        </w:rPr>
        <w:t>Artículo 7.</w:t>
      </w:r>
      <w:r w:rsidRPr="00575662">
        <w:rPr>
          <w:rStyle w:val="TextoNormalCaracter"/>
        </w:rPr>
        <w:t>-</w:t>
      </w:r>
      <w:r>
        <w:t xml:space="preserve"> Sentencia </w:t>
      </w:r>
      <w:hyperlink w:anchor="SENTENCIA_1997_61" w:history="1">
        <w:r w:rsidRPr="00575662">
          <w:rPr>
            <w:rStyle w:val="TextoNormalCaracter"/>
          </w:rPr>
          <w:t>61/1997</w:t>
        </w:r>
      </w:hyperlink>
      <w:r>
        <w:t>, f. 16.</w:t>
      </w:r>
    </w:p>
    <w:p w:rsidR="00575662" w:rsidRDefault="00575662" w:rsidP="00575662">
      <w:pPr>
        <w:pStyle w:val="SangriaFrancesaArticulo"/>
      </w:pPr>
      <w:r w:rsidRPr="00575662">
        <w:rPr>
          <w:rStyle w:val="TextoNormalNegritaCaracter"/>
        </w:rPr>
        <w:t>Artículo 9.1 b).</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12.</w:t>
      </w:r>
      <w:r w:rsidRPr="00575662">
        <w:rPr>
          <w:rStyle w:val="TextoNormalCaracter"/>
        </w:rPr>
        <w:t>-</w:t>
      </w:r>
      <w:r>
        <w:t xml:space="preserve"> Sentencia </w:t>
      </w:r>
      <w:hyperlink w:anchor="SENTENCIA_1997_61" w:history="1">
        <w:r w:rsidRPr="00575662">
          <w:rPr>
            <w:rStyle w:val="TextoNormalCaracter"/>
          </w:rPr>
          <w:t>61/1997</w:t>
        </w:r>
      </w:hyperlink>
      <w:r>
        <w:t>, f. 15.</w:t>
      </w:r>
    </w:p>
    <w:p w:rsidR="00575662" w:rsidRDefault="00575662" w:rsidP="00575662">
      <w:pPr>
        <w:pStyle w:val="SangriaFrancesaArticulo"/>
      </w:pPr>
      <w:r w:rsidRPr="00575662">
        <w:rPr>
          <w:rStyle w:val="TextoNormalNegritaCaracter"/>
        </w:rPr>
        <w:t>Artículo 13.1.</w:t>
      </w:r>
      <w:r w:rsidRPr="00575662">
        <w:rPr>
          <w:rStyle w:val="TextoNormalCaracter"/>
        </w:rPr>
        <w:t>-</w:t>
      </w:r>
      <w:r>
        <w:t xml:space="preserve"> Sentencia </w:t>
      </w:r>
      <w:hyperlink w:anchor="SENTENCIA_1997_61" w:history="1">
        <w:r w:rsidRPr="00575662">
          <w:rPr>
            <w:rStyle w:val="TextoNormalCaracter"/>
          </w:rPr>
          <w:t>61/1997</w:t>
        </w:r>
      </w:hyperlink>
      <w:r>
        <w:t>, f. 25.</w:t>
      </w:r>
    </w:p>
    <w:p w:rsidR="00575662" w:rsidRDefault="00575662" w:rsidP="00575662">
      <w:pPr>
        <w:pStyle w:val="SangriaFrancesaArticulo"/>
      </w:pPr>
      <w:r w:rsidRPr="00575662">
        <w:rPr>
          <w:rStyle w:val="TextoNormalNegritaCaracter"/>
        </w:rPr>
        <w:t>Artículo 15.1.</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16.</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16.1.</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16.2.</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17.1.</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18.1.</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18.3.</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19.2.</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22.</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24.</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26.</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27.1.</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27.2.</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27.3.</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28.1.</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28.2.</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30.</w:t>
      </w:r>
      <w:r w:rsidRPr="00575662">
        <w:rPr>
          <w:rStyle w:val="TextoNormalCaracter"/>
        </w:rPr>
        <w:t>-</w:t>
      </w:r>
      <w:r>
        <w:t xml:space="preserve"> Sentencia </w:t>
      </w:r>
      <w:hyperlink w:anchor="SENTENCIA_1997_61" w:history="1">
        <w:r w:rsidRPr="00575662">
          <w:rPr>
            <w:rStyle w:val="TextoNormalCaracter"/>
          </w:rPr>
          <w:t>61/1997</w:t>
        </w:r>
      </w:hyperlink>
      <w:r>
        <w:t>, f. 24.</w:t>
      </w:r>
    </w:p>
    <w:p w:rsidR="00575662" w:rsidRDefault="00575662" w:rsidP="00575662">
      <w:pPr>
        <w:pStyle w:val="SangriaFrancesaArticulo"/>
      </w:pPr>
      <w:r w:rsidRPr="00575662">
        <w:rPr>
          <w:rStyle w:val="TextoNormalNegritaCaracter"/>
        </w:rPr>
        <w:lastRenderedPageBreak/>
        <w:t>Artículo 30.1.</w:t>
      </w:r>
      <w:r w:rsidRPr="00575662">
        <w:rPr>
          <w:rStyle w:val="TextoNormalCaracter"/>
        </w:rPr>
        <w:t>-</w:t>
      </w:r>
      <w:r>
        <w:t xml:space="preserve"> Sentencia </w:t>
      </w:r>
      <w:hyperlink w:anchor="SENTENCIA_1997_61" w:history="1">
        <w:r w:rsidRPr="00575662">
          <w:rPr>
            <w:rStyle w:val="TextoNormalCaracter"/>
          </w:rPr>
          <w:t>61/1997</w:t>
        </w:r>
      </w:hyperlink>
      <w:r>
        <w:t>, f. 24.</w:t>
      </w:r>
    </w:p>
    <w:p w:rsidR="00575662" w:rsidRDefault="00575662" w:rsidP="00575662">
      <w:pPr>
        <w:pStyle w:val="SangriaFrancesaArticulo"/>
      </w:pPr>
      <w:r w:rsidRPr="00575662">
        <w:rPr>
          <w:rStyle w:val="TextoNormalNegritaCaracter"/>
        </w:rPr>
        <w:t>Artículo 30.2.</w:t>
      </w:r>
      <w:r w:rsidRPr="00575662">
        <w:rPr>
          <w:rStyle w:val="TextoNormalCaracter"/>
        </w:rPr>
        <w:t>-</w:t>
      </w:r>
      <w:r>
        <w:t xml:space="preserve"> Sentencia </w:t>
      </w:r>
      <w:hyperlink w:anchor="SENTENCIA_1997_61" w:history="1">
        <w:r w:rsidRPr="00575662">
          <w:rPr>
            <w:rStyle w:val="TextoNormalCaracter"/>
          </w:rPr>
          <w:t>61/1997</w:t>
        </w:r>
      </w:hyperlink>
      <w:r>
        <w:t>, f. 24.</w:t>
      </w:r>
    </w:p>
    <w:p w:rsidR="00575662" w:rsidRDefault="00575662" w:rsidP="00575662">
      <w:pPr>
        <w:pStyle w:val="SangriaFrancesaArticulo"/>
      </w:pPr>
      <w:r w:rsidRPr="00575662">
        <w:rPr>
          <w:rStyle w:val="TextoNormalNegritaCaracter"/>
        </w:rPr>
        <w:t>Artículo 31.1.</w:t>
      </w:r>
      <w:r w:rsidRPr="00575662">
        <w:rPr>
          <w:rStyle w:val="TextoNormalCaracter"/>
        </w:rPr>
        <w:t>-</w:t>
      </w:r>
      <w:r>
        <w:t xml:space="preserve"> Sentencia </w:t>
      </w:r>
      <w:hyperlink w:anchor="SENTENCIA_1997_61" w:history="1">
        <w:r w:rsidRPr="00575662">
          <w:rPr>
            <w:rStyle w:val="TextoNormalCaracter"/>
          </w:rPr>
          <w:t>61/1997</w:t>
        </w:r>
      </w:hyperlink>
      <w:r>
        <w:t>, f. 27.</w:t>
      </w:r>
    </w:p>
    <w:p w:rsidR="00575662" w:rsidRDefault="00575662" w:rsidP="00575662">
      <w:pPr>
        <w:pStyle w:val="SangriaFrancesaArticulo"/>
      </w:pPr>
      <w:r w:rsidRPr="00575662">
        <w:rPr>
          <w:rStyle w:val="TextoNormalNegritaCaracter"/>
        </w:rPr>
        <w:t>Artículo 33.5.</w:t>
      </w:r>
      <w:r w:rsidRPr="00575662">
        <w:rPr>
          <w:rStyle w:val="TextoNormalCaracter"/>
        </w:rPr>
        <w:t>-</w:t>
      </w:r>
      <w:r>
        <w:t xml:space="preserve"> Sentencia </w:t>
      </w:r>
      <w:hyperlink w:anchor="SENTENCIA_1997_61" w:history="1">
        <w:r w:rsidRPr="00575662">
          <w:rPr>
            <w:rStyle w:val="TextoNormalCaracter"/>
          </w:rPr>
          <w:t>61/1997</w:t>
        </w:r>
      </w:hyperlink>
      <w:r>
        <w:t>, f. 23.</w:t>
      </w:r>
    </w:p>
    <w:p w:rsidR="00575662" w:rsidRDefault="00575662" w:rsidP="00575662">
      <w:pPr>
        <w:pStyle w:val="SangriaFrancesaArticulo"/>
      </w:pPr>
      <w:r w:rsidRPr="00575662">
        <w:rPr>
          <w:rStyle w:val="TextoNormalNegritaCaracter"/>
        </w:rPr>
        <w:t>Artículo 35.3.</w:t>
      </w:r>
      <w:r w:rsidRPr="00575662">
        <w:rPr>
          <w:rStyle w:val="TextoNormalCaracter"/>
        </w:rPr>
        <w:t>-</w:t>
      </w:r>
      <w:r>
        <w:t xml:space="preserve"> Sentencia </w:t>
      </w:r>
      <w:hyperlink w:anchor="SENTENCIA_1997_61" w:history="1">
        <w:r w:rsidRPr="00575662">
          <w:rPr>
            <w:rStyle w:val="TextoNormalCaracter"/>
          </w:rPr>
          <w:t>61/1997</w:t>
        </w:r>
      </w:hyperlink>
      <w:r>
        <w:t>, f. 24.</w:t>
      </w:r>
    </w:p>
    <w:p w:rsidR="00575662" w:rsidRDefault="00575662" w:rsidP="00575662">
      <w:pPr>
        <w:pStyle w:val="SangriaFrancesaArticulo"/>
      </w:pPr>
      <w:r w:rsidRPr="00575662">
        <w:rPr>
          <w:rStyle w:val="TextoNormalNegritaCaracter"/>
        </w:rPr>
        <w:t>Artículo 36.1.</w:t>
      </w:r>
      <w:r w:rsidRPr="00575662">
        <w:rPr>
          <w:rStyle w:val="TextoNormalCaracter"/>
        </w:rPr>
        <w:t>-</w:t>
      </w:r>
      <w:r>
        <w:t xml:space="preserve"> Sentencia </w:t>
      </w:r>
      <w:hyperlink w:anchor="SENTENCIA_1997_61" w:history="1">
        <w:r w:rsidRPr="00575662">
          <w:rPr>
            <w:rStyle w:val="TextoNormalCaracter"/>
          </w:rPr>
          <w:t>61/1997</w:t>
        </w:r>
      </w:hyperlink>
      <w:r>
        <w:t>, f. 24.</w:t>
      </w:r>
    </w:p>
    <w:p w:rsidR="00575662" w:rsidRDefault="00575662" w:rsidP="00575662">
      <w:pPr>
        <w:pStyle w:val="SangriaFrancesaArticulo"/>
      </w:pPr>
      <w:r w:rsidRPr="00575662">
        <w:rPr>
          <w:rStyle w:val="TextoNormalNegritaCaracter"/>
        </w:rPr>
        <w:t>Artículo 37.2.</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38.</w:t>
      </w:r>
      <w:r w:rsidRPr="00575662">
        <w:rPr>
          <w:rStyle w:val="TextoNormalCaracter"/>
        </w:rPr>
        <w:t>-</w:t>
      </w:r>
      <w:r>
        <w:t xml:space="preserve"> Sentencia </w:t>
      </w:r>
      <w:hyperlink w:anchor="SENTENCIA_1997_61" w:history="1">
        <w:r w:rsidRPr="00575662">
          <w:rPr>
            <w:rStyle w:val="TextoNormalCaracter"/>
          </w:rPr>
          <w:t>61/1997</w:t>
        </w:r>
      </w:hyperlink>
      <w:r>
        <w:t>, ff. 17, 20, 30.</w:t>
      </w:r>
    </w:p>
    <w:p w:rsidR="00575662" w:rsidRDefault="00575662" w:rsidP="00575662">
      <w:pPr>
        <w:pStyle w:val="SangriaFrancesaArticulo"/>
      </w:pPr>
      <w:r w:rsidRPr="00575662">
        <w:rPr>
          <w:rStyle w:val="TextoNormalNegritaCaracter"/>
        </w:rPr>
        <w:t>Artículo 38.1.</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38.2.</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39.</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40.4.</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59.</w:t>
      </w:r>
      <w:r w:rsidRPr="00575662">
        <w:rPr>
          <w:rStyle w:val="TextoNormalCaracter"/>
        </w:rPr>
        <w:t>-</w:t>
      </w:r>
      <w:r>
        <w:t xml:space="preserve"> Sentencia </w:t>
      </w:r>
      <w:hyperlink w:anchor="SENTENCIA_1997_61" w:history="1">
        <w:r w:rsidRPr="00575662">
          <w:rPr>
            <w:rStyle w:val="TextoNormalCaracter"/>
          </w:rPr>
          <w:t>61/1997</w:t>
        </w:r>
      </w:hyperlink>
      <w:r>
        <w:t>, ff. 29, 30.</w:t>
      </w:r>
    </w:p>
    <w:p w:rsidR="00575662" w:rsidRDefault="00575662" w:rsidP="00575662">
      <w:pPr>
        <w:pStyle w:val="SangriaFrancesaArticulo"/>
      </w:pPr>
      <w:r w:rsidRPr="00575662">
        <w:rPr>
          <w:rStyle w:val="TextoNormalNegritaCaracter"/>
        </w:rPr>
        <w:t>Artículo 61.</w:t>
      </w:r>
      <w:r w:rsidRPr="00575662">
        <w:rPr>
          <w:rStyle w:val="TextoNormalCaracter"/>
        </w:rPr>
        <w:t>-</w:t>
      </w:r>
      <w:r>
        <w:t xml:space="preserve"> Sentencia </w:t>
      </w:r>
      <w:hyperlink w:anchor="SENTENCIA_1997_61" w:history="1">
        <w:r w:rsidRPr="00575662">
          <w:rPr>
            <w:rStyle w:val="TextoNormalCaracter"/>
          </w:rPr>
          <w:t>61/1997</w:t>
        </w:r>
      </w:hyperlink>
      <w:r>
        <w:t>, f. 29.</w:t>
      </w:r>
    </w:p>
    <w:p w:rsidR="00575662" w:rsidRDefault="00575662" w:rsidP="00575662">
      <w:pPr>
        <w:pStyle w:val="SangriaFrancesaArticulo"/>
      </w:pPr>
      <w:r w:rsidRPr="00575662">
        <w:rPr>
          <w:rStyle w:val="TextoNormalNegritaCaracter"/>
        </w:rPr>
        <w:t>Artículo 61.1.</w:t>
      </w:r>
      <w:r w:rsidRPr="00575662">
        <w:rPr>
          <w:rStyle w:val="TextoNormalCaracter"/>
        </w:rPr>
        <w:t>-</w:t>
      </w:r>
      <w:r>
        <w:t xml:space="preserve"> Sentencia </w:t>
      </w:r>
      <w:hyperlink w:anchor="SENTENCIA_1997_61" w:history="1">
        <w:r w:rsidRPr="00575662">
          <w:rPr>
            <w:rStyle w:val="TextoNormalCaracter"/>
          </w:rPr>
          <w:t>61/1997</w:t>
        </w:r>
      </w:hyperlink>
      <w:r>
        <w:t>, f. 29.</w:t>
      </w:r>
    </w:p>
    <w:p w:rsidR="00575662" w:rsidRDefault="00575662" w:rsidP="00575662">
      <w:pPr>
        <w:pStyle w:val="SangriaFrancesaArticulo"/>
      </w:pPr>
      <w:r w:rsidRPr="00575662">
        <w:rPr>
          <w:rStyle w:val="TextoNormalNegritaCaracter"/>
        </w:rPr>
        <w:t>Artículo 61.2.</w:t>
      </w:r>
      <w:r w:rsidRPr="00575662">
        <w:rPr>
          <w:rStyle w:val="TextoNormalCaracter"/>
        </w:rPr>
        <w:t>-</w:t>
      </w:r>
      <w:r>
        <w:t xml:space="preserve"> Sentencia </w:t>
      </w:r>
      <w:hyperlink w:anchor="SENTENCIA_1997_61" w:history="1">
        <w:r w:rsidRPr="00575662">
          <w:rPr>
            <w:rStyle w:val="TextoNormalCaracter"/>
          </w:rPr>
          <w:t>61/1997</w:t>
        </w:r>
      </w:hyperlink>
      <w:r>
        <w:t>, f. 29.</w:t>
      </w:r>
    </w:p>
    <w:p w:rsidR="00575662" w:rsidRDefault="00575662" w:rsidP="00575662">
      <w:pPr>
        <w:pStyle w:val="SangriaFrancesaArticulo"/>
      </w:pPr>
      <w:r w:rsidRPr="00575662">
        <w:rPr>
          <w:rStyle w:val="TextoNormalNegritaCaracter"/>
        </w:rPr>
        <w:t>Artículo 61.3.</w:t>
      </w:r>
      <w:r w:rsidRPr="00575662">
        <w:rPr>
          <w:rStyle w:val="TextoNormalCaracter"/>
        </w:rPr>
        <w:t>-</w:t>
      </w:r>
      <w:r>
        <w:t xml:space="preserve"> Sentencia </w:t>
      </w:r>
      <w:hyperlink w:anchor="SENTENCIA_1997_61" w:history="1">
        <w:r w:rsidRPr="00575662">
          <w:rPr>
            <w:rStyle w:val="TextoNormalCaracter"/>
          </w:rPr>
          <w:t>61/1997</w:t>
        </w:r>
      </w:hyperlink>
      <w:r>
        <w:t>, f. 29.</w:t>
      </w:r>
    </w:p>
    <w:p w:rsidR="00575662" w:rsidRDefault="00575662" w:rsidP="00575662">
      <w:pPr>
        <w:pStyle w:val="SangriaFrancesaArticulo"/>
      </w:pPr>
      <w:r w:rsidRPr="00575662">
        <w:rPr>
          <w:rStyle w:val="TextoNormalNegritaCaracter"/>
        </w:rPr>
        <w:t>Artículo 66.</w:t>
      </w:r>
      <w:r w:rsidRPr="00575662">
        <w:rPr>
          <w:rStyle w:val="TextoNormalCaracter"/>
        </w:rPr>
        <w:t>-</w:t>
      </w:r>
      <w:r>
        <w:t xml:space="preserve"> Sentencia </w:t>
      </w:r>
      <w:hyperlink w:anchor="SENTENCIA_1997_61" w:history="1">
        <w:r w:rsidRPr="00575662">
          <w:rPr>
            <w:rStyle w:val="TextoNormalCaracter"/>
          </w:rPr>
          <w:t>61/1997</w:t>
        </w:r>
      </w:hyperlink>
      <w:r>
        <w:t>, f. 15.</w:t>
      </w:r>
    </w:p>
    <w:p w:rsidR="00575662" w:rsidRDefault="00575662" w:rsidP="00575662">
      <w:pPr>
        <w:pStyle w:val="SangriaFrancesaArticulo"/>
      </w:pPr>
      <w:r w:rsidRPr="00575662">
        <w:rPr>
          <w:rStyle w:val="TextoNormalNegritaCaracter"/>
        </w:rPr>
        <w:t>Artículos 66 a 72.</w:t>
      </w:r>
      <w:r w:rsidRPr="00575662">
        <w:rPr>
          <w:rStyle w:val="TextoNormalCaracter"/>
        </w:rPr>
        <w:t>-</w:t>
      </w:r>
      <w:r>
        <w:t xml:space="preserve"> Sentencia </w:t>
      </w:r>
      <w:hyperlink w:anchor="SENTENCIA_1997_61" w:history="1">
        <w:r w:rsidRPr="00575662">
          <w:rPr>
            <w:rStyle w:val="TextoNormalCaracter"/>
          </w:rPr>
          <w:t>61/1997</w:t>
        </w:r>
      </w:hyperlink>
      <w:r>
        <w:t>, f. 18.</w:t>
      </w:r>
    </w:p>
    <w:p w:rsidR="00575662" w:rsidRDefault="00575662" w:rsidP="00575662">
      <w:pPr>
        <w:pStyle w:val="SangriaFrancesaArticulo"/>
      </w:pPr>
      <w:r w:rsidRPr="00575662">
        <w:rPr>
          <w:rStyle w:val="TextoNormalNegritaCaracter"/>
        </w:rPr>
        <w:t>Artículo 68.</w:t>
      </w:r>
      <w:r w:rsidRPr="00575662">
        <w:rPr>
          <w:rStyle w:val="TextoNormalCaracter"/>
        </w:rPr>
        <w:t>-</w:t>
      </w:r>
      <w:r>
        <w:t xml:space="preserve"> Sentencia </w:t>
      </w:r>
      <w:hyperlink w:anchor="SENTENCIA_1997_61" w:history="1">
        <w:r w:rsidRPr="00575662">
          <w:rPr>
            <w:rStyle w:val="TextoNormalCaracter"/>
          </w:rPr>
          <w:t>61/1997</w:t>
        </w:r>
      </w:hyperlink>
      <w:r>
        <w:t>, f. 18.</w:t>
      </w:r>
    </w:p>
    <w:p w:rsidR="00575662" w:rsidRDefault="00575662" w:rsidP="00575662">
      <w:pPr>
        <w:pStyle w:val="SangriaFrancesaArticulo"/>
      </w:pPr>
      <w:r w:rsidRPr="00575662">
        <w:rPr>
          <w:rStyle w:val="TextoNormalNegritaCaracter"/>
        </w:rPr>
        <w:t>Artículo 77.</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81.1.</w:t>
      </w:r>
      <w:r w:rsidRPr="00575662">
        <w:rPr>
          <w:rStyle w:val="TextoNormalCaracter"/>
        </w:rPr>
        <w:t>-</w:t>
      </w:r>
      <w:r>
        <w:t xml:space="preserve"> Sentencia </w:t>
      </w:r>
      <w:hyperlink w:anchor="SENTENCIA_1997_61" w:history="1">
        <w:r w:rsidRPr="00575662">
          <w:rPr>
            <w:rStyle w:val="TextoNormalCaracter"/>
          </w:rPr>
          <w:t>61/1997</w:t>
        </w:r>
      </w:hyperlink>
      <w:r>
        <w:t>, f. 18.</w:t>
      </w:r>
    </w:p>
    <w:p w:rsidR="00575662" w:rsidRDefault="00575662" w:rsidP="00575662">
      <w:pPr>
        <w:pStyle w:val="SangriaFrancesaArticulo"/>
      </w:pPr>
      <w:r w:rsidRPr="00575662">
        <w:rPr>
          <w:rStyle w:val="TextoNormalNegritaCaracter"/>
        </w:rPr>
        <w:t>Artículos 81 a 85.</w:t>
      </w:r>
      <w:r w:rsidRPr="00575662">
        <w:rPr>
          <w:rStyle w:val="TextoNormalCaracter"/>
        </w:rPr>
        <w:t>-</w:t>
      </w:r>
      <w:r>
        <w:t xml:space="preserve"> Sentencia </w:t>
      </w:r>
      <w:hyperlink w:anchor="SENTENCIA_1997_61" w:history="1">
        <w:r w:rsidRPr="00575662">
          <w:rPr>
            <w:rStyle w:val="TextoNormalCaracter"/>
          </w:rPr>
          <w:t>61/1997</w:t>
        </w:r>
      </w:hyperlink>
      <w:r>
        <w:t>, f. 18.</w:t>
      </w:r>
    </w:p>
    <w:p w:rsidR="00575662" w:rsidRDefault="00575662" w:rsidP="00575662">
      <w:pPr>
        <w:pStyle w:val="SangriaFrancesaArticulo"/>
      </w:pPr>
      <w:r w:rsidRPr="00575662">
        <w:rPr>
          <w:rStyle w:val="TextoNormalNegritaCaracter"/>
        </w:rPr>
        <w:t>Artículos 86 a 89.</w:t>
      </w:r>
      <w:r w:rsidRPr="00575662">
        <w:rPr>
          <w:rStyle w:val="TextoNormalCaracter"/>
        </w:rPr>
        <w:t>-</w:t>
      </w:r>
      <w:r>
        <w:t xml:space="preserve"> Sentencia </w:t>
      </w:r>
      <w:hyperlink w:anchor="SENTENCIA_1997_61" w:history="1">
        <w:r w:rsidRPr="00575662">
          <w:rPr>
            <w:rStyle w:val="TextoNormalCaracter"/>
          </w:rPr>
          <w:t>61/1997</w:t>
        </w:r>
      </w:hyperlink>
      <w:r>
        <w:t>, f. 33.</w:t>
      </w:r>
    </w:p>
    <w:p w:rsidR="00575662" w:rsidRDefault="00575662" w:rsidP="00575662">
      <w:pPr>
        <w:pStyle w:val="SangriaFrancesaArticulo"/>
      </w:pPr>
      <w:r w:rsidRPr="00575662">
        <w:rPr>
          <w:rStyle w:val="TextoNormalNegritaCaracter"/>
        </w:rPr>
        <w:t>Artículo 98.</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Disposición adicional primera, apartado 3.</w:t>
      </w:r>
      <w:r w:rsidRPr="00575662">
        <w:rPr>
          <w:rStyle w:val="TextoNormalCaracter"/>
        </w:rPr>
        <w:t>-</w:t>
      </w:r>
      <w:r>
        <w:t xml:space="preserve"> Sentencia </w:t>
      </w:r>
      <w:hyperlink w:anchor="SENTENCIA_1997_61" w:history="1">
        <w:r w:rsidRPr="00575662">
          <w:rPr>
            <w:rStyle w:val="TextoNormalCaracter"/>
          </w:rPr>
          <w:t>61/1997</w:t>
        </w:r>
      </w:hyperlink>
      <w:r>
        <w:t>, f. 15.</w:t>
      </w:r>
    </w:p>
    <w:p w:rsidR="00575662" w:rsidRDefault="00575662" w:rsidP="00575662">
      <w:pPr>
        <w:pStyle w:val="SangriaFrancesaArticulo"/>
      </w:pPr>
      <w:r w:rsidRPr="00575662">
        <w:rPr>
          <w:rStyle w:val="TextoNormalNegritaCaracter"/>
        </w:rPr>
        <w:t>Disposición adicional sexta.</w:t>
      </w:r>
      <w:r w:rsidRPr="00575662">
        <w:rPr>
          <w:rStyle w:val="TextoNormalCaracter"/>
        </w:rPr>
        <w:t>-</w:t>
      </w:r>
      <w:r>
        <w:t xml:space="preserve"> Sentencia </w:t>
      </w:r>
      <w:hyperlink w:anchor="SENTENCIA_1997_61" w:history="1">
        <w:r w:rsidRPr="00575662">
          <w:rPr>
            <w:rStyle w:val="TextoNormalCaracter"/>
          </w:rPr>
          <w:t>61/1997</w:t>
        </w:r>
      </w:hyperlink>
      <w:r>
        <w:t>, f. 20.</w:t>
      </w:r>
    </w:p>
    <w:p w:rsidR="00575662" w:rsidRDefault="00575662" w:rsidP="00575662">
      <w:pPr>
        <w:pStyle w:val="SangriaFrancesaArticulo"/>
      </w:pPr>
      <w:r w:rsidRPr="00575662">
        <w:rPr>
          <w:rStyle w:val="TextoNormalNegritaCaracter"/>
        </w:rPr>
        <w:t>Disposición adicional novena.</w:t>
      </w:r>
      <w:r w:rsidRPr="00575662">
        <w:rPr>
          <w:rStyle w:val="TextoNormalCaracter"/>
        </w:rPr>
        <w:t>-</w:t>
      </w:r>
      <w:r>
        <w:t xml:space="preserve"> Sentencia </w:t>
      </w:r>
      <w:hyperlink w:anchor="SENTENCIA_1997_61" w:history="1">
        <w:r w:rsidRPr="00575662">
          <w:rPr>
            <w:rStyle w:val="TextoNormalCaracter"/>
          </w:rPr>
          <w:t>61/1997</w:t>
        </w:r>
      </w:hyperlink>
      <w:r>
        <w:t>, f. 42.</w:t>
      </w:r>
    </w:p>
    <w:p w:rsidR="00575662" w:rsidRDefault="00575662" w:rsidP="00575662">
      <w:pPr>
        <w:pStyle w:val="SangriaFrancesaArticulo"/>
      </w:pPr>
      <w:r w:rsidRPr="00575662">
        <w:rPr>
          <w:rStyle w:val="TextoNormalNegritaCaracter"/>
        </w:rPr>
        <w:t>Disposición transitoria primera.</w:t>
      </w:r>
      <w:r w:rsidRPr="00575662">
        <w:rPr>
          <w:rStyle w:val="TextoNormalCaracter"/>
        </w:rPr>
        <w:t>-</w:t>
      </w:r>
      <w:r>
        <w:t xml:space="preserve"> Sentencia </w:t>
      </w:r>
      <w:hyperlink w:anchor="SENTENCIA_1997_61" w:history="1">
        <w:r w:rsidRPr="00575662">
          <w:rPr>
            <w:rStyle w:val="TextoNormalCaracter"/>
          </w:rPr>
          <w:t>61/1997</w:t>
        </w:r>
      </w:hyperlink>
      <w:r>
        <w:t>, f. 42.</w:t>
      </w:r>
    </w:p>
    <w:p w:rsidR="00575662" w:rsidRDefault="00575662" w:rsidP="00575662">
      <w:pPr>
        <w:pStyle w:val="SangriaFrancesaArticulo"/>
      </w:pPr>
      <w:r w:rsidRPr="00575662">
        <w:rPr>
          <w:rStyle w:val="TextoNormalNegritaCaracter"/>
        </w:rPr>
        <w:t>Disposición transitoria cuarta.</w:t>
      </w:r>
      <w:r w:rsidRPr="00575662">
        <w:rPr>
          <w:rStyle w:val="TextoNormalCaracter"/>
        </w:rPr>
        <w:t>-</w:t>
      </w:r>
      <w:r>
        <w:t xml:space="preserve"> Sentencia </w:t>
      </w:r>
      <w:hyperlink w:anchor="SENTENCIA_1997_61" w:history="1">
        <w:r w:rsidRPr="00575662">
          <w:rPr>
            <w:rStyle w:val="TextoNormalCaracter"/>
          </w:rPr>
          <w:t>61/1997</w:t>
        </w:r>
      </w:hyperlink>
      <w:r>
        <w:t>, f. 42.</w:t>
      </w:r>
    </w:p>
    <w:p w:rsidR="00575662" w:rsidRDefault="00575662" w:rsidP="00575662">
      <w:pPr>
        <w:pStyle w:val="SangriaFrancesaArticulo"/>
      </w:pPr>
      <w:r w:rsidRPr="00575662">
        <w:rPr>
          <w:rStyle w:val="TextoNormalNegritaCaracter"/>
        </w:rPr>
        <w:t>Disposición transitoria cuarta, apartado 1.</w:t>
      </w:r>
      <w:r w:rsidRPr="00575662">
        <w:rPr>
          <w:rStyle w:val="TextoNormalCaracter"/>
        </w:rPr>
        <w:t>-</w:t>
      </w:r>
      <w:r>
        <w:t xml:space="preserve"> Sentencia </w:t>
      </w:r>
      <w:hyperlink w:anchor="SENTENCIA_1997_61" w:history="1">
        <w:r w:rsidRPr="00575662">
          <w:rPr>
            <w:rStyle w:val="TextoNormalCaracter"/>
          </w:rPr>
          <w:t>61/1997</w:t>
        </w:r>
      </w:hyperlink>
      <w:r>
        <w:t>, f. 42.</w:t>
      </w:r>
    </w:p>
    <w:p w:rsidR="00575662" w:rsidRDefault="00575662" w:rsidP="00575662">
      <w:pPr>
        <w:pStyle w:val="SangriaFrancesaArticulo"/>
      </w:pPr>
      <w:r w:rsidRPr="00575662">
        <w:rPr>
          <w:rStyle w:val="TextoNormalNegritaCaracter"/>
        </w:rPr>
        <w:t>Disposición transitoria quinta.</w:t>
      </w:r>
      <w:r w:rsidRPr="00575662">
        <w:rPr>
          <w:rStyle w:val="TextoNormalCaracter"/>
        </w:rPr>
        <w:t>-</w:t>
      </w:r>
      <w:r>
        <w:t xml:space="preserve"> Sentencia </w:t>
      </w:r>
      <w:hyperlink w:anchor="SENTENCIA_1997_61" w:history="1">
        <w:r w:rsidRPr="00575662">
          <w:rPr>
            <w:rStyle w:val="TextoNormalCaracter"/>
          </w:rPr>
          <w:t>61/1997</w:t>
        </w:r>
      </w:hyperlink>
      <w:r>
        <w:t>, f. 42.</w:t>
      </w:r>
    </w:p>
    <w:p w:rsidR="00575662" w:rsidRDefault="00575662" w:rsidP="00575662">
      <w:pPr>
        <w:pStyle w:val="SangriaFrancesaArticulo"/>
      </w:pPr>
      <w:r w:rsidRPr="00575662">
        <w:rPr>
          <w:rStyle w:val="TextoNormalNegritaCaracter"/>
        </w:rPr>
        <w:t>Disposición transitoria sexta.</w:t>
      </w:r>
      <w:r w:rsidRPr="00575662">
        <w:rPr>
          <w:rStyle w:val="TextoNormalCaracter"/>
        </w:rPr>
        <w:t>-</w:t>
      </w:r>
      <w:r>
        <w:t xml:space="preserve"> Sentencia </w:t>
      </w:r>
      <w:hyperlink w:anchor="SENTENCIA_1997_61" w:history="1">
        <w:r w:rsidRPr="00575662">
          <w:rPr>
            <w:rStyle w:val="TextoNormalCaracter"/>
          </w:rPr>
          <w:t>61/1997</w:t>
        </w:r>
      </w:hyperlink>
      <w:r>
        <w:t>, f. 42.</w:t>
      </w:r>
    </w:p>
    <w:p w:rsidR="00575662" w:rsidRDefault="00575662" w:rsidP="00575662">
      <w:pPr>
        <w:pStyle w:val="SangriaFrancesaArticulo"/>
      </w:pPr>
      <w:r w:rsidRPr="00575662">
        <w:rPr>
          <w:rStyle w:val="TextoNormalNegritaCaracter"/>
        </w:rPr>
        <w:t>Disposición final segunda.</w:t>
      </w:r>
      <w:r w:rsidRPr="00575662">
        <w:rPr>
          <w:rStyle w:val="TextoNormalCaracter"/>
        </w:rPr>
        <w:t>-</w:t>
      </w:r>
      <w:r>
        <w:t xml:space="preserve"> Sentencia </w:t>
      </w:r>
      <w:hyperlink w:anchor="SENTENCIA_1997_61" w:history="1">
        <w:r w:rsidRPr="00575662">
          <w:rPr>
            <w:rStyle w:val="TextoNormalCaracter"/>
          </w:rPr>
          <w:t>61/1997</w:t>
        </w:r>
      </w:hyperlink>
      <w:r>
        <w:t>, ff. 1, 2, 15, VP.</w:t>
      </w:r>
    </w:p>
    <w:p w:rsidR="00575662" w:rsidRDefault="00575662" w:rsidP="00575662">
      <w:pPr>
        <w:pStyle w:val="SangriaFrancesaArticulo"/>
      </w:pPr>
    </w:p>
    <w:p w:rsidR="00575662" w:rsidRDefault="00575662" w:rsidP="00575662">
      <w:pPr>
        <w:pStyle w:val="TextoNormalNegritaCursivandice"/>
      </w:pPr>
      <w:r>
        <w:t>Ley 18/1991, de 6 de junio. Impuesto sobre la renta de las personas físicas</w:t>
      </w:r>
    </w:p>
    <w:p w:rsidR="00575662" w:rsidRDefault="00575662" w:rsidP="00575662">
      <w:pPr>
        <w:pStyle w:val="SangriaFrancesaArticulo"/>
      </w:pPr>
      <w:r w:rsidRPr="00575662">
        <w:rPr>
          <w:rStyle w:val="TextoNormalNegritaCaracter"/>
        </w:rPr>
        <w:t>Artículo 9.1 b)</w:t>
      </w:r>
      <w:r>
        <w:t xml:space="preserve"> </w:t>
      </w:r>
      <w:r w:rsidRPr="00575662">
        <w:rPr>
          <w:rStyle w:val="TextoNormalCaracter"/>
        </w:rPr>
        <w:t>(en la redacción de la Ley 21/1993, de 29 de diciembre)</w:t>
      </w:r>
      <w:r w:rsidRPr="00575662">
        <w:rPr>
          <w:rStyle w:val="TextoNormalNegritaCaracter"/>
        </w:rPr>
        <w:t>.</w:t>
      </w:r>
      <w:r w:rsidRPr="00575662">
        <w:rPr>
          <w:rStyle w:val="TextoNormalCaracter"/>
        </w:rPr>
        <w:t>-</w:t>
      </w:r>
      <w:r>
        <w:t xml:space="preserve"> Auto </w:t>
      </w:r>
      <w:hyperlink w:anchor="AUTO_1997_25" w:history="1">
        <w:r w:rsidRPr="00575662">
          <w:rPr>
            <w:rStyle w:val="TextoNormalCaracter"/>
          </w:rPr>
          <w:t>25/1997</w:t>
        </w:r>
      </w:hyperlink>
      <w:r>
        <w:t>.</w:t>
      </w:r>
    </w:p>
    <w:p w:rsidR="00575662" w:rsidRDefault="00575662" w:rsidP="00575662">
      <w:pPr>
        <w:pStyle w:val="SangriaFrancesaArticulo"/>
      </w:pPr>
      <w:r w:rsidRPr="00575662">
        <w:rPr>
          <w:rStyle w:val="TextoNormalNegritaCaracter"/>
        </w:rPr>
        <w:t>Artículo 9.1 b)</w:t>
      </w:r>
      <w:r>
        <w:t xml:space="preserve"> </w:t>
      </w:r>
      <w:r w:rsidRPr="00575662">
        <w:rPr>
          <w:rStyle w:val="TextoNormalCaracter"/>
        </w:rPr>
        <w:t>(redactado por la Ley 21/1993, de 29 de diciembre)</w:t>
      </w:r>
      <w:r w:rsidRPr="00575662">
        <w:rPr>
          <w:rStyle w:val="TextoNormalNegritaCaracter"/>
        </w:rPr>
        <w:t>.</w:t>
      </w:r>
      <w:r w:rsidRPr="00575662">
        <w:rPr>
          <w:rStyle w:val="TextoNormalCaracter"/>
        </w:rPr>
        <w:t>-</w:t>
      </w:r>
      <w:r>
        <w:t xml:space="preserve"> Sentencia </w:t>
      </w:r>
      <w:hyperlink w:anchor="SENTENCIA_1997_72" w:history="1">
        <w:r w:rsidRPr="00575662">
          <w:rPr>
            <w:rStyle w:val="TextoNormalCaracter"/>
          </w:rPr>
          <w:t>72/1997</w:t>
        </w:r>
      </w:hyperlink>
      <w:r>
        <w:t>, f. 1.</w:t>
      </w:r>
    </w:p>
    <w:p w:rsidR="00575662" w:rsidRDefault="00575662" w:rsidP="00575662">
      <w:pPr>
        <w:pStyle w:val="SangriaFrancesaArticulo"/>
      </w:pPr>
      <w:r w:rsidRPr="00575662">
        <w:rPr>
          <w:rStyle w:val="TextoNormalNegritaCaracter"/>
        </w:rPr>
        <w:t>Artículo 9.1 c)</w:t>
      </w:r>
      <w:r>
        <w:t xml:space="preserve"> </w:t>
      </w:r>
      <w:r w:rsidRPr="00575662">
        <w:rPr>
          <w:rStyle w:val="TextoNormalCaracter"/>
        </w:rPr>
        <w:t>(en la redacción de la Ley 21/1993, de 29 de diciembre)</w:t>
      </w:r>
      <w:r w:rsidRPr="00575662">
        <w:rPr>
          <w:rStyle w:val="TextoNormalNegritaCaracter"/>
        </w:rPr>
        <w:t>.</w:t>
      </w:r>
      <w:r w:rsidRPr="00575662">
        <w:rPr>
          <w:rStyle w:val="TextoNormalCaracter"/>
        </w:rPr>
        <w:t>-</w:t>
      </w:r>
      <w:r>
        <w:t xml:space="preserve"> Auto </w:t>
      </w:r>
      <w:hyperlink w:anchor="AUTO_1997_25" w:history="1">
        <w:r w:rsidRPr="00575662">
          <w:rPr>
            <w:rStyle w:val="TextoNormalCaracter"/>
          </w:rPr>
          <w:t>25/1997</w:t>
        </w:r>
      </w:hyperlink>
      <w:r>
        <w:t>.</w:t>
      </w:r>
    </w:p>
    <w:p w:rsidR="00575662" w:rsidRDefault="00575662" w:rsidP="00575662">
      <w:pPr>
        <w:pStyle w:val="SangriaFrancesaArticulo"/>
      </w:pPr>
      <w:r w:rsidRPr="00575662">
        <w:rPr>
          <w:rStyle w:val="TextoNormalNegritaCaracter"/>
        </w:rPr>
        <w:t>Artículo 9.1 c)</w:t>
      </w:r>
      <w:r>
        <w:t xml:space="preserve"> </w:t>
      </w:r>
      <w:r w:rsidRPr="00575662">
        <w:rPr>
          <w:rStyle w:val="TextoNormalCaracter"/>
        </w:rPr>
        <w:t>(redactado por la Ley 21/1993, de 29 de diciembre)</w:t>
      </w:r>
      <w:r w:rsidRPr="00575662">
        <w:rPr>
          <w:rStyle w:val="TextoNormalNegritaCaracter"/>
        </w:rPr>
        <w:t>.</w:t>
      </w:r>
      <w:r w:rsidRPr="00575662">
        <w:rPr>
          <w:rStyle w:val="TextoNormalCaracter"/>
        </w:rPr>
        <w:t>-</w:t>
      </w:r>
      <w:r>
        <w:t xml:space="preserve"> Sentencias </w:t>
      </w:r>
      <w:hyperlink w:anchor="SENTENCIA_1997_72" w:history="1">
        <w:r w:rsidRPr="00575662">
          <w:rPr>
            <w:rStyle w:val="TextoNormalCaracter"/>
          </w:rPr>
          <w:t>72/1997</w:t>
        </w:r>
      </w:hyperlink>
      <w:r>
        <w:t xml:space="preserve">, f. 1; </w:t>
      </w:r>
      <w:hyperlink w:anchor="SENTENCIA_1997_80" w:history="1">
        <w:r w:rsidRPr="00575662">
          <w:rPr>
            <w:rStyle w:val="TextoNormalCaracter"/>
          </w:rPr>
          <w:t>80/1997</w:t>
        </w:r>
      </w:hyperlink>
      <w:r>
        <w:t>, f. 1.</w:t>
      </w:r>
    </w:p>
    <w:p w:rsidR="00575662" w:rsidRDefault="00575662" w:rsidP="00575662">
      <w:pPr>
        <w:pStyle w:val="SangriaFrancesaArticulo"/>
      </w:pPr>
      <w:r w:rsidRPr="00575662">
        <w:rPr>
          <w:rStyle w:val="TextoNormalNegritaCaracter"/>
        </w:rPr>
        <w:t>Disposición adicional decimotercera.</w:t>
      </w:r>
      <w:r w:rsidRPr="00575662">
        <w:rPr>
          <w:rStyle w:val="TextoNormalCaracter"/>
        </w:rPr>
        <w:t>-</w:t>
      </w:r>
      <w:r>
        <w:t xml:space="preserve"> Sentencia </w:t>
      </w:r>
      <w:hyperlink w:anchor="SENTENCIA_1997_62" w:history="1">
        <w:r w:rsidRPr="00575662">
          <w:rPr>
            <w:rStyle w:val="TextoNormalCaracter"/>
          </w:rPr>
          <w:t>62/1997</w:t>
        </w:r>
      </w:hyperlink>
      <w:r>
        <w:t>, ff. 1, 3, VP.</w:t>
      </w:r>
    </w:p>
    <w:p w:rsidR="00575662" w:rsidRDefault="00575662" w:rsidP="00575662">
      <w:pPr>
        <w:pStyle w:val="SangriaFrancesaArticulo"/>
      </w:pPr>
      <w:r w:rsidRPr="00575662">
        <w:rPr>
          <w:rStyle w:val="TextoNormalNegritaCaracter"/>
        </w:rPr>
        <w:t>Disposición adicional decimotercera, apartado 3 e).</w:t>
      </w:r>
      <w:r w:rsidRPr="00575662">
        <w:rPr>
          <w:rStyle w:val="TextoNormalCaracter"/>
        </w:rPr>
        <w:t>-</w:t>
      </w:r>
      <w:r>
        <w:t xml:space="preserve"> Sentencia </w:t>
      </w:r>
      <w:hyperlink w:anchor="SENTENCIA_1997_62" w:history="1">
        <w:r w:rsidRPr="00575662">
          <w:rPr>
            <w:rStyle w:val="TextoNormalCaracter"/>
          </w:rPr>
          <w:t>62/1997</w:t>
        </w:r>
      </w:hyperlink>
      <w:r>
        <w:t>, f. 2.</w:t>
      </w:r>
    </w:p>
    <w:p w:rsidR="00575662" w:rsidRDefault="00575662" w:rsidP="00575662">
      <w:pPr>
        <w:pStyle w:val="SangriaFrancesaArticulo"/>
      </w:pPr>
    </w:p>
    <w:p w:rsidR="00575662" w:rsidRDefault="00575662" w:rsidP="00575662">
      <w:pPr>
        <w:pStyle w:val="TextoNormalNegritaCursivandice"/>
      </w:pPr>
      <w:r>
        <w:t>Ley 31/1991, de 30 de diciembre. Presupuestos generales del Estado para 1992</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61" w:history="1">
        <w:r w:rsidRPr="00575662">
          <w:rPr>
            <w:rStyle w:val="TextoNormalCaracter"/>
          </w:rPr>
          <w:t>61/1997</w:t>
        </w:r>
      </w:hyperlink>
      <w:r>
        <w:t>, ff. 1, 2, VP.</w:t>
      </w:r>
    </w:p>
    <w:p w:rsidR="00575662" w:rsidRDefault="00575662" w:rsidP="00575662">
      <w:pPr>
        <w:pStyle w:val="SangriaFrancesaArticulo"/>
      </w:pPr>
      <w:r w:rsidRPr="00575662">
        <w:rPr>
          <w:rStyle w:val="TextoNormalNegritaCaracter"/>
        </w:rPr>
        <w:t>Disposición final quinta.</w:t>
      </w:r>
      <w:r w:rsidRPr="00575662">
        <w:rPr>
          <w:rStyle w:val="TextoNormalCaracter"/>
        </w:rPr>
        <w:t>-</w:t>
      </w:r>
      <w:r>
        <w:t xml:space="preserve"> Sentencia </w:t>
      </w:r>
      <w:hyperlink w:anchor="SENTENCIA_1997_61" w:history="1">
        <w:r w:rsidRPr="00575662">
          <w:rPr>
            <w:rStyle w:val="TextoNormalCaracter"/>
          </w:rPr>
          <w:t>61/1997</w:t>
        </w:r>
      </w:hyperlink>
      <w:r>
        <w:t>, ff. 1, 2, VP.</w:t>
      </w:r>
    </w:p>
    <w:p w:rsidR="00575662" w:rsidRDefault="00575662" w:rsidP="00575662">
      <w:pPr>
        <w:pStyle w:val="SangriaFrancesaArticulo"/>
      </w:pPr>
    </w:p>
    <w:p w:rsidR="00575662" w:rsidRDefault="00575662" w:rsidP="00575662">
      <w:pPr>
        <w:pStyle w:val="TextoNormalNegritaCursivandice"/>
      </w:pPr>
      <w:r>
        <w:t>Ley 10/1992, de 30 de abril. Medidas urgentes de reforma procesal</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Sentencias </w:t>
      </w:r>
      <w:hyperlink w:anchor="SENTENCIA_1997_25" w:history="1">
        <w:r w:rsidRPr="00575662">
          <w:rPr>
            <w:rStyle w:val="TextoNormalCaracter"/>
          </w:rPr>
          <w:t>25/1997</w:t>
        </w:r>
      </w:hyperlink>
      <w:r>
        <w:t xml:space="preserve">, f. 5; </w:t>
      </w:r>
      <w:hyperlink w:anchor="SENTENCIA_1997_79" w:history="1">
        <w:r w:rsidRPr="00575662">
          <w:rPr>
            <w:rStyle w:val="TextoNormalCaracter"/>
          </w:rPr>
          <w:t>79/1997</w:t>
        </w:r>
      </w:hyperlink>
      <w:r>
        <w:t>, f. 2.</w:t>
      </w:r>
    </w:p>
    <w:p w:rsidR="00575662" w:rsidRDefault="00575662" w:rsidP="00575662">
      <w:pPr>
        <w:pStyle w:val="SangriaFrancesaArticulo"/>
      </w:pPr>
    </w:p>
    <w:p w:rsidR="00575662" w:rsidRDefault="00575662" w:rsidP="00575662">
      <w:pPr>
        <w:pStyle w:val="TextoNormalNegritaCursivandice"/>
      </w:pPr>
      <w:r>
        <w:t>Ley 30/1992, de 26 de noviembre. Régimen jurídico de las Administraciones públicas y del procedimiento administrativo común</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Sentencias </w:t>
      </w:r>
      <w:hyperlink w:anchor="SENTENCIA_1997_55" w:history="1">
        <w:r w:rsidRPr="00575662">
          <w:rPr>
            <w:rStyle w:val="TextoNormalCaracter"/>
          </w:rPr>
          <w:t>55/1997</w:t>
        </w:r>
      </w:hyperlink>
      <w:r>
        <w:t xml:space="preserve">, f. 3; </w:t>
      </w:r>
      <w:hyperlink w:anchor="SENTENCIA_1997_61" w:history="1">
        <w:r w:rsidRPr="00575662">
          <w:rPr>
            <w:rStyle w:val="TextoNormalCaracter"/>
          </w:rPr>
          <w:t>61/1997</w:t>
        </w:r>
      </w:hyperlink>
      <w:r>
        <w:t>, f. 34.</w:t>
      </w:r>
    </w:p>
    <w:p w:rsidR="00575662" w:rsidRDefault="00575662" w:rsidP="00575662">
      <w:pPr>
        <w:pStyle w:val="SangriaFrancesaArticulo"/>
      </w:pPr>
      <w:r w:rsidRPr="00575662">
        <w:rPr>
          <w:rStyle w:val="TextoNormalNegritaCaracter"/>
        </w:rPr>
        <w:t>Título IX.</w:t>
      </w:r>
      <w:r w:rsidRPr="00575662">
        <w:rPr>
          <w:rStyle w:val="TextoNormalCaracter"/>
        </w:rPr>
        <w:t>-</w:t>
      </w:r>
      <w:r>
        <w:t xml:space="preserve"> Sentencia </w:t>
      </w:r>
      <w:hyperlink w:anchor="SENTENCIA_1997_45" w:history="1">
        <w:r w:rsidRPr="00575662">
          <w:rPr>
            <w:rStyle w:val="TextoNormalCaracter"/>
          </w:rPr>
          <w:t>45/1997</w:t>
        </w:r>
      </w:hyperlink>
      <w:r>
        <w:t>, f. 3.</w:t>
      </w:r>
    </w:p>
    <w:p w:rsidR="00575662" w:rsidRDefault="00575662" w:rsidP="00575662">
      <w:pPr>
        <w:pStyle w:val="SangriaFrancesaArticulo"/>
      </w:pPr>
      <w:r w:rsidRPr="00575662">
        <w:rPr>
          <w:rStyle w:val="TextoNormalNegritaCaracter"/>
        </w:rPr>
        <w:t>Artículo 4 c).</w:t>
      </w:r>
      <w:r w:rsidRPr="00575662">
        <w:rPr>
          <w:rStyle w:val="TextoNormalCaracter"/>
        </w:rPr>
        <w:t>-</w:t>
      </w:r>
      <w:r>
        <w:t xml:space="preserve"> Sentencia </w:t>
      </w:r>
      <w:hyperlink w:anchor="SENTENCIA_1997_61" w:history="1">
        <w:r w:rsidRPr="00575662">
          <w:rPr>
            <w:rStyle w:val="TextoNormalCaracter"/>
          </w:rPr>
          <w:t>61/1997</w:t>
        </w:r>
      </w:hyperlink>
      <w:r>
        <w:t>, f. 26.</w:t>
      </w:r>
    </w:p>
    <w:p w:rsidR="00575662" w:rsidRDefault="00575662" w:rsidP="00575662">
      <w:pPr>
        <w:pStyle w:val="SangriaFrancesaArticulo"/>
      </w:pPr>
      <w:r w:rsidRPr="00575662">
        <w:rPr>
          <w:rStyle w:val="TextoNormalNegritaCaracter"/>
        </w:rPr>
        <w:t>Artículo 4 d).</w:t>
      </w:r>
      <w:r w:rsidRPr="00575662">
        <w:rPr>
          <w:rStyle w:val="TextoNormalCaracter"/>
        </w:rPr>
        <w:t>-</w:t>
      </w:r>
      <w:r>
        <w:t xml:space="preserve"> Sentencia </w:t>
      </w:r>
      <w:hyperlink w:anchor="SENTENCIA_1997_61" w:history="1">
        <w:r w:rsidRPr="00575662">
          <w:rPr>
            <w:rStyle w:val="TextoNormalCaracter"/>
          </w:rPr>
          <w:t>61/1997</w:t>
        </w:r>
      </w:hyperlink>
      <w:r>
        <w:t>, f. 26.</w:t>
      </w:r>
    </w:p>
    <w:p w:rsidR="00575662" w:rsidRDefault="00575662" w:rsidP="00575662">
      <w:pPr>
        <w:pStyle w:val="SangriaFrancesaArticulo"/>
      </w:pPr>
      <w:r w:rsidRPr="00575662">
        <w:rPr>
          <w:rStyle w:val="TextoNormalNegritaCaracter"/>
        </w:rPr>
        <w:t>Artículo 36.1.</w:t>
      </w:r>
      <w:r w:rsidRPr="00575662">
        <w:rPr>
          <w:rStyle w:val="TextoNormalCaracter"/>
        </w:rPr>
        <w:t>-</w:t>
      </w:r>
      <w:r>
        <w:t xml:space="preserve"> Sentencia </w:t>
      </w:r>
      <w:hyperlink w:anchor="SENTENCIA_1997_87" w:history="1">
        <w:r w:rsidRPr="00575662">
          <w:rPr>
            <w:rStyle w:val="TextoNormalCaracter"/>
          </w:rPr>
          <w:t>87/1997</w:t>
        </w:r>
      </w:hyperlink>
      <w:r>
        <w:t>, f. 6.</w:t>
      </w:r>
    </w:p>
    <w:p w:rsidR="00575662" w:rsidRDefault="00575662" w:rsidP="00575662">
      <w:pPr>
        <w:pStyle w:val="SangriaFrancesaArticulo"/>
      </w:pPr>
      <w:r w:rsidRPr="00575662">
        <w:rPr>
          <w:rStyle w:val="TextoNormalNegritaCaracter"/>
        </w:rPr>
        <w:t>Artículo 42.1.</w:t>
      </w:r>
      <w:r w:rsidRPr="00575662">
        <w:rPr>
          <w:rStyle w:val="TextoNormalCaracter"/>
        </w:rPr>
        <w:t>-</w:t>
      </w:r>
      <w:r>
        <w:t xml:space="preserve"> Sentencia </w:t>
      </w:r>
      <w:hyperlink w:anchor="SENTENCIA_1997_61" w:history="1">
        <w:r w:rsidRPr="00575662">
          <w:rPr>
            <w:rStyle w:val="TextoNormalCaracter"/>
          </w:rPr>
          <w:t>61/1997</w:t>
        </w:r>
      </w:hyperlink>
      <w:r>
        <w:t>, f. 35.</w:t>
      </w:r>
    </w:p>
    <w:p w:rsidR="00575662" w:rsidRDefault="00575662" w:rsidP="00575662">
      <w:pPr>
        <w:pStyle w:val="SangriaFrancesaArticulo"/>
      </w:pPr>
      <w:r w:rsidRPr="00575662">
        <w:rPr>
          <w:rStyle w:val="TextoNormalNegritaCaracter"/>
        </w:rPr>
        <w:t>Artículos 102 a 106.</w:t>
      </w:r>
      <w:r w:rsidRPr="00575662">
        <w:rPr>
          <w:rStyle w:val="TextoNormalCaracter"/>
        </w:rPr>
        <w:t>-</w:t>
      </w:r>
      <w:r>
        <w:t xml:space="preserve"> Sentencia </w:t>
      </w:r>
      <w:hyperlink w:anchor="SENTENCIA_1997_61" w:history="1">
        <w:r w:rsidRPr="00575662">
          <w:rPr>
            <w:rStyle w:val="TextoNormalCaracter"/>
          </w:rPr>
          <w:t>61/1997</w:t>
        </w:r>
      </w:hyperlink>
      <w:r>
        <w:t>, ff. 34, 35.</w:t>
      </w:r>
    </w:p>
    <w:p w:rsidR="00575662" w:rsidRDefault="00575662" w:rsidP="00575662">
      <w:pPr>
        <w:pStyle w:val="SangriaFrancesaArticulo"/>
      </w:pPr>
      <w:r w:rsidRPr="00575662">
        <w:rPr>
          <w:rStyle w:val="TextoNormalNegritaCaracter"/>
        </w:rPr>
        <w:t>Artículo 103.</w:t>
      </w:r>
      <w:r w:rsidRPr="00575662">
        <w:rPr>
          <w:rStyle w:val="TextoNormalCaracter"/>
        </w:rPr>
        <w:t>-</w:t>
      </w:r>
      <w:r>
        <w:t xml:space="preserve"> Sentencia </w:t>
      </w:r>
      <w:hyperlink w:anchor="SENTENCIA_1997_61" w:history="1">
        <w:r w:rsidRPr="00575662">
          <w:rPr>
            <w:rStyle w:val="TextoNormalCaracter"/>
          </w:rPr>
          <w:t>61/1997</w:t>
        </w:r>
      </w:hyperlink>
      <w:r>
        <w:t>, f. 35.</w:t>
      </w:r>
    </w:p>
    <w:p w:rsidR="00575662" w:rsidRDefault="00575662" w:rsidP="00575662">
      <w:pPr>
        <w:pStyle w:val="SangriaFrancesaArticulo"/>
      </w:pPr>
      <w:r w:rsidRPr="00575662">
        <w:rPr>
          <w:rStyle w:val="TextoNormalNegritaCaracter"/>
        </w:rPr>
        <w:t>Artículo 110.3.</w:t>
      </w:r>
      <w:r w:rsidRPr="00575662">
        <w:rPr>
          <w:rStyle w:val="TextoNormalCaracter"/>
        </w:rPr>
        <w:t>-</w:t>
      </w:r>
      <w:r>
        <w:t xml:space="preserve"> Sentencias </w:t>
      </w:r>
      <w:hyperlink w:anchor="SENTENCIA_1997_19" w:history="1">
        <w:r w:rsidRPr="00575662">
          <w:rPr>
            <w:rStyle w:val="TextoNormalCaracter"/>
          </w:rPr>
          <w:t>19/1997</w:t>
        </w:r>
      </w:hyperlink>
      <w:r>
        <w:t xml:space="preserve">, ff. 1, 3; </w:t>
      </w:r>
      <w:hyperlink w:anchor="SENTENCIA_1997_65" w:history="1">
        <w:r w:rsidRPr="00575662">
          <w:rPr>
            <w:rStyle w:val="TextoNormalCaracter"/>
          </w:rPr>
          <w:t>65/1997</w:t>
        </w:r>
      </w:hyperlink>
      <w:r>
        <w:t>, f. 2.</w:t>
      </w:r>
    </w:p>
    <w:p w:rsidR="00575662" w:rsidRDefault="00575662" w:rsidP="00575662">
      <w:pPr>
        <w:pStyle w:val="SangriaFrancesaArticulo"/>
      </w:pPr>
      <w:r w:rsidRPr="00575662">
        <w:rPr>
          <w:rStyle w:val="TextoNormalNegritaCaracter"/>
        </w:rPr>
        <w:t>Artículo 128.2.</w:t>
      </w:r>
      <w:r w:rsidRPr="00575662">
        <w:rPr>
          <w:rStyle w:val="TextoNormalCaracter"/>
        </w:rPr>
        <w:t>-</w:t>
      </w:r>
      <w:r>
        <w:t xml:space="preserve"> Sentencia </w:t>
      </w:r>
      <w:hyperlink w:anchor="SENTENCIA_1997_38" w:history="1">
        <w:r w:rsidRPr="00575662">
          <w:rPr>
            <w:rStyle w:val="TextoNormalCaracter"/>
          </w:rPr>
          <w:t>38/1997</w:t>
        </w:r>
      </w:hyperlink>
      <w:r>
        <w:t>, f. 6.</w:t>
      </w:r>
    </w:p>
    <w:p w:rsidR="00575662" w:rsidRDefault="00575662" w:rsidP="00575662">
      <w:pPr>
        <w:pStyle w:val="SangriaFrancesaArticulo"/>
      </w:pPr>
      <w:r w:rsidRPr="00575662">
        <w:rPr>
          <w:rStyle w:val="TextoNormalNegritaCaracter"/>
        </w:rPr>
        <w:t>Artículo 137.</w:t>
      </w:r>
      <w:r w:rsidRPr="00575662">
        <w:rPr>
          <w:rStyle w:val="TextoNormalCaracter"/>
        </w:rPr>
        <w:t>-</w:t>
      </w:r>
      <w:r>
        <w:t xml:space="preserve"> Sentencia </w:t>
      </w:r>
      <w:hyperlink w:anchor="SENTENCIA_1997_14" w:history="1">
        <w:r w:rsidRPr="00575662">
          <w:rPr>
            <w:rStyle w:val="TextoNormalCaracter"/>
          </w:rPr>
          <w:t>14/1997</w:t>
        </w:r>
      </w:hyperlink>
      <w:r>
        <w:t>, f. 2.</w:t>
      </w:r>
    </w:p>
    <w:p w:rsidR="00575662" w:rsidRDefault="00575662" w:rsidP="00575662">
      <w:pPr>
        <w:pStyle w:val="SangriaFrancesaArticulo"/>
      </w:pPr>
      <w:r w:rsidRPr="00575662">
        <w:rPr>
          <w:rStyle w:val="TextoNormalNegritaCaracter"/>
        </w:rPr>
        <w:t>Artículo 137.1.</w:t>
      </w:r>
      <w:r w:rsidRPr="00575662">
        <w:rPr>
          <w:rStyle w:val="TextoNormalCaracter"/>
        </w:rPr>
        <w:t>-</w:t>
      </w:r>
      <w:r>
        <w:t xml:space="preserve"> Sentencia </w:t>
      </w:r>
      <w:hyperlink w:anchor="SENTENCIA_1997_45" w:history="1">
        <w:r w:rsidRPr="00575662">
          <w:rPr>
            <w:rStyle w:val="TextoNormalCaracter"/>
          </w:rPr>
          <w:t>45/1997</w:t>
        </w:r>
      </w:hyperlink>
      <w:r>
        <w:t>, f. 6.</w:t>
      </w:r>
    </w:p>
    <w:p w:rsidR="00575662" w:rsidRDefault="00575662" w:rsidP="00575662">
      <w:pPr>
        <w:pStyle w:val="SangriaFrancesaArticulo"/>
      </w:pPr>
      <w:r w:rsidRPr="00575662">
        <w:rPr>
          <w:rStyle w:val="TextoNormalNegritaCaracter"/>
        </w:rPr>
        <w:t>Disposición adicional undécima.</w:t>
      </w:r>
      <w:r w:rsidRPr="00575662">
        <w:rPr>
          <w:rStyle w:val="TextoNormalCaracter"/>
        </w:rPr>
        <w:t>-</w:t>
      </w:r>
      <w:r>
        <w:t xml:space="preserve"> Sentencia </w:t>
      </w:r>
      <w:hyperlink w:anchor="SENTENCIA_1997_69" w:history="1">
        <w:r w:rsidRPr="00575662">
          <w:rPr>
            <w:rStyle w:val="TextoNormalCaracter"/>
          </w:rPr>
          <w:t>69/1997</w:t>
        </w:r>
      </w:hyperlink>
      <w:r>
        <w:t>, f. 6.</w:t>
      </w:r>
    </w:p>
    <w:p w:rsidR="00575662" w:rsidRDefault="00575662" w:rsidP="00575662">
      <w:pPr>
        <w:pStyle w:val="SangriaFrancesaArticulo"/>
      </w:pPr>
    </w:p>
    <w:p w:rsidR="00575662" w:rsidRDefault="00575662" w:rsidP="00575662">
      <w:pPr>
        <w:pStyle w:val="TextoNormalNegritaCursivandice"/>
      </w:pPr>
      <w:r>
        <w:t>Ley 21/1993, de 29 de diciembre. Presupuestos generales del Estado para 1994</w:t>
      </w:r>
    </w:p>
    <w:p w:rsidR="00575662" w:rsidRDefault="00575662" w:rsidP="00575662">
      <w:pPr>
        <w:pStyle w:val="SangriaFrancesaArticulo"/>
      </w:pPr>
      <w:r w:rsidRPr="00575662">
        <w:rPr>
          <w:rStyle w:val="TextoNormalNegritaCaracter"/>
        </w:rPr>
        <w:t>Artículo 62.</w:t>
      </w:r>
      <w:r w:rsidRPr="00575662">
        <w:rPr>
          <w:rStyle w:val="TextoNormalCaracter"/>
        </w:rPr>
        <w:t>-</w:t>
      </w:r>
      <w:r>
        <w:t xml:space="preserve"> Sentencias </w:t>
      </w:r>
      <w:hyperlink w:anchor="SENTENCIA_1997_72" w:history="1">
        <w:r w:rsidRPr="00575662">
          <w:rPr>
            <w:rStyle w:val="TextoNormalCaracter"/>
          </w:rPr>
          <w:t>72/1997</w:t>
        </w:r>
      </w:hyperlink>
      <w:r>
        <w:t xml:space="preserve">, f. 1; </w:t>
      </w:r>
      <w:hyperlink w:anchor="SENTENCIA_1997_80" w:history="1">
        <w:r w:rsidRPr="00575662">
          <w:rPr>
            <w:rStyle w:val="TextoNormalCaracter"/>
          </w:rPr>
          <w:t>80/1997</w:t>
        </w:r>
      </w:hyperlink>
      <w:r>
        <w:t>, f. 1.</w:t>
      </w:r>
    </w:p>
    <w:p w:rsidR="00575662" w:rsidRDefault="00575662" w:rsidP="00575662">
      <w:pPr>
        <w:pStyle w:val="SangriaIzquierdaArticulo"/>
      </w:pPr>
      <w:r>
        <w:t xml:space="preserve">Auto </w:t>
      </w:r>
      <w:hyperlink w:anchor="AUTO_1997_25" w:history="1">
        <w:r w:rsidRPr="00575662">
          <w:rPr>
            <w:rStyle w:val="TextoNormalCaracter"/>
          </w:rPr>
          <w:t>25/1997</w:t>
        </w:r>
      </w:hyperlink>
      <w:r>
        <w:t>.</w:t>
      </w:r>
    </w:p>
    <w:p w:rsidR="00575662" w:rsidRDefault="00575662" w:rsidP="00575662">
      <w:pPr>
        <w:pStyle w:val="SangriaIzquierdaArticulo"/>
      </w:pPr>
    </w:p>
    <w:p w:rsidR="00575662" w:rsidRDefault="00575662" w:rsidP="00575662">
      <w:pPr>
        <w:pStyle w:val="TextoNormalNegritaCursivandice"/>
      </w:pPr>
      <w:r>
        <w:t>Ley 11/1994, de 19 de mayo. Modifica determinados artículos del Estatuto de los trabajadores y del texto articulado de la Ley de procedimiento laboral y de la Ley sobre infracciones y sanciones en el orden social</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52" w:history="1">
        <w:r w:rsidRPr="00575662">
          <w:rPr>
            <w:rStyle w:val="TextoNormalCaracter"/>
          </w:rPr>
          <w:t>52/1997</w:t>
        </w:r>
      </w:hyperlink>
      <w:r>
        <w:t>, ff. 2, 5.</w:t>
      </w:r>
    </w:p>
    <w:p w:rsidR="00575662" w:rsidRDefault="00575662" w:rsidP="00575662">
      <w:pPr>
        <w:pStyle w:val="SangriaFrancesaArticulo"/>
      </w:pPr>
    </w:p>
    <w:p w:rsidR="00575662" w:rsidRDefault="00575662" w:rsidP="00575662">
      <w:pPr>
        <w:pStyle w:val="TextoNormalNegritaCursivandice"/>
      </w:pPr>
      <w:r>
        <w:t>Ley 13/1994, de 1 de junio. Autonomía del Banco de España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37" w:history="1">
        <w:r w:rsidRPr="00575662">
          <w:rPr>
            <w:rStyle w:val="TextoNormalCaracter"/>
          </w:rPr>
          <w:t>37/1997</w:t>
        </w:r>
      </w:hyperlink>
      <w:r>
        <w:t>, f. 5.</w:t>
      </w:r>
    </w:p>
    <w:p w:rsidR="00575662" w:rsidRDefault="00575662" w:rsidP="00575662">
      <w:pPr>
        <w:pStyle w:val="SangriaFrancesaArticulo"/>
      </w:pPr>
      <w:r w:rsidRPr="00575662">
        <w:rPr>
          <w:rStyle w:val="TextoNormalNegritaCaracter"/>
        </w:rPr>
        <w:t>Artículo 3.</w:t>
      </w:r>
      <w:r w:rsidRPr="00575662">
        <w:rPr>
          <w:rStyle w:val="TextoNormalCaracter"/>
        </w:rPr>
        <w:t>-</w:t>
      </w:r>
      <w:r>
        <w:t xml:space="preserve"> Sentencia </w:t>
      </w:r>
      <w:hyperlink w:anchor="SENTENCIA_1997_37" w:history="1">
        <w:r w:rsidRPr="00575662">
          <w:rPr>
            <w:rStyle w:val="TextoNormalCaracter"/>
          </w:rPr>
          <w:t>37/1997</w:t>
        </w:r>
      </w:hyperlink>
      <w:r>
        <w:t>, f. 5.</w:t>
      </w:r>
    </w:p>
    <w:p w:rsidR="00575662" w:rsidRDefault="00575662" w:rsidP="00575662">
      <w:pPr>
        <w:pStyle w:val="SangriaFrancesaArticulo"/>
      </w:pPr>
      <w:r w:rsidRPr="00575662">
        <w:rPr>
          <w:rStyle w:val="TextoNormalNegritaCaracter"/>
        </w:rPr>
        <w:t>Artículo 7.3 b).</w:t>
      </w:r>
      <w:r w:rsidRPr="00575662">
        <w:rPr>
          <w:rStyle w:val="TextoNormalCaracter"/>
        </w:rPr>
        <w:t>-</w:t>
      </w:r>
      <w:r>
        <w:t xml:space="preserve"> Sentencia </w:t>
      </w:r>
      <w:hyperlink w:anchor="SENTENCIA_1997_37" w:history="1">
        <w:r w:rsidRPr="00575662">
          <w:rPr>
            <w:rStyle w:val="TextoNormalCaracter"/>
          </w:rPr>
          <w:t>37/1997</w:t>
        </w:r>
      </w:hyperlink>
      <w:r>
        <w:t>, ff. 5, 8.</w:t>
      </w:r>
    </w:p>
    <w:p w:rsidR="00575662" w:rsidRDefault="00575662" w:rsidP="00575662">
      <w:pPr>
        <w:pStyle w:val="SangriaFrancesaArticulo"/>
      </w:pPr>
      <w:r w:rsidRPr="00575662">
        <w:rPr>
          <w:rStyle w:val="TextoNormalNegritaCaracter"/>
        </w:rPr>
        <w:t>Artículo 16.</w:t>
      </w:r>
      <w:r w:rsidRPr="00575662">
        <w:rPr>
          <w:rStyle w:val="TextoNormalCaracter"/>
        </w:rPr>
        <w:t>-</w:t>
      </w:r>
      <w:r>
        <w:t xml:space="preserve"> Sentencia </w:t>
      </w:r>
      <w:hyperlink w:anchor="SENTENCIA_1997_37" w:history="1">
        <w:r w:rsidRPr="00575662">
          <w:rPr>
            <w:rStyle w:val="TextoNormalCaracter"/>
          </w:rPr>
          <w:t>37/1997</w:t>
        </w:r>
      </w:hyperlink>
      <w:r>
        <w:t>, ff. 5, 8.</w:t>
      </w:r>
    </w:p>
    <w:p w:rsidR="00575662" w:rsidRDefault="00575662" w:rsidP="00575662">
      <w:pPr>
        <w:pStyle w:val="SangriaFrancesaArticulo"/>
      </w:pPr>
    </w:p>
    <w:p w:rsidR="00575662" w:rsidRDefault="00575662" w:rsidP="00575662">
      <w:pPr>
        <w:pStyle w:val="TextoNormalNegritaCursivandice"/>
      </w:pPr>
      <w:r>
        <w:t>Ley 29/1994, de 24 de noviembre. Arrendamientos urbanos</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Auto </w:t>
      </w:r>
      <w:hyperlink w:anchor="AUTO_1997_80" w:history="1">
        <w:r w:rsidRPr="00575662">
          <w:rPr>
            <w:rStyle w:val="TextoNormalCaracter"/>
          </w:rPr>
          <w:t>80/1997</w:t>
        </w:r>
      </w:hyperlink>
      <w:r>
        <w:t>.</w:t>
      </w:r>
    </w:p>
    <w:p w:rsidR="00575662" w:rsidRDefault="00575662" w:rsidP="00575662">
      <w:pPr>
        <w:pStyle w:val="SangriaFrancesaArticulo"/>
      </w:pPr>
      <w:r w:rsidRPr="00575662">
        <w:rPr>
          <w:rStyle w:val="TextoNormalNegritaCaracter"/>
        </w:rPr>
        <w:t>Artículo 39.</w:t>
      </w:r>
      <w:r w:rsidRPr="00575662">
        <w:rPr>
          <w:rStyle w:val="TextoNormalCaracter"/>
        </w:rPr>
        <w:t>-</w:t>
      </w:r>
      <w:r>
        <w:t xml:space="preserve"> Auto </w:t>
      </w:r>
      <w:hyperlink w:anchor="AUTO_1997_80" w:history="1">
        <w:r w:rsidRPr="00575662">
          <w:rPr>
            <w:rStyle w:val="TextoNormalCaracter"/>
          </w:rPr>
          <w:t>80/1997</w:t>
        </w:r>
      </w:hyperlink>
      <w:r>
        <w:t>.</w:t>
      </w:r>
    </w:p>
    <w:p w:rsidR="00575662" w:rsidRDefault="00575662" w:rsidP="00575662">
      <w:pPr>
        <w:pStyle w:val="SangriaFrancesaArticulo"/>
      </w:pPr>
      <w:r w:rsidRPr="00575662">
        <w:rPr>
          <w:rStyle w:val="TextoNormalNegritaCaracter"/>
        </w:rPr>
        <w:t>Disposición transitoria sexta.</w:t>
      </w:r>
      <w:r w:rsidRPr="00575662">
        <w:rPr>
          <w:rStyle w:val="TextoNormalCaracter"/>
        </w:rPr>
        <w:t>-</w:t>
      </w:r>
      <w:r>
        <w:t xml:space="preserve"> Auto </w:t>
      </w:r>
      <w:hyperlink w:anchor="AUTO_1997_80" w:history="1">
        <w:r w:rsidRPr="00575662">
          <w:rPr>
            <w:rStyle w:val="TextoNormalCaracter"/>
          </w:rPr>
          <w:t>80/1997</w:t>
        </w:r>
      </w:hyperlink>
      <w:r>
        <w:t>.</w:t>
      </w:r>
    </w:p>
    <w:p w:rsidR="00575662" w:rsidRDefault="00575662" w:rsidP="00575662">
      <w:pPr>
        <w:pStyle w:val="TextoNormal"/>
      </w:pPr>
    </w:p>
    <w:p w:rsidR="00575662" w:rsidRDefault="00575662" w:rsidP="00575662">
      <w:pPr>
        <w:pStyle w:val="SangriaFrancesaArticulo"/>
      </w:pPr>
      <w:bookmarkStart w:id="223" w:name="INDICE22847"/>
    </w:p>
    <w:bookmarkEnd w:id="223"/>
    <w:p w:rsidR="00575662" w:rsidRDefault="00575662" w:rsidP="00575662">
      <w:pPr>
        <w:pStyle w:val="TextoIndiceNivel2"/>
        <w:suppressAutoHyphens/>
      </w:pPr>
      <w:r>
        <w:t>F) Reales Decretos Legislativos</w:t>
      </w:r>
    </w:p>
    <w:p w:rsidR="00575662" w:rsidRDefault="00575662" w:rsidP="00575662">
      <w:pPr>
        <w:pStyle w:val="TextoIndiceNivel2"/>
      </w:pPr>
    </w:p>
    <w:p w:rsidR="00575662" w:rsidRDefault="00575662" w:rsidP="00575662">
      <w:pPr>
        <w:pStyle w:val="TextoNormalNegritaCursivandice"/>
      </w:pPr>
      <w:r>
        <w:t>Real Decreto Legislativo 1568/1980, de 13 de junio. Texto refundido de la Ley de procedimiento laboral</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18" w:history="1">
        <w:r w:rsidRPr="00575662">
          <w:rPr>
            <w:rStyle w:val="TextoNormalCaracter"/>
          </w:rPr>
          <w:t>18/1997</w:t>
        </w:r>
      </w:hyperlink>
      <w:r>
        <w:t>, f. 4.</w:t>
      </w:r>
    </w:p>
    <w:p w:rsidR="00575662" w:rsidRDefault="00575662" w:rsidP="00575662">
      <w:pPr>
        <w:pStyle w:val="SangriaFrancesaArticulo"/>
      </w:pPr>
      <w:r w:rsidRPr="00575662">
        <w:rPr>
          <w:rStyle w:val="TextoNormalNegritaCaracter"/>
        </w:rPr>
        <w:lastRenderedPageBreak/>
        <w:t>Artículo 72.1.</w:t>
      </w:r>
      <w:r w:rsidRPr="00575662">
        <w:rPr>
          <w:rStyle w:val="TextoNormalCaracter"/>
        </w:rPr>
        <w:t>-</w:t>
      </w:r>
      <w:r>
        <w:t xml:space="preserve"> Sentencia </w:t>
      </w:r>
      <w:hyperlink w:anchor="SENTENCIA_1997_84" w:history="1">
        <w:r w:rsidRPr="00575662">
          <w:rPr>
            <w:rStyle w:val="TextoNormalCaracter"/>
          </w:rPr>
          <w:t>84/1997</w:t>
        </w:r>
      </w:hyperlink>
      <w:r>
        <w:t>, f. 2.</w:t>
      </w:r>
    </w:p>
    <w:p w:rsidR="00575662" w:rsidRDefault="00575662" w:rsidP="00575662">
      <w:pPr>
        <w:pStyle w:val="SangriaFrancesaArticulo"/>
      </w:pPr>
      <w:r w:rsidRPr="00575662">
        <w:rPr>
          <w:rStyle w:val="TextoNormalNegritaCaracter"/>
        </w:rPr>
        <w:t>Artículo 201.</w:t>
      </w:r>
      <w:r w:rsidRPr="00575662">
        <w:rPr>
          <w:rStyle w:val="TextoNormalCaracter"/>
        </w:rPr>
        <w:t>-</w:t>
      </w:r>
      <w:r>
        <w:t xml:space="preserve"> Sentencia </w:t>
      </w:r>
      <w:hyperlink w:anchor="SENTENCIA_1997_18" w:history="1">
        <w:r w:rsidRPr="00575662">
          <w:rPr>
            <w:rStyle w:val="TextoNormalCaracter"/>
          </w:rPr>
          <w:t>18/1997</w:t>
        </w:r>
      </w:hyperlink>
      <w:r>
        <w:t>, f. 4.</w:t>
      </w:r>
    </w:p>
    <w:p w:rsidR="00575662" w:rsidRDefault="00575662" w:rsidP="00575662">
      <w:pPr>
        <w:pStyle w:val="SangriaFrancesaArticulo"/>
      </w:pPr>
      <w:r w:rsidRPr="00575662">
        <w:rPr>
          <w:rStyle w:val="TextoNormalNegritaCaracter"/>
        </w:rPr>
        <w:t>Artículo 204.</w:t>
      </w:r>
      <w:r w:rsidRPr="00575662">
        <w:rPr>
          <w:rStyle w:val="TextoNormalCaracter"/>
        </w:rPr>
        <w:t>-</w:t>
      </w:r>
      <w:r>
        <w:t xml:space="preserve"> Sentencia </w:t>
      </w:r>
      <w:hyperlink w:anchor="SENTENCIA_1997_18" w:history="1">
        <w:r w:rsidRPr="00575662">
          <w:rPr>
            <w:rStyle w:val="TextoNormalCaracter"/>
          </w:rPr>
          <w:t>18/1997</w:t>
        </w:r>
      </w:hyperlink>
      <w:r>
        <w:t>, ff. 4, 5, 8.</w:t>
      </w:r>
    </w:p>
    <w:p w:rsidR="00575662" w:rsidRDefault="00575662" w:rsidP="00575662">
      <w:pPr>
        <w:pStyle w:val="SangriaFrancesaArticulo"/>
      </w:pPr>
    </w:p>
    <w:p w:rsidR="00575662" w:rsidRDefault="00575662" w:rsidP="00575662">
      <w:pPr>
        <w:pStyle w:val="TextoNormalNegritaCursivandice"/>
      </w:pPr>
      <w:r>
        <w:t>Real Decreto Legislativo 2795/1980, de 12 de diciembre. Texto articulado de la Ley 39/1980, de 5 de julio, de bases sobre procedimiento económico-administrativo</w:t>
      </w:r>
    </w:p>
    <w:p w:rsidR="00575662" w:rsidRDefault="00575662" w:rsidP="00575662">
      <w:pPr>
        <w:pStyle w:val="SangriaFrancesaArticulo"/>
      </w:pPr>
      <w:r w:rsidRPr="00575662">
        <w:rPr>
          <w:rStyle w:val="TextoNormalNegritaCaracter"/>
        </w:rPr>
        <w:t>Artículo 36.</w:t>
      </w:r>
      <w:r w:rsidRPr="00575662">
        <w:rPr>
          <w:rStyle w:val="TextoNormalCaracter"/>
        </w:rPr>
        <w:t>-</w:t>
      </w:r>
      <w:r>
        <w:t xml:space="preserve"> Sentencia </w:t>
      </w:r>
      <w:hyperlink w:anchor="SENTENCIA_1997_23" w:history="1">
        <w:r w:rsidRPr="00575662">
          <w:rPr>
            <w:rStyle w:val="TextoNormalCaracter"/>
          </w:rPr>
          <w:t>23/1997</w:t>
        </w:r>
      </w:hyperlink>
      <w:r>
        <w:t>, f. 4.</w:t>
      </w:r>
    </w:p>
    <w:p w:rsidR="00575662" w:rsidRDefault="00575662" w:rsidP="00575662">
      <w:pPr>
        <w:pStyle w:val="SangriaFrancesaArticulo"/>
      </w:pPr>
    </w:p>
    <w:p w:rsidR="00575662" w:rsidRDefault="00575662" w:rsidP="00575662">
      <w:pPr>
        <w:pStyle w:val="TextoNormalNegritaCursivandice"/>
      </w:pPr>
      <w:r>
        <w:t>Real Decreto Legislativo 781/1986, de 18 de abril. Texto refundido de las disposiciones legales vigentes en materia de régimen local</w:t>
      </w:r>
    </w:p>
    <w:p w:rsidR="00575662" w:rsidRDefault="00575662" w:rsidP="00575662">
      <w:pPr>
        <w:pStyle w:val="SangriaFrancesaArticulo"/>
      </w:pPr>
      <w:r w:rsidRPr="00575662">
        <w:rPr>
          <w:rStyle w:val="TextoNormalNegritaCaracter"/>
        </w:rPr>
        <w:t>Artículo 79.2.</w:t>
      </w:r>
      <w:r w:rsidRPr="00575662">
        <w:rPr>
          <w:rStyle w:val="TextoNormalCaracter"/>
        </w:rPr>
        <w:t>-</w:t>
      </w:r>
      <w:r>
        <w:t xml:space="preserve"> Sentencia </w:t>
      </w:r>
      <w:hyperlink w:anchor="SENTENCIA_1997_61" w:history="1">
        <w:r w:rsidRPr="00575662">
          <w:rPr>
            <w:rStyle w:val="TextoNormalCaracter"/>
          </w:rPr>
          <w:t>61/1997</w:t>
        </w:r>
      </w:hyperlink>
      <w:r>
        <w:t>, f. 36.</w:t>
      </w:r>
    </w:p>
    <w:p w:rsidR="00575662" w:rsidRDefault="00575662" w:rsidP="00575662">
      <w:pPr>
        <w:pStyle w:val="SangriaFrancesaArticulo"/>
      </w:pPr>
    </w:p>
    <w:p w:rsidR="00575662" w:rsidRDefault="00575662" w:rsidP="00575662">
      <w:pPr>
        <w:pStyle w:val="TextoNormalNegritaCursivandice"/>
      </w:pPr>
      <w:r>
        <w:t>Real Decreto Legislativo 1091/1988, de 23 de septiembre. Texto refundido de  la Ley general presupuestaria</w:t>
      </w:r>
    </w:p>
    <w:p w:rsidR="00575662" w:rsidRDefault="00575662" w:rsidP="00575662">
      <w:pPr>
        <w:pStyle w:val="SangriaFrancesaArticulo"/>
      </w:pPr>
      <w:r w:rsidRPr="00575662">
        <w:rPr>
          <w:rStyle w:val="TextoNormalNegritaCaracter"/>
        </w:rPr>
        <w:t>Artículo 36.</w:t>
      </w:r>
      <w:r w:rsidRPr="00575662">
        <w:rPr>
          <w:rStyle w:val="TextoNormalCaracter"/>
        </w:rPr>
        <w:t>-</w:t>
      </w:r>
      <w:r>
        <w:t xml:space="preserve"> Sentencia </w:t>
      </w:r>
      <w:hyperlink w:anchor="SENTENCIA_1997_23" w:history="1">
        <w:r w:rsidRPr="00575662">
          <w:rPr>
            <w:rStyle w:val="TextoNormalCaracter"/>
          </w:rPr>
          <w:t>23/1997</w:t>
        </w:r>
      </w:hyperlink>
      <w:r>
        <w:t>, ff. 1, 4.</w:t>
      </w:r>
    </w:p>
    <w:p w:rsidR="00575662" w:rsidRDefault="00575662" w:rsidP="00575662">
      <w:pPr>
        <w:pStyle w:val="SangriaFrancesaArticulo"/>
      </w:pPr>
      <w:r w:rsidRPr="00575662">
        <w:rPr>
          <w:rStyle w:val="TextoNormalNegritaCaracter"/>
        </w:rPr>
        <w:t>Artículo 45.</w:t>
      </w:r>
      <w:r w:rsidRPr="00575662">
        <w:rPr>
          <w:rStyle w:val="TextoNormalCaracter"/>
        </w:rPr>
        <w:t>-</w:t>
      </w:r>
      <w:r>
        <w:t xml:space="preserve"> Sentencia </w:t>
      </w:r>
      <w:hyperlink w:anchor="SENTENCIA_1997_23" w:history="1">
        <w:r w:rsidRPr="00575662">
          <w:rPr>
            <w:rStyle w:val="TextoNormalCaracter"/>
          </w:rPr>
          <w:t>23/1997</w:t>
        </w:r>
      </w:hyperlink>
      <w:r>
        <w:t>, ff. 1 a 6.</w:t>
      </w:r>
    </w:p>
    <w:p w:rsidR="00575662" w:rsidRDefault="00575662" w:rsidP="00575662">
      <w:pPr>
        <w:pStyle w:val="SangriaFrancesaArticulo"/>
      </w:pPr>
    </w:p>
    <w:p w:rsidR="00575662" w:rsidRDefault="00575662" w:rsidP="00575662">
      <w:pPr>
        <w:pStyle w:val="TextoNormalNegritaCursivandice"/>
      </w:pPr>
      <w:r>
        <w:t>Real Decreto Legislativo 521/1990, de 27 de abril. Texto articulado de la  Ley de procedimiento laboral</w:t>
      </w:r>
    </w:p>
    <w:p w:rsidR="00575662" w:rsidRDefault="00575662" w:rsidP="00575662">
      <w:pPr>
        <w:pStyle w:val="SangriaFrancesaArticulo"/>
      </w:pPr>
      <w:r w:rsidRPr="00575662">
        <w:rPr>
          <w:rStyle w:val="TextoNormalNegritaCaracter"/>
        </w:rPr>
        <w:t>Artículo 63.</w:t>
      </w:r>
      <w:r w:rsidRPr="00575662">
        <w:rPr>
          <w:rStyle w:val="TextoNormalCaracter"/>
        </w:rPr>
        <w:t>-</w:t>
      </w:r>
      <w:r>
        <w:t xml:space="preserve"> Sentencia </w:t>
      </w:r>
      <w:hyperlink w:anchor="SENTENCIA_1997_69" w:history="1">
        <w:r w:rsidRPr="00575662">
          <w:rPr>
            <w:rStyle w:val="TextoNormalCaracter"/>
          </w:rPr>
          <w:t>69/1997</w:t>
        </w:r>
      </w:hyperlink>
      <w:r>
        <w:t>, ff. 5, 6.</w:t>
      </w:r>
    </w:p>
    <w:p w:rsidR="00575662" w:rsidRDefault="00575662" w:rsidP="00575662">
      <w:pPr>
        <w:pStyle w:val="SangriaFrancesaArticulo"/>
      </w:pPr>
      <w:r w:rsidRPr="00575662">
        <w:rPr>
          <w:rStyle w:val="TextoNormalNegritaCaracter"/>
        </w:rPr>
        <w:t>Artículo 64.1.</w:t>
      </w:r>
      <w:r w:rsidRPr="00575662">
        <w:rPr>
          <w:rStyle w:val="TextoNormalCaracter"/>
        </w:rPr>
        <w:t>-</w:t>
      </w:r>
      <w:r>
        <w:t xml:space="preserve"> Sentencia </w:t>
      </w:r>
      <w:hyperlink w:anchor="SENTENCIA_1997_69" w:history="1">
        <w:r w:rsidRPr="00575662">
          <w:rPr>
            <w:rStyle w:val="TextoNormalCaracter"/>
          </w:rPr>
          <w:t>69/1997</w:t>
        </w:r>
      </w:hyperlink>
      <w:r>
        <w:t>, f. 5.</w:t>
      </w:r>
    </w:p>
    <w:p w:rsidR="00575662" w:rsidRDefault="00575662" w:rsidP="00575662">
      <w:pPr>
        <w:pStyle w:val="SangriaFrancesaArticulo"/>
      </w:pPr>
      <w:r w:rsidRPr="00575662">
        <w:rPr>
          <w:rStyle w:val="TextoNormalNegritaCaracter"/>
        </w:rPr>
        <w:t>Artículo 69.1.</w:t>
      </w:r>
      <w:r w:rsidRPr="00575662">
        <w:rPr>
          <w:rStyle w:val="TextoNormalCaracter"/>
        </w:rPr>
        <w:t>-</w:t>
      </w:r>
      <w:r>
        <w:t xml:space="preserve"> Sentencia </w:t>
      </w:r>
      <w:hyperlink w:anchor="SENTENCIA_1997_69" w:history="1">
        <w:r w:rsidRPr="00575662">
          <w:rPr>
            <w:rStyle w:val="TextoNormalCaracter"/>
          </w:rPr>
          <w:t>69/1997</w:t>
        </w:r>
      </w:hyperlink>
      <w:r>
        <w:t>, f. 5.</w:t>
      </w:r>
    </w:p>
    <w:p w:rsidR="00575662" w:rsidRDefault="00575662" w:rsidP="00575662">
      <w:pPr>
        <w:pStyle w:val="SangriaFrancesaArticulo"/>
      </w:pPr>
      <w:r w:rsidRPr="00575662">
        <w:rPr>
          <w:rStyle w:val="TextoNormalNegritaCaracter"/>
        </w:rPr>
        <w:t>Artículo 80.1.</w:t>
      </w:r>
      <w:r w:rsidRPr="00575662">
        <w:rPr>
          <w:rStyle w:val="TextoNormalCaracter"/>
        </w:rPr>
        <w:t>-</w:t>
      </w:r>
      <w:r>
        <w:t xml:space="preserve"> Sentencia </w:t>
      </w:r>
      <w:hyperlink w:anchor="SENTENCIA_1997_82" w:history="1">
        <w:r w:rsidRPr="00575662">
          <w:rPr>
            <w:rStyle w:val="TextoNormalCaracter"/>
          </w:rPr>
          <w:t>82/1997</w:t>
        </w:r>
      </w:hyperlink>
      <w:r>
        <w:t>, f. 2.</w:t>
      </w:r>
    </w:p>
    <w:p w:rsidR="00575662" w:rsidRDefault="00575662" w:rsidP="00575662">
      <w:pPr>
        <w:pStyle w:val="SangriaFrancesaArticulo"/>
      </w:pPr>
      <w:r w:rsidRPr="00575662">
        <w:rPr>
          <w:rStyle w:val="TextoNormalNegritaCaracter"/>
        </w:rPr>
        <w:t>Artículo 81.</w:t>
      </w:r>
      <w:r w:rsidRPr="00575662">
        <w:rPr>
          <w:rStyle w:val="TextoNormalCaracter"/>
        </w:rPr>
        <w:t>-</w:t>
      </w:r>
      <w:r>
        <w:t xml:space="preserve"> Sentencias </w:t>
      </w:r>
      <w:hyperlink w:anchor="SENTENCIA_1997_69" w:history="1">
        <w:r w:rsidRPr="00575662">
          <w:rPr>
            <w:rStyle w:val="TextoNormalCaracter"/>
          </w:rPr>
          <w:t>69/1997</w:t>
        </w:r>
      </w:hyperlink>
      <w:r>
        <w:t xml:space="preserve">, f. 6; </w:t>
      </w:r>
      <w:hyperlink w:anchor="SENTENCIA_1997_84" w:history="1">
        <w:r w:rsidRPr="00575662">
          <w:rPr>
            <w:rStyle w:val="TextoNormalCaracter"/>
          </w:rPr>
          <w:t>84/1997</w:t>
        </w:r>
      </w:hyperlink>
      <w:r>
        <w:t>, f. 4.</w:t>
      </w:r>
    </w:p>
    <w:p w:rsidR="00575662" w:rsidRDefault="00575662" w:rsidP="00575662">
      <w:pPr>
        <w:pStyle w:val="SangriaFrancesaArticulo"/>
      </w:pPr>
      <w:r w:rsidRPr="00575662">
        <w:rPr>
          <w:rStyle w:val="TextoNormalNegritaCaracter"/>
        </w:rPr>
        <w:t>Artículo 81.1.</w:t>
      </w:r>
      <w:r w:rsidRPr="00575662">
        <w:rPr>
          <w:rStyle w:val="TextoNormalCaracter"/>
        </w:rPr>
        <w:t>-</w:t>
      </w:r>
      <w:r>
        <w:t xml:space="preserve"> Sentencia </w:t>
      </w:r>
      <w:hyperlink w:anchor="SENTENCIA_1997_84" w:history="1">
        <w:r w:rsidRPr="00575662">
          <w:rPr>
            <w:rStyle w:val="TextoNormalCaracter"/>
          </w:rPr>
          <w:t>84/1997</w:t>
        </w:r>
      </w:hyperlink>
      <w:r>
        <w:t>, f. 2.</w:t>
      </w:r>
    </w:p>
    <w:p w:rsidR="00575662" w:rsidRDefault="00575662" w:rsidP="00575662">
      <w:pPr>
        <w:pStyle w:val="SangriaFrancesaArticulo"/>
      </w:pPr>
      <w:r w:rsidRPr="00575662">
        <w:rPr>
          <w:rStyle w:val="TextoNormalNegritaCaracter"/>
        </w:rPr>
        <w:t>Artículo 81.2.</w:t>
      </w:r>
      <w:r w:rsidRPr="00575662">
        <w:rPr>
          <w:rStyle w:val="TextoNormalCaracter"/>
        </w:rPr>
        <w:t>-</w:t>
      </w:r>
      <w:r>
        <w:t xml:space="preserve"> Sentencia </w:t>
      </w:r>
      <w:hyperlink w:anchor="SENTENCIA_1997_69" w:history="1">
        <w:r w:rsidRPr="00575662">
          <w:rPr>
            <w:rStyle w:val="TextoNormalCaracter"/>
          </w:rPr>
          <w:t>69/1997</w:t>
        </w:r>
      </w:hyperlink>
      <w:r>
        <w:t>, ff. 5, 6.</w:t>
      </w:r>
    </w:p>
    <w:p w:rsidR="00575662" w:rsidRDefault="00575662" w:rsidP="00575662">
      <w:pPr>
        <w:pStyle w:val="SangriaFrancesaArticulo"/>
      </w:pPr>
      <w:r w:rsidRPr="00575662">
        <w:rPr>
          <w:rStyle w:val="TextoNormalNegritaCaracter"/>
        </w:rPr>
        <w:t>Artículos 127 a 136.</w:t>
      </w:r>
      <w:r w:rsidRPr="00575662">
        <w:rPr>
          <w:rStyle w:val="TextoNormalCaracter"/>
        </w:rPr>
        <w:t>-</w:t>
      </w:r>
      <w:r>
        <w:t xml:space="preserve"> Sentencia </w:t>
      </w:r>
      <w:hyperlink w:anchor="SENTENCIA_1997_52" w:history="1">
        <w:r w:rsidRPr="00575662">
          <w:rPr>
            <w:rStyle w:val="TextoNormalCaracter"/>
          </w:rPr>
          <w:t>52/1997</w:t>
        </w:r>
      </w:hyperlink>
      <w:r>
        <w:t>, f. 2.</w:t>
      </w:r>
    </w:p>
    <w:p w:rsidR="00575662" w:rsidRDefault="00575662" w:rsidP="00575662">
      <w:pPr>
        <w:pStyle w:val="SangriaFrancesaArticulo"/>
      </w:pPr>
      <w:r w:rsidRPr="00575662">
        <w:rPr>
          <w:rStyle w:val="TextoNormalNegritaCaracter"/>
        </w:rPr>
        <w:t>Artículo 129 c).</w:t>
      </w:r>
      <w:r w:rsidRPr="00575662">
        <w:rPr>
          <w:rStyle w:val="TextoNormalCaracter"/>
        </w:rPr>
        <w:t>-</w:t>
      </w:r>
      <w:r>
        <w:t xml:space="preserve"> Auto </w:t>
      </w:r>
      <w:hyperlink w:anchor="AUTO_1997_32" w:history="1">
        <w:r w:rsidRPr="00575662">
          <w:rPr>
            <w:rStyle w:val="TextoNormalCaracter"/>
          </w:rPr>
          <w:t>32/1997</w:t>
        </w:r>
      </w:hyperlink>
      <w:r>
        <w:t>.</w:t>
      </w:r>
    </w:p>
    <w:p w:rsidR="00575662" w:rsidRDefault="00575662" w:rsidP="00575662">
      <w:pPr>
        <w:pStyle w:val="SangriaFrancesaArticulo"/>
      </w:pPr>
      <w:r w:rsidRPr="00575662">
        <w:rPr>
          <w:rStyle w:val="TextoNormalNegritaCaracter"/>
        </w:rPr>
        <w:t>Artículo 130.1.</w:t>
      </w:r>
      <w:r w:rsidRPr="00575662">
        <w:rPr>
          <w:rStyle w:val="TextoNormalCaracter"/>
        </w:rPr>
        <w:t>-</w:t>
      </w:r>
      <w:r>
        <w:t xml:space="preserve"> Sentencia </w:t>
      </w:r>
      <w:hyperlink w:anchor="SENTENCIA_1997_52" w:history="1">
        <w:r w:rsidRPr="00575662">
          <w:rPr>
            <w:rStyle w:val="TextoNormalCaracter"/>
          </w:rPr>
          <w:t>52/1997</w:t>
        </w:r>
      </w:hyperlink>
      <w:r>
        <w:t>, f. 2.</w:t>
      </w:r>
    </w:p>
    <w:p w:rsidR="00575662" w:rsidRDefault="00575662" w:rsidP="00575662">
      <w:pPr>
        <w:pStyle w:val="SangriaFrancesaArticulo"/>
      </w:pPr>
      <w:r w:rsidRPr="00575662">
        <w:rPr>
          <w:rStyle w:val="TextoNormalNegritaCaracter"/>
        </w:rPr>
        <w:t>Artículo 130.2.</w:t>
      </w:r>
      <w:r w:rsidRPr="00575662">
        <w:rPr>
          <w:rStyle w:val="TextoNormalCaracter"/>
        </w:rPr>
        <w:t>-</w:t>
      </w:r>
      <w:r>
        <w:t xml:space="preserve"> Sentencia </w:t>
      </w:r>
      <w:hyperlink w:anchor="SENTENCIA_1997_52" w:history="1">
        <w:r w:rsidRPr="00575662">
          <w:rPr>
            <w:rStyle w:val="TextoNormalCaracter"/>
          </w:rPr>
          <w:t>52/1997</w:t>
        </w:r>
      </w:hyperlink>
      <w:r>
        <w:t>, f. 2.</w:t>
      </w:r>
    </w:p>
    <w:p w:rsidR="00575662" w:rsidRDefault="00575662" w:rsidP="00575662">
      <w:pPr>
        <w:pStyle w:val="SangriaFrancesaArticulo"/>
      </w:pPr>
      <w:r w:rsidRPr="00575662">
        <w:rPr>
          <w:rStyle w:val="TextoNormalNegritaCaracter"/>
        </w:rPr>
        <w:t>Artículo 130.3.</w:t>
      </w:r>
      <w:r w:rsidRPr="00575662">
        <w:rPr>
          <w:rStyle w:val="TextoNormalCaracter"/>
        </w:rPr>
        <w:t>-</w:t>
      </w:r>
      <w:r>
        <w:t xml:space="preserve"> Sentencia </w:t>
      </w:r>
      <w:hyperlink w:anchor="SENTENCIA_1997_52" w:history="1">
        <w:r w:rsidRPr="00575662">
          <w:rPr>
            <w:rStyle w:val="TextoNormalCaracter"/>
          </w:rPr>
          <w:t>52/1997</w:t>
        </w:r>
      </w:hyperlink>
      <w:r>
        <w:t>, ff. 2, 4.</w:t>
      </w:r>
    </w:p>
    <w:p w:rsidR="00575662" w:rsidRDefault="00575662" w:rsidP="00575662">
      <w:pPr>
        <w:pStyle w:val="SangriaFrancesaArticulo"/>
      </w:pPr>
      <w:r w:rsidRPr="00575662">
        <w:rPr>
          <w:rStyle w:val="TextoNormalNegritaCaracter"/>
        </w:rPr>
        <w:t>Artículo 133 b).</w:t>
      </w:r>
      <w:r w:rsidRPr="00575662">
        <w:rPr>
          <w:rStyle w:val="TextoNormalCaracter"/>
        </w:rPr>
        <w:t>-</w:t>
      </w:r>
      <w:r>
        <w:t xml:space="preserve"> Auto </w:t>
      </w:r>
      <w:hyperlink w:anchor="AUTO_1997_32" w:history="1">
        <w:r w:rsidRPr="00575662">
          <w:rPr>
            <w:rStyle w:val="TextoNormalCaracter"/>
          </w:rPr>
          <w:t>32/1997</w:t>
        </w:r>
      </w:hyperlink>
      <w:r>
        <w:t>.</w:t>
      </w:r>
    </w:p>
    <w:p w:rsidR="00575662" w:rsidRDefault="00575662" w:rsidP="00575662">
      <w:pPr>
        <w:pStyle w:val="SangriaFrancesaArticulo"/>
      </w:pPr>
      <w:r w:rsidRPr="00575662">
        <w:rPr>
          <w:rStyle w:val="TextoNormalNegritaCaracter"/>
        </w:rPr>
        <w:t>Artículo 191.</w:t>
      </w:r>
      <w:r w:rsidRPr="00575662">
        <w:rPr>
          <w:rStyle w:val="TextoNormalCaracter"/>
        </w:rPr>
        <w:t>-</w:t>
      </w:r>
      <w:r>
        <w:t xml:space="preserve"> Sentencia </w:t>
      </w:r>
      <w:hyperlink w:anchor="SENTENCIA_1997_57" w:history="1">
        <w:r w:rsidRPr="00575662">
          <w:rPr>
            <w:rStyle w:val="TextoNormalCaracter"/>
          </w:rPr>
          <w:t>57/1997</w:t>
        </w:r>
      </w:hyperlink>
      <w:r>
        <w:t>, f. 4.</w:t>
      </w:r>
    </w:p>
    <w:p w:rsidR="00575662" w:rsidRDefault="00575662" w:rsidP="00575662">
      <w:pPr>
        <w:pStyle w:val="SangriaFrancesaArticulo"/>
      </w:pPr>
      <w:r w:rsidRPr="00575662">
        <w:rPr>
          <w:rStyle w:val="TextoNormalNegritaCaracter"/>
        </w:rPr>
        <w:t>Artículo 194.</w:t>
      </w:r>
      <w:r w:rsidRPr="00575662">
        <w:rPr>
          <w:rStyle w:val="TextoNormalCaracter"/>
        </w:rPr>
        <w:t>-</w:t>
      </w:r>
      <w:r>
        <w:t xml:space="preserve"> Sentencia </w:t>
      </w:r>
      <w:hyperlink w:anchor="SENTENCIA_1997_57" w:history="1">
        <w:r w:rsidRPr="00575662">
          <w:rPr>
            <w:rStyle w:val="TextoNormalCaracter"/>
          </w:rPr>
          <w:t>57/1997</w:t>
        </w:r>
      </w:hyperlink>
      <w:r>
        <w:t>, f. 4.</w:t>
      </w:r>
    </w:p>
    <w:p w:rsidR="00575662" w:rsidRDefault="00575662" w:rsidP="00575662">
      <w:pPr>
        <w:pStyle w:val="SangriaFrancesaArticulo"/>
      </w:pPr>
      <w:r w:rsidRPr="00575662">
        <w:rPr>
          <w:rStyle w:val="TextoNormalNegritaCaracter"/>
        </w:rPr>
        <w:t>Artículo 216.</w:t>
      </w:r>
      <w:r w:rsidRPr="00575662">
        <w:rPr>
          <w:rStyle w:val="TextoNormalCaracter"/>
        </w:rPr>
        <w:t>-</w:t>
      </w:r>
      <w:r>
        <w:t xml:space="preserve"> Autos </w:t>
      </w:r>
      <w:hyperlink w:anchor="AUTO_1997_32" w:history="1">
        <w:r w:rsidRPr="00575662">
          <w:rPr>
            <w:rStyle w:val="TextoNormalCaracter"/>
          </w:rPr>
          <w:t>32/1997</w:t>
        </w:r>
      </w:hyperlink>
      <w:r>
        <w:t xml:space="preserve">; </w:t>
      </w:r>
      <w:hyperlink w:anchor="AUTO_1997_94" w:history="1">
        <w:r w:rsidRPr="00575662">
          <w:rPr>
            <w:rStyle w:val="TextoNormalCaracter"/>
          </w:rPr>
          <w:t>94/1997</w:t>
        </w:r>
      </w:hyperlink>
      <w:r>
        <w:t>.</w:t>
      </w:r>
    </w:p>
    <w:p w:rsidR="00575662" w:rsidRDefault="00575662" w:rsidP="00575662">
      <w:pPr>
        <w:pStyle w:val="SangriaFrancesaArticulo"/>
      </w:pPr>
      <w:r w:rsidRPr="00575662">
        <w:rPr>
          <w:rStyle w:val="TextoNormalNegritaCaracter"/>
        </w:rPr>
        <w:t>Artículo 217.</w:t>
      </w:r>
      <w:r w:rsidRPr="00575662">
        <w:rPr>
          <w:rStyle w:val="TextoNormalCaracter"/>
        </w:rPr>
        <w:t>-</w:t>
      </w:r>
      <w:r>
        <w:t xml:space="preserve"> Sentencia </w:t>
      </w:r>
      <w:hyperlink w:anchor="SENTENCIA_1997_57" w:history="1">
        <w:r w:rsidRPr="00575662">
          <w:rPr>
            <w:rStyle w:val="TextoNormalCaracter"/>
          </w:rPr>
          <w:t>57/1997</w:t>
        </w:r>
      </w:hyperlink>
      <w:r>
        <w:t>, f. 4.</w:t>
      </w:r>
    </w:p>
    <w:p w:rsidR="00575662" w:rsidRDefault="00575662" w:rsidP="00575662">
      <w:pPr>
        <w:pStyle w:val="SangriaFrancesaArticulo"/>
      </w:pPr>
      <w:r w:rsidRPr="00575662">
        <w:rPr>
          <w:rStyle w:val="TextoNormalNegritaCaracter"/>
        </w:rPr>
        <w:t>Artículo 221.</w:t>
      </w:r>
      <w:r w:rsidRPr="00575662">
        <w:rPr>
          <w:rStyle w:val="TextoNormalCaracter"/>
        </w:rPr>
        <w:t>-</w:t>
      </w:r>
      <w:r>
        <w:t xml:space="preserve"> Autos </w:t>
      </w:r>
      <w:hyperlink w:anchor="AUTO_1997_32" w:history="1">
        <w:r w:rsidRPr="00575662">
          <w:rPr>
            <w:rStyle w:val="TextoNormalCaracter"/>
          </w:rPr>
          <w:t>32/1997</w:t>
        </w:r>
      </w:hyperlink>
      <w:r>
        <w:t xml:space="preserve">; </w:t>
      </w:r>
      <w:hyperlink w:anchor="AUTO_1997_94" w:history="1">
        <w:r w:rsidRPr="00575662">
          <w:rPr>
            <w:rStyle w:val="TextoNormalCaracter"/>
          </w:rPr>
          <w:t>94/1997</w:t>
        </w:r>
      </w:hyperlink>
      <w:r>
        <w:t>.</w:t>
      </w:r>
    </w:p>
    <w:p w:rsidR="00575662" w:rsidRDefault="00575662" w:rsidP="00575662">
      <w:pPr>
        <w:pStyle w:val="SangriaFrancesaArticulo"/>
      </w:pPr>
      <w:r w:rsidRPr="00575662">
        <w:rPr>
          <w:rStyle w:val="TextoNormalNegritaCaracter"/>
        </w:rPr>
        <w:t>Artículo 222.</w:t>
      </w:r>
      <w:r w:rsidRPr="00575662">
        <w:rPr>
          <w:rStyle w:val="TextoNormalCaracter"/>
        </w:rPr>
        <w:t>-</w:t>
      </w:r>
      <w:r>
        <w:t xml:space="preserve"> Auto </w:t>
      </w:r>
      <w:hyperlink w:anchor="AUTO_1997_94" w:history="1">
        <w:r w:rsidRPr="00575662">
          <w:rPr>
            <w:rStyle w:val="TextoNormalCaracter"/>
          </w:rPr>
          <w:t>94/1997</w:t>
        </w:r>
      </w:hyperlink>
      <w:r>
        <w:t>.</w:t>
      </w:r>
    </w:p>
    <w:p w:rsidR="00575662" w:rsidRDefault="00575662" w:rsidP="00575662">
      <w:pPr>
        <w:pStyle w:val="SangriaFrancesaArticulo"/>
      </w:pPr>
      <w:r w:rsidRPr="00575662">
        <w:rPr>
          <w:rStyle w:val="TextoNormalNegritaCaracter"/>
        </w:rPr>
        <w:t>Artículo 236.</w:t>
      </w:r>
      <w:r w:rsidRPr="00575662">
        <w:rPr>
          <w:rStyle w:val="TextoNormalCaracter"/>
        </w:rPr>
        <w:t>-</w:t>
      </w:r>
      <w:r>
        <w:t xml:space="preserve"> Sentencia </w:t>
      </w:r>
      <w:hyperlink w:anchor="SENTENCIA_1997_18" w:history="1">
        <w:r w:rsidRPr="00575662">
          <w:rPr>
            <w:rStyle w:val="TextoNormalCaracter"/>
          </w:rPr>
          <w:t>18/1997</w:t>
        </w:r>
      </w:hyperlink>
      <w:r>
        <w:t>, f. 4.</w:t>
      </w:r>
    </w:p>
    <w:p w:rsidR="00575662" w:rsidRDefault="00575662" w:rsidP="00575662">
      <w:pPr>
        <w:pStyle w:val="SangriaFrancesaArticulo"/>
      </w:pPr>
      <w:r w:rsidRPr="00575662">
        <w:rPr>
          <w:rStyle w:val="TextoNormalNegritaCaracter"/>
        </w:rPr>
        <w:t>Artículo 240.3.</w:t>
      </w:r>
      <w:r w:rsidRPr="00575662">
        <w:rPr>
          <w:rStyle w:val="TextoNormalCaracter"/>
        </w:rPr>
        <w:t>-</w:t>
      </w:r>
      <w:r>
        <w:t xml:space="preserve"> Sentencia </w:t>
      </w:r>
      <w:hyperlink w:anchor="SENTENCIA_1997_18" w:history="1">
        <w:r w:rsidRPr="00575662">
          <w:rPr>
            <w:rStyle w:val="TextoNormalCaracter"/>
          </w:rPr>
          <w:t>18/1997</w:t>
        </w:r>
      </w:hyperlink>
      <w:r>
        <w:t>, f. 5.</w:t>
      </w:r>
    </w:p>
    <w:p w:rsidR="00575662" w:rsidRDefault="00575662" w:rsidP="00575662">
      <w:pPr>
        <w:pStyle w:val="SangriaFrancesaArticulo"/>
      </w:pPr>
      <w:r w:rsidRPr="00575662">
        <w:rPr>
          <w:rStyle w:val="TextoNormalNegritaCaracter"/>
        </w:rPr>
        <w:t>Artículo 246.</w:t>
      </w:r>
      <w:r w:rsidRPr="00575662">
        <w:rPr>
          <w:rStyle w:val="TextoNormalCaracter"/>
        </w:rPr>
        <w:t>-</w:t>
      </w:r>
      <w:r>
        <w:t xml:space="preserve"> Sentencia </w:t>
      </w:r>
      <w:hyperlink w:anchor="SENTENCIA_1997_18" w:history="1">
        <w:r w:rsidRPr="00575662">
          <w:rPr>
            <w:rStyle w:val="TextoNormalCaracter"/>
          </w:rPr>
          <w:t>18/1997</w:t>
        </w:r>
      </w:hyperlink>
      <w:r>
        <w:t>, ff. 4, 8.</w:t>
      </w:r>
    </w:p>
    <w:p w:rsidR="00575662" w:rsidRDefault="00575662" w:rsidP="00575662">
      <w:pPr>
        <w:pStyle w:val="SangriaFrancesaArticulo"/>
      </w:pPr>
      <w:r w:rsidRPr="00575662">
        <w:rPr>
          <w:rStyle w:val="TextoNormalNegritaCaracter"/>
        </w:rPr>
        <w:t>Artículo 247.</w:t>
      </w:r>
      <w:r w:rsidRPr="00575662">
        <w:rPr>
          <w:rStyle w:val="TextoNormalCaracter"/>
        </w:rPr>
        <w:t>-</w:t>
      </w:r>
      <w:r>
        <w:t xml:space="preserve"> Sentencia </w:t>
      </w:r>
      <w:hyperlink w:anchor="SENTENCIA_1997_18" w:history="1">
        <w:r w:rsidRPr="00575662">
          <w:rPr>
            <w:rStyle w:val="TextoNormalCaracter"/>
          </w:rPr>
          <w:t>18/1997</w:t>
        </w:r>
      </w:hyperlink>
      <w:r>
        <w:t>, ff. 4, 8.</w:t>
      </w:r>
    </w:p>
    <w:p w:rsidR="00575662" w:rsidRDefault="00575662" w:rsidP="00575662">
      <w:pPr>
        <w:pStyle w:val="SangriaFrancesaArticulo"/>
      </w:pPr>
      <w:r w:rsidRPr="00575662">
        <w:rPr>
          <w:rStyle w:val="TextoNormalNegritaCaracter"/>
        </w:rPr>
        <w:t>Artículo 273.2.</w:t>
      </w:r>
      <w:r w:rsidRPr="00575662">
        <w:rPr>
          <w:rStyle w:val="TextoNormalCaracter"/>
        </w:rPr>
        <w:t>-</w:t>
      </w:r>
      <w:r>
        <w:t xml:space="preserve"> Sentencia </w:t>
      </w:r>
      <w:hyperlink w:anchor="SENTENCIA_1997_18" w:history="1">
        <w:r w:rsidRPr="00575662">
          <w:rPr>
            <w:rStyle w:val="TextoNormalCaracter"/>
          </w:rPr>
          <w:t>18/1997</w:t>
        </w:r>
      </w:hyperlink>
      <w:r>
        <w:t>, f. 5.</w:t>
      </w:r>
    </w:p>
    <w:p w:rsidR="00575662" w:rsidRDefault="00575662" w:rsidP="00575662">
      <w:pPr>
        <w:pStyle w:val="SangriaFrancesaArticulo"/>
      </w:pPr>
      <w:r w:rsidRPr="00575662">
        <w:rPr>
          <w:rStyle w:val="TextoNormalNegritaCaracter"/>
        </w:rPr>
        <w:t>Disposición transitoria cuarta.</w:t>
      </w:r>
      <w:r w:rsidRPr="00575662">
        <w:rPr>
          <w:rStyle w:val="TextoNormalCaracter"/>
        </w:rPr>
        <w:t>-</w:t>
      </w:r>
      <w:r>
        <w:t xml:space="preserve"> Sentencia </w:t>
      </w:r>
      <w:hyperlink w:anchor="SENTENCIA_1997_18" w:history="1">
        <w:r w:rsidRPr="00575662">
          <w:rPr>
            <w:rStyle w:val="TextoNormalCaracter"/>
          </w:rPr>
          <w:t>18/1997</w:t>
        </w:r>
      </w:hyperlink>
      <w:r>
        <w:t>, f. 4.</w:t>
      </w:r>
    </w:p>
    <w:p w:rsidR="00575662" w:rsidRDefault="00575662" w:rsidP="00575662">
      <w:pPr>
        <w:pStyle w:val="SangriaFrancesaArticulo"/>
      </w:pPr>
    </w:p>
    <w:p w:rsidR="00575662" w:rsidRDefault="00575662" w:rsidP="00575662">
      <w:pPr>
        <w:pStyle w:val="TextoNormalNegritaCursivandice"/>
      </w:pPr>
      <w:r>
        <w:t>Real Decreto Legislativo 1/1992, de 26 de junio. Texto refundido de la Ley sobre el régimen del suelo y ordenación urbana</w:t>
      </w:r>
    </w:p>
    <w:p w:rsidR="00575662" w:rsidRDefault="00575662" w:rsidP="00575662">
      <w:pPr>
        <w:pStyle w:val="SangriaFrancesaArticulo"/>
      </w:pPr>
      <w:r w:rsidRPr="00575662">
        <w:rPr>
          <w:rStyle w:val="TextoNormalNegritaCaracter"/>
        </w:rPr>
        <w:lastRenderedPageBreak/>
        <w:t>En general.</w:t>
      </w:r>
      <w:r w:rsidRPr="00575662">
        <w:rPr>
          <w:rStyle w:val="TextoNormalCaracter"/>
        </w:rPr>
        <w:t>-</w:t>
      </w:r>
      <w:r>
        <w:t xml:space="preserve"> Sentencia </w:t>
      </w:r>
      <w:hyperlink w:anchor="SENTENCIA_1997_61" w:history="1">
        <w:r w:rsidRPr="00575662">
          <w:rPr>
            <w:rStyle w:val="TextoNormalCaracter"/>
          </w:rPr>
          <w:t>61/1997</w:t>
        </w:r>
      </w:hyperlink>
      <w:r>
        <w:t>, ff. 1 a 6, 8, 12, 13, 17 a 19, 27, 28, 38, 41, 42, VP.</w:t>
      </w:r>
    </w:p>
    <w:p w:rsidR="00575662" w:rsidRDefault="00575662" w:rsidP="00575662">
      <w:pPr>
        <w:pStyle w:val="SangriaFrancesaArticulo"/>
      </w:pPr>
      <w:r w:rsidRPr="00575662">
        <w:rPr>
          <w:rStyle w:val="TextoNormalNegritaCaracter"/>
        </w:rPr>
        <w:t>Título preliminar.</w:t>
      </w:r>
      <w:r w:rsidRPr="00575662">
        <w:rPr>
          <w:rStyle w:val="TextoNormalCaracter"/>
        </w:rPr>
        <w:t>-</w:t>
      </w:r>
      <w:r>
        <w:t xml:space="preserve"> Sentencia </w:t>
      </w:r>
      <w:hyperlink w:anchor="SENTENCIA_1997_61" w:history="1">
        <w:r w:rsidRPr="00575662">
          <w:rPr>
            <w:rStyle w:val="TextoNormalCaracter"/>
          </w:rPr>
          <w:t>61/1997</w:t>
        </w:r>
      </w:hyperlink>
      <w:r>
        <w:t>, ff. 14, 17.</w:t>
      </w:r>
    </w:p>
    <w:p w:rsidR="00575662" w:rsidRDefault="00575662" w:rsidP="00575662">
      <w:pPr>
        <w:pStyle w:val="SangriaFrancesaArticulo"/>
      </w:pPr>
      <w:r w:rsidRPr="00575662">
        <w:rPr>
          <w:rStyle w:val="TextoNormalNegritaCaracter"/>
        </w:rPr>
        <w:t>Título I.</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Título I, capítulo I.</w:t>
      </w:r>
      <w:r w:rsidRPr="00575662">
        <w:rPr>
          <w:rStyle w:val="TextoNormalCaracter"/>
        </w:rPr>
        <w:t>-</w:t>
      </w:r>
      <w:r>
        <w:t xml:space="preserve"> Sentencia </w:t>
      </w:r>
      <w:hyperlink w:anchor="SENTENCIA_1997_61" w:history="1">
        <w:r w:rsidRPr="00575662">
          <w:rPr>
            <w:rStyle w:val="TextoNormalCaracter"/>
          </w:rPr>
          <w:t>61/1997</w:t>
        </w:r>
      </w:hyperlink>
      <w:r>
        <w:t>, f. 15.</w:t>
      </w:r>
    </w:p>
    <w:p w:rsidR="00575662" w:rsidRDefault="00575662" w:rsidP="00575662">
      <w:pPr>
        <w:pStyle w:val="SangriaFrancesaArticulo"/>
      </w:pPr>
      <w:r w:rsidRPr="00575662">
        <w:rPr>
          <w:rStyle w:val="TextoNormalNegritaCaracter"/>
        </w:rPr>
        <w:t>Título I, capítulo II.</w:t>
      </w:r>
      <w:r w:rsidRPr="00575662">
        <w:rPr>
          <w:rStyle w:val="TextoNormalCaracter"/>
        </w:rPr>
        <w:t>-</w:t>
      </w:r>
      <w:r>
        <w:t xml:space="preserve"> Sentencia </w:t>
      </w:r>
      <w:hyperlink w:anchor="SENTENCIA_1997_61" w:history="1">
        <w:r w:rsidRPr="00575662">
          <w:rPr>
            <w:rStyle w:val="TextoNormalCaracter"/>
          </w:rPr>
          <w:t>61/1997</w:t>
        </w:r>
      </w:hyperlink>
      <w:r>
        <w:t>, f. 16.</w:t>
      </w:r>
    </w:p>
    <w:p w:rsidR="00575662" w:rsidRDefault="00575662" w:rsidP="00575662">
      <w:pPr>
        <w:pStyle w:val="SangriaFrancesaArticulo"/>
      </w:pPr>
      <w:r w:rsidRPr="00575662">
        <w:rPr>
          <w:rStyle w:val="TextoNormalNegritaCaracter"/>
        </w:rPr>
        <w:t>Título I, capítulo III.</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Título I, capítulo III, sección octava.</w:t>
      </w:r>
      <w:r w:rsidRPr="00575662">
        <w:rPr>
          <w:rStyle w:val="TextoNormalCaracter"/>
        </w:rPr>
        <w:t>-</w:t>
      </w:r>
      <w:r>
        <w:t xml:space="preserve"> Sentencia </w:t>
      </w:r>
      <w:hyperlink w:anchor="SENTENCIA_1997_61" w:history="1">
        <w:r w:rsidRPr="00575662">
          <w:rPr>
            <w:rStyle w:val="TextoNormalCaracter"/>
          </w:rPr>
          <w:t>61/1997</w:t>
        </w:r>
      </w:hyperlink>
      <w:r>
        <w:t>, f. 7.</w:t>
      </w:r>
    </w:p>
    <w:p w:rsidR="00575662" w:rsidRDefault="00575662" w:rsidP="00575662">
      <w:pPr>
        <w:pStyle w:val="SangriaFrancesaArticulo"/>
      </w:pPr>
      <w:r w:rsidRPr="00575662">
        <w:rPr>
          <w:rStyle w:val="TextoNormalNegritaCaracter"/>
        </w:rPr>
        <w:t>Título I, capítulo III, sección primera.</w:t>
      </w:r>
      <w:r w:rsidRPr="00575662">
        <w:rPr>
          <w:rStyle w:val="TextoNormalCaracter"/>
        </w:rPr>
        <w:t>-</w:t>
      </w:r>
      <w:r>
        <w:t xml:space="preserve"> Sentencia </w:t>
      </w:r>
      <w:hyperlink w:anchor="SENTENCIA_1997_61" w:history="1">
        <w:r w:rsidRPr="00575662">
          <w:rPr>
            <w:rStyle w:val="TextoNormalCaracter"/>
          </w:rPr>
          <w:t>61/1997</w:t>
        </w:r>
      </w:hyperlink>
      <w:r>
        <w:t>, ff. 17, 34.</w:t>
      </w:r>
    </w:p>
    <w:p w:rsidR="00575662" w:rsidRDefault="00575662" w:rsidP="00575662">
      <w:pPr>
        <w:pStyle w:val="SangriaFrancesaArticulo"/>
      </w:pPr>
      <w:r w:rsidRPr="00575662">
        <w:rPr>
          <w:rStyle w:val="TextoNormalNegritaCaracter"/>
        </w:rPr>
        <w:t>Título I, capítulo III, sección quinta.</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Título I, capítulo III, sección sexta.</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Título I, capítulo III, secciones segunda a séptima.</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Título II.</w:t>
      </w:r>
      <w:r w:rsidRPr="00575662">
        <w:rPr>
          <w:rStyle w:val="TextoNormalCaracter"/>
        </w:rPr>
        <w:t>-</w:t>
      </w:r>
      <w:r>
        <w:t xml:space="preserve"> Sentencia </w:t>
      </w:r>
      <w:hyperlink w:anchor="SENTENCIA_1997_61" w:history="1">
        <w:r w:rsidRPr="00575662">
          <w:rPr>
            <w:rStyle w:val="TextoNormalCaracter"/>
          </w:rPr>
          <w:t>61/1997</w:t>
        </w:r>
      </w:hyperlink>
      <w:r>
        <w:t>, f. 18.</w:t>
      </w:r>
    </w:p>
    <w:p w:rsidR="00575662" w:rsidRDefault="00575662" w:rsidP="00575662">
      <w:pPr>
        <w:pStyle w:val="SangriaFrancesaArticulo"/>
      </w:pPr>
      <w:r w:rsidRPr="00575662">
        <w:rPr>
          <w:rStyle w:val="TextoNormalNegritaCaracter"/>
        </w:rPr>
        <w:t>Título III.</w:t>
      </w:r>
      <w:r w:rsidRPr="00575662">
        <w:rPr>
          <w:rStyle w:val="TextoNormalCaracter"/>
        </w:rPr>
        <w:t>-</w:t>
      </w:r>
      <w:r>
        <w:t xml:space="preserve"> Sentencia </w:t>
      </w:r>
      <w:hyperlink w:anchor="SENTENCIA_1997_61" w:history="1">
        <w:r w:rsidRPr="00575662">
          <w:rPr>
            <w:rStyle w:val="TextoNormalCaracter"/>
          </w:rPr>
          <w:t>61/1997</w:t>
        </w:r>
      </w:hyperlink>
      <w:r>
        <w:t>, ff. 22, 24.</w:t>
      </w:r>
    </w:p>
    <w:p w:rsidR="00575662" w:rsidRDefault="00575662" w:rsidP="00575662">
      <w:pPr>
        <w:pStyle w:val="SangriaFrancesaArticulo"/>
      </w:pPr>
      <w:r w:rsidRPr="00575662">
        <w:rPr>
          <w:rStyle w:val="TextoNormalNegritaCaracter"/>
        </w:rPr>
        <w:t>Título III, capítulo II.</w:t>
      </w:r>
      <w:r w:rsidRPr="00575662">
        <w:rPr>
          <w:rStyle w:val="TextoNormalCaracter"/>
        </w:rPr>
        <w:t>-</w:t>
      </w:r>
      <w:r>
        <w:t xml:space="preserve"> Sentencia </w:t>
      </w:r>
      <w:hyperlink w:anchor="SENTENCIA_1997_61" w:history="1">
        <w:r w:rsidRPr="00575662">
          <w:rPr>
            <w:rStyle w:val="TextoNormalCaracter"/>
          </w:rPr>
          <w:t>61/1997</w:t>
        </w:r>
      </w:hyperlink>
      <w:r>
        <w:t>, f. 24.</w:t>
      </w:r>
    </w:p>
    <w:p w:rsidR="00575662" w:rsidRDefault="00575662" w:rsidP="00575662">
      <w:pPr>
        <w:pStyle w:val="SangriaFrancesaArticulo"/>
      </w:pPr>
      <w:r w:rsidRPr="00575662">
        <w:rPr>
          <w:rStyle w:val="TextoNormalNegritaCaracter"/>
        </w:rPr>
        <w:t>Título III, capítulo III.</w:t>
      </w:r>
      <w:r w:rsidRPr="00575662">
        <w:rPr>
          <w:rStyle w:val="TextoNormalCaracter"/>
        </w:rPr>
        <w:t>-</w:t>
      </w:r>
      <w:r>
        <w:t xml:space="preserve"> Sentencia </w:t>
      </w:r>
      <w:hyperlink w:anchor="SENTENCIA_1997_61" w:history="1">
        <w:r w:rsidRPr="00575662">
          <w:rPr>
            <w:rStyle w:val="TextoNormalCaracter"/>
          </w:rPr>
          <w:t>61/1997</w:t>
        </w:r>
      </w:hyperlink>
      <w:r>
        <w:t>, f. 25.</w:t>
      </w:r>
    </w:p>
    <w:p w:rsidR="00575662" w:rsidRDefault="00575662" w:rsidP="00575662">
      <w:pPr>
        <w:pStyle w:val="SangriaFrancesaArticulo"/>
      </w:pPr>
      <w:r w:rsidRPr="00575662">
        <w:rPr>
          <w:rStyle w:val="TextoNormalNegritaCaracter"/>
        </w:rPr>
        <w:t>Título III, capítulo IV.</w:t>
      </w:r>
      <w:r w:rsidRPr="00575662">
        <w:rPr>
          <w:rStyle w:val="TextoNormalCaracter"/>
        </w:rPr>
        <w:t>-</w:t>
      </w:r>
      <w:r>
        <w:t xml:space="preserve"> Sentencia </w:t>
      </w:r>
      <w:hyperlink w:anchor="SENTENCIA_1997_61" w:history="1">
        <w:r w:rsidRPr="00575662">
          <w:rPr>
            <w:rStyle w:val="TextoNormalCaracter"/>
          </w:rPr>
          <w:t>61/1997</w:t>
        </w:r>
      </w:hyperlink>
      <w:r>
        <w:t>, f. 26.</w:t>
      </w:r>
    </w:p>
    <w:p w:rsidR="00575662" w:rsidRDefault="00575662" w:rsidP="00575662">
      <w:pPr>
        <w:pStyle w:val="SangriaFrancesaArticulo"/>
      </w:pPr>
      <w:r w:rsidRPr="00575662">
        <w:rPr>
          <w:rStyle w:val="TextoNormalNegritaCaracter"/>
        </w:rPr>
        <w:t>Título IV.</w:t>
      </w:r>
      <w:r w:rsidRPr="00575662">
        <w:rPr>
          <w:rStyle w:val="TextoNormalCaracter"/>
        </w:rPr>
        <w:t>-</w:t>
      </w:r>
      <w:r>
        <w:t xml:space="preserve"> Sentencia </w:t>
      </w:r>
      <w:hyperlink w:anchor="SENTENCIA_1997_61" w:history="1">
        <w:r w:rsidRPr="00575662">
          <w:rPr>
            <w:rStyle w:val="TextoNormalCaracter"/>
          </w:rPr>
          <w:t>61/1997</w:t>
        </w:r>
      </w:hyperlink>
      <w:r>
        <w:t>, f. 30.</w:t>
      </w:r>
    </w:p>
    <w:p w:rsidR="00575662" w:rsidRDefault="00575662" w:rsidP="00575662">
      <w:pPr>
        <w:pStyle w:val="SangriaFrancesaArticulo"/>
      </w:pPr>
      <w:r w:rsidRPr="00575662">
        <w:rPr>
          <w:rStyle w:val="TextoNormalNegritaCaracter"/>
        </w:rPr>
        <w:t>Título IV, capítulo I.</w:t>
      </w:r>
      <w:r w:rsidRPr="00575662">
        <w:rPr>
          <w:rStyle w:val="TextoNormalCaracter"/>
        </w:rPr>
        <w:t>-</w:t>
      </w:r>
      <w:r>
        <w:t xml:space="preserve"> Sentencia </w:t>
      </w:r>
      <w:hyperlink w:anchor="SENTENCIA_1997_61" w:history="1">
        <w:r w:rsidRPr="00575662">
          <w:rPr>
            <w:rStyle w:val="TextoNormalCaracter"/>
          </w:rPr>
          <w:t>61/1997</w:t>
        </w:r>
      </w:hyperlink>
      <w:r>
        <w:t>, f. 27.</w:t>
      </w:r>
    </w:p>
    <w:p w:rsidR="00575662" w:rsidRDefault="00575662" w:rsidP="00575662">
      <w:pPr>
        <w:pStyle w:val="SangriaFrancesaArticulo"/>
      </w:pPr>
      <w:r w:rsidRPr="00575662">
        <w:rPr>
          <w:rStyle w:val="TextoNormalNegritaCaracter"/>
        </w:rPr>
        <w:t>Título IV, capítulo II.</w:t>
      </w:r>
      <w:r w:rsidRPr="00575662">
        <w:rPr>
          <w:rStyle w:val="TextoNormalCaracter"/>
        </w:rPr>
        <w:t>-</w:t>
      </w:r>
      <w:r>
        <w:t xml:space="preserve"> Sentencia </w:t>
      </w:r>
      <w:hyperlink w:anchor="SENTENCIA_1997_61" w:history="1">
        <w:r w:rsidRPr="00575662">
          <w:rPr>
            <w:rStyle w:val="TextoNormalCaracter"/>
          </w:rPr>
          <w:t>61/1997</w:t>
        </w:r>
      </w:hyperlink>
      <w:r>
        <w:t>, f. 28.</w:t>
      </w:r>
    </w:p>
    <w:p w:rsidR="00575662" w:rsidRDefault="00575662" w:rsidP="00575662">
      <w:pPr>
        <w:pStyle w:val="SangriaFrancesaArticulo"/>
      </w:pPr>
      <w:r w:rsidRPr="00575662">
        <w:rPr>
          <w:rStyle w:val="TextoNormalNegritaCaracter"/>
        </w:rPr>
        <w:t>Título IV, capítulo III.</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Título IV, capítulo IV.</w:t>
      </w:r>
      <w:r w:rsidRPr="00575662">
        <w:rPr>
          <w:rStyle w:val="TextoNormalCaracter"/>
        </w:rPr>
        <w:t>-</w:t>
      </w:r>
      <w:r>
        <w:t xml:space="preserve"> Sentencia </w:t>
      </w:r>
      <w:hyperlink w:anchor="SENTENCIA_1997_61" w:history="1">
        <w:r w:rsidRPr="00575662">
          <w:rPr>
            <w:rStyle w:val="TextoNormalCaracter"/>
          </w:rPr>
          <w:t>61/1997</w:t>
        </w:r>
      </w:hyperlink>
      <w:r>
        <w:t>, f. 29.</w:t>
      </w:r>
    </w:p>
    <w:p w:rsidR="00575662" w:rsidRDefault="00575662" w:rsidP="00575662">
      <w:pPr>
        <w:pStyle w:val="SangriaFrancesaArticulo"/>
      </w:pPr>
      <w:r w:rsidRPr="00575662">
        <w:rPr>
          <w:rStyle w:val="TextoNormalNegritaCaracter"/>
        </w:rPr>
        <w:t>Título V.</w:t>
      </w:r>
      <w:r w:rsidRPr="00575662">
        <w:rPr>
          <w:rStyle w:val="TextoNormalCaracter"/>
        </w:rPr>
        <w:t>-</w:t>
      </w:r>
      <w:r>
        <w:t xml:space="preserve"> Sentencia </w:t>
      </w:r>
      <w:hyperlink w:anchor="SENTENCIA_1997_61" w:history="1">
        <w:r w:rsidRPr="00575662">
          <w:rPr>
            <w:rStyle w:val="TextoNormalCaracter"/>
          </w:rPr>
          <w:t>61/1997</w:t>
        </w:r>
      </w:hyperlink>
      <w:r>
        <w:t>, ff. 30, 32.</w:t>
      </w:r>
    </w:p>
    <w:p w:rsidR="00575662" w:rsidRDefault="00575662" w:rsidP="00575662">
      <w:pPr>
        <w:pStyle w:val="SangriaFrancesaArticulo"/>
      </w:pPr>
      <w:r w:rsidRPr="00575662">
        <w:rPr>
          <w:rStyle w:val="TextoNormalNegritaCaracter"/>
        </w:rPr>
        <w:t>Título V, capítulo III.</w:t>
      </w:r>
      <w:r w:rsidRPr="00575662">
        <w:rPr>
          <w:rStyle w:val="TextoNormalCaracter"/>
        </w:rPr>
        <w:t>-</w:t>
      </w:r>
      <w:r>
        <w:t xml:space="preserve"> Sentencia </w:t>
      </w:r>
      <w:hyperlink w:anchor="SENTENCIA_1997_61" w:history="1">
        <w:r w:rsidRPr="00575662">
          <w:rPr>
            <w:rStyle w:val="TextoNormalCaracter"/>
          </w:rPr>
          <w:t>61/1997</w:t>
        </w:r>
      </w:hyperlink>
      <w:r>
        <w:t>, f. 31.</w:t>
      </w:r>
    </w:p>
    <w:p w:rsidR="00575662" w:rsidRDefault="00575662" w:rsidP="00575662">
      <w:pPr>
        <w:pStyle w:val="SangriaFrancesaArticulo"/>
      </w:pPr>
      <w:r w:rsidRPr="00575662">
        <w:rPr>
          <w:rStyle w:val="TextoNormalNegritaCaracter"/>
        </w:rPr>
        <w:t>Título VI.</w:t>
      </w:r>
      <w:r w:rsidRPr="00575662">
        <w:rPr>
          <w:rStyle w:val="TextoNormalCaracter"/>
        </w:rPr>
        <w:t>-</w:t>
      </w:r>
      <w:r>
        <w:t xml:space="preserve"> Sentencia </w:t>
      </w:r>
      <w:hyperlink w:anchor="SENTENCIA_1997_61" w:history="1">
        <w:r w:rsidRPr="00575662">
          <w:rPr>
            <w:rStyle w:val="TextoNormalCaracter"/>
          </w:rPr>
          <w:t>61/1997</w:t>
        </w:r>
      </w:hyperlink>
      <w:r>
        <w:t>, f. 33.</w:t>
      </w:r>
    </w:p>
    <w:p w:rsidR="00575662" w:rsidRDefault="00575662" w:rsidP="00575662">
      <w:pPr>
        <w:pStyle w:val="SangriaFrancesaArticulo"/>
      </w:pPr>
      <w:r w:rsidRPr="00575662">
        <w:rPr>
          <w:rStyle w:val="TextoNormalNegritaCaracter"/>
        </w:rPr>
        <w:t>Título VII.</w:t>
      </w:r>
      <w:r w:rsidRPr="00575662">
        <w:rPr>
          <w:rStyle w:val="TextoNormalCaracter"/>
        </w:rPr>
        <w:t>-</w:t>
      </w:r>
      <w:r>
        <w:t xml:space="preserve"> Sentencia </w:t>
      </w:r>
      <w:hyperlink w:anchor="SENTENCIA_1997_61" w:history="1">
        <w:r w:rsidRPr="00575662">
          <w:rPr>
            <w:rStyle w:val="TextoNormalCaracter"/>
          </w:rPr>
          <w:t>61/1997</w:t>
        </w:r>
      </w:hyperlink>
      <w:r>
        <w:t>, f. 34.</w:t>
      </w:r>
    </w:p>
    <w:p w:rsidR="00575662" w:rsidRDefault="00575662" w:rsidP="00575662">
      <w:pPr>
        <w:pStyle w:val="SangriaFrancesaArticulo"/>
      </w:pPr>
      <w:r w:rsidRPr="00575662">
        <w:rPr>
          <w:rStyle w:val="TextoNormalNegritaCaracter"/>
        </w:rPr>
        <w:t>Título VII, capítulo I, sección tercera.</w:t>
      </w:r>
      <w:r w:rsidRPr="00575662">
        <w:rPr>
          <w:rStyle w:val="TextoNormalCaracter"/>
        </w:rPr>
        <w:t>-</w:t>
      </w:r>
      <w:r>
        <w:t xml:space="preserve"> Sentencia </w:t>
      </w:r>
      <w:hyperlink w:anchor="SENTENCIA_1997_61" w:history="1">
        <w:r w:rsidRPr="00575662">
          <w:rPr>
            <w:rStyle w:val="TextoNormalCaracter"/>
          </w:rPr>
          <w:t>61/1997</w:t>
        </w:r>
      </w:hyperlink>
      <w:r>
        <w:t>, f. 34.</w:t>
      </w:r>
    </w:p>
    <w:p w:rsidR="00575662" w:rsidRDefault="00575662" w:rsidP="00575662">
      <w:pPr>
        <w:pStyle w:val="SangriaFrancesaArticulo"/>
      </w:pPr>
      <w:r w:rsidRPr="00575662">
        <w:rPr>
          <w:rStyle w:val="TextoNormalNegritaCaracter"/>
        </w:rPr>
        <w:t>Título VIII.</w:t>
      </w:r>
      <w:r w:rsidRPr="00575662">
        <w:rPr>
          <w:rStyle w:val="TextoNormalCaracter"/>
        </w:rPr>
        <w:t>-</w:t>
      </w:r>
      <w:r>
        <w:t xml:space="preserve"> Sentencia </w:t>
      </w:r>
      <w:hyperlink w:anchor="SENTENCIA_1997_61" w:history="1">
        <w:r w:rsidRPr="00575662">
          <w:rPr>
            <w:rStyle w:val="TextoNormalCaracter"/>
          </w:rPr>
          <w:t>61/1997</w:t>
        </w:r>
      </w:hyperlink>
      <w:r>
        <w:t>, f. 36.</w:t>
      </w:r>
    </w:p>
    <w:p w:rsidR="00575662" w:rsidRDefault="00575662" w:rsidP="00575662">
      <w:pPr>
        <w:pStyle w:val="SangriaFrancesaArticulo"/>
      </w:pPr>
      <w:r w:rsidRPr="00575662">
        <w:rPr>
          <w:rStyle w:val="TextoNormalNegritaCaracter"/>
        </w:rPr>
        <w:t>Artículo 3.1.</w:t>
      </w:r>
      <w:r w:rsidRPr="00575662">
        <w:rPr>
          <w:rStyle w:val="TextoNormalCaracter"/>
        </w:rPr>
        <w:t>-</w:t>
      </w:r>
      <w:r>
        <w:t xml:space="preserve"> Sentencia </w:t>
      </w:r>
      <w:hyperlink w:anchor="SENTENCIA_1997_61" w:history="1">
        <w:r w:rsidRPr="00575662">
          <w:rPr>
            <w:rStyle w:val="TextoNormalCaracter"/>
          </w:rPr>
          <w:t>61/1997</w:t>
        </w:r>
      </w:hyperlink>
      <w:r>
        <w:t>, ff. 14, 17, 20, 25, 26.</w:t>
      </w:r>
    </w:p>
    <w:p w:rsidR="00575662" w:rsidRDefault="00575662" w:rsidP="00575662">
      <w:pPr>
        <w:pStyle w:val="SangriaFrancesaArticulo"/>
      </w:pPr>
      <w:r w:rsidRPr="00575662">
        <w:rPr>
          <w:rStyle w:val="TextoNormalNegritaCaracter"/>
        </w:rPr>
        <w:t>Artículo 3.1 a).</w:t>
      </w:r>
      <w:r w:rsidRPr="00575662">
        <w:rPr>
          <w:rStyle w:val="TextoNormalCaracter"/>
        </w:rPr>
        <w:t>-</w:t>
      </w:r>
      <w:r>
        <w:t xml:space="preserve"> Sentencia </w:t>
      </w:r>
      <w:hyperlink w:anchor="SENTENCIA_1997_61" w:history="1">
        <w:r w:rsidRPr="00575662">
          <w:rPr>
            <w:rStyle w:val="TextoNormalCaracter"/>
          </w:rPr>
          <w:t>61/1997</w:t>
        </w:r>
      </w:hyperlink>
      <w:r>
        <w:t>, f. 14.</w:t>
      </w:r>
    </w:p>
    <w:p w:rsidR="00575662" w:rsidRDefault="00575662" w:rsidP="00575662">
      <w:pPr>
        <w:pStyle w:val="SangriaFrancesaArticulo"/>
      </w:pPr>
      <w:r w:rsidRPr="00575662">
        <w:rPr>
          <w:rStyle w:val="TextoNormalNegritaCaracter"/>
        </w:rPr>
        <w:t>Artículo 3.1 b).</w:t>
      </w:r>
      <w:r w:rsidRPr="00575662">
        <w:rPr>
          <w:rStyle w:val="TextoNormalCaracter"/>
        </w:rPr>
        <w:t>-</w:t>
      </w:r>
      <w:r>
        <w:t xml:space="preserve"> Sentencia </w:t>
      </w:r>
      <w:hyperlink w:anchor="SENTENCIA_1997_61" w:history="1">
        <w:r w:rsidRPr="00575662">
          <w:rPr>
            <w:rStyle w:val="TextoNormalCaracter"/>
          </w:rPr>
          <w:t>61/1997</w:t>
        </w:r>
      </w:hyperlink>
      <w:r>
        <w:t>, f. 14.</w:t>
      </w:r>
    </w:p>
    <w:p w:rsidR="00575662" w:rsidRDefault="00575662" w:rsidP="00575662">
      <w:pPr>
        <w:pStyle w:val="SangriaFrancesaArticulo"/>
      </w:pPr>
      <w:r w:rsidRPr="00575662">
        <w:rPr>
          <w:rStyle w:val="TextoNormalNegritaCaracter"/>
        </w:rPr>
        <w:t>Artículo 3.1 c).</w:t>
      </w:r>
      <w:r w:rsidRPr="00575662">
        <w:rPr>
          <w:rStyle w:val="TextoNormalCaracter"/>
        </w:rPr>
        <w:t>-</w:t>
      </w:r>
      <w:r>
        <w:t xml:space="preserve"> Sentencia </w:t>
      </w:r>
      <w:hyperlink w:anchor="SENTENCIA_1997_61" w:history="1">
        <w:r w:rsidRPr="00575662">
          <w:rPr>
            <w:rStyle w:val="TextoNormalCaracter"/>
          </w:rPr>
          <w:t>61/1997</w:t>
        </w:r>
      </w:hyperlink>
      <w:r>
        <w:t>, f. 14.</w:t>
      </w:r>
    </w:p>
    <w:p w:rsidR="00575662" w:rsidRDefault="00575662" w:rsidP="00575662">
      <w:pPr>
        <w:pStyle w:val="SangriaFrancesaArticulo"/>
      </w:pPr>
      <w:r w:rsidRPr="00575662">
        <w:rPr>
          <w:rStyle w:val="TextoNormalNegritaCaracter"/>
        </w:rPr>
        <w:t>Artículo 3.2 c).</w:t>
      </w:r>
      <w:r w:rsidRPr="00575662">
        <w:rPr>
          <w:rStyle w:val="TextoNormalCaracter"/>
        </w:rPr>
        <w:t>-</w:t>
      </w:r>
      <w:r>
        <w:t xml:space="preserve"> Sentencia </w:t>
      </w:r>
      <w:hyperlink w:anchor="SENTENCIA_1997_61" w:history="1">
        <w:r w:rsidRPr="00575662">
          <w:rPr>
            <w:rStyle w:val="TextoNormalCaracter"/>
          </w:rPr>
          <w:t>61/1997</w:t>
        </w:r>
      </w:hyperlink>
      <w:r>
        <w:t>, ff. 14, 15, 17, VP.</w:t>
      </w:r>
    </w:p>
    <w:p w:rsidR="00575662" w:rsidRDefault="00575662" w:rsidP="00575662">
      <w:pPr>
        <w:pStyle w:val="SangriaFrancesaArticulo"/>
      </w:pPr>
      <w:r w:rsidRPr="00575662">
        <w:rPr>
          <w:rStyle w:val="TextoNormalNegritaCaracter"/>
        </w:rPr>
        <w:t>Artículo 4.1.</w:t>
      </w:r>
      <w:r w:rsidRPr="00575662">
        <w:rPr>
          <w:rStyle w:val="TextoNormalCaracter"/>
        </w:rPr>
        <w:t>-</w:t>
      </w:r>
      <w:r>
        <w:t xml:space="preserve"> Sentencia </w:t>
      </w:r>
      <w:hyperlink w:anchor="SENTENCIA_1997_61" w:history="1">
        <w:r w:rsidRPr="00575662">
          <w:rPr>
            <w:rStyle w:val="TextoNormalCaracter"/>
          </w:rPr>
          <w:t>61/1997</w:t>
        </w:r>
      </w:hyperlink>
      <w:r>
        <w:t>, ff. 14, 17.</w:t>
      </w:r>
    </w:p>
    <w:p w:rsidR="00575662" w:rsidRDefault="00575662" w:rsidP="00575662">
      <w:pPr>
        <w:pStyle w:val="SangriaFrancesaArticulo"/>
      </w:pPr>
      <w:r w:rsidRPr="00575662">
        <w:rPr>
          <w:rStyle w:val="TextoNormalNegritaCaracter"/>
        </w:rPr>
        <w:t>Artículo 4.2.</w:t>
      </w:r>
      <w:r w:rsidRPr="00575662">
        <w:rPr>
          <w:rStyle w:val="TextoNormalCaracter"/>
        </w:rPr>
        <w:t>-</w:t>
      </w:r>
      <w:r>
        <w:t xml:space="preserve"> Sentencia </w:t>
      </w:r>
      <w:hyperlink w:anchor="SENTENCIA_1997_61" w:history="1">
        <w:r w:rsidRPr="00575662">
          <w:rPr>
            <w:rStyle w:val="TextoNormalCaracter"/>
          </w:rPr>
          <w:t>61/1997</w:t>
        </w:r>
      </w:hyperlink>
      <w:r>
        <w:t>, f. 14.</w:t>
      </w:r>
    </w:p>
    <w:p w:rsidR="00575662" w:rsidRDefault="00575662" w:rsidP="00575662">
      <w:pPr>
        <w:pStyle w:val="SangriaFrancesaArticulo"/>
      </w:pPr>
      <w:r w:rsidRPr="00575662">
        <w:rPr>
          <w:rStyle w:val="TextoNormalNegritaCaracter"/>
        </w:rPr>
        <w:t>Artículo 5.</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Artículo 6.</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Artículo 7.</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Artículo 8.</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Artículo 9.1.</w:t>
      </w:r>
      <w:r w:rsidRPr="00575662">
        <w:rPr>
          <w:rStyle w:val="TextoNormalCaracter"/>
        </w:rPr>
        <w:t>-</w:t>
      </w:r>
      <w:r>
        <w:t xml:space="preserve"> Sentencia </w:t>
      </w:r>
      <w:hyperlink w:anchor="SENTENCIA_1997_61" w:history="1">
        <w:r w:rsidRPr="00575662">
          <w:rPr>
            <w:rStyle w:val="TextoNormalCaracter"/>
          </w:rPr>
          <w:t>61/1997</w:t>
        </w:r>
      </w:hyperlink>
      <w:r>
        <w:t>, ff. 14, 15, VP.</w:t>
      </w:r>
    </w:p>
    <w:p w:rsidR="00575662" w:rsidRDefault="00575662" w:rsidP="00575662">
      <w:pPr>
        <w:pStyle w:val="SangriaFrancesaArticulo"/>
      </w:pPr>
      <w:r w:rsidRPr="00575662">
        <w:rPr>
          <w:rStyle w:val="TextoNormalNegritaCaracter"/>
        </w:rPr>
        <w:t>Artículo 10 a).</w:t>
      </w:r>
      <w:r w:rsidRPr="00575662">
        <w:rPr>
          <w:rStyle w:val="TextoNormalCaracter"/>
        </w:rPr>
        <w:t>-</w:t>
      </w:r>
      <w:r>
        <w:t xml:space="preserve"> Sentencia </w:t>
      </w:r>
      <w:hyperlink w:anchor="SENTENCIA_1997_61" w:history="1">
        <w:r w:rsidRPr="00575662">
          <w:rPr>
            <w:rStyle w:val="TextoNormalCaracter"/>
          </w:rPr>
          <w:t>61/1997</w:t>
        </w:r>
      </w:hyperlink>
      <w:r>
        <w:t>, f. 42.</w:t>
      </w:r>
    </w:p>
    <w:p w:rsidR="00575662" w:rsidRDefault="00575662" w:rsidP="00575662">
      <w:pPr>
        <w:pStyle w:val="SangriaFrancesaArticulo"/>
      </w:pPr>
      <w:r w:rsidRPr="00575662">
        <w:rPr>
          <w:rStyle w:val="TextoNormalNegritaCaracter"/>
        </w:rPr>
        <w:t>Artículo 11.4.</w:t>
      </w:r>
      <w:r w:rsidRPr="00575662">
        <w:rPr>
          <w:rStyle w:val="TextoNormalCaracter"/>
        </w:rPr>
        <w:t>-</w:t>
      </w:r>
      <w:r>
        <w:t xml:space="preserve"> Sentencia </w:t>
      </w:r>
      <w:hyperlink w:anchor="SENTENCIA_1997_61" w:history="1">
        <w:r w:rsidRPr="00575662">
          <w:rPr>
            <w:rStyle w:val="TextoNormalCaracter"/>
          </w:rPr>
          <w:t>61/1997</w:t>
        </w:r>
      </w:hyperlink>
      <w:r>
        <w:t>, f. 15.</w:t>
      </w:r>
    </w:p>
    <w:p w:rsidR="00575662" w:rsidRDefault="00575662" w:rsidP="00575662">
      <w:pPr>
        <w:pStyle w:val="SangriaFrancesaArticulo"/>
      </w:pPr>
      <w:r w:rsidRPr="00575662">
        <w:rPr>
          <w:rStyle w:val="TextoNormalNegritaCaracter"/>
        </w:rPr>
        <w:t>Artículo 12.</w:t>
      </w:r>
      <w:r w:rsidRPr="00575662">
        <w:rPr>
          <w:rStyle w:val="TextoNormalCaracter"/>
        </w:rPr>
        <w:t>-</w:t>
      </w:r>
      <w:r>
        <w:t xml:space="preserve"> Sentencia </w:t>
      </w:r>
      <w:hyperlink w:anchor="SENTENCIA_1997_61" w:history="1">
        <w:r w:rsidRPr="00575662">
          <w:rPr>
            <w:rStyle w:val="TextoNormalCaracter"/>
          </w:rPr>
          <w:t>61/1997</w:t>
        </w:r>
      </w:hyperlink>
      <w:r>
        <w:t>, f. 16.</w:t>
      </w:r>
    </w:p>
    <w:p w:rsidR="00575662" w:rsidRDefault="00575662" w:rsidP="00575662">
      <w:pPr>
        <w:pStyle w:val="SangriaFrancesaArticulo"/>
      </w:pPr>
      <w:r w:rsidRPr="00575662">
        <w:rPr>
          <w:rStyle w:val="TextoNormalNegritaCaracter"/>
        </w:rPr>
        <w:t>Artículo 15.</w:t>
      </w:r>
      <w:r w:rsidRPr="00575662">
        <w:rPr>
          <w:rStyle w:val="TextoNormalCaracter"/>
        </w:rPr>
        <w:t>-</w:t>
      </w:r>
      <w:r>
        <w:t xml:space="preserve"> Sentencia </w:t>
      </w:r>
      <w:hyperlink w:anchor="SENTENCIA_1997_61" w:history="1">
        <w:r w:rsidRPr="00575662">
          <w:rPr>
            <w:rStyle w:val="TextoNormalCaracter"/>
          </w:rPr>
          <w:t>61/1997</w:t>
        </w:r>
      </w:hyperlink>
      <w:r>
        <w:t>, f. 16, VP.</w:t>
      </w:r>
    </w:p>
    <w:p w:rsidR="00575662" w:rsidRDefault="00575662" w:rsidP="00575662">
      <w:pPr>
        <w:pStyle w:val="SangriaFrancesaArticulo"/>
      </w:pPr>
      <w:r w:rsidRPr="00575662">
        <w:rPr>
          <w:rStyle w:val="TextoNormalNegritaCaracter"/>
        </w:rPr>
        <w:t>Artículo 16.</w:t>
      </w:r>
      <w:r w:rsidRPr="00575662">
        <w:rPr>
          <w:rStyle w:val="TextoNormalCaracter"/>
        </w:rPr>
        <w:t>-</w:t>
      </w:r>
      <w:r>
        <w:t xml:space="preserve"> Sentencia </w:t>
      </w:r>
      <w:hyperlink w:anchor="SENTENCIA_1997_61" w:history="1">
        <w:r w:rsidRPr="00575662">
          <w:rPr>
            <w:rStyle w:val="TextoNormalCaracter"/>
          </w:rPr>
          <w:t>61/1997</w:t>
        </w:r>
      </w:hyperlink>
      <w:r>
        <w:t>, f. 16.</w:t>
      </w:r>
    </w:p>
    <w:p w:rsidR="00575662" w:rsidRDefault="00575662" w:rsidP="00575662">
      <w:pPr>
        <w:pStyle w:val="SangriaFrancesaArticulo"/>
      </w:pPr>
      <w:r w:rsidRPr="00575662">
        <w:rPr>
          <w:rStyle w:val="TextoNormalNegritaCaracter"/>
        </w:rPr>
        <w:t>Artículo 16.1.</w:t>
      </w:r>
      <w:r w:rsidRPr="00575662">
        <w:rPr>
          <w:rStyle w:val="TextoNormalCaracter"/>
        </w:rPr>
        <w:t>-</w:t>
      </w:r>
      <w:r>
        <w:t xml:space="preserve"> Sentencia </w:t>
      </w:r>
      <w:hyperlink w:anchor="SENTENCIA_1997_61" w:history="1">
        <w:r w:rsidRPr="00575662">
          <w:rPr>
            <w:rStyle w:val="TextoNormalCaracter"/>
          </w:rPr>
          <w:t>61/1997</w:t>
        </w:r>
      </w:hyperlink>
      <w:r>
        <w:t>, f. 16, VP.</w:t>
      </w:r>
    </w:p>
    <w:p w:rsidR="00575662" w:rsidRDefault="00575662" w:rsidP="00575662">
      <w:pPr>
        <w:pStyle w:val="SangriaFrancesaArticulo"/>
      </w:pPr>
      <w:r w:rsidRPr="00575662">
        <w:rPr>
          <w:rStyle w:val="TextoNormalNegritaCaracter"/>
        </w:rPr>
        <w:t>Artículo 16.2.</w:t>
      </w:r>
      <w:r w:rsidRPr="00575662">
        <w:rPr>
          <w:rStyle w:val="TextoNormalCaracter"/>
        </w:rPr>
        <w:t>-</w:t>
      </w:r>
      <w:r>
        <w:t xml:space="preserve"> Sentencia </w:t>
      </w:r>
      <w:hyperlink w:anchor="SENTENCIA_1997_61" w:history="1">
        <w:r w:rsidRPr="00575662">
          <w:rPr>
            <w:rStyle w:val="TextoNormalCaracter"/>
          </w:rPr>
          <w:t>61/1997</w:t>
        </w:r>
      </w:hyperlink>
      <w:r>
        <w:t>, f. 16.</w:t>
      </w:r>
    </w:p>
    <w:p w:rsidR="00575662" w:rsidRDefault="00575662" w:rsidP="00575662">
      <w:pPr>
        <w:pStyle w:val="SangriaFrancesaArticulo"/>
      </w:pPr>
      <w:r w:rsidRPr="00575662">
        <w:rPr>
          <w:rStyle w:val="TextoNormalNegritaCaracter"/>
        </w:rPr>
        <w:t>Artículo 17.</w:t>
      </w:r>
      <w:r w:rsidRPr="00575662">
        <w:rPr>
          <w:rStyle w:val="TextoNormalCaracter"/>
        </w:rPr>
        <w:t>-</w:t>
      </w:r>
      <w:r>
        <w:t xml:space="preserve"> Sentencia </w:t>
      </w:r>
      <w:hyperlink w:anchor="SENTENCIA_1997_61" w:history="1">
        <w:r w:rsidRPr="00575662">
          <w:rPr>
            <w:rStyle w:val="TextoNormalCaracter"/>
          </w:rPr>
          <w:t>61/1997</w:t>
        </w:r>
      </w:hyperlink>
      <w:r>
        <w:t>, f. 16, VP.</w:t>
      </w:r>
    </w:p>
    <w:p w:rsidR="00575662" w:rsidRDefault="00575662" w:rsidP="00575662">
      <w:pPr>
        <w:pStyle w:val="SangriaFrancesaArticulo"/>
      </w:pPr>
      <w:r w:rsidRPr="00575662">
        <w:rPr>
          <w:rStyle w:val="TextoNormalNegritaCaracter"/>
        </w:rPr>
        <w:t>Artículo 19.</w:t>
      </w:r>
      <w:r w:rsidRPr="00575662">
        <w:rPr>
          <w:rStyle w:val="TextoNormalCaracter"/>
        </w:rPr>
        <w:t>-</w:t>
      </w:r>
      <w:r>
        <w:t xml:space="preserve"> Sentencia </w:t>
      </w:r>
      <w:hyperlink w:anchor="SENTENCIA_1997_61" w:history="1">
        <w:r w:rsidRPr="00575662">
          <w:rPr>
            <w:rStyle w:val="TextoNormalCaracter"/>
          </w:rPr>
          <w:t>61/1997</w:t>
        </w:r>
      </w:hyperlink>
      <w:r>
        <w:t>, ff. 17, 27, VP.</w:t>
      </w:r>
    </w:p>
    <w:p w:rsidR="00575662" w:rsidRDefault="00575662" w:rsidP="00575662">
      <w:pPr>
        <w:pStyle w:val="SangriaFrancesaArticulo"/>
      </w:pPr>
      <w:r w:rsidRPr="00575662">
        <w:rPr>
          <w:rStyle w:val="TextoNormalNegritaCaracter"/>
        </w:rPr>
        <w:lastRenderedPageBreak/>
        <w:t>Artículo 20.</w:t>
      </w:r>
      <w:r w:rsidRPr="00575662">
        <w:rPr>
          <w:rStyle w:val="TextoNormalCaracter"/>
        </w:rPr>
        <w:t>-</w:t>
      </w:r>
      <w:r>
        <w:t xml:space="preserve"> Sentencia </w:t>
      </w:r>
      <w:hyperlink w:anchor="SENTENCIA_1997_61" w:history="1">
        <w:r w:rsidRPr="00575662">
          <w:rPr>
            <w:rStyle w:val="TextoNormalCaracter"/>
          </w:rPr>
          <w:t>61/1997</w:t>
        </w:r>
      </w:hyperlink>
      <w:r>
        <w:t>, ff. 17, 27.</w:t>
      </w:r>
    </w:p>
    <w:p w:rsidR="00575662" w:rsidRDefault="00575662" w:rsidP="00575662">
      <w:pPr>
        <w:pStyle w:val="SangriaFrancesaArticulo"/>
      </w:pPr>
      <w:r w:rsidRPr="00575662">
        <w:rPr>
          <w:rStyle w:val="TextoNormalNegritaCaracter"/>
        </w:rPr>
        <w:t>Artículo 20.1.</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20.1 a).</w:t>
      </w:r>
      <w:r w:rsidRPr="00575662">
        <w:rPr>
          <w:rStyle w:val="TextoNormalCaracter"/>
        </w:rPr>
        <w:t>-</w:t>
      </w:r>
      <w:r>
        <w:t xml:space="preserve"> Sentencia </w:t>
      </w:r>
      <w:hyperlink w:anchor="SENTENCIA_1997_61" w:history="1">
        <w:r w:rsidRPr="00575662">
          <w:rPr>
            <w:rStyle w:val="TextoNormalCaracter"/>
          </w:rPr>
          <w:t>61/1997</w:t>
        </w:r>
      </w:hyperlink>
      <w:r>
        <w:t>, ff. 17, 29.</w:t>
      </w:r>
    </w:p>
    <w:p w:rsidR="00575662" w:rsidRDefault="00575662" w:rsidP="00575662">
      <w:pPr>
        <w:pStyle w:val="SangriaFrancesaArticulo"/>
      </w:pPr>
      <w:r w:rsidRPr="00575662">
        <w:rPr>
          <w:rStyle w:val="TextoNormalNegritaCaracter"/>
        </w:rPr>
        <w:t>Artículo 20.1 b).</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20.1 d).</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20.1 e).</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20.2.</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21.</w:t>
      </w:r>
      <w:r w:rsidRPr="00575662">
        <w:rPr>
          <w:rStyle w:val="TextoNormalCaracter"/>
        </w:rPr>
        <w:t>-</w:t>
      </w:r>
      <w:r>
        <w:t xml:space="preserve"> Sentencia </w:t>
      </w:r>
      <w:hyperlink w:anchor="SENTENCIA_1997_61" w:history="1">
        <w:r w:rsidRPr="00575662">
          <w:rPr>
            <w:rStyle w:val="TextoNormalCaracter"/>
          </w:rPr>
          <w:t>61/1997</w:t>
        </w:r>
      </w:hyperlink>
      <w:r>
        <w:t>, f. 34, VP.</w:t>
      </w:r>
    </w:p>
    <w:p w:rsidR="00575662" w:rsidRDefault="00575662" w:rsidP="00575662">
      <w:pPr>
        <w:pStyle w:val="SangriaFrancesaArticulo"/>
      </w:pPr>
      <w:r w:rsidRPr="00575662">
        <w:rPr>
          <w:rStyle w:val="TextoNormalNegritaCaracter"/>
        </w:rPr>
        <w:t>Artículo 21.1.</w:t>
      </w:r>
      <w:r w:rsidRPr="00575662">
        <w:rPr>
          <w:rStyle w:val="TextoNormalCaracter"/>
        </w:rPr>
        <w:t>-</w:t>
      </w:r>
      <w:r>
        <w:t xml:space="preserve"> Sentencia </w:t>
      </w:r>
      <w:hyperlink w:anchor="SENTENCIA_1997_61" w:history="1">
        <w:r w:rsidRPr="00575662">
          <w:rPr>
            <w:rStyle w:val="TextoNormalCaracter"/>
          </w:rPr>
          <w:t>61/1997</w:t>
        </w:r>
      </w:hyperlink>
      <w:r>
        <w:t>, f. 34.</w:t>
      </w:r>
    </w:p>
    <w:p w:rsidR="00575662" w:rsidRDefault="00575662" w:rsidP="00575662">
      <w:pPr>
        <w:pStyle w:val="SangriaFrancesaArticulo"/>
      </w:pPr>
      <w:r w:rsidRPr="00575662">
        <w:rPr>
          <w:rStyle w:val="TextoNormalNegritaCaracter"/>
        </w:rPr>
        <w:t>Artículo 21.2.</w:t>
      </w:r>
      <w:r w:rsidRPr="00575662">
        <w:rPr>
          <w:rStyle w:val="TextoNormalCaracter"/>
        </w:rPr>
        <w:t>-</w:t>
      </w:r>
      <w:r>
        <w:t xml:space="preserve"> Sentencia </w:t>
      </w:r>
      <w:hyperlink w:anchor="SENTENCIA_1997_61" w:history="1">
        <w:r w:rsidRPr="00575662">
          <w:rPr>
            <w:rStyle w:val="TextoNormalCaracter"/>
          </w:rPr>
          <w:t>61/1997</w:t>
        </w:r>
      </w:hyperlink>
      <w:r>
        <w:t>, f. 34.</w:t>
      </w:r>
    </w:p>
    <w:p w:rsidR="00575662" w:rsidRDefault="00575662" w:rsidP="00575662">
      <w:pPr>
        <w:pStyle w:val="SangriaFrancesaArticulo"/>
      </w:pPr>
      <w:r w:rsidRPr="00575662">
        <w:rPr>
          <w:rStyle w:val="TextoNormalNegritaCaracter"/>
        </w:rPr>
        <w:t>Artículo 22.</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Artículo 23.</w:t>
      </w:r>
      <w:r w:rsidRPr="00575662">
        <w:rPr>
          <w:rStyle w:val="TextoNormalCaracter"/>
        </w:rPr>
        <w:t>-</w:t>
      </w:r>
      <w:r>
        <w:t xml:space="preserve"> Sentencia </w:t>
      </w:r>
      <w:hyperlink w:anchor="SENTENCIA_1997_61" w:history="1">
        <w:r w:rsidRPr="00575662">
          <w:rPr>
            <w:rStyle w:val="TextoNormalCaracter"/>
          </w:rPr>
          <w:t>61/1997</w:t>
        </w:r>
      </w:hyperlink>
      <w:r>
        <w:t>, f. 27, VP.</w:t>
      </w:r>
    </w:p>
    <w:p w:rsidR="00575662" w:rsidRDefault="00575662" w:rsidP="00575662">
      <w:pPr>
        <w:pStyle w:val="SangriaFrancesaArticulo"/>
      </w:pPr>
      <w:r w:rsidRPr="00575662">
        <w:rPr>
          <w:rStyle w:val="TextoNormalNegritaCaracter"/>
        </w:rPr>
        <w:t>Artículo 23.1 b).</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23.1 d).</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24.</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Artículo 24.1.</w:t>
      </w:r>
      <w:r w:rsidRPr="00575662">
        <w:rPr>
          <w:rStyle w:val="TextoNormalCaracter"/>
        </w:rPr>
        <w:t>-</w:t>
      </w:r>
      <w:r>
        <w:t xml:space="preserve"> Sentencia </w:t>
      </w:r>
      <w:hyperlink w:anchor="SENTENCIA_1997_61" w:history="1">
        <w:r w:rsidRPr="00575662">
          <w:rPr>
            <w:rStyle w:val="TextoNormalCaracter"/>
          </w:rPr>
          <w:t>61/1997</w:t>
        </w:r>
      </w:hyperlink>
      <w:r>
        <w:t>, ff. 23, 25.</w:t>
      </w:r>
    </w:p>
    <w:p w:rsidR="00575662" w:rsidRDefault="00575662" w:rsidP="00575662">
      <w:pPr>
        <w:pStyle w:val="SangriaFrancesaArticulo"/>
      </w:pPr>
      <w:r w:rsidRPr="00575662">
        <w:rPr>
          <w:rStyle w:val="TextoNormalNegritaCaracter"/>
        </w:rPr>
        <w:t>Artículo 25.</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Artículo 26.</w:t>
      </w:r>
      <w:r w:rsidRPr="00575662">
        <w:rPr>
          <w:rStyle w:val="TextoNormalCaracter"/>
        </w:rPr>
        <w:t>-</w:t>
      </w:r>
      <w:r>
        <w:t xml:space="preserve"> Sentencia </w:t>
      </w:r>
      <w:hyperlink w:anchor="SENTENCIA_1997_61" w:history="1">
        <w:r w:rsidRPr="00575662">
          <w:rPr>
            <w:rStyle w:val="TextoNormalCaracter"/>
          </w:rPr>
          <w:t>61/1997</w:t>
        </w:r>
      </w:hyperlink>
      <w:r>
        <w:t>, f. 17, VP.</w:t>
      </w:r>
    </w:p>
    <w:p w:rsidR="00575662" w:rsidRDefault="00575662" w:rsidP="00575662">
      <w:pPr>
        <w:pStyle w:val="SangriaFrancesaArticulo"/>
      </w:pPr>
      <w:r w:rsidRPr="00575662">
        <w:rPr>
          <w:rStyle w:val="TextoNormalNegritaCaracter"/>
        </w:rPr>
        <w:t>Artículo 26 a 32.</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27.</w:t>
      </w:r>
      <w:r w:rsidRPr="00575662">
        <w:rPr>
          <w:rStyle w:val="TextoNormalCaracter"/>
        </w:rPr>
        <w:t>-</w:t>
      </w:r>
      <w:r>
        <w:t xml:space="preserve"> Sentencia </w:t>
      </w:r>
      <w:hyperlink w:anchor="SENTENCIA_1997_61" w:history="1">
        <w:r w:rsidRPr="00575662">
          <w:rPr>
            <w:rStyle w:val="TextoNormalCaracter"/>
          </w:rPr>
          <w:t>61/1997</w:t>
        </w:r>
      </w:hyperlink>
      <w:r>
        <w:t>, ff. 17, 20, 21, 24, 32, 41, VP.</w:t>
      </w:r>
    </w:p>
    <w:p w:rsidR="00575662" w:rsidRDefault="00575662" w:rsidP="00575662">
      <w:pPr>
        <w:pStyle w:val="SangriaFrancesaArticulo"/>
      </w:pPr>
      <w:r w:rsidRPr="00575662">
        <w:rPr>
          <w:rStyle w:val="TextoNormalNegritaCaracter"/>
        </w:rPr>
        <w:t>Artículo 27.1.</w:t>
      </w:r>
      <w:r w:rsidRPr="00575662">
        <w:rPr>
          <w:rStyle w:val="TextoNormalCaracter"/>
        </w:rPr>
        <w:t>-</w:t>
      </w:r>
      <w:r>
        <w:t xml:space="preserve"> Sentencia </w:t>
      </w:r>
      <w:hyperlink w:anchor="SENTENCIA_1997_61" w:history="1">
        <w:r w:rsidRPr="00575662">
          <w:rPr>
            <w:rStyle w:val="TextoNormalCaracter"/>
          </w:rPr>
          <w:t>61/1997</w:t>
        </w:r>
      </w:hyperlink>
      <w:r>
        <w:t>, ff. 17, 20, 41.</w:t>
      </w:r>
    </w:p>
    <w:p w:rsidR="00575662" w:rsidRDefault="00575662" w:rsidP="00575662">
      <w:pPr>
        <w:pStyle w:val="SangriaFrancesaArticulo"/>
      </w:pPr>
      <w:r w:rsidRPr="00575662">
        <w:rPr>
          <w:rStyle w:val="TextoNormalNegritaCaracter"/>
        </w:rPr>
        <w:t>Artículo 27.2.</w:t>
      </w:r>
      <w:r w:rsidRPr="00575662">
        <w:rPr>
          <w:rStyle w:val="TextoNormalCaracter"/>
        </w:rPr>
        <w:t>-</w:t>
      </w:r>
      <w:r>
        <w:t xml:space="preserve"> Sentencia </w:t>
      </w:r>
      <w:hyperlink w:anchor="SENTENCIA_1997_61" w:history="1">
        <w:r w:rsidRPr="00575662">
          <w:rPr>
            <w:rStyle w:val="TextoNormalCaracter"/>
          </w:rPr>
          <w:t>61/1997</w:t>
        </w:r>
      </w:hyperlink>
      <w:r>
        <w:t>, ff. 14, 17, 20, 41.</w:t>
      </w:r>
    </w:p>
    <w:p w:rsidR="00575662" w:rsidRDefault="00575662" w:rsidP="00575662">
      <w:pPr>
        <w:pStyle w:val="SangriaFrancesaArticulo"/>
      </w:pPr>
      <w:r w:rsidRPr="00575662">
        <w:rPr>
          <w:rStyle w:val="TextoNormalNegritaCaracter"/>
        </w:rPr>
        <w:t>Artículo 27.4.</w:t>
      </w:r>
      <w:r w:rsidRPr="00575662">
        <w:rPr>
          <w:rStyle w:val="TextoNormalCaracter"/>
        </w:rPr>
        <w:t>-</w:t>
      </w:r>
      <w:r>
        <w:t xml:space="preserve"> Sentencia </w:t>
      </w:r>
      <w:hyperlink w:anchor="SENTENCIA_1997_61" w:history="1">
        <w:r w:rsidRPr="00575662">
          <w:rPr>
            <w:rStyle w:val="TextoNormalCaracter"/>
          </w:rPr>
          <w:t>61/1997</w:t>
        </w:r>
      </w:hyperlink>
      <w:r>
        <w:t>, ff. 4, 14, 17, 20.</w:t>
      </w:r>
    </w:p>
    <w:p w:rsidR="00575662" w:rsidRDefault="00575662" w:rsidP="00575662">
      <w:pPr>
        <w:pStyle w:val="SangriaFrancesaArticulo"/>
      </w:pPr>
      <w:r w:rsidRPr="00575662">
        <w:rPr>
          <w:rStyle w:val="TextoNormalNegritaCaracter"/>
        </w:rPr>
        <w:t>Artículo 28.2.</w:t>
      </w:r>
      <w:r w:rsidRPr="00575662">
        <w:rPr>
          <w:rStyle w:val="TextoNormalCaracter"/>
        </w:rPr>
        <w:t>-</w:t>
      </w:r>
      <w:r>
        <w:t xml:space="preserve"> Sentencia </w:t>
      </w:r>
      <w:hyperlink w:anchor="SENTENCIA_1997_61" w:history="1">
        <w:r w:rsidRPr="00575662">
          <w:rPr>
            <w:rStyle w:val="TextoNormalCaracter"/>
          </w:rPr>
          <w:t>61/1997</w:t>
        </w:r>
      </w:hyperlink>
      <w:r>
        <w:t>, f. 28.</w:t>
      </w:r>
    </w:p>
    <w:p w:rsidR="00575662" w:rsidRDefault="00575662" w:rsidP="00575662">
      <w:pPr>
        <w:pStyle w:val="SangriaFrancesaArticulo"/>
      </w:pPr>
      <w:r w:rsidRPr="00575662">
        <w:rPr>
          <w:rStyle w:val="TextoNormalNegritaCaracter"/>
        </w:rPr>
        <w:t>Artículo 28.5.</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29.</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Artículo 29.1.</w:t>
      </w:r>
      <w:r w:rsidRPr="00575662">
        <w:rPr>
          <w:rStyle w:val="TextoNormalCaracter"/>
        </w:rPr>
        <w:t>-</w:t>
      </w:r>
      <w:r>
        <w:t xml:space="preserve"> Sentencia </w:t>
      </w:r>
      <w:hyperlink w:anchor="SENTENCIA_1997_61" w:history="1">
        <w:r w:rsidRPr="00575662">
          <w:rPr>
            <w:rStyle w:val="TextoNormalCaracter"/>
          </w:rPr>
          <w:t>61/1997</w:t>
        </w:r>
      </w:hyperlink>
      <w:r>
        <w:t>, f. 17, VP.</w:t>
      </w:r>
    </w:p>
    <w:p w:rsidR="00575662" w:rsidRDefault="00575662" w:rsidP="00575662">
      <w:pPr>
        <w:pStyle w:val="SangriaFrancesaArticulo"/>
      </w:pPr>
      <w:r w:rsidRPr="00575662">
        <w:rPr>
          <w:rStyle w:val="TextoNormalNegritaCaracter"/>
        </w:rPr>
        <w:t>Artículo 29.1 a).</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29.1 b).</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29.2.</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30.</w:t>
      </w:r>
      <w:r w:rsidRPr="00575662">
        <w:rPr>
          <w:rStyle w:val="TextoNormalCaracter"/>
        </w:rPr>
        <w:t>-</w:t>
      </w:r>
      <w:r>
        <w:t xml:space="preserve"> Sentencia </w:t>
      </w:r>
      <w:hyperlink w:anchor="SENTENCIA_1997_61" w:history="1">
        <w:r w:rsidRPr="00575662">
          <w:rPr>
            <w:rStyle w:val="TextoNormalCaracter"/>
          </w:rPr>
          <w:t>61/1997</w:t>
        </w:r>
      </w:hyperlink>
      <w:r>
        <w:t>, ff. 17, 32.</w:t>
      </w:r>
    </w:p>
    <w:p w:rsidR="00575662" w:rsidRDefault="00575662" w:rsidP="00575662">
      <w:pPr>
        <w:pStyle w:val="SangriaFrancesaArticulo"/>
      </w:pPr>
      <w:r w:rsidRPr="00575662">
        <w:rPr>
          <w:rStyle w:val="TextoNormalNegritaCaracter"/>
        </w:rPr>
        <w:t>Artículo 30.1.</w:t>
      </w:r>
      <w:r w:rsidRPr="00575662">
        <w:rPr>
          <w:rStyle w:val="TextoNormalCaracter"/>
        </w:rPr>
        <w:t>-</w:t>
      </w:r>
      <w:r>
        <w:t xml:space="preserve"> Sentencia </w:t>
      </w:r>
      <w:hyperlink w:anchor="SENTENCIA_1997_61" w:history="1">
        <w:r w:rsidRPr="00575662">
          <w:rPr>
            <w:rStyle w:val="TextoNormalCaracter"/>
          </w:rPr>
          <w:t>61/1997</w:t>
        </w:r>
      </w:hyperlink>
      <w:r>
        <w:t>, f. 17, VP.</w:t>
      </w:r>
    </w:p>
    <w:p w:rsidR="00575662" w:rsidRDefault="00575662" w:rsidP="00575662">
      <w:pPr>
        <w:pStyle w:val="SangriaFrancesaArticulo"/>
      </w:pPr>
      <w:r w:rsidRPr="00575662">
        <w:rPr>
          <w:rStyle w:val="TextoNormalNegritaCaracter"/>
        </w:rPr>
        <w:t>Artículo 30.3.</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Artículos 30 a 32.</w:t>
      </w:r>
      <w:r w:rsidRPr="00575662">
        <w:rPr>
          <w:rStyle w:val="TextoNormalCaracter"/>
        </w:rPr>
        <w:t>-</w:t>
      </w:r>
      <w:r>
        <w:t xml:space="preserve"> Sentencia </w:t>
      </w:r>
      <w:hyperlink w:anchor="SENTENCIA_1997_61" w:history="1">
        <w:r w:rsidRPr="00575662">
          <w:rPr>
            <w:rStyle w:val="TextoNormalCaracter"/>
          </w:rPr>
          <w:t>61/1997</w:t>
        </w:r>
      </w:hyperlink>
      <w:r>
        <w:t>, f. 20.</w:t>
      </w:r>
    </w:p>
    <w:p w:rsidR="00575662" w:rsidRDefault="00575662" w:rsidP="00575662">
      <w:pPr>
        <w:pStyle w:val="SangriaFrancesaArticulo"/>
      </w:pPr>
      <w:r w:rsidRPr="00575662">
        <w:rPr>
          <w:rStyle w:val="TextoNormalNegritaCaracter"/>
        </w:rPr>
        <w:t>Artículo 31.</w:t>
      </w:r>
      <w:r w:rsidRPr="00575662">
        <w:rPr>
          <w:rStyle w:val="TextoNormalCaracter"/>
        </w:rPr>
        <w:t>-</w:t>
      </w:r>
      <w:r>
        <w:t xml:space="preserve"> Sentencia </w:t>
      </w:r>
      <w:hyperlink w:anchor="SENTENCIA_1997_61" w:history="1">
        <w:r w:rsidRPr="00575662">
          <w:rPr>
            <w:rStyle w:val="TextoNormalCaracter"/>
          </w:rPr>
          <w:t>61/1997</w:t>
        </w:r>
      </w:hyperlink>
      <w:r>
        <w:t>, ff. 17, 20.</w:t>
      </w:r>
    </w:p>
    <w:p w:rsidR="00575662" w:rsidRDefault="00575662" w:rsidP="00575662">
      <w:pPr>
        <w:pStyle w:val="SangriaFrancesaArticulo"/>
      </w:pPr>
      <w:r w:rsidRPr="00575662">
        <w:rPr>
          <w:rStyle w:val="TextoNormalNegritaCaracter"/>
        </w:rPr>
        <w:t>Artículo 31.1.</w:t>
      </w:r>
      <w:r w:rsidRPr="00575662">
        <w:rPr>
          <w:rStyle w:val="TextoNormalCaracter"/>
        </w:rPr>
        <w:t>-</w:t>
      </w:r>
      <w:r>
        <w:t xml:space="preserve"> Sentencia </w:t>
      </w:r>
      <w:hyperlink w:anchor="SENTENCIA_1997_61" w:history="1">
        <w:r w:rsidRPr="00575662">
          <w:rPr>
            <w:rStyle w:val="TextoNormalCaracter"/>
          </w:rPr>
          <w:t>61/1997</w:t>
        </w:r>
      </w:hyperlink>
      <w:r>
        <w:t>, ff. 14, 17, VP.</w:t>
      </w:r>
    </w:p>
    <w:p w:rsidR="00575662" w:rsidRDefault="00575662" w:rsidP="00575662">
      <w:pPr>
        <w:pStyle w:val="SangriaFrancesaArticulo"/>
      </w:pPr>
      <w:r w:rsidRPr="00575662">
        <w:rPr>
          <w:rStyle w:val="TextoNormalNegritaCaracter"/>
        </w:rPr>
        <w:t>Artículo 31.2.</w:t>
      </w:r>
      <w:r w:rsidRPr="00575662">
        <w:rPr>
          <w:rStyle w:val="TextoNormalCaracter"/>
        </w:rPr>
        <w:t>-</w:t>
      </w:r>
      <w:r>
        <w:t xml:space="preserve"> Sentencia </w:t>
      </w:r>
      <w:hyperlink w:anchor="SENTENCIA_1997_61" w:history="1">
        <w:r w:rsidRPr="00575662">
          <w:rPr>
            <w:rStyle w:val="TextoNormalCaracter"/>
          </w:rPr>
          <w:t>61/1997</w:t>
        </w:r>
      </w:hyperlink>
      <w:r>
        <w:t>, f. 17, VP.</w:t>
      </w:r>
    </w:p>
    <w:p w:rsidR="00575662" w:rsidRDefault="00575662" w:rsidP="00575662">
      <w:pPr>
        <w:pStyle w:val="SangriaFrancesaArticulo"/>
      </w:pPr>
      <w:r w:rsidRPr="00575662">
        <w:rPr>
          <w:rStyle w:val="TextoNormalNegritaCaracter"/>
        </w:rPr>
        <w:t>Artículo 32.</w:t>
      </w:r>
      <w:r w:rsidRPr="00575662">
        <w:rPr>
          <w:rStyle w:val="TextoNormalCaracter"/>
        </w:rPr>
        <w:t>-</w:t>
      </w:r>
      <w:r>
        <w:t xml:space="preserve"> Sentencia </w:t>
      </w:r>
      <w:hyperlink w:anchor="SENTENCIA_1997_61" w:history="1">
        <w:r w:rsidRPr="00575662">
          <w:rPr>
            <w:rStyle w:val="TextoNormalCaracter"/>
          </w:rPr>
          <w:t>61/1997</w:t>
        </w:r>
      </w:hyperlink>
      <w:r>
        <w:t>, ff. 17, 20, 30, 32, VP.</w:t>
      </w:r>
    </w:p>
    <w:p w:rsidR="00575662" w:rsidRDefault="00575662" w:rsidP="00575662">
      <w:pPr>
        <w:pStyle w:val="SangriaFrancesaArticulo"/>
      </w:pPr>
      <w:r w:rsidRPr="00575662">
        <w:rPr>
          <w:rStyle w:val="TextoNormalNegritaCaracter"/>
        </w:rPr>
        <w:t>Artículo 32.3.</w:t>
      </w:r>
      <w:r w:rsidRPr="00575662">
        <w:rPr>
          <w:rStyle w:val="TextoNormalCaracter"/>
        </w:rPr>
        <w:t>-</w:t>
      </w:r>
      <w:r>
        <w:t xml:space="preserve"> Sentencia </w:t>
      </w:r>
      <w:hyperlink w:anchor="SENTENCIA_1997_61" w:history="1">
        <w:r w:rsidRPr="00575662">
          <w:rPr>
            <w:rStyle w:val="TextoNormalCaracter"/>
          </w:rPr>
          <w:t>61/1997</w:t>
        </w:r>
      </w:hyperlink>
      <w:r>
        <w:t>, f. 21.</w:t>
      </w:r>
    </w:p>
    <w:p w:rsidR="00575662" w:rsidRDefault="00575662" w:rsidP="00575662">
      <w:pPr>
        <w:pStyle w:val="SangriaFrancesaArticulo"/>
      </w:pPr>
      <w:r w:rsidRPr="00575662">
        <w:rPr>
          <w:rStyle w:val="TextoNormalNegritaCaracter"/>
        </w:rPr>
        <w:t>Artículo 33.</w:t>
      </w:r>
      <w:r w:rsidRPr="00575662">
        <w:rPr>
          <w:rStyle w:val="TextoNormalCaracter"/>
        </w:rPr>
        <w:t>-</w:t>
      </w:r>
      <w:r>
        <w:t xml:space="preserve"> Sentencia </w:t>
      </w:r>
      <w:hyperlink w:anchor="SENTENCIA_1997_61" w:history="1">
        <w:r w:rsidRPr="00575662">
          <w:rPr>
            <w:rStyle w:val="TextoNormalCaracter"/>
          </w:rPr>
          <w:t>61/1997</w:t>
        </w:r>
      </w:hyperlink>
      <w:r>
        <w:t>, ff. 17, 34, VP.</w:t>
      </w:r>
    </w:p>
    <w:p w:rsidR="00575662" w:rsidRDefault="00575662" w:rsidP="00575662">
      <w:pPr>
        <w:pStyle w:val="SangriaFrancesaArticulo"/>
      </w:pPr>
      <w:r w:rsidRPr="00575662">
        <w:rPr>
          <w:rStyle w:val="TextoNormalNegritaCaracter"/>
        </w:rPr>
        <w:t>Artículo 33.1.</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34.</w:t>
      </w:r>
      <w:r w:rsidRPr="00575662">
        <w:rPr>
          <w:rStyle w:val="TextoNormalCaracter"/>
        </w:rPr>
        <w:t>-</w:t>
      </w:r>
      <w:r>
        <w:t xml:space="preserve"> Sentencia </w:t>
      </w:r>
      <w:hyperlink w:anchor="SENTENCIA_1997_61" w:history="1">
        <w:r w:rsidRPr="00575662">
          <w:rPr>
            <w:rStyle w:val="TextoNormalCaracter"/>
          </w:rPr>
          <w:t>61/1997</w:t>
        </w:r>
      </w:hyperlink>
      <w:r>
        <w:t>, f. 17, VP.</w:t>
      </w:r>
    </w:p>
    <w:p w:rsidR="00575662" w:rsidRDefault="00575662" w:rsidP="00575662">
      <w:pPr>
        <w:pStyle w:val="SangriaFrancesaArticulo"/>
      </w:pPr>
      <w:r w:rsidRPr="00575662">
        <w:rPr>
          <w:rStyle w:val="TextoNormalNegritaCaracter"/>
        </w:rPr>
        <w:t>Artículo 35.</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35.1.</w:t>
      </w:r>
      <w:r w:rsidRPr="00575662">
        <w:rPr>
          <w:rStyle w:val="TextoNormalCaracter"/>
        </w:rPr>
        <w:t>-</w:t>
      </w:r>
      <w:r>
        <w:t xml:space="preserve"> Sentencia </w:t>
      </w:r>
      <w:hyperlink w:anchor="SENTENCIA_1997_61" w:history="1">
        <w:r w:rsidRPr="00575662">
          <w:rPr>
            <w:rStyle w:val="TextoNormalCaracter"/>
          </w:rPr>
          <w:t>61/1997</w:t>
        </w:r>
      </w:hyperlink>
      <w:r>
        <w:t>, f. 17, VP.</w:t>
      </w:r>
    </w:p>
    <w:p w:rsidR="00575662" w:rsidRDefault="00575662" w:rsidP="00575662">
      <w:pPr>
        <w:pStyle w:val="SangriaFrancesaArticulo"/>
      </w:pPr>
      <w:r w:rsidRPr="00575662">
        <w:rPr>
          <w:rStyle w:val="TextoNormalNegritaCaracter"/>
        </w:rPr>
        <w:t>Artículo 35.2.</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36.</w:t>
      </w:r>
      <w:r w:rsidRPr="00575662">
        <w:rPr>
          <w:rStyle w:val="TextoNormalCaracter"/>
        </w:rPr>
        <w:t>-</w:t>
      </w:r>
      <w:r>
        <w:t xml:space="preserve"> Sentencia </w:t>
      </w:r>
      <w:hyperlink w:anchor="SENTENCIA_1997_61" w:history="1">
        <w:r w:rsidRPr="00575662">
          <w:rPr>
            <w:rStyle w:val="TextoNormalCaracter"/>
          </w:rPr>
          <w:t>61/1997</w:t>
        </w:r>
      </w:hyperlink>
      <w:r>
        <w:t>, ff. 17, 20, VP.</w:t>
      </w:r>
    </w:p>
    <w:p w:rsidR="00575662" w:rsidRDefault="00575662" w:rsidP="00575662">
      <w:pPr>
        <w:pStyle w:val="SangriaFrancesaArticulo"/>
      </w:pPr>
      <w:r w:rsidRPr="00575662">
        <w:rPr>
          <w:rStyle w:val="TextoNormalNegritaCaracter"/>
        </w:rPr>
        <w:t>Artículo 36.1.</w:t>
      </w:r>
      <w:r w:rsidRPr="00575662">
        <w:rPr>
          <w:rStyle w:val="TextoNormalCaracter"/>
        </w:rPr>
        <w:t>-</w:t>
      </w:r>
      <w:r>
        <w:t xml:space="preserve"> Sentencia </w:t>
      </w:r>
      <w:hyperlink w:anchor="SENTENCIA_1997_61" w:history="1">
        <w:r w:rsidRPr="00575662">
          <w:rPr>
            <w:rStyle w:val="TextoNormalCaracter"/>
          </w:rPr>
          <w:t>61/1997</w:t>
        </w:r>
      </w:hyperlink>
      <w:r>
        <w:t>, f. 17, VP.</w:t>
      </w:r>
    </w:p>
    <w:p w:rsidR="00575662" w:rsidRDefault="00575662" w:rsidP="00575662">
      <w:pPr>
        <w:pStyle w:val="SangriaFrancesaArticulo"/>
      </w:pPr>
      <w:r w:rsidRPr="00575662">
        <w:rPr>
          <w:rStyle w:val="TextoNormalNegritaCaracter"/>
        </w:rPr>
        <w:t>Artículo 36.2.</w:t>
      </w:r>
      <w:r w:rsidRPr="00575662">
        <w:rPr>
          <w:rStyle w:val="TextoNormalCaracter"/>
        </w:rPr>
        <w:t>-</w:t>
      </w:r>
      <w:r>
        <w:t xml:space="preserve"> Sentencia </w:t>
      </w:r>
      <w:hyperlink w:anchor="SENTENCIA_1997_61" w:history="1">
        <w:r w:rsidRPr="00575662">
          <w:rPr>
            <w:rStyle w:val="TextoNormalCaracter"/>
          </w:rPr>
          <w:t>61/1997</w:t>
        </w:r>
      </w:hyperlink>
      <w:r>
        <w:t>, f. 17, VP.</w:t>
      </w:r>
    </w:p>
    <w:p w:rsidR="00575662" w:rsidRDefault="00575662" w:rsidP="00575662">
      <w:pPr>
        <w:pStyle w:val="SangriaFrancesaArticulo"/>
      </w:pPr>
      <w:r w:rsidRPr="00575662">
        <w:rPr>
          <w:rStyle w:val="TextoNormalNegritaCaracter"/>
        </w:rPr>
        <w:lastRenderedPageBreak/>
        <w:t>Artículo 37.</w:t>
      </w:r>
      <w:r w:rsidRPr="00575662">
        <w:rPr>
          <w:rStyle w:val="TextoNormalCaracter"/>
        </w:rPr>
        <w:t>-</w:t>
      </w:r>
      <w:r>
        <w:t xml:space="preserve"> Sentencia </w:t>
      </w:r>
      <w:hyperlink w:anchor="SENTENCIA_1997_61" w:history="1">
        <w:r w:rsidRPr="00575662">
          <w:rPr>
            <w:rStyle w:val="TextoNormalCaracter"/>
          </w:rPr>
          <w:t>61/1997</w:t>
        </w:r>
      </w:hyperlink>
      <w:r>
        <w:t>, ff. 17, 34, VP.</w:t>
      </w:r>
    </w:p>
    <w:p w:rsidR="00575662" w:rsidRDefault="00575662" w:rsidP="00575662">
      <w:pPr>
        <w:pStyle w:val="SangriaFrancesaArticulo"/>
      </w:pPr>
      <w:r w:rsidRPr="00575662">
        <w:rPr>
          <w:rStyle w:val="TextoNormalNegritaCaracter"/>
        </w:rPr>
        <w:t>Artículo 37.1.</w:t>
      </w:r>
      <w:r w:rsidRPr="00575662">
        <w:rPr>
          <w:rStyle w:val="TextoNormalCaracter"/>
        </w:rPr>
        <w:t>-</w:t>
      </w:r>
      <w:r>
        <w:t xml:space="preserve"> Sentencia </w:t>
      </w:r>
      <w:hyperlink w:anchor="SENTENCIA_1997_61" w:history="1">
        <w:r w:rsidRPr="00575662">
          <w:rPr>
            <w:rStyle w:val="TextoNormalCaracter"/>
          </w:rPr>
          <w:t>61/1997</w:t>
        </w:r>
      </w:hyperlink>
      <w:r>
        <w:t>, f. 34.</w:t>
      </w:r>
    </w:p>
    <w:p w:rsidR="00575662" w:rsidRDefault="00575662" w:rsidP="00575662">
      <w:pPr>
        <w:pStyle w:val="SangriaFrancesaArticulo"/>
      </w:pPr>
      <w:r w:rsidRPr="00575662">
        <w:rPr>
          <w:rStyle w:val="TextoNormalNegritaCaracter"/>
        </w:rPr>
        <w:t>Artículo 38.</w:t>
      </w:r>
      <w:r w:rsidRPr="00575662">
        <w:rPr>
          <w:rStyle w:val="TextoNormalCaracter"/>
        </w:rPr>
        <w:t>-</w:t>
      </w:r>
      <w:r>
        <w:t xml:space="preserve"> Sentencia </w:t>
      </w:r>
      <w:hyperlink w:anchor="SENTENCIA_1997_61" w:history="1">
        <w:r w:rsidRPr="00575662">
          <w:rPr>
            <w:rStyle w:val="TextoNormalCaracter"/>
          </w:rPr>
          <w:t>61/1997</w:t>
        </w:r>
      </w:hyperlink>
      <w:r>
        <w:t>, ff. 17, 20, 34.</w:t>
      </w:r>
    </w:p>
    <w:p w:rsidR="00575662" w:rsidRDefault="00575662" w:rsidP="00575662">
      <w:pPr>
        <w:pStyle w:val="SangriaFrancesaArticulo"/>
      </w:pPr>
      <w:r w:rsidRPr="00575662">
        <w:rPr>
          <w:rStyle w:val="TextoNormalNegritaCaracter"/>
        </w:rPr>
        <w:t>Artículo 38.1.</w:t>
      </w:r>
      <w:r w:rsidRPr="00575662">
        <w:rPr>
          <w:rStyle w:val="TextoNormalCaracter"/>
        </w:rPr>
        <w:t>-</w:t>
      </w:r>
      <w:r>
        <w:t xml:space="preserve"> Sentencia </w:t>
      </w:r>
      <w:hyperlink w:anchor="SENTENCIA_1997_61" w:history="1">
        <w:r w:rsidRPr="00575662">
          <w:rPr>
            <w:rStyle w:val="TextoNormalCaracter"/>
          </w:rPr>
          <w:t>61/1997</w:t>
        </w:r>
      </w:hyperlink>
      <w:r>
        <w:t>, f. 17, VP.</w:t>
      </w:r>
    </w:p>
    <w:p w:rsidR="00575662" w:rsidRDefault="00575662" w:rsidP="00575662">
      <w:pPr>
        <w:pStyle w:val="SangriaFrancesaArticulo"/>
      </w:pPr>
      <w:r w:rsidRPr="00575662">
        <w:rPr>
          <w:rStyle w:val="TextoNormalNegritaCaracter"/>
        </w:rPr>
        <w:t>Artículo 38.2.</w:t>
      </w:r>
      <w:r w:rsidRPr="00575662">
        <w:rPr>
          <w:rStyle w:val="TextoNormalCaracter"/>
        </w:rPr>
        <w:t>-</w:t>
      </w:r>
      <w:r>
        <w:t xml:space="preserve"> Sentencia </w:t>
      </w:r>
      <w:hyperlink w:anchor="SENTENCIA_1997_61" w:history="1">
        <w:r w:rsidRPr="00575662">
          <w:rPr>
            <w:rStyle w:val="TextoNormalCaracter"/>
          </w:rPr>
          <w:t>61/1997</w:t>
        </w:r>
      </w:hyperlink>
      <w:r>
        <w:t>, f. 17, VP.</w:t>
      </w:r>
    </w:p>
    <w:p w:rsidR="00575662" w:rsidRDefault="00575662" w:rsidP="00575662">
      <w:pPr>
        <w:pStyle w:val="SangriaFrancesaArticulo"/>
      </w:pPr>
      <w:r w:rsidRPr="00575662">
        <w:rPr>
          <w:rStyle w:val="TextoNormalNegritaCaracter"/>
        </w:rPr>
        <w:t>Artículo 38.3.</w:t>
      </w:r>
      <w:r w:rsidRPr="00575662">
        <w:rPr>
          <w:rStyle w:val="TextoNormalCaracter"/>
        </w:rPr>
        <w:t>-</w:t>
      </w:r>
      <w:r>
        <w:t xml:space="preserve"> Sentencia </w:t>
      </w:r>
      <w:hyperlink w:anchor="SENTENCIA_1997_61" w:history="1">
        <w:r w:rsidRPr="00575662">
          <w:rPr>
            <w:rStyle w:val="TextoNormalCaracter"/>
          </w:rPr>
          <w:t>61/1997</w:t>
        </w:r>
      </w:hyperlink>
      <w:r>
        <w:t>, f. 17, VP.</w:t>
      </w:r>
    </w:p>
    <w:p w:rsidR="00575662" w:rsidRDefault="00575662" w:rsidP="00575662">
      <w:pPr>
        <w:pStyle w:val="SangriaFrancesaArticulo"/>
      </w:pPr>
      <w:r w:rsidRPr="00575662">
        <w:rPr>
          <w:rStyle w:val="TextoNormalNegritaCaracter"/>
        </w:rPr>
        <w:t>Artículo 39.</w:t>
      </w:r>
      <w:r w:rsidRPr="00575662">
        <w:rPr>
          <w:rStyle w:val="TextoNormalCaracter"/>
        </w:rPr>
        <w:t>-</w:t>
      </w:r>
      <w:r>
        <w:t xml:space="preserve"> Sentencia </w:t>
      </w:r>
      <w:hyperlink w:anchor="SENTENCIA_1997_61" w:history="1">
        <w:r w:rsidRPr="00575662">
          <w:rPr>
            <w:rStyle w:val="TextoNormalCaracter"/>
          </w:rPr>
          <w:t>61/1997</w:t>
        </w:r>
      </w:hyperlink>
      <w:r>
        <w:t>, ff. 14, 17, VP.</w:t>
      </w:r>
    </w:p>
    <w:p w:rsidR="00575662" w:rsidRDefault="00575662" w:rsidP="00575662">
      <w:pPr>
        <w:pStyle w:val="SangriaFrancesaArticulo"/>
      </w:pPr>
      <w:r w:rsidRPr="00575662">
        <w:rPr>
          <w:rStyle w:val="TextoNormalNegritaCaracter"/>
        </w:rPr>
        <w:t>Artículo 40.</w:t>
      </w:r>
      <w:r w:rsidRPr="00575662">
        <w:rPr>
          <w:rStyle w:val="TextoNormalCaracter"/>
        </w:rPr>
        <w:t>-</w:t>
      </w:r>
      <w:r>
        <w:t xml:space="preserve"> Sentencia </w:t>
      </w:r>
      <w:hyperlink w:anchor="SENTENCIA_1997_61" w:history="1">
        <w:r w:rsidRPr="00575662">
          <w:rPr>
            <w:rStyle w:val="TextoNormalCaracter"/>
          </w:rPr>
          <w:t>61/1997</w:t>
        </w:r>
      </w:hyperlink>
      <w:r>
        <w:t>, ff. 17, 34, VP.</w:t>
      </w:r>
    </w:p>
    <w:p w:rsidR="00575662" w:rsidRDefault="00575662" w:rsidP="00575662">
      <w:pPr>
        <w:pStyle w:val="SangriaFrancesaArticulo"/>
      </w:pPr>
      <w:r w:rsidRPr="00575662">
        <w:rPr>
          <w:rStyle w:val="TextoNormalNegritaCaracter"/>
        </w:rPr>
        <w:t>Artículo 40.1.</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40.2.</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40.3.</w:t>
      </w:r>
      <w:r w:rsidRPr="00575662">
        <w:rPr>
          <w:rStyle w:val="TextoNormalCaracter"/>
        </w:rPr>
        <w:t>-</w:t>
      </w:r>
      <w:r>
        <w:t xml:space="preserve"> Sentencia </w:t>
      </w:r>
      <w:hyperlink w:anchor="SENTENCIA_1997_61" w:history="1">
        <w:r w:rsidRPr="00575662">
          <w:rPr>
            <w:rStyle w:val="TextoNormalCaracter"/>
          </w:rPr>
          <w:t>61/1997</w:t>
        </w:r>
      </w:hyperlink>
      <w:r>
        <w:t>, ff. 17, 34, VP.</w:t>
      </w:r>
    </w:p>
    <w:p w:rsidR="00575662" w:rsidRDefault="00575662" w:rsidP="00575662">
      <w:pPr>
        <w:pStyle w:val="SangriaFrancesaArticulo"/>
      </w:pPr>
      <w:r w:rsidRPr="00575662">
        <w:rPr>
          <w:rStyle w:val="TextoNormalNegritaCaracter"/>
        </w:rPr>
        <w:t>Artículo 40.4.</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41.</w:t>
      </w:r>
      <w:r w:rsidRPr="00575662">
        <w:rPr>
          <w:rStyle w:val="TextoNormalCaracter"/>
        </w:rPr>
        <w:t>-</w:t>
      </w:r>
      <w:r>
        <w:t xml:space="preserve"> Sentencia </w:t>
      </w:r>
      <w:hyperlink w:anchor="SENTENCIA_1997_61" w:history="1">
        <w:r w:rsidRPr="00575662">
          <w:rPr>
            <w:rStyle w:val="TextoNormalCaracter"/>
          </w:rPr>
          <w:t>61/1997</w:t>
        </w:r>
      </w:hyperlink>
      <w:r>
        <w:t>, f. 17, VP.</w:t>
      </w:r>
    </w:p>
    <w:p w:rsidR="00575662" w:rsidRDefault="00575662" w:rsidP="00575662">
      <w:pPr>
        <w:pStyle w:val="SangriaFrancesaArticulo"/>
      </w:pPr>
      <w:r w:rsidRPr="00575662">
        <w:rPr>
          <w:rStyle w:val="TextoNormalNegritaCaracter"/>
        </w:rPr>
        <w:t>Artículo 41.1.</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41.2.</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42.</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42.1.</w:t>
      </w:r>
      <w:r w:rsidRPr="00575662">
        <w:rPr>
          <w:rStyle w:val="TextoNormalCaracter"/>
        </w:rPr>
        <w:t>-</w:t>
      </w:r>
      <w:r>
        <w:t xml:space="preserve"> Sentencia </w:t>
      </w:r>
      <w:hyperlink w:anchor="SENTENCIA_1997_61" w:history="1">
        <w:r w:rsidRPr="00575662">
          <w:rPr>
            <w:rStyle w:val="TextoNormalCaracter"/>
          </w:rPr>
          <w:t>61/1997</w:t>
        </w:r>
      </w:hyperlink>
      <w:r>
        <w:t>, f. 17, VP.</w:t>
      </w:r>
    </w:p>
    <w:p w:rsidR="00575662" w:rsidRDefault="00575662" w:rsidP="00575662">
      <w:pPr>
        <w:pStyle w:val="SangriaFrancesaArticulo"/>
      </w:pPr>
      <w:r w:rsidRPr="00575662">
        <w:rPr>
          <w:rStyle w:val="TextoNormalNegritaCaracter"/>
        </w:rPr>
        <w:t>Artículo 42.2.</w:t>
      </w:r>
      <w:r w:rsidRPr="00575662">
        <w:rPr>
          <w:rStyle w:val="TextoNormalCaracter"/>
        </w:rPr>
        <w:t>-</w:t>
      </w:r>
      <w:r>
        <w:t xml:space="preserve"> Sentencia </w:t>
      </w:r>
      <w:hyperlink w:anchor="SENTENCIA_1997_61" w:history="1">
        <w:r w:rsidRPr="00575662">
          <w:rPr>
            <w:rStyle w:val="TextoNormalCaracter"/>
          </w:rPr>
          <w:t>61/1997</w:t>
        </w:r>
      </w:hyperlink>
      <w:r>
        <w:t>, f. 17, VP.</w:t>
      </w:r>
    </w:p>
    <w:p w:rsidR="00575662" w:rsidRDefault="00575662" w:rsidP="00575662">
      <w:pPr>
        <w:pStyle w:val="SangriaFrancesaArticulo"/>
      </w:pPr>
      <w:r w:rsidRPr="00575662">
        <w:rPr>
          <w:rStyle w:val="TextoNormalNegritaCaracter"/>
        </w:rPr>
        <w:t>Artículo 42.3.</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42.4.</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Artículo 43.</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43.3.</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45.</w:t>
      </w:r>
      <w:r w:rsidRPr="00575662">
        <w:rPr>
          <w:rStyle w:val="TextoNormalCaracter"/>
        </w:rPr>
        <w:t>-</w:t>
      </w:r>
      <w:r>
        <w:t xml:space="preserve"> Sentencia </w:t>
      </w:r>
      <w:hyperlink w:anchor="SENTENCIA_1997_61" w:history="1">
        <w:r w:rsidRPr="00575662">
          <w:rPr>
            <w:rStyle w:val="TextoNormalCaracter"/>
          </w:rPr>
          <w:t>61/1997</w:t>
        </w:r>
      </w:hyperlink>
      <w:r>
        <w:t>, f. 4.</w:t>
      </w:r>
    </w:p>
    <w:p w:rsidR="00575662" w:rsidRDefault="00575662" w:rsidP="00575662">
      <w:pPr>
        <w:pStyle w:val="SangriaFrancesaArticulo"/>
      </w:pPr>
      <w:r w:rsidRPr="00575662">
        <w:rPr>
          <w:rStyle w:val="TextoNormalNegritaCaracter"/>
        </w:rPr>
        <w:t>Artículo 46.</w:t>
      </w:r>
      <w:r w:rsidRPr="00575662">
        <w:rPr>
          <w:rStyle w:val="TextoNormalCaracter"/>
        </w:rPr>
        <w:t>-</w:t>
      </w:r>
      <w:r>
        <w:t xml:space="preserve"> Sentencia </w:t>
      </w:r>
      <w:hyperlink w:anchor="SENTENCIA_1997_61" w:history="1">
        <w:r w:rsidRPr="00575662">
          <w:rPr>
            <w:rStyle w:val="TextoNormalCaracter"/>
          </w:rPr>
          <w:t>61/1997</w:t>
        </w:r>
      </w:hyperlink>
      <w:r>
        <w:t>, f. 18.</w:t>
      </w:r>
    </w:p>
    <w:p w:rsidR="00575662" w:rsidRDefault="00575662" w:rsidP="00575662">
      <w:pPr>
        <w:pStyle w:val="SangriaFrancesaArticulo"/>
      </w:pPr>
      <w:r w:rsidRPr="00575662">
        <w:rPr>
          <w:rStyle w:val="TextoNormalNegritaCaracter"/>
        </w:rPr>
        <w:t>Artículos 46 a 57.</w:t>
      </w:r>
      <w:r w:rsidRPr="00575662">
        <w:rPr>
          <w:rStyle w:val="TextoNormalCaracter"/>
        </w:rPr>
        <w:t>-</w:t>
      </w:r>
      <w:r>
        <w:t xml:space="preserve"> Sentencia </w:t>
      </w:r>
      <w:hyperlink w:anchor="SENTENCIA_1997_61" w:history="1">
        <w:r w:rsidRPr="00575662">
          <w:rPr>
            <w:rStyle w:val="TextoNormalCaracter"/>
          </w:rPr>
          <w:t>61/1997</w:t>
        </w:r>
      </w:hyperlink>
      <w:r>
        <w:t>, f. 18.</w:t>
      </w:r>
    </w:p>
    <w:p w:rsidR="00575662" w:rsidRDefault="00575662" w:rsidP="00575662">
      <w:pPr>
        <w:pStyle w:val="SangriaFrancesaArticulo"/>
      </w:pPr>
      <w:r w:rsidRPr="00575662">
        <w:rPr>
          <w:rStyle w:val="TextoNormalNegritaCaracter"/>
        </w:rPr>
        <w:t>Artículo 47.</w:t>
      </w:r>
      <w:r w:rsidRPr="00575662">
        <w:rPr>
          <w:rStyle w:val="TextoNormalCaracter"/>
        </w:rPr>
        <w:t>-</w:t>
      </w:r>
      <w:r>
        <w:t xml:space="preserve"> Sentencia </w:t>
      </w:r>
      <w:hyperlink w:anchor="SENTENCIA_1997_61" w:history="1">
        <w:r w:rsidRPr="00575662">
          <w:rPr>
            <w:rStyle w:val="TextoNormalCaracter"/>
          </w:rPr>
          <w:t>61/1997</w:t>
        </w:r>
      </w:hyperlink>
      <w:r>
        <w:t>, f. 18.</w:t>
      </w:r>
    </w:p>
    <w:p w:rsidR="00575662" w:rsidRDefault="00575662" w:rsidP="00575662">
      <w:pPr>
        <w:pStyle w:val="SangriaFrancesaArticulo"/>
      </w:pPr>
      <w:r w:rsidRPr="00575662">
        <w:rPr>
          <w:rStyle w:val="TextoNormalNegritaCaracter"/>
        </w:rPr>
        <w:t>Artículo 47 b).</w:t>
      </w:r>
      <w:r w:rsidRPr="00575662">
        <w:rPr>
          <w:rStyle w:val="TextoNormalCaracter"/>
        </w:rPr>
        <w:t>-</w:t>
      </w:r>
      <w:r>
        <w:t xml:space="preserve"> Sentencia </w:t>
      </w:r>
      <w:hyperlink w:anchor="SENTENCIA_1997_61" w:history="1">
        <w:r w:rsidRPr="00575662">
          <w:rPr>
            <w:rStyle w:val="TextoNormalCaracter"/>
          </w:rPr>
          <w:t>61/1997</w:t>
        </w:r>
      </w:hyperlink>
      <w:r>
        <w:t>, ff. 18, 19.</w:t>
      </w:r>
    </w:p>
    <w:p w:rsidR="00575662" w:rsidRDefault="00575662" w:rsidP="00575662">
      <w:pPr>
        <w:pStyle w:val="SangriaFrancesaArticulo"/>
      </w:pPr>
      <w:r w:rsidRPr="00575662">
        <w:rPr>
          <w:rStyle w:val="TextoNormalNegritaCaracter"/>
        </w:rPr>
        <w:t>Artículo 48.</w:t>
      </w:r>
      <w:r w:rsidRPr="00575662">
        <w:rPr>
          <w:rStyle w:val="TextoNormalCaracter"/>
        </w:rPr>
        <w:t>-</w:t>
      </w:r>
      <w:r>
        <w:t xml:space="preserve"> Sentencia </w:t>
      </w:r>
      <w:hyperlink w:anchor="SENTENCIA_1997_61" w:history="1">
        <w:r w:rsidRPr="00575662">
          <w:rPr>
            <w:rStyle w:val="TextoNormalCaracter"/>
          </w:rPr>
          <w:t>61/1997</w:t>
        </w:r>
      </w:hyperlink>
      <w:r>
        <w:t>, f. 18.</w:t>
      </w:r>
    </w:p>
    <w:p w:rsidR="00575662" w:rsidRDefault="00575662" w:rsidP="00575662">
      <w:pPr>
        <w:pStyle w:val="SangriaFrancesaArticulo"/>
      </w:pPr>
      <w:r w:rsidRPr="00575662">
        <w:rPr>
          <w:rStyle w:val="TextoNormalNegritaCaracter"/>
        </w:rPr>
        <w:t>Artículo 48.2.</w:t>
      </w:r>
      <w:r w:rsidRPr="00575662">
        <w:rPr>
          <w:rStyle w:val="TextoNormalCaracter"/>
        </w:rPr>
        <w:t>-</w:t>
      </w:r>
      <w:r>
        <w:t xml:space="preserve"> Sentencia </w:t>
      </w:r>
      <w:hyperlink w:anchor="SENTENCIA_1997_61" w:history="1">
        <w:r w:rsidRPr="00575662">
          <w:rPr>
            <w:rStyle w:val="TextoNormalCaracter"/>
          </w:rPr>
          <w:t>61/1997</w:t>
        </w:r>
      </w:hyperlink>
      <w:r>
        <w:t>, ff. 18, 19.</w:t>
      </w:r>
    </w:p>
    <w:p w:rsidR="00575662" w:rsidRDefault="00575662" w:rsidP="00575662">
      <w:pPr>
        <w:pStyle w:val="SangriaFrancesaArticulo"/>
      </w:pPr>
      <w:r w:rsidRPr="00575662">
        <w:rPr>
          <w:rStyle w:val="TextoNormalNegritaCaracter"/>
        </w:rPr>
        <w:t>Artículos 48 a 57.</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49.</w:t>
      </w:r>
      <w:r w:rsidRPr="00575662">
        <w:rPr>
          <w:rStyle w:val="TextoNormalCaracter"/>
        </w:rPr>
        <w:t>-</w:t>
      </w:r>
      <w:r>
        <w:t xml:space="preserve"> Sentencia </w:t>
      </w:r>
      <w:hyperlink w:anchor="SENTENCIA_1997_61" w:history="1">
        <w:r w:rsidRPr="00575662">
          <w:rPr>
            <w:rStyle w:val="TextoNormalCaracter"/>
          </w:rPr>
          <w:t>61/1997</w:t>
        </w:r>
      </w:hyperlink>
      <w:r>
        <w:t>, f. 18.</w:t>
      </w:r>
    </w:p>
    <w:p w:rsidR="00575662" w:rsidRDefault="00575662" w:rsidP="00575662">
      <w:pPr>
        <w:pStyle w:val="SangriaFrancesaArticulo"/>
      </w:pPr>
      <w:r w:rsidRPr="00575662">
        <w:rPr>
          <w:rStyle w:val="TextoNormalNegritaCaracter"/>
        </w:rPr>
        <w:t>Artículo 50.</w:t>
      </w:r>
      <w:r w:rsidRPr="00575662">
        <w:rPr>
          <w:rStyle w:val="TextoNormalCaracter"/>
        </w:rPr>
        <w:t>-</w:t>
      </w:r>
      <w:r>
        <w:t xml:space="preserve"> Sentencia </w:t>
      </w:r>
      <w:hyperlink w:anchor="SENTENCIA_1997_61" w:history="1">
        <w:r w:rsidRPr="00575662">
          <w:rPr>
            <w:rStyle w:val="TextoNormalCaracter"/>
          </w:rPr>
          <w:t>61/1997</w:t>
        </w:r>
      </w:hyperlink>
      <w:r>
        <w:t>, f. 18.</w:t>
      </w:r>
    </w:p>
    <w:p w:rsidR="00575662" w:rsidRDefault="00575662" w:rsidP="00575662">
      <w:pPr>
        <w:pStyle w:val="SangriaFrancesaArticulo"/>
      </w:pPr>
      <w:r w:rsidRPr="00575662">
        <w:rPr>
          <w:rStyle w:val="TextoNormalNegritaCaracter"/>
        </w:rPr>
        <w:t>Artículo 51.1.</w:t>
      </w:r>
      <w:r w:rsidRPr="00575662">
        <w:rPr>
          <w:rStyle w:val="TextoNormalCaracter"/>
        </w:rPr>
        <w:t>-</w:t>
      </w:r>
      <w:r>
        <w:t xml:space="preserve"> Sentencia </w:t>
      </w:r>
      <w:hyperlink w:anchor="SENTENCIA_1997_61" w:history="1">
        <w:r w:rsidRPr="00575662">
          <w:rPr>
            <w:rStyle w:val="TextoNormalCaracter"/>
          </w:rPr>
          <w:t>61/1997</w:t>
        </w:r>
      </w:hyperlink>
      <w:r>
        <w:t>, f. 18.</w:t>
      </w:r>
    </w:p>
    <w:p w:rsidR="00575662" w:rsidRDefault="00575662" w:rsidP="00575662">
      <w:pPr>
        <w:pStyle w:val="SangriaFrancesaArticulo"/>
      </w:pPr>
      <w:r w:rsidRPr="00575662">
        <w:rPr>
          <w:rStyle w:val="TextoNormalNegritaCaracter"/>
        </w:rPr>
        <w:t>Artículo 51.2.</w:t>
      </w:r>
      <w:r w:rsidRPr="00575662">
        <w:rPr>
          <w:rStyle w:val="TextoNormalCaracter"/>
        </w:rPr>
        <w:t>-</w:t>
      </w:r>
      <w:r>
        <w:t xml:space="preserve"> Sentencia </w:t>
      </w:r>
      <w:hyperlink w:anchor="SENTENCIA_1997_61" w:history="1">
        <w:r w:rsidRPr="00575662">
          <w:rPr>
            <w:rStyle w:val="TextoNormalCaracter"/>
          </w:rPr>
          <w:t>61/1997</w:t>
        </w:r>
      </w:hyperlink>
      <w:r>
        <w:t>, f. 18.</w:t>
      </w:r>
    </w:p>
    <w:p w:rsidR="00575662" w:rsidRDefault="00575662" w:rsidP="00575662">
      <w:pPr>
        <w:pStyle w:val="SangriaFrancesaArticulo"/>
      </w:pPr>
      <w:r w:rsidRPr="00575662">
        <w:rPr>
          <w:rStyle w:val="TextoNormalNegritaCaracter"/>
        </w:rPr>
        <w:t>Artículo 51.3.</w:t>
      </w:r>
      <w:r w:rsidRPr="00575662">
        <w:rPr>
          <w:rStyle w:val="TextoNormalCaracter"/>
        </w:rPr>
        <w:t>-</w:t>
      </w:r>
      <w:r>
        <w:t xml:space="preserve"> Sentencia </w:t>
      </w:r>
      <w:hyperlink w:anchor="SENTENCIA_1997_61" w:history="1">
        <w:r w:rsidRPr="00575662">
          <w:rPr>
            <w:rStyle w:val="TextoNormalCaracter"/>
          </w:rPr>
          <w:t>61/1997</w:t>
        </w:r>
      </w:hyperlink>
      <w:r>
        <w:t>, ff. 4, 18.</w:t>
      </w:r>
    </w:p>
    <w:p w:rsidR="00575662" w:rsidRDefault="00575662" w:rsidP="00575662">
      <w:pPr>
        <w:pStyle w:val="SangriaFrancesaArticulo"/>
      </w:pPr>
      <w:r w:rsidRPr="00575662">
        <w:rPr>
          <w:rStyle w:val="TextoNormalNegritaCaracter"/>
        </w:rPr>
        <w:t>Artículo 52.</w:t>
      </w:r>
      <w:r w:rsidRPr="00575662">
        <w:rPr>
          <w:rStyle w:val="TextoNormalCaracter"/>
        </w:rPr>
        <w:t>-</w:t>
      </w:r>
      <w:r>
        <w:t xml:space="preserve"> Sentencia </w:t>
      </w:r>
      <w:hyperlink w:anchor="SENTENCIA_1997_61" w:history="1">
        <w:r w:rsidRPr="00575662">
          <w:rPr>
            <w:rStyle w:val="TextoNormalCaracter"/>
          </w:rPr>
          <w:t>61/1997</w:t>
        </w:r>
      </w:hyperlink>
      <w:r>
        <w:t>, f. 18.</w:t>
      </w:r>
    </w:p>
    <w:p w:rsidR="00575662" w:rsidRDefault="00575662" w:rsidP="00575662">
      <w:pPr>
        <w:pStyle w:val="SangriaFrancesaArticulo"/>
      </w:pPr>
      <w:r w:rsidRPr="00575662">
        <w:rPr>
          <w:rStyle w:val="TextoNormalNegritaCaracter"/>
        </w:rPr>
        <w:t>Artículo 53.</w:t>
      </w:r>
      <w:r w:rsidRPr="00575662">
        <w:rPr>
          <w:rStyle w:val="TextoNormalCaracter"/>
        </w:rPr>
        <w:t>-</w:t>
      </w:r>
      <w:r>
        <w:t xml:space="preserve"> Sentencia </w:t>
      </w:r>
      <w:hyperlink w:anchor="SENTENCIA_1997_61" w:history="1">
        <w:r w:rsidRPr="00575662">
          <w:rPr>
            <w:rStyle w:val="TextoNormalCaracter"/>
          </w:rPr>
          <w:t>61/1997</w:t>
        </w:r>
      </w:hyperlink>
      <w:r>
        <w:t>, f. 18.</w:t>
      </w:r>
    </w:p>
    <w:p w:rsidR="00575662" w:rsidRDefault="00575662" w:rsidP="00575662">
      <w:pPr>
        <w:pStyle w:val="SangriaFrancesaArticulo"/>
      </w:pPr>
      <w:r w:rsidRPr="00575662">
        <w:rPr>
          <w:rStyle w:val="TextoNormalNegritaCaracter"/>
        </w:rPr>
        <w:t>Artículo 54.</w:t>
      </w:r>
      <w:r w:rsidRPr="00575662">
        <w:rPr>
          <w:rStyle w:val="TextoNormalCaracter"/>
        </w:rPr>
        <w:t>-</w:t>
      </w:r>
      <w:r>
        <w:t xml:space="preserve"> Sentencia </w:t>
      </w:r>
      <w:hyperlink w:anchor="SENTENCIA_1997_61" w:history="1">
        <w:r w:rsidRPr="00575662">
          <w:rPr>
            <w:rStyle w:val="TextoNormalCaracter"/>
          </w:rPr>
          <w:t>61/1997</w:t>
        </w:r>
      </w:hyperlink>
      <w:r>
        <w:t>, ff. 4, 18.</w:t>
      </w:r>
    </w:p>
    <w:p w:rsidR="00575662" w:rsidRDefault="00575662" w:rsidP="00575662">
      <w:pPr>
        <w:pStyle w:val="SangriaFrancesaArticulo"/>
      </w:pPr>
      <w:r w:rsidRPr="00575662">
        <w:rPr>
          <w:rStyle w:val="TextoNormalNegritaCaracter"/>
        </w:rPr>
        <w:t>Artículo 55.</w:t>
      </w:r>
      <w:r w:rsidRPr="00575662">
        <w:rPr>
          <w:rStyle w:val="TextoNormalCaracter"/>
        </w:rPr>
        <w:t>-</w:t>
      </w:r>
      <w:r>
        <w:t xml:space="preserve"> Sentencia </w:t>
      </w:r>
      <w:hyperlink w:anchor="SENTENCIA_1997_61" w:history="1">
        <w:r w:rsidRPr="00575662">
          <w:rPr>
            <w:rStyle w:val="TextoNormalCaracter"/>
          </w:rPr>
          <w:t>61/1997</w:t>
        </w:r>
      </w:hyperlink>
      <w:r>
        <w:t>, ff. 4, 18.</w:t>
      </w:r>
    </w:p>
    <w:p w:rsidR="00575662" w:rsidRDefault="00575662" w:rsidP="00575662">
      <w:pPr>
        <w:pStyle w:val="SangriaFrancesaArticulo"/>
      </w:pPr>
      <w:r w:rsidRPr="00575662">
        <w:rPr>
          <w:rStyle w:val="TextoNormalNegritaCaracter"/>
        </w:rPr>
        <w:t>Artículo 56.</w:t>
      </w:r>
      <w:r w:rsidRPr="00575662">
        <w:rPr>
          <w:rStyle w:val="TextoNormalCaracter"/>
        </w:rPr>
        <w:t>-</w:t>
      </w:r>
      <w:r>
        <w:t xml:space="preserve"> Sentencia </w:t>
      </w:r>
      <w:hyperlink w:anchor="SENTENCIA_1997_61" w:history="1">
        <w:r w:rsidRPr="00575662">
          <w:rPr>
            <w:rStyle w:val="TextoNormalCaracter"/>
          </w:rPr>
          <w:t>61/1997</w:t>
        </w:r>
      </w:hyperlink>
      <w:r>
        <w:t>, ff. 4, 18.</w:t>
      </w:r>
    </w:p>
    <w:p w:rsidR="00575662" w:rsidRDefault="00575662" w:rsidP="00575662">
      <w:pPr>
        <w:pStyle w:val="SangriaFrancesaArticulo"/>
      </w:pPr>
      <w:r w:rsidRPr="00575662">
        <w:rPr>
          <w:rStyle w:val="TextoNormalNegritaCaracter"/>
        </w:rPr>
        <w:t>Artículo 57.</w:t>
      </w:r>
      <w:r w:rsidRPr="00575662">
        <w:rPr>
          <w:rStyle w:val="TextoNormalCaracter"/>
        </w:rPr>
        <w:t>-</w:t>
      </w:r>
      <w:r>
        <w:t xml:space="preserve"> Sentencia </w:t>
      </w:r>
      <w:hyperlink w:anchor="SENTENCIA_1997_61" w:history="1">
        <w:r w:rsidRPr="00575662">
          <w:rPr>
            <w:rStyle w:val="TextoNormalCaracter"/>
          </w:rPr>
          <w:t>61/1997</w:t>
        </w:r>
      </w:hyperlink>
      <w:r>
        <w:t>, ff. 4, 18.</w:t>
      </w:r>
    </w:p>
    <w:p w:rsidR="00575662" w:rsidRDefault="00575662" w:rsidP="00575662">
      <w:pPr>
        <w:pStyle w:val="SangriaFrancesaArticulo"/>
      </w:pPr>
      <w:r w:rsidRPr="00575662">
        <w:rPr>
          <w:rStyle w:val="TextoNormalNegritaCaracter"/>
        </w:rPr>
        <w:t>Artículo 58.</w:t>
      </w:r>
      <w:r w:rsidRPr="00575662">
        <w:rPr>
          <w:rStyle w:val="TextoNormalCaracter"/>
        </w:rPr>
        <w:t>-</w:t>
      </w:r>
      <w:r>
        <w:t xml:space="preserve"> Sentencia </w:t>
      </w:r>
      <w:hyperlink w:anchor="SENTENCIA_1997_61" w:history="1">
        <w:r w:rsidRPr="00575662">
          <w:rPr>
            <w:rStyle w:val="TextoNormalCaracter"/>
          </w:rPr>
          <w:t>61/1997</w:t>
        </w:r>
      </w:hyperlink>
      <w:r>
        <w:t>, ff. 4, 18.</w:t>
      </w:r>
    </w:p>
    <w:p w:rsidR="00575662" w:rsidRDefault="00575662" w:rsidP="00575662">
      <w:pPr>
        <w:pStyle w:val="SangriaFrancesaArticulo"/>
      </w:pPr>
      <w:r w:rsidRPr="00575662">
        <w:rPr>
          <w:rStyle w:val="TextoNormalNegritaCaracter"/>
        </w:rPr>
        <w:t>Artículo 59.</w:t>
      </w:r>
      <w:r w:rsidRPr="00575662">
        <w:rPr>
          <w:rStyle w:val="TextoNormalCaracter"/>
        </w:rPr>
        <w:t>-</w:t>
      </w:r>
      <w:r>
        <w:t xml:space="preserve"> Sentencia </w:t>
      </w:r>
      <w:hyperlink w:anchor="SENTENCIA_1997_61" w:history="1">
        <w:r w:rsidRPr="00575662">
          <w:rPr>
            <w:rStyle w:val="TextoNormalCaracter"/>
          </w:rPr>
          <w:t>61/1997</w:t>
        </w:r>
      </w:hyperlink>
      <w:r>
        <w:t>, ff. 20, 32.</w:t>
      </w:r>
    </w:p>
    <w:p w:rsidR="00575662" w:rsidRDefault="00575662" w:rsidP="00575662">
      <w:pPr>
        <w:pStyle w:val="SangriaFrancesaArticulo"/>
      </w:pPr>
      <w:r w:rsidRPr="00575662">
        <w:rPr>
          <w:rStyle w:val="TextoNormalNegritaCaracter"/>
        </w:rPr>
        <w:t>Artículo 59.1.</w:t>
      </w:r>
      <w:r w:rsidRPr="00575662">
        <w:rPr>
          <w:rStyle w:val="TextoNormalCaracter"/>
        </w:rPr>
        <w:t>-</w:t>
      </w:r>
      <w:r>
        <w:t xml:space="preserve"> Sentencia </w:t>
      </w:r>
      <w:hyperlink w:anchor="SENTENCIA_1997_61" w:history="1">
        <w:r w:rsidRPr="00575662">
          <w:rPr>
            <w:rStyle w:val="TextoNormalCaracter"/>
          </w:rPr>
          <w:t>61/1997</w:t>
        </w:r>
      </w:hyperlink>
      <w:r>
        <w:t>, ff. 4, 14, 20, 21, 32.</w:t>
      </w:r>
    </w:p>
    <w:p w:rsidR="00575662" w:rsidRDefault="00575662" w:rsidP="00575662">
      <w:pPr>
        <w:pStyle w:val="SangriaFrancesaArticulo"/>
      </w:pPr>
      <w:r w:rsidRPr="00575662">
        <w:rPr>
          <w:rStyle w:val="TextoNormalNegritaCaracter"/>
        </w:rPr>
        <w:t>Artículo 59.2.</w:t>
      </w:r>
      <w:r w:rsidRPr="00575662">
        <w:rPr>
          <w:rStyle w:val="TextoNormalCaracter"/>
        </w:rPr>
        <w:t>-</w:t>
      </w:r>
      <w:r>
        <w:t xml:space="preserve"> Sentencia </w:t>
      </w:r>
      <w:hyperlink w:anchor="SENTENCIA_1997_61" w:history="1">
        <w:r w:rsidRPr="00575662">
          <w:rPr>
            <w:rStyle w:val="TextoNormalCaracter"/>
          </w:rPr>
          <w:t>61/1997</w:t>
        </w:r>
      </w:hyperlink>
      <w:r>
        <w:t>, ff. 4, 14, 20, 21, 32.</w:t>
      </w:r>
    </w:p>
    <w:p w:rsidR="00575662" w:rsidRDefault="00575662" w:rsidP="00575662">
      <w:pPr>
        <w:pStyle w:val="SangriaFrancesaArticulo"/>
      </w:pPr>
      <w:r w:rsidRPr="00575662">
        <w:rPr>
          <w:rStyle w:val="TextoNormalNegritaCaracter"/>
        </w:rPr>
        <w:t>Artículo 60.</w:t>
      </w:r>
      <w:r w:rsidRPr="00575662">
        <w:rPr>
          <w:rStyle w:val="TextoNormalCaracter"/>
        </w:rPr>
        <w:t>-</w:t>
      </w:r>
      <w:r>
        <w:t xml:space="preserve"> Sentencia </w:t>
      </w:r>
      <w:hyperlink w:anchor="SENTENCIA_1997_61" w:history="1">
        <w:r w:rsidRPr="00575662">
          <w:rPr>
            <w:rStyle w:val="TextoNormalCaracter"/>
          </w:rPr>
          <w:t>61/1997</w:t>
        </w:r>
      </w:hyperlink>
      <w:r>
        <w:t>, f. 21.</w:t>
      </w:r>
    </w:p>
    <w:p w:rsidR="00575662" w:rsidRDefault="00575662" w:rsidP="00575662">
      <w:pPr>
        <w:pStyle w:val="SangriaFrancesaArticulo"/>
      </w:pPr>
      <w:r w:rsidRPr="00575662">
        <w:rPr>
          <w:rStyle w:val="TextoNormalNegritaCaracter"/>
        </w:rPr>
        <w:t>Artículo 61.</w:t>
      </w:r>
      <w:r w:rsidRPr="00575662">
        <w:rPr>
          <w:rStyle w:val="TextoNormalCaracter"/>
        </w:rPr>
        <w:t>-</w:t>
      </w:r>
      <w:r>
        <w:t xml:space="preserve"> Sentencia </w:t>
      </w:r>
      <w:hyperlink w:anchor="SENTENCIA_1997_61" w:history="1">
        <w:r w:rsidRPr="00575662">
          <w:rPr>
            <w:rStyle w:val="TextoNormalCaracter"/>
          </w:rPr>
          <w:t>61/1997</w:t>
        </w:r>
      </w:hyperlink>
      <w:r>
        <w:t>, ff. 4, 18, 21.</w:t>
      </w:r>
    </w:p>
    <w:p w:rsidR="00575662" w:rsidRDefault="00575662" w:rsidP="00575662">
      <w:pPr>
        <w:pStyle w:val="SangriaFrancesaArticulo"/>
      </w:pPr>
      <w:r w:rsidRPr="00575662">
        <w:rPr>
          <w:rStyle w:val="TextoNormalNegritaCaracter"/>
        </w:rPr>
        <w:t>Artículo 62.</w:t>
      </w:r>
      <w:r w:rsidRPr="00575662">
        <w:rPr>
          <w:rStyle w:val="TextoNormalCaracter"/>
        </w:rPr>
        <w:t>-</w:t>
      </w:r>
      <w:r>
        <w:t xml:space="preserve"> Sentencia </w:t>
      </w:r>
      <w:hyperlink w:anchor="SENTENCIA_1997_61" w:history="1">
        <w:r w:rsidRPr="00575662">
          <w:rPr>
            <w:rStyle w:val="TextoNormalCaracter"/>
          </w:rPr>
          <w:t>61/1997</w:t>
        </w:r>
      </w:hyperlink>
      <w:r>
        <w:t>, f. 20.</w:t>
      </w:r>
    </w:p>
    <w:p w:rsidR="00575662" w:rsidRDefault="00575662" w:rsidP="00575662">
      <w:pPr>
        <w:pStyle w:val="SangriaFrancesaArticulo"/>
      </w:pPr>
      <w:r w:rsidRPr="00575662">
        <w:rPr>
          <w:rStyle w:val="TextoNormalNegritaCaracter"/>
        </w:rPr>
        <w:lastRenderedPageBreak/>
        <w:t>Artículo 62.1.</w:t>
      </w:r>
      <w:r w:rsidRPr="00575662">
        <w:rPr>
          <w:rStyle w:val="TextoNormalCaracter"/>
        </w:rPr>
        <w:t>-</w:t>
      </w:r>
      <w:r>
        <w:t xml:space="preserve"> Sentencia </w:t>
      </w:r>
      <w:hyperlink w:anchor="SENTENCIA_1997_61" w:history="1">
        <w:r w:rsidRPr="00575662">
          <w:rPr>
            <w:rStyle w:val="TextoNormalCaracter"/>
          </w:rPr>
          <w:t>61/1997</w:t>
        </w:r>
      </w:hyperlink>
      <w:r>
        <w:t>, f. 20.</w:t>
      </w:r>
    </w:p>
    <w:p w:rsidR="00575662" w:rsidRDefault="00575662" w:rsidP="00575662">
      <w:pPr>
        <w:pStyle w:val="SangriaFrancesaArticulo"/>
      </w:pPr>
      <w:r w:rsidRPr="00575662">
        <w:rPr>
          <w:rStyle w:val="TextoNormalNegritaCaracter"/>
        </w:rPr>
        <w:t>Artículo 62.1.1.</w:t>
      </w:r>
      <w:r w:rsidRPr="00575662">
        <w:rPr>
          <w:rStyle w:val="TextoNormalCaracter"/>
        </w:rPr>
        <w:t>-</w:t>
      </w:r>
      <w:r>
        <w:t xml:space="preserve"> Sentencia </w:t>
      </w:r>
      <w:hyperlink w:anchor="SENTENCIA_1997_61" w:history="1">
        <w:r w:rsidRPr="00575662">
          <w:rPr>
            <w:rStyle w:val="TextoNormalCaracter"/>
          </w:rPr>
          <w:t>61/1997</w:t>
        </w:r>
      </w:hyperlink>
      <w:r>
        <w:t>, f. 20.</w:t>
      </w:r>
    </w:p>
    <w:p w:rsidR="00575662" w:rsidRDefault="00575662" w:rsidP="00575662">
      <w:pPr>
        <w:pStyle w:val="SangriaFrancesaArticulo"/>
      </w:pPr>
      <w:r w:rsidRPr="00575662">
        <w:rPr>
          <w:rStyle w:val="TextoNormalNegritaCaracter"/>
        </w:rPr>
        <w:t>Artículo 62.1.2.</w:t>
      </w:r>
      <w:r w:rsidRPr="00575662">
        <w:rPr>
          <w:rStyle w:val="TextoNormalCaracter"/>
        </w:rPr>
        <w:t>-</w:t>
      </w:r>
      <w:r>
        <w:t xml:space="preserve"> Sentencia </w:t>
      </w:r>
      <w:hyperlink w:anchor="SENTENCIA_1997_61" w:history="1">
        <w:r w:rsidRPr="00575662">
          <w:rPr>
            <w:rStyle w:val="TextoNormalCaracter"/>
          </w:rPr>
          <w:t>61/1997</w:t>
        </w:r>
      </w:hyperlink>
      <w:r>
        <w:t>, f. 20.</w:t>
      </w:r>
    </w:p>
    <w:p w:rsidR="00575662" w:rsidRDefault="00575662" w:rsidP="00575662">
      <w:pPr>
        <w:pStyle w:val="SangriaFrancesaArticulo"/>
      </w:pPr>
      <w:r w:rsidRPr="00575662">
        <w:rPr>
          <w:rStyle w:val="TextoNormalNegritaCaracter"/>
        </w:rPr>
        <w:t>Artículo 62.2.</w:t>
      </w:r>
      <w:r w:rsidRPr="00575662">
        <w:rPr>
          <w:rStyle w:val="TextoNormalCaracter"/>
        </w:rPr>
        <w:t>-</w:t>
      </w:r>
      <w:r>
        <w:t xml:space="preserve"> Sentencia </w:t>
      </w:r>
      <w:hyperlink w:anchor="SENTENCIA_1997_61" w:history="1">
        <w:r w:rsidRPr="00575662">
          <w:rPr>
            <w:rStyle w:val="TextoNormalCaracter"/>
          </w:rPr>
          <w:t>61/1997</w:t>
        </w:r>
      </w:hyperlink>
      <w:r>
        <w:t>, f. 20.</w:t>
      </w:r>
    </w:p>
    <w:p w:rsidR="00575662" w:rsidRDefault="00575662" w:rsidP="00575662">
      <w:pPr>
        <w:pStyle w:val="SangriaFrancesaArticulo"/>
      </w:pPr>
      <w:r w:rsidRPr="00575662">
        <w:rPr>
          <w:rStyle w:val="TextoNormalNegritaCaracter"/>
        </w:rPr>
        <w:t>Artículo 65.</w:t>
      </w:r>
      <w:r w:rsidRPr="00575662">
        <w:rPr>
          <w:rStyle w:val="TextoNormalCaracter"/>
        </w:rPr>
        <w:t>-</w:t>
      </w:r>
      <w:r>
        <w:t xml:space="preserve"> Sentencia </w:t>
      </w:r>
      <w:hyperlink w:anchor="SENTENCIA_1997_61" w:history="1">
        <w:r w:rsidRPr="00575662">
          <w:rPr>
            <w:rStyle w:val="TextoNormalCaracter"/>
          </w:rPr>
          <w:t>61/1997</w:t>
        </w:r>
      </w:hyperlink>
      <w:r>
        <w:t>, ff. 22, 23.</w:t>
      </w:r>
    </w:p>
    <w:p w:rsidR="00575662" w:rsidRDefault="00575662" w:rsidP="00575662">
      <w:pPr>
        <w:pStyle w:val="SangriaFrancesaArticulo"/>
      </w:pPr>
      <w:r w:rsidRPr="00575662">
        <w:rPr>
          <w:rStyle w:val="TextoNormalNegritaCaracter"/>
        </w:rPr>
        <w:t>Artículo 65.1.</w:t>
      </w:r>
      <w:r w:rsidRPr="00575662">
        <w:rPr>
          <w:rStyle w:val="TextoNormalCaracter"/>
        </w:rPr>
        <w:t>-</w:t>
      </w:r>
      <w:r>
        <w:t xml:space="preserve"> Sentencia </w:t>
      </w:r>
      <w:hyperlink w:anchor="SENTENCIA_1997_61" w:history="1">
        <w:r w:rsidRPr="00575662">
          <w:rPr>
            <w:rStyle w:val="TextoNormalCaracter"/>
          </w:rPr>
          <w:t>61/1997</w:t>
        </w:r>
      </w:hyperlink>
      <w:r>
        <w:t>, ff. 14, 22.</w:t>
      </w:r>
    </w:p>
    <w:p w:rsidR="00575662" w:rsidRDefault="00575662" w:rsidP="00575662">
      <w:pPr>
        <w:pStyle w:val="SangriaFrancesaArticulo"/>
      </w:pPr>
      <w:r w:rsidRPr="00575662">
        <w:rPr>
          <w:rStyle w:val="TextoNormalNegritaCaracter"/>
        </w:rPr>
        <w:t>Artículo 65.4.</w:t>
      </w:r>
      <w:r w:rsidRPr="00575662">
        <w:rPr>
          <w:rStyle w:val="TextoNormalCaracter"/>
        </w:rPr>
        <w:t>-</w:t>
      </w:r>
      <w:r>
        <w:t xml:space="preserve"> Sentencia </w:t>
      </w:r>
      <w:hyperlink w:anchor="SENTENCIA_1997_61" w:history="1">
        <w:r w:rsidRPr="00575662">
          <w:rPr>
            <w:rStyle w:val="TextoNormalCaracter"/>
          </w:rPr>
          <w:t>61/1997</w:t>
        </w:r>
      </w:hyperlink>
      <w:r>
        <w:t>, f. 25.</w:t>
      </w:r>
    </w:p>
    <w:p w:rsidR="00575662" w:rsidRDefault="00575662" w:rsidP="00575662">
      <w:pPr>
        <w:pStyle w:val="SangriaFrancesaArticulo"/>
      </w:pPr>
      <w:r w:rsidRPr="00575662">
        <w:rPr>
          <w:rStyle w:val="TextoNormalNegritaCaracter"/>
        </w:rPr>
        <w:t>Artículo 65.5.</w:t>
      </w:r>
      <w:r w:rsidRPr="00575662">
        <w:rPr>
          <w:rStyle w:val="TextoNormalCaracter"/>
        </w:rPr>
        <w:t>-</w:t>
      </w:r>
      <w:r>
        <w:t xml:space="preserve"> Sentencia </w:t>
      </w:r>
      <w:hyperlink w:anchor="SENTENCIA_1997_61" w:history="1">
        <w:r w:rsidRPr="00575662">
          <w:rPr>
            <w:rStyle w:val="TextoNormalCaracter"/>
          </w:rPr>
          <w:t>61/1997</w:t>
        </w:r>
      </w:hyperlink>
      <w:r>
        <w:t>, f. 25.</w:t>
      </w:r>
    </w:p>
    <w:p w:rsidR="00575662" w:rsidRDefault="00575662" w:rsidP="00575662">
      <w:pPr>
        <w:pStyle w:val="SangriaFrancesaArticulo"/>
      </w:pPr>
      <w:r w:rsidRPr="00575662">
        <w:rPr>
          <w:rStyle w:val="TextoNormalNegritaCaracter"/>
        </w:rPr>
        <w:t>Artículo 66.</w:t>
      </w:r>
      <w:r w:rsidRPr="00575662">
        <w:rPr>
          <w:rStyle w:val="TextoNormalCaracter"/>
        </w:rPr>
        <w:t>-</w:t>
      </w:r>
      <w:r>
        <w:t xml:space="preserve"> Sentencia </w:t>
      </w:r>
      <w:hyperlink w:anchor="SENTENCIA_1997_61" w:history="1">
        <w:r w:rsidRPr="00575662">
          <w:rPr>
            <w:rStyle w:val="TextoNormalCaracter"/>
          </w:rPr>
          <w:t>61/1997</w:t>
        </w:r>
      </w:hyperlink>
      <w:r>
        <w:t>, f. 22.</w:t>
      </w:r>
    </w:p>
    <w:p w:rsidR="00575662" w:rsidRDefault="00575662" w:rsidP="00575662">
      <w:pPr>
        <w:pStyle w:val="SangriaFrancesaArticulo"/>
      </w:pPr>
      <w:r w:rsidRPr="00575662">
        <w:rPr>
          <w:rStyle w:val="TextoNormalNegritaCaracter"/>
        </w:rPr>
        <w:t>Artículo 67.</w:t>
      </w:r>
      <w:r w:rsidRPr="00575662">
        <w:rPr>
          <w:rStyle w:val="TextoNormalCaracter"/>
        </w:rPr>
        <w:t>-</w:t>
      </w:r>
      <w:r>
        <w:t xml:space="preserve"> Sentencia </w:t>
      </w:r>
      <w:hyperlink w:anchor="SENTENCIA_1997_61" w:history="1">
        <w:r w:rsidRPr="00575662">
          <w:rPr>
            <w:rStyle w:val="TextoNormalCaracter"/>
          </w:rPr>
          <w:t>61/1997</w:t>
        </w:r>
      </w:hyperlink>
      <w:r>
        <w:t>, f. 22.</w:t>
      </w:r>
    </w:p>
    <w:p w:rsidR="00575662" w:rsidRDefault="00575662" w:rsidP="00575662">
      <w:pPr>
        <w:pStyle w:val="SangriaFrancesaArticulo"/>
      </w:pPr>
      <w:r w:rsidRPr="00575662">
        <w:rPr>
          <w:rStyle w:val="TextoNormalNegritaCaracter"/>
        </w:rPr>
        <w:t>Artículo 72.1.</w:t>
      </w:r>
      <w:r w:rsidRPr="00575662">
        <w:rPr>
          <w:rStyle w:val="TextoNormalCaracter"/>
        </w:rPr>
        <w:t>-</w:t>
      </w:r>
      <w:r>
        <w:t xml:space="preserve"> Sentencia </w:t>
      </w:r>
      <w:hyperlink w:anchor="SENTENCIA_1997_61" w:history="1">
        <w:r w:rsidRPr="00575662">
          <w:rPr>
            <w:rStyle w:val="TextoNormalCaracter"/>
          </w:rPr>
          <w:t>61/1997</w:t>
        </w:r>
      </w:hyperlink>
      <w:r>
        <w:t>, ff. 4, 23, 24.</w:t>
      </w:r>
    </w:p>
    <w:p w:rsidR="00575662" w:rsidRDefault="00575662" w:rsidP="00575662">
      <w:pPr>
        <w:pStyle w:val="SangriaFrancesaArticulo"/>
      </w:pPr>
      <w:r w:rsidRPr="00575662">
        <w:rPr>
          <w:rStyle w:val="TextoNormalNegritaCaracter"/>
        </w:rPr>
        <w:t>Artículo 72.3.A.</w:t>
      </w:r>
      <w:r w:rsidRPr="00575662">
        <w:rPr>
          <w:rStyle w:val="TextoNormalCaracter"/>
        </w:rPr>
        <w:t>-</w:t>
      </w:r>
      <w:r>
        <w:t xml:space="preserve"> Sentencia </w:t>
      </w:r>
      <w:hyperlink w:anchor="SENTENCIA_1997_61" w:history="1">
        <w:r w:rsidRPr="00575662">
          <w:rPr>
            <w:rStyle w:val="TextoNormalCaracter"/>
          </w:rPr>
          <w:t>61/1997</w:t>
        </w:r>
      </w:hyperlink>
      <w:r>
        <w:t>, f. 23.</w:t>
      </w:r>
    </w:p>
    <w:p w:rsidR="00575662" w:rsidRDefault="00575662" w:rsidP="00575662">
      <w:pPr>
        <w:pStyle w:val="SangriaFrancesaArticulo"/>
      </w:pPr>
      <w:r w:rsidRPr="00575662">
        <w:rPr>
          <w:rStyle w:val="TextoNormalNegritaCaracter"/>
        </w:rPr>
        <w:t>Artículo 72.3.A b).</w:t>
      </w:r>
      <w:r w:rsidRPr="00575662">
        <w:rPr>
          <w:rStyle w:val="TextoNormalCaracter"/>
        </w:rPr>
        <w:t>-</w:t>
      </w:r>
      <w:r>
        <w:t xml:space="preserve"> Sentencia </w:t>
      </w:r>
      <w:hyperlink w:anchor="SENTENCIA_1997_61" w:history="1">
        <w:r w:rsidRPr="00575662">
          <w:rPr>
            <w:rStyle w:val="TextoNormalCaracter"/>
          </w:rPr>
          <w:t>61/1997</w:t>
        </w:r>
      </w:hyperlink>
      <w:r>
        <w:t>, f. 23.</w:t>
      </w:r>
    </w:p>
    <w:p w:rsidR="00575662" w:rsidRDefault="00575662" w:rsidP="00575662">
      <w:pPr>
        <w:pStyle w:val="SangriaFrancesaArticulo"/>
      </w:pPr>
      <w:r w:rsidRPr="00575662">
        <w:rPr>
          <w:rStyle w:val="TextoNormalNegritaCaracter"/>
        </w:rPr>
        <w:t>Artículo 78.2.</w:t>
      </w:r>
      <w:r w:rsidRPr="00575662">
        <w:rPr>
          <w:rStyle w:val="TextoNormalCaracter"/>
        </w:rPr>
        <w:t>-</w:t>
      </w:r>
      <w:r>
        <w:t xml:space="preserve"> Sentencia </w:t>
      </w:r>
      <w:hyperlink w:anchor="SENTENCIA_1997_61" w:history="1">
        <w:r w:rsidRPr="00575662">
          <w:rPr>
            <w:rStyle w:val="TextoNormalCaracter"/>
          </w:rPr>
          <w:t>61/1997</w:t>
        </w:r>
      </w:hyperlink>
      <w:r>
        <w:t>, ff. 23, 24.</w:t>
      </w:r>
    </w:p>
    <w:p w:rsidR="00575662" w:rsidRDefault="00575662" w:rsidP="00575662">
      <w:pPr>
        <w:pStyle w:val="SangriaFrancesaArticulo"/>
      </w:pPr>
      <w:r w:rsidRPr="00575662">
        <w:rPr>
          <w:rStyle w:val="TextoNormalNegritaCaracter"/>
        </w:rPr>
        <w:t>Artículo 94.</w:t>
      </w:r>
      <w:r w:rsidRPr="00575662">
        <w:rPr>
          <w:rStyle w:val="TextoNormalCaracter"/>
        </w:rPr>
        <w:t>-</w:t>
      </w:r>
      <w:r>
        <w:t xml:space="preserve"> Sentencia </w:t>
      </w:r>
      <w:hyperlink w:anchor="SENTENCIA_1997_61" w:history="1">
        <w:r w:rsidRPr="00575662">
          <w:rPr>
            <w:rStyle w:val="TextoNormalCaracter"/>
          </w:rPr>
          <w:t>61/1997</w:t>
        </w:r>
      </w:hyperlink>
      <w:r>
        <w:t>, ff. 24, 27.</w:t>
      </w:r>
    </w:p>
    <w:p w:rsidR="00575662" w:rsidRDefault="00575662" w:rsidP="00575662">
      <w:pPr>
        <w:pStyle w:val="SangriaFrancesaArticulo"/>
      </w:pPr>
      <w:r w:rsidRPr="00575662">
        <w:rPr>
          <w:rStyle w:val="TextoNormalNegritaCaracter"/>
        </w:rPr>
        <w:t>Artículo 94.1.</w:t>
      </w:r>
      <w:r w:rsidRPr="00575662">
        <w:rPr>
          <w:rStyle w:val="TextoNormalCaracter"/>
        </w:rPr>
        <w:t>-</w:t>
      </w:r>
      <w:r>
        <w:t xml:space="preserve"> Sentencia </w:t>
      </w:r>
      <w:hyperlink w:anchor="SENTENCIA_1997_61" w:history="1">
        <w:r w:rsidRPr="00575662">
          <w:rPr>
            <w:rStyle w:val="TextoNormalCaracter"/>
          </w:rPr>
          <w:t>61/1997</w:t>
        </w:r>
      </w:hyperlink>
      <w:r>
        <w:t>, ff. 24, 27.</w:t>
      </w:r>
    </w:p>
    <w:p w:rsidR="00575662" w:rsidRDefault="00575662" w:rsidP="00575662">
      <w:pPr>
        <w:pStyle w:val="SangriaFrancesaArticulo"/>
      </w:pPr>
      <w:r w:rsidRPr="00575662">
        <w:rPr>
          <w:rStyle w:val="TextoNormalNegritaCaracter"/>
        </w:rPr>
        <w:t>Artículo 94.2.</w:t>
      </w:r>
      <w:r w:rsidRPr="00575662">
        <w:rPr>
          <w:rStyle w:val="TextoNormalCaracter"/>
        </w:rPr>
        <w:t>-</w:t>
      </w:r>
      <w:r>
        <w:t xml:space="preserve"> Sentencia </w:t>
      </w:r>
      <w:hyperlink w:anchor="SENTENCIA_1997_61" w:history="1">
        <w:r w:rsidRPr="00575662">
          <w:rPr>
            <w:rStyle w:val="TextoNormalCaracter"/>
          </w:rPr>
          <w:t>61/1997</w:t>
        </w:r>
      </w:hyperlink>
      <w:r>
        <w:t>, ff. 24, 27.</w:t>
      </w:r>
    </w:p>
    <w:p w:rsidR="00575662" w:rsidRDefault="00575662" w:rsidP="00575662">
      <w:pPr>
        <w:pStyle w:val="SangriaFrancesaArticulo"/>
      </w:pPr>
      <w:r w:rsidRPr="00575662">
        <w:rPr>
          <w:rStyle w:val="TextoNormalNegritaCaracter"/>
        </w:rPr>
        <w:t>Artículo 95.</w:t>
      </w:r>
      <w:r w:rsidRPr="00575662">
        <w:rPr>
          <w:rStyle w:val="TextoNormalCaracter"/>
        </w:rPr>
        <w:t>-</w:t>
      </w:r>
      <w:r>
        <w:t xml:space="preserve"> Sentencia </w:t>
      </w:r>
      <w:hyperlink w:anchor="SENTENCIA_1997_61" w:history="1">
        <w:r w:rsidRPr="00575662">
          <w:rPr>
            <w:rStyle w:val="TextoNormalCaracter"/>
          </w:rPr>
          <w:t>61/1997</w:t>
        </w:r>
      </w:hyperlink>
      <w:r>
        <w:t>, ff. 20, 24, 28.</w:t>
      </w:r>
    </w:p>
    <w:p w:rsidR="00575662" w:rsidRDefault="00575662" w:rsidP="00575662">
      <w:pPr>
        <w:pStyle w:val="SangriaFrancesaArticulo"/>
      </w:pPr>
      <w:r w:rsidRPr="00575662">
        <w:rPr>
          <w:rStyle w:val="TextoNormalNegritaCaracter"/>
        </w:rPr>
        <w:t>Artículo 96.</w:t>
      </w:r>
      <w:r w:rsidRPr="00575662">
        <w:rPr>
          <w:rStyle w:val="TextoNormalCaracter"/>
        </w:rPr>
        <w:t>-</w:t>
      </w:r>
      <w:r>
        <w:t xml:space="preserve"> Sentencia </w:t>
      </w:r>
      <w:hyperlink w:anchor="SENTENCIA_1997_61" w:history="1">
        <w:r w:rsidRPr="00575662">
          <w:rPr>
            <w:rStyle w:val="TextoNormalCaracter"/>
          </w:rPr>
          <w:t>61/1997</w:t>
        </w:r>
      </w:hyperlink>
      <w:r>
        <w:t>, ff. 24, 28.</w:t>
      </w:r>
    </w:p>
    <w:p w:rsidR="00575662" w:rsidRDefault="00575662" w:rsidP="00575662">
      <w:pPr>
        <w:pStyle w:val="SangriaFrancesaArticulo"/>
      </w:pPr>
      <w:r w:rsidRPr="00575662">
        <w:rPr>
          <w:rStyle w:val="TextoNormalNegritaCaracter"/>
        </w:rPr>
        <w:t>Artículo 96.1.</w:t>
      </w:r>
      <w:r w:rsidRPr="00575662">
        <w:rPr>
          <w:rStyle w:val="TextoNormalCaracter"/>
        </w:rPr>
        <w:t>-</w:t>
      </w:r>
      <w:r>
        <w:t xml:space="preserve"> Sentencia </w:t>
      </w:r>
      <w:hyperlink w:anchor="SENTENCIA_1997_61" w:history="1">
        <w:r w:rsidRPr="00575662">
          <w:rPr>
            <w:rStyle w:val="TextoNormalCaracter"/>
          </w:rPr>
          <w:t>61/1997</w:t>
        </w:r>
      </w:hyperlink>
      <w:r>
        <w:t>, f. 24.</w:t>
      </w:r>
    </w:p>
    <w:p w:rsidR="00575662" w:rsidRDefault="00575662" w:rsidP="00575662">
      <w:pPr>
        <w:pStyle w:val="SangriaFrancesaArticulo"/>
      </w:pPr>
      <w:r w:rsidRPr="00575662">
        <w:rPr>
          <w:rStyle w:val="TextoNormalNegritaCaracter"/>
        </w:rPr>
        <w:t>Artículo 96.2.</w:t>
      </w:r>
      <w:r w:rsidRPr="00575662">
        <w:rPr>
          <w:rStyle w:val="TextoNormalCaracter"/>
        </w:rPr>
        <w:t>-</w:t>
      </w:r>
      <w:r>
        <w:t xml:space="preserve"> Sentencia </w:t>
      </w:r>
      <w:hyperlink w:anchor="SENTENCIA_1997_61" w:history="1">
        <w:r w:rsidRPr="00575662">
          <w:rPr>
            <w:rStyle w:val="TextoNormalCaracter"/>
          </w:rPr>
          <w:t>61/1997</w:t>
        </w:r>
      </w:hyperlink>
      <w:r>
        <w:t>, f. 24.</w:t>
      </w:r>
    </w:p>
    <w:p w:rsidR="00575662" w:rsidRDefault="00575662" w:rsidP="00575662">
      <w:pPr>
        <w:pStyle w:val="SangriaFrancesaArticulo"/>
      </w:pPr>
      <w:r w:rsidRPr="00575662">
        <w:rPr>
          <w:rStyle w:val="TextoNormalNegritaCaracter"/>
        </w:rPr>
        <w:t>Artículo 96.3.</w:t>
      </w:r>
      <w:r w:rsidRPr="00575662">
        <w:rPr>
          <w:rStyle w:val="TextoNormalCaracter"/>
        </w:rPr>
        <w:t>-</w:t>
      </w:r>
      <w:r>
        <w:t xml:space="preserve"> Sentencia </w:t>
      </w:r>
      <w:hyperlink w:anchor="SENTENCIA_1997_61" w:history="1">
        <w:r w:rsidRPr="00575662">
          <w:rPr>
            <w:rStyle w:val="TextoNormalCaracter"/>
          </w:rPr>
          <w:t>61/1997</w:t>
        </w:r>
      </w:hyperlink>
      <w:r>
        <w:t>, f. 24.</w:t>
      </w:r>
    </w:p>
    <w:p w:rsidR="00575662" w:rsidRDefault="00575662" w:rsidP="00575662">
      <w:pPr>
        <w:pStyle w:val="SangriaFrancesaArticulo"/>
      </w:pPr>
      <w:r w:rsidRPr="00575662">
        <w:rPr>
          <w:rStyle w:val="TextoNormalNegritaCaracter"/>
        </w:rPr>
        <w:t>Artículo 97.</w:t>
      </w:r>
      <w:r w:rsidRPr="00575662">
        <w:rPr>
          <w:rStyle w:val="TextoNormalCaracter"/>
        </w:rPr>
        <w:t>-</w:t>
      </w:r>
      <w:r>
        <w:t xml:space="preserve"> Sentencia </w:t>
      </w:r>
      <w:hyperlink w:anchor="SENTENCIA_1997_61" w:history="1">
        <w:r w:rsidRPr="00575662">
          <w:rPr>
            <w:rStyle w:val="TextoNormalCaracter"/>
          </w:rPr>
          <w:t>61/1997</w:t>
        </w:r>
      </w:hyperlink>
      <w:r>
        <w:t>, ff. 24, 28.</w:t>
      </w:r>
    </w:p>
    <w:p w:rsidR="00575662" w:rsidRDefault="00575662" w:rsidP="00575662">
      <w:pPr>
        <w:pStyle w:val="SangriaFrancesaArticulo"/>
      </w:pPr>
      <w:r w:rsidRPr="00575662">
        <w:rPr>
          <w:rStyle w:val="TextoNormalNegritaCaracter"/>
        </w:rPr>
        <w:t>Artículo 97.1.</w:t>
      </w:r>
      <w:r w:rsidRPr="00575662">
        <w:rPr>
          <w:rStyle w:val="TextoNormalCaracter"/>
        </w:rPr>
        <w:t>-</w:t>
      </w:r>
      <w:r>
        <w:t xml:space="preserve"> Sentencia </w:t>
      </w:r>
      <w:hyperlink w:anchor="SENTENCIA_1997_61" w:history="1">
        <w:r w:rsidRPr="00575662">
          <w:rPr>
            <w:rStyle w:val="TextoNormalCaracter"/>
          </w:rPr>
          <w:t>61/1997</w:t>
        </w:r>
      </w:hyperlink>
      <w:r>
        <w:t>, f. 24.</w:t>
      </w:r>
    </w:p>
    <w:p w:rsidR="00575662" w:rsidRDefault="00575662" w:rsidP="00575662">
      <w:pPr>
        <w:pStyle w:val="SangriaFrancesaArticulo"/>
      </w:pPr>
      <w:r w:rsidRPr="00575662">
        <w:rPr>
          <w:rStyle w:val="TextoNormalNegritaCaracter"/>
        </w:rPr>
        <w:t>Artículo 97.4.</w:t>
      </w:r>
      <w:r w:rsidRPr="00575662">
        <w:rPr>
          <w:rStyle w:val="TextoNormalCaracter"/>
        </w:rPr>
        <w:t>-</w:t>
      </w:r>
      <w:r>
        <w:t xml:space="preserve"> Sentencia </w:t>
      </w:r>
      <w:hyperlink w:anchor="SENTENCIA_1997_61" w:history="1">
        <w:r w:rsidRPr="00575662">
          <w:rPr>
            <w:rStyle w:val="TextoNormalCaracter"/>
          </w:rPr>
          <w:t>61/1997</w:t>
        </w:r>
      </w:hyperlink>
      <w:r>
        <w:t>, f. 24.</w:t>
      </w:r>
    </w:p>
    <w:p w:rsidR="00575662" w:rsidRDefault="00575662" w:rsidP="00575662">
      <w:pPr>
        <w:pStyle w:val="SangriaFrancesaArticulo"/>
      </w:pPr>
      <w:r w:rsidRPr="00575662">
        <w:rPr>
          <w:rStyle w:val="TextoNormalNegritaCaracter"/>
        </w:rPr>
        <w:t>Artículo 98.</w:t>
      </w:r>
      <w:r w:rsidRPr="00575662">
        <w:rPr>
          <w:rStyle w:val="TextoNormalCaracter"/>
        </w:rPr>
        <w:t>-</w:t>
      </w:r>
      <w:r>
        <w:t xml:space="preserve"> Sentencia </w:t>
      </w:r>
      <w:hyperlink w:anchor="SENTENCIA_1997_61" w:history="1">
        <w:r w:rsidRPr="00575662">
          <w:rPr>
            <w:rStyle w:val="TextoNormalCaracter"/>
          </w:rPr>
          <w:t>61/1997</w:t>
        </w:r>
      </w:hyperlink>
      <w:r>
        <w:t>, ff. 24, 28.</w:t>
      </w:r>
    </w:p>
    <w:p w:rsidR="00575662" w:rsidRDefault="00575662" w:rsidP="00575662">
      <w:pPr>
        <w:pStyle w:val="SangriaFrancesaArticulo"/>
      </w:pPr>
      <w:r w:rsidRPr="00575662">
        <w:rPr>
          <w:rStyle w:val="TextoNormalNegritaCaracter"/>
        </w:rPr>
        <w:t>Artículo 98.1.</w:t>
      </w:r>
      <w:r w:rsidRPr="00575662">
        <w:rPr>
          <w:rStyle w:val="TextoNormalCaracter"/>
        </w:rPr>
        <w:t>-</w:t>
      </w:r>
      <w:r>
        <w:t xml:space="preserve"> Sentencia </w:t>
      </w:r>
      <w:hyperlink w:anchor="SENTENCIA_1997_61" w:history="1">
        <w:r w:rsidRPr="00575662">
          <w:rPr>
            <w:rStyle w:val="TextoNormalCaracter"/>
          </w:rPr>
          <w:t>61/1997</w:t>
        </w:r>
      </w:hyperlink>
      <w:r>
        <w:t>, f. 24.</w:t>
      </w:r>
    </w:p>
    <w:p w:rsidR="00575662" w:rsidRDefault="00575662" w:rsidP="00575662">
      <w:pPr>
        <w:pStyle w:val="SangriaFrancesaArticulo"/>
      </w:pPr>
      <w:r w:rsidRPr="00575662">
        <w:rPr>
          <w:rStyle w:val="TextoNormalNegritaCaracter"/>
        </w:rPr>
        <w:t>Artículo 98.2.</w:t>
      </w:r>
      <w:r w:rsidRPr="00575662">
        <w:rPr>
          <w:rStyle w:val="TextoNormalCaracter"/>
        </w:rPr>
        <w:t>-</w:t>
      </w:r>
      <w:r>
        <w:t xml:space="preserve"> Sentencia </w:t>
      </w:r>
      <w:hyperlink w:anchor="SENTENCIA_1997_61" w:history="1">
        <w:r w:rsidRPr="00575662">
          <w:rPr>
            <w:rStyle w:val="TextoNormalCaracter"/>
          </w:rPr>
          <w:t>61/1997</w:t>
        </w:r>
      </w:hyperlink>
      <w:r>
        <w:t>, f. 24.</w:t>
      </w:r>
    </w:p>
    <w:p w:rsidR="00575662" w:rsidRDefault="00575662" w:rsidP="00575662">
      <w:pPr>
        <w:pStyle w:val="SangriaFrancesaArticulo"/>
      </w:pPr>
      <w:r w:rsidRPr="00575662">
        <w:rPr>
          <w:rStyle w:val="TextoNormalNegritaCaracter"/>
        </w:rPr>
        <w:t>Artículo 98.3.</w:t>
      </w:r>
      <w:r w:rsidRPr="00575662">
        <w:rPr>
          <w:rStyle w:val="TextoNormalCaracter"/>
        </w:rPr>
        <w:t>-</w:t>
      </w:r>
      <w:r>
        <w:t xml:space="preserve"> Sentencia </w:t>
      </w:r>
      <w:hyperlink w:anchor="SENTENCIA_1997_61" w:history="1">
        <w:r w:rsidRPr="00575662">
          <w:rPr>
            <w:rStyle w:val="TextoNormalCaracter"/>
          </w:rPr>
          <w:t>61/1997</w:t>
        </w:r>
      </w:hyperlink>
      <w:r>
        <w:t>, f. 24.</w:t>
      </w:r>
    </w:p>
    <w:p w:rsidR="00575662" w:rsidRDefault="00575662" w:rsidP="00575662">
      <w:pPr>
        <w:pStyle w:val="SangriaFrancesaArticulo"/>
      </w:pPr>
      <w:r w:rsidRPr="00575662">
        <w:rPr>
          <w:rStyle w:val="TextoNormalNegritaCaracter"/>
        </w:rPr>
        <w:t>Artículo 99.</w:t>
      </w:r>
      <w:r w:rsidRPr="00575662">
        <w:rPr>
          <w:rStyle w:val="TextoNormalCaracter"/>
        </w:rPr>
        <w:t>-</w:t>
      </w:r>
      <w:r>
        <w:t xml:space="preserve"> Sentencia </w:t>
      </w:r>
      <w:hyperlink w:anchor="SENTENCIA_1997_61" w:history="1">
        <w:r w:rsidRPr="00575662">
          <w:rPr>
            <w:rStyle w:val="TextoNormalCaracter"/>
          </w:rPr>
          <w:t>61/1997</w:t>
        </w:r>
      </w:hyperlink>
      <w:r>
        <w:t>, f. 28.</w:t>
      </w:r>
    </w:p>
    <w:p w:rsidR="00575662" w:rsidRDefault="00575662" w:rsidP="00575662">
      <w:pPr>
        <w:pStyle w:val="SangriaFrancesaArticulo"/>
      </w:pPr>
      <w:r w:rsidRPr="00575662">
        <w:rPr>
          <w:rStyle w:val="TextoNormalNegritaCaracter"/>
        </w:rPr>
        <w:t>Artículo 99.1.</w:t>
      </w:r>
      <w:r w:rsidRPr="00575662">
        <w:rPr>
          <w:rStyle w:val="TextoNormalCaracter"/>
        </w:rPr>
        <w:t>-</w:t>
      </w:r>
      <w:r>
        <w:t xml:space="preserve"> Sentencia </w:t>
      </w:r>
      <w:hyperlink w:anchor="SENTENCIA_1997_61" w:history="1">
        <w:r w:rsidRPr="00575662">
          <w:rPr>
            <w:rStyle w:val="TextoNormalCaracter"/>
          </w:rPr>
          <w:t>61/1997</w:t>
        </w:r>
      </w:hyperlink>
      <w:r>
        <w:t>, f. 24.</w:t>
      </w:r>
    </w:p>
    <w:p w:rsidR="00575662" w:rsidRDefault="00575662" w:rsidP="00575662">
      <w:pPr>
        <w:pStyle w:val="SangriaFrancesaArticulo"/>
      </w:pPr>
      <w:r w:rsidRPr="00575662">
        <w:rPr>
          <w:rStyle w:val="TextoNormalNegritaCaracter"/>
        </w:rPr>
        <w:t>Artículo 99.2.</w:t>
      </w:r>
      <w:r w:rsidRPr="00575662">
        <w:rPr>
          <w:rStyle w:val="TextoNormalCaracter"/>
        </w:rPr>
        <w:t>-</w:t>
      </w:r>
      <w:r>
        <w:t xml:space="preserve"> Sentencia </w:t>
      </w:r>
      <w:hyperlink w:anchor="SENTENCIA_1997_61" w:history="1">
        <w:r w:rsidRPr="00575662">
          <w:rPr>
            <w:rStyle w:val="TextoNormalCaracter"/>
          </w:rPr>
          <w:t>61/1997</w:t>
        </w:r>
      </w:hyperlink>
      <w:r>
        <w:t>, f. 24.</w:t>
      </w:r>
    </w:p>
    <w:p w:rsidR="00575662" w:rsidRDefault="00575662" w:rsidP="00575662">
      <w:pPr>
        <w:pStyle w:val="SangriaFrancesaArticulo"/>
      </w:pPr>
      <w:r w:rsidRPr="00575662">
        <w:rPr>
          <w:rStyle w:val="TextoNormalNegritaCaracter"/>
        </w:rPr>
        <w:t>Artículo 100.</w:t>
      </w:r>
      <w:r w:rsidRPr="00575662">
        <w:rPr>
          <w:rStyle w:val="TextoNormalCaracter"/>
        </w:rPr>
        <w:t>-</w:t>
      </w:r>
      <w:r>
        <w:t xml:space="preserve"> Sentencia </w:t>
      </w:r>
      <w:hyperlink w:anchor="SENTENCIA_1997_61" w:history="1">
        <w:r w:rsidRPr="00575662">
          <w:rPr>
            <w:rStyle w:val="TextoNormalCaracter"/>
          </w:rPr>
          <w:t>61/1997</w:t>
        </w:r>
      </w:hyperlink>
      <w:r>
        <w:t>, f. 24.</w:t>
      </w:r>
    </w:p>
    <w:p w:rsidR="00575662" w:rsidRDefault="00575662" w:rsidP="00575662">
      <w:pPr>
        <w:pStyle w:val="SangriaFrancesaArticulo"/>
      </w:pPr>
      <w:r w:rsidRPr="00575662">
        <w:rPr>
          <w:rStyle w:val="TextoNormalNegritaCaracter"/>
        </w:rPr>
        <w:t>Artículo 104.</w:t>
      </w:r>
      <w:r w:rsidRPr="00575662">
        <w:rPr>
          <w:rStyle w:val="TextoNormalCaracter"/>
        </w:rPr>
        <w:t>-</w:t>
      </w:r>
      <w:r>
        <w:t xml:space="preserve"> Sentencia </w:t>
      </w:r>
      <w:hyperlink w:anchor="SENTENCIA_1997_61" w:history="1">
        <w:r w:rsidRPr="00575662">
          <w:rPr>
            <w:rStyle w:val="TextoNormalCaracter"/>
          </w:rPr>
          <w:t>61/1997</w:t>
        </w:r>
      </w:hyperlink>
      <w:r>
        <w:t>, f. 28.</w:t>
      </w:r>
    </w:p>
    <w:p w:rsidR="00575662" w:rsidRDefault="00575662" w:rsidP="00575662">
      <w:pPr>
        <w:pStyle w:val="SangriaFrancesaArticulo"/>
      </w:pPr>
      <w:r w:rsidRPr="00575662">
        <w:rPr>
          <w:rStyle w:val="TextoNormalNegritaCaracter"/>
        </w:rPr>
        <w:t>Artículo 104.1.</w:t>
      </w:r>
      <w:r w:rsidRPr="00575662">
        <w:rPr>
          <w:rStyle w:val="TextoNormalCaracter"/>
        </w:rPr>
        <w:t>-</w:t>
      </w:r>
      <w:r>
        <w:t xml:space="preserve"> Sentencia </w:t>
      </w:r>
      <w:hyperlink w:anchor="SENTENCIA_1997_61" w:history="1">
        <w:r w:rsidRPr="00575662">
          <w:rPr>
            <w:rStyle w:val="TextoNormalCaracter"/>
          </w:rPr>
          <w:t>61/1997</w:t>
        </w:r>
      </w:hyperlink>
      <w:r>
        <w:t>, ff. 4, 25.</w:t>
      </w:r>
    </w:p>
    <w:p w:rsidR="00575662" w:rsidRDefault="00575662" w:rsidP="00575662">
      <w:pPr>
        <w:pStyle w:val="SangriaFrancesaArticulo"/>
      </w:pPr>
      <w:r w:rsidRPr="00575662">
        <w:rPr>
          <w:rStyle w:val="TextoNormalNegritaCaracter"/>
        </w:rPr>
        <w:t>Artículo 104.3.</w:t>
      </w:r>
      <w:r w:rsidRPr="00575662">
        <w:rPr>
          <w:rStyle w:val="TextoNormalCaracter"/>
        </w:rPr>
        <w:t>-</w:t>
      </w:r>
      <w:r>
        <w:t xml:space="preserve"> Sentencia </w:t>
      </w:r>
      <w:hyperlink w:anchor="SENTENCIA_1997_61" w:history="1">
        <w:r w:rsidRPr="00575662">
          <w:rPr>
            <w:rStyle w:val="TextoNormalCaracter"/>
          </w:rPr>
          <w:t>61/1997</w:t>
        </w:r>
      </w:hyperlink>
      <w:r>
        <w:t>, ff. 4, 25.</w:t>
      </w:r>
    </w:p>
    <w:p w:rsidR="00575662" w:rsidRDefault="00575662" w:rsidP="00575662">
      <w:pPr>
        <w:pStyle w:val="SangriaFrancesaArticulo"/>
      </w:pPr>
      <w:r w:rsidRPr="00575662">
        <w:rPr>
          <w:rStyle w:val="TextoNormalNegritaCaracter"/>
        </w:rPr>
        <w:t>Artículo 107.</w:t>
      </w:r>
      <w:r w:rsidRPr="00575662">
        <w:rPr>
          <w:rStyle w:val="TextoNormalCaracter"/>
        </w:rPr>
        <w:t>-</w:t>
      </w:r>
      <w:r>
        <w:t xml:space="preserve"> Sentencia </w:t>
      </w:r>
      <w:hyperlink w:anchor="SENTENCIA_1997_61" w:history="1">
        <w:r w:rsidRPr="00575662">
          <w:rPr>
            <w:rStyle w:val="TextoNormalCaracter"/>
          </w:rPr>
          <w:t>61/1997</w:t>
        </w:r>
      </w:hyperlink>
      <w:r>
        <w:t>, f. 22.</w:t>
      </w:r>
    </w:p>
    <w:p w:rsidR="00575662" w:rsidRDefault="00575662" w:rsidP="00575662">
      <w:pPr>
        <w:pStyle w:val="SangriaFrancesaArticulo"/>
      </w:pPr>
      <w:r w:rsidRPr="00575662">
        <w:rPr>
          <w:rStyle w:val="TextoNormalNegritaCaracter"/>
        </w:rPr>
        <w:t>Artículo 109.1.</w:t>
      </w:r>
      <w:r w:rsidRPr="00575662">
        <w:rPr>
          <w:rStyle w:val="TextoNormalCaracter"/>
        </w:rPr>
        <w:t>-</w:t>
      </w:r>
      <w:r>
        <w:t xml:space="preserve"> Sentencia </w:t>
      </w:r>
      <w:hyperlink w:anchor="SENTENCIA_1997_61" w:history="1">
        <w:r w:rsidRPr="00575662">
          <w:rPr>
            <w:rStyle w:val="TextoNormalCaracter"/>
          </w:rPr>
          <w:t>61/1997</w:t>
        </w:r>
      </w:hyperlink>
      <w:r>
        <w:t>, ff. 4, 25.</w:t>
      </w:r>
    </w:p>
    <w:p w:rsidR="00575662" w:rsidRDefault="00575662" w:rsidP="00575662">
      <w:pPr>
        <w:pStyle w:val="SangriaFrancesaArticulo"/>
      </w:pPr>
      <w:r w:rsidRPr="00575662">
        <w:rPr>
          <w:rStyle w:val="TextoNormalNegritaCaracter"/>
        </w:rPr>
        <w:t>Artículo 109.2.</w:t>
      </w:r>
      <w:r w:rsidRPr="00575662">
        <w:rPr>
          <w:rStyle w:val="TextoNormalCaracter"/>
        </w:rPr>
        <w:t>-</w:t>
      </w:r>
      <w:r>
        <w:t xml:space="preserve"> Sentencia </w:t>
      </w:r>
      <w:hyperlink w:anchor="SENTENCIA_1997_61" w:history="1">
        <w:r w:rsidRPr="00575662">
          <w:rPr>
            <w:rStyle w:val="TextoNormalCaracter"/>
          </w:rPr>
          <w:t>61/1997</w:t>
        </w:r>
      </w:hyperlink>
      <w:r>
        <w:t>, f. 25.</w:t>
      </w:r>
    </w:p>
    <w:p w:rsidR="00575662" w:rsidRDefault="00575662" w:rsidP="00575662">
      <w:pPr>
        <w:pStyle w:val="SangriaFrancesaArticulo"/>
      </w:pPr>
      <w:r w:rsidRPr="00575662">
        <w:rPr>
          <w:rStyle w:val="TextoNormalNegritaCaracter"/>
        </w:rPr>
        <w:t>Artículo 112.</w:t>
      </w:r>
      <w:r w:rsidRPr="00575662">
        <w:rPr>
          <w:rStyle w:val="TextoNormalCaracter"/>
        </w:rPr>
        <w:t>-</w:t>
      </w:r>
      <w:r>
        <w:t xml:space="preserve"> Sentencia </w:t>
      </w:r>
      <w:hyperlink w:anchor="SENTENCIA_1997_61" w:history="1">
        <w:r w:rsidRPr="00575662">
          <w:rPr>
            <w:rStyle w:val="TextoNormalCaracter"/>
          </w:rPr>
          <w:t>61/1997</w:t>
        </w:r>
      </w:hyperlink>
      <w:r>
        <w:t>, f. 22.</w:t>
      </w:r>
    </w:p>
    <w:p w:rsidR="00575662" w:rsidRDefault="00575662" w:rsidP="00575662">
      <w:pPr>
        <w:pStyle w:val="SangriaFrancesaArticulo"/>
      </w:pPr>
      <w:r w:rsidRPr="00575662">
        <w:rPr>
          <w:rStyle w:val="TextoNormalNegritaCaracter"/>
        </w:rPr>
        <w:t>Artículo 113.2.</w:t>
      </w:r>
      <w:r w:rsidRPr="00575662">
        <w:rPr>
          <w:rStyle w:val="TextoNormalCaracter"/>
        </w:rPr>
        <w:t>-</w:t>
      </w:r>
      <w:r>
        <w:t xml:space="preserve"> Sentencia </w:t>
      </w:r>
      <w:hyperlink w:anchor="SENTENCIA_1997_61" w:history="1">
        <w:r w:rsidRPr="00575662">
          <w:rPr>
            <w:rStyle w:val="TextoNormalCaracter"/>
          </w:rPr>
          <w:t>61/1997</w:t>
        </w:r>
      </w:hyperlink>
      <w:r>
        <w:t>, ff. 4, 25.</w:t>
      </w:r>
    </w:p>
    <w:p w:rsidR="00575662" w:rsidRDefault="00575662" w:rsidP="00575662">
      <w:pPr>
        <w:pStyle w:val="SangriaFrancesaArticulo"/>
      </w:pPr>
      <w:r w:rsidRPr="00575662">
        <w:rPr>
          <w:rStyle w:val="TextoNormalNegritaCaracter"/>
        </w:rPr>
        <w:t>Artículo 114.3.</w:t>
      </w:r>
      <w:r w:rsidRPr="00575662">
        <w:rPr>
          <w:rStyle w:val="TextoNormalCaracter"/>
        </w:rPr>
        <w:t>-</w:t>
      </w:r>
      <w:r>
        <w:t xml:space="preserve"> Sentencia </w:t>
      </w:r>
      <w:hyperlink w:anchor="SENTENCIA_1997_61" w:history="1">
        <w:r w:rsidRPr="00575662">
          <w:rPr>
            <w:rStyle w:val="TextoNormalCaracter"/>
          </w:rPr>
          <w:t>61/1997</w:t>
        </w:r>
      </w:hyperlink>
      <w:r>
        <w:t>, f. 25.</w:t>
      </w:r>
    </w:p>
    <w:p w:rsidR="00575662" w:rsidRDefault="00575662" w:rsidP="00575662">
      <w:pPr>
        <w:pStyle w:val="SangriaFrancesaArticulo"/>
      </w:pPr>
      <w:r w:rsidRPr="00575662">
        <w:rPr>
          <w:rStyle w:val="TextoNormalNegritaCaracter"/>
        </w:rPr>
        <w:t>Artículo 118.1.</w:t>
      </w:r>
      <w:r w:rsidRPr="00575662">
        <w:rPr>
          <w:rStyle w:val="TextoNormalCaracter"/>
        </w:rPr>
        <w:t>-</w:t>
      </w:r>
      <w:r>
        <w:t xml:space="preserve"> Sentencia </w:t>
      </w:r>
      <w:hyperlink w:anchor="SENTENCIA_1997_61" w:history="1">
        <w:r w:rsidRPr="00575662">
          <w:rPr>
            <w:rStyle w:val="TextoNormalCaracter"/>
          </w:rPr>
          <w:t>61/1997</w:t>
        </w:r>
      </w:hyperlink>
      <w:r>
        <w:t>, f. 22.</w:t>
      </w:r>
    </w:p>
    <w:p w:rsidR="00575662" w:rsidRDefault="00575662" w:rsidP="00575662">
      <w:pPr>
        <w:pStyle w:val="SangriaFrancesaArticulo"/>
      </w:pPr>
      <w:r w:rsidRPr="00575662">
        <w:rPr>
          <w:rStyle w:val="TextoNormalNegritaCaracter"/>
        </w:rPr>
        <w:t>Artículo 118.3 a).</w:t>
      </w:r>
      <w:r w:rsidRPr="00575662">
        <w:rPr>
          <w:rStyle w:val="TextoNormalCaracter"/>
        </w:rPr>
        <w:t>-</w:t>
      </w:r>
      <w:r>
        <w:t xml:space="preserve"> Sentencia </w:t>
      </w:r>
      <w:hyperlink w:anchor="SENTENCIA_1997_61" w:history="1">
        <w:r w:rsidRPr="00575662">
          <w:rPr>
            <w:rStyle w:val="TextoNormalCaracter"/>
          </w:rPr>
          <w:t>61/1997</w:t>
        </w:r>
      </w:hyperlink>
      <w:r>
        <w:t>, f. 42.</w:t>
      </w:r>
    </w:p>
    <w:p w:rsidR="00575662" w:rsidRDefault="00575662" w:rsidP="00575662">
      <w:pPr>
        <w:pStyle w:val="SangriaFrancesaArticulo"/>
      </w:pPr>
      <w:r w:rsidRPr="00575662">
        <w:rPr>
          <w:rStyle w:val="TextoNormalNegritaCaracter"/>
        </w:rPr>
        <w:t>Artículo 124.</w:t>
      </w:r>
      <w:r w:rsidRPr="00575662">
        <w:rPr>
          <w:rStyle w:val="TextoNormalCaracter"/>
        </w:rPr>
        <w:t>-</w:t>
      </w:r>
      <w:r>
        <w:t xml:space="preserve"> Sentencia </w:t>
      </w:r>
      <w:hyperlink w:anchor="SENTENCIA_1997_61" w:history="1">
        <w:r w:rsidRPr="00575662">
          <w:rPr>
            <w:rStyle w:val="TextoNormalCaracter"/>
          </w:rPr>
          <w:t>61/1997</w:t>
        </w:r>
      </w:hyperlink>
      <w:r>
        <w:t>, ff. 4, 25.</w:t>
      </w:r>
    </w:p>
    <w:p w:rsidR="00575662" w:rsidRDefault="00575662" w:rsidP="00575662">
      <w:pPr>
        <w:pStyle w:val="SangriaFrancesaArticulo"/>
      </w:pPr>
      <w:r w:rsidRPr="00575662">
        <w:rPr>
          <w:rStyle w:val="TextoNormalNegritaCaracter"/>
        </w:rPr>
        <w:t>Artículo 124.1.</w:t>
      </w:r>
      <w:r w:rsidRPr="00575662">
        <w:rPr>
          <w:rStyle w:val="TextoNormalCaracter"/>
        </w:rPr>
        <w:t>-</w:t>
      </w:r>
      <w:r>
        <w:t xml:space="preserve"> Sentencia </w:t>
      </w:r>
      <w:hyperlink w:anchor="SENTENCIA_1997_61" w:history="1">
        <w:r w:rsidRPr="00575662">
          <w:rPr>
            <w:rStyle w:val="TextoNormalCaracter"/>
          </w:rPr>
          <w:t>61/1997</w:t>
        </w:r>
      </w:hyperlink>
      <w:r>
        <w:t>, f. 25.</w:t>
      </w:r>
    </w:p>
    <w:p w:rsidR="00575662" w:rsidRDefault="00575662" w:rsidP="00575662">
      <w:pPr>
        <w:pStyle w:val="SangriaFrancesaArticulo"/>
      </w:pPr>
      <w:r w:rsidRPr="00575662">
        <w:rPr>
          <w:rStyle w:val="TextoNormalNegritaCaracter"/>
        </w:rPr>
        <w:t>Artículo 124.2.</w:t>
      </w:r>
      <w:r w:rsidRPr="00575662">
        <w:rPr>
          <w:rStyle w:val="TextoNormalCaracter"/>
        </w:rPr>
        <w:t>-</w:t>
      </w:r>
      <w:r>
        <w:t xml:space="preserve"> Sentencia </w:t>
      </w:r>
      <w:hyperlink w:anchor="SENTENCIA_1997_61" w:history="1">
        <w:r w:rsidRPr="00575662">
          <w:rPr>
            <w:rStyle w:val="TextoNormalCaracter"/>
          </w:rPr>
          <w:t>61/1997</w:t>
        </w:r>
      </w:hyperlink>
      <w:r>
        <w:t>, f. 25.</w:t>
      </w:r>
    </w:p>
    <w:p w:rsidR="00575662" w:rsidRDefault="00575662" w:rsidP="00575662">
      <w:pPr>
        <w:pStyle w:val="SangriaFrancesaArticulo"/>
      </w:pPr>
      <w:r w:rsidRPr="00575662">
        <w:rPr>
          <w:rStyle w:val="TextoNormalNegritaCaracter"/>
        </w:rPr>
        <w:t>Artículo 124.3.</w:t>
      </w:r>
      <w:r w:rsidRPr="00575662">
        <w:rPr>
          <w:rStyle w:val="TextoNormalCaracter"/>
        </w:rPr>
        <w:t>-</w:t>
      </w:r>
      <w:r>
        <w:t xml:space="preserve"> Sentencia </w:t>
      </w:r>
      <w:hyperlink w:anchor="SENTENCIA_1997_61" w:history="1">
        <w:r w:rsidRPr="00575662">
          <w:rPr>
            <w:rStyle w:val="TextoNormalCaracter"/>
          </w:rPr>
          <w:t>61/1997</w:t>
        </w:r>
      </w:hyperlink>
      <w:r>
        <w:t>, f. 25.</w:t>
      </w:r>
    </w:p>
    <w:p w:rsidR="00575662" w:rsidRDefault="00575662" w:rsidP="00575662">
      <w:pPr>
        <w:pStyle w:val="SangriaFrancesaArticulo"/>
      </w:pPr>
      <w:r w:rsidRPr="00575662">
        <w:rPr>
          <w:rStyle w:val="TextoNormalNegritaCaracter"/>
        </w:rPr>
        <w:lastRenderedPageBreak/>
        <w:t>Artículo 126.1.</w:t>
      </w:r>
      <w:r w:rsidRPr="00575662">
        <w:rPr>
          <w:rStyle w:val="TextoNormalCaracter"/>
        </w:rPr>
        <w:t>-</w:t>
      </w:r>
      <w:r>
        <w:t xml:space="preserve"> Sentencia </w:t>
      </w:r>
      <w:hyperlink w:anchor="SENTENCIA_1997_61" w:history="1">
        <w:r w:rsidRPr="00575662">
          <w:rPr>
            <w:rStyle w:val="TextoNormalCaracter"/>
          </w:rPr>
          <w:t>61/1997</w:t>
        </w:r>
      </w:hyperlink>
      <w:r>
        <w:t>, f. 22.</w:t>
      </w:r>
    </w:p>
    <w:p w:rsidR="00575662" w:rsidRDefault="00575662" w:rsidP="00575662">
      <w:pPr>
        <w:pStyle w:val="SangriaFrancesaArticulo"/>
      </w:pPr>
      <w:r w:rsidRPr="00575662">
        <w:rPr>
          <w:rStyle w:val="TextoNormalNegritaCaracter"/>
        </w:rPr>
        <w:t>Artículo 131.</w:t>
      </w:r>
      <w:r w:rsidRPr="00575662">
        <w:rPr>
          <w:rStyle w:val="TextoNormalCaracter"/>
        </w:rPr>
        <w:t>-</w:t>
      </w:r>
      <w:r>
        <w:t xml:space="preserve"> Sentencia </w:t>
      </w:r>
      <w:hyperlink w:anchor="SENTENCIA_1997_61" w:history="1">
        <w:r w:rsidRPr="00575662">
          <w:rPr>
            <w:rStyle w:val="TextoNormalCaracter"/>
          </w:rPr>
          <w:t>61/1997</w:t>
        </w:r>
      </w:hyperlink>
      <w:r>
        <w:t>, f. 25.</w:t>
      </w:r>
    </w:p>
    <w:p w:rsidR="00575662" w:rsidRDefault="00575662" w:rsidP="00575662">
      <w:pPr>
        <w:pStyle w:val="SangriaFrancesaArticulo"/>
      </w:pPr>
      <w:r w:rsidRPr="00575662">
        <w:rPr>
          <w:rStyle w:val="TextoNormalNegritaCaracter"/>
        </w:rPr>
        <w:t>Artículo 132.</w:t>
      </w:r>
      <w:r w:rsidRPr="00575662">
        <w:rPr>
          <w:rStyle w:val="TextoNormalCaracter"/>
        </w:rPr>
        <w:t>-</w:t>
      </w:r>
      <w:r>
        <w:t xml:space="preserve"> Sentencia </w:t>
      </w:r>
      <w:hyperlink w:anchor="SENTENCIA_1997_61" w:history="1">
        <w:r w:rsidRPr="00575662">
          <w:rPr>
            <w:rStyle w:val="TextoNormalCaracter"/>
          </w:rPr>
          <w:t>61/1997</w:t>
        </w:r>
      </w:hyperlink>
      <w:r>
        <w:t>, ff. 4, 26.</w:t>
      </w:r>
    </w:p>
    <w:p w:rsidR="00575662" w:rsidRDefault="00575662" w:rsidP="00575662">
      <w:pPr>
        <w:pStyle w:val="SangriaFrancesaArticulo"/>
      </w:pPr>
      <w:r w:rsidRPr="00575662">
        <w:rPr>
          <w:rStyle w:val="TextoNormalNegritaCaracter"/>
        </w:rPr>
        <w:t>Artículo 133.</w:t>
      </w:r>
      <w:r w:rsidRPr="00575662">
        <w:rPr>
          <w:rStyle w:val="TextoNormalCaracter"/>
        </w:rPr>
        <w:t>-</w:t>
      </w:r>
      <w:r>
        <w:t xml:space="preserve"> Sentencia </w:t>
      </w:r>
      <w:hyperlink w:anchor="SENTENCIA_1997_61" w:history="1">
        <w:r w:rsidRPr="00575662">
          <w:rPr>
            <w:rStyle w:val="TextoNormalCaracter"/>
          </w:rPr>
          <w:t>61/1997</w:t>
        </w:r>
      </w:hyperlink>
      <w:r>
        <w:t>, ff. 4, 26.</w:t>
      </w:r>
    </w:p>
    <w:p w:rsidR="00575662" w:rsidRDefault="00575662" w:rsidP="00575662">
      <w:pPr>
        <w:pStyle w:val="SangriaFrancesaArticulo"/>
      </w:pPr>
      <w:r w:rsidRPr="00575662">
        <w:rPr>
          <w:rStyle w:val="TextoNormalNegritaCaracter"/>
        </w:rPr>
        <w:t>Artículo 134.</w:t>
      </w:r>
      <w:r w:rsidRPr="00575662">
        <w:rPr>
          <w:rStyle w:val="TextoNormalCaracter"/>
        </w:rPr>
        <w:t>-</w:t>
      </w:r>
      <w:r>
        <w:t xml:space="preserve"> Sentencia </w:t>
      </w:r>
      <w:hyperlink w:anchor="SENTENCIA_1997_61" w:history="1">
        <w:r w:rsidRPr="00575662">
          <w:rPr>
            <w:rStyle w:val="TextoNormalCaracter"/>
          </w:rPr>
          <w:t>61/1997</w:t>
        </w:r>
      </w:hyperlink>
      <w:r>
        <w:t>, ff. 4, 26.</w:t>
      </w:r>
    </w:p>
    <w:p w:rsidR="00575662" w:rsidRDefault="00575662" w:rsidP="00575662">
      <w:pPr>
        <w:pStyle w:val="SangriaFrancesaArticulo"/>
      </w:pPr>
      <w:r w:rsidRPr="00575662">
        <w:rPr>
          <w:rStyle w:val="TextoNormalNegritaCaracter"/>
        </w:rPr>
        <w:t>Artículo 135.</w:t>
      </w:r>
      <w:r w:rsidRPr="00575662">
        <w:rPr>
          <w:rStyle w:val="TextoNormalCaracter"/>
        </w:rPr>
        <w:t>-</w:t>
      </w:r>
      <w:r>
        <w:t xml:space="preserve"> Sentencia </w:t>
      </w:r>
      <w:hyperlink w:anchor="SENTENCIA_1997_61" w:history="1">
        <w:r w:rsidRPr="00575662">
          <w:rPr>
            <w:rStyle w:val="TextoNormalCaracter"/>
          </w:rPr>
          <w:t>61/1997</w:t>
        </w:r>
      </w:hyperlink>
      <w:r>
        <w:t>, f. 26.</w:t>
      </w:r>
    </w:p>
    <w:p w:rsidR="00575662" w:rsidRDefault="00575662" w:rsidP="00575662">
      <w:pPr>
        <w:pStyle w:val="SangriaFrancesaArticulo"/>
      </w:pPr>
      <w:r w:rsidRPr="00575662">
        <w:rPr>
          <w:rStyle w:val="TextoNormalNegritaCaracter"/>
        </w:rPr>
        <w:t>Artículo 135.1.</w:t>
      </w:r>
      <w:r w:rsidRPr="00575662">
        <w:rPr>
          <w:rStyle w:val="TextoNormalCaracter"/>
        </w:rPr>
        <w:t>-</w:t>
      </w:r>
      <w:r>
        <w:t xml:space="preserve"> Sentencia </w:t>
      </w:r>
      <w:hyperlink w:anchor="SENTENCIA_1997_61" w:history="1">
        <w:r w:rsidRPr="00575662">
          <w:rPr>
            <w:rStyle w:val="TextoNormalCaracter"/>
          </w:rPr>
          <w:t>61/1997</w:t>
        </w:r>
      </w:hyperlink>
      <w:r>
        <w:t>, f. 26.</w:t>
      </w:r>
    </w:p>
    <w:p w:rsidR="00575662" w:rsidRDefault="00575662" w:rsidP="00575662">
      <w:pPr>
        <w:pStyle w:val="SangriaFrancesaArticulo"/>
      </w:pPr>
      <w:r w:rsidRPr="00575662">
        <w:rPr>
          <w:rStyle w:val="TextoNormalNegritaCaracter"/>
        </w:rPr>
        <w:t>Artículo 135.2.</w:t>
      </w:r>
      <w:r w:rsidRPr="00575662">
        <w:rPr>
          <w:rStyle w:val="TextoNormalCaracter"/>
        </w:rPr>
        <w:t>-</w:t>
      </w:r>
      <w:r>
        <w:t xml:space="preserve"> Sentencia </w:t>
      </w:r>
      <w:hyperlink w:anchor="SENTENCIA_1997_61" w:history="1">
        <w:r w:rsidRPr="00575662">
          <w:rPr>
            <w:rStyle w:val="TextoNormalCaracter"/>
          </w:rPr>
          <w:t>61/1997</w:t>
        </w:r>
      </w:hyperlink>
      <w:r>
        <w:t>, f. 26.</w:t>
      </w:r>
    </w:p>
    <w:p w:rsidR="00575662" w:rsidRDefault="00575662" w:rsidP="00575662">
      <w:pPr>
        <w:pStyle w:val="SangriaFrancesaArticulo"/>
      </w:pPr>
      <w:r w:rsidRPr="00575662">
        <w:rPr>
          <w:rStyle w:val="TextoNormalNegritaCaracter"/>
        </w:rPr>
        <w:t>Artículo 136.</w:t>
      </w:r>
      <w:r w:rsidRPr="00575662">
        <w:rPr>
          <w:rStyle w:val="TextoNormalCaracter"/>
        </w:rPr>
        <w:t>-</w:t>
      </w:r>
      <w:r>
        <w:t xml:space="preserve"> Sentencia </w:t>
      </w:r>
      <w:hyperlink w:anchor="SENTENCIA_1997_61" w:history="1">
        <w:r w:rsidRPr="00575662">
          <w:rPr>
            <w:rStyle w:val="TextoNormalCaracter"/>
          </w:rPr>
          <w:t>61/1997</w:t>
        </w:r>
      </w:hyperlink>
      <w:r>
        <w:t>, f. 26.</w:t>
      </w:r>
    </w:p>
    <w:p w:rsidR="00575662" w:rsidRDefault="00575662" w:rsidP="00575662">
      <w:pPr>
        <w:pStyle w:val="SangriaFrancesaArticulo"/>
      </w:pPr>
      <w:r w:rsidRPr="00575662">
        <w:rPr>
          <w:rStyle w:val="TextoNormalNegritaCaracter"/>
        </w:rPr>
        <w:t>Artículo 136.1.</w:t>
      </w:r>
      <w:r w:rsidRPr="00575662">
        <w:rPr>
          <w:rStyle w:val="TextoNormalCaracter"/>
        </w:rPr>
        <w:t>-</w:t>
      </w:r>
      <w:r>
        <w:t xml:space="preserve"> Sentencia </w:t>
      </w:r>
      <w:hyperlink w:anchor="SENTENCIA_1997_61" w:history="1">
        <w:r w:rsidRPr="00575662">
          <w:rPr>
            <w:rStyle w:val="TextoNormalCaracter"/>
          </w:rPr>
          <w:t>61/1997</w:t>
        </w:r>
      </w:hyperlink>
      <w:r>
        <w:t>, f. 38.</w:t>
      </w:r>
    </w:p>
    <w:p w:rsidR="00575662" w:rsidRDefault="00575662" w:rsidP="00575662">
      <w:pPr>
        <w:pStyle w:val="SangriaFrancesaArticulo"/>
      </w:pPr>
      <w:r w:rsidRPr="00575662">
        <w:rPr>
          <w:rStyle w:val="TextoNormalNegritaCaracter"/>
        </w:rPr>
        <w:t>Artículo 136.2.</w:t>
      </w:r>
      <w:r w:rsidRPr="00575662">
        <w:rPr>
          <w:rStyle w:val="TextoNormalCaracter"/>
        </w:rPr>
        <w:t>-</w:t>
      </w:r>
      <w:r>
        <w:t xml:space="preserve"> Sentencia </w:t>
      </w:r>
      <w:hyperlink w:anchor="SENTENCIA_1997_61" w:history="1">
        <w:r w:rsidRPr="00575662">
          <w:rPr>
            <w:rStyle w:val="TextoNormalCaracter"/>
          </w:rPr>
          <w:t>61/1997</w:t>
        </w:r>
      </w:hyperlink>
      <w:r>
        <w:t>, f. 38.</w:t>
      </w:r>
    </w:p>
    <w:p w:rsidR="00575662" w:rsidRDefault="00575662" w:rsidP="00575662">
      <w:pPr>
        <w:pStyle w:val="SangriaFrancesaArticulo"/>
      </w:pPr>
      <w:r w:rsidRPr="00575662">
        <w:rPr>
          <w:rStyle w:val="TextoNormalNegritaCaracter"/>
        </w:rPr>
        <w:t>Artículo 137.4.</w:t>
      </w:r>
      <w:r w:rsidRPr="00575662">
        <w:rPr>
          <w:rStyle w:val="TextoNormalCaracter"/>
        </w:rPr>
        <w:t>-</w:t>
      </w:r>
      <w:r>
        <w:t xml:space="preserve"> Sentencia </w:t>
      </w:r>
      <w:hyperlink w:anchor="SENTENCIA_1997_61" w:history="1">
        <w:r w:rsidRPr="00575662">
          <w:rPr>
            <w:rStyle w:val="TextoNormalCaracter"/>
          </w:rPr>
          <w:t>61/1997</w:t>
        </w:r>
      </w:hyperlink>
      <w:r>
        <w:t>, f. 26.</w:t>
      </w:r>
    </w:p>
    <w:p w:rsidR="00575662" w:rsidRDefault="00575662" w:rsidP="00575662">
      <w:pPr>
        <w:pStyle w:val="SangriaFrancesaArticulo"/>
      </w:pPr>
      <w:r w:rsidRPr="00575662">
        <w:rPr>
          <w:rStyle w:val="TextoNormalNegritaCaracter"/>
        </w:rPr>
        <w:t>Artículo 137.5.</w:t>
      </w:r>
      <w:r w:rsidRPr="00575662">
        <w:rPr>
          <w:rStyle w:val="TextoNormalCaracter"/>
        </w:rPr>
        <w:t>-</w:t>
      </w:r>
      <w:r>
        <w:t xml:space="preserve"> Sentencia </w:t>
      </w:r>
      <w:hyperlink w:anchor="SENTENCIA_1997_61" w:history="1">
        <w:r w:rsidRPr="00575662">
          <w:rPr>
            <w:rStyle w:val="TextoNormalCaracter"/>
          </w:rPr>
          <w:t>61/1997</w:t>
        </w:r>
      </w:hyperlink>
      <w:r>
        <w:t>, f. 26.</w:t>
      </w:r>
    </w:p>
    <w:p w:rsidR="00575662" w:rsidRDefault="00575662" w:rsidP="00575662">
      <w:pPr>
        <w:pStyle w:val="SangriaFrancesaArticulo"/>
      </w:pPr>
      <w:r w:rsidRPr="00575662">
        <w:rPr>
          <w:rStyle w:val="TextoNormalNegritaCaracter"/>
        </w:rPr>
        <w:t>Artículo 138 b).</w:t>
      </w:r>
      <w:r w:rsidRPr="00575662">
        <w:rPr>
          <w:rStyle w:val="TextoNormalCaracter"/>
        </w:rPr>
        <w:t>-</w:t>
      </w:r>
      <w:r>
        <w:t xml:space="preserve"> Sentencia </w:t>
      </w:r>
      <w:hyperlink w:anchor="SENTENCIA_1997_61" w:history="1">
        <w:r w:rsidRPr="00575662">
          <w:rPr>
            <w:rStyle w:val="TextoNormalCaracter"/>
          </w:rPr>
          <w:t>61/1997</w:t>
        </w:r>
      </w:hyperlink>
      <w:r>
        <w:t>, f. 4.</w:t>
      </w:r>
    </w:p>
    <w:p w:rsidR="00575662" w:rsidRDefault="00575662" w:rsidP="00575662">
      <w:pPr>
        <w:pStyle w:val="SangriaFrancesaArticulo"/>
      </w:pPr>
      <w:r w:rsidRPr="00575662">
        <w:rPr>
          <w:rStyle w:val="TextoNormalNegritaCaracter"/>
        </w:rPr>
        <w:t>Artículo 140.</w:t>
      </w:r>
      <w:r w:rsidRPr="00575662">
        <w:rPr>
          <w:rStyle w:val="TextoNormalCaracter"/>
        </w:rPr>
        <w:t>-</w:t>
      </w:r>
      <w:r>
        <w:t xml:space="preserve"> Sentencia </w:t>
      </w:r>
      <w:hyperlink w:anchor="SENTENCIA_1997_61" w:history="1">
        <w:r w:rsidRPr="00575662">
          <w:rPr>
            <w:rStyle w:val="TextoNormalCaracter"/>
          </w:rPr>
          <w:t>61/1997</w:t>
        </w:r>
      </w:hyperlink>
      <w:r>
        <w:t>, ff. 27, 28.</w:t>
      </w:r>
    </w:p>
    <w:p w:rsidR="00575662" w:rsidRDefault="00575662" w:rsidP="00575662">
      <w:pPr>
        <w:pStyle w:val="SangriaFrancesaArticulo"/>
      </w:pPr>
      <w:r w:rsidRPr="00575662">
        <w:rPr>
          <w:rStyle w:val="TextoNormalNegritaCaracter"/>
        </w:rPr>
        <w:t>Artículo 141.</w:t>
      </w:r>
      <w:r w:rsidRPr="00575662">
        <w:rPr>
          <w:rStyle w:val="TextoNormalCaracter"/>
        </w:rPr>
        <w:t>-</w:t>
      </w:r>
      <w:r>
        <w:t xml:space="preserve"> Sentencia </w:t>
      </w:r>
      <w:hyperlink w:anchor="SENTENCIA_1997_61" w:history="1">
        <w:r w:rsidRPr="00575662">
          <w:rPr>
            <w:rStyle w:val="TextoNormalCaracter"/>
          </w:rPr>
          <w:t>61/1997</w:t>
        </w:r>
      </w:hyperlink>
      <w:r>
        <w:t>, f. 27.</w:t>
      </w:r>
    </w:p>
    <w:p w:rsidR="00575662" w:rsidRDefault="00575662" w:rsidP="00575662">
      <w:pPr>
        <w:pStyle w:val="SangriaFrancesaArticulo"/>
      </w:pPr>
      <w:r w:rsidRPr="00575662">
        <w:rPr>
          <w:rStyle w:val="TextoNormalNegritaCaracter"/>
        </w:rPr>
        <w:t>Artículo 143.</w:t>
      </w:r>
      <w:r w:rsidRPr="00575662">
        <w:rPr>
          <w:rStyle w:val="TextoNormalCaracter"/>
        </w:rPr>
        <w:t>-</w:t>
      </w:r>
      <w:r>
        <w:t xml:space="preserve"> Sentencia </w:t>
      </w:r>
      <w:hyperlink w:anchor="SENTENCIA_1997_61" w:history="1">
        <w:r w:rsidRPr="00575662">
          <w:rPr>
            <w:rStyle w:val="TextoNormalCaracter"/>
          </w:rPr>
          <w:t>61/1997</w:t>
        </w:r>
      </w:hyperlink>
      <w:r>
        <w:t>, ff. 27, 28.</w:t>
      </w:r>
    </w:p>
    <w:p w:rsidR="00575662" w:rsidRDefault="00575662" w:rsidP="00575662">
      <w:pPr>
        <w:pStyle w:val="SangriaFrancesaArticulo"/>
      </w:pPr>
      <w:r w:rsidRPr="00575662">
        <w:rPr>
          <w:rStyle w:val="TextoNormalNegritaCaracter"/>
        </w:rPr>
        <w:t>Artículo 144.</w:t>
      </w:r>
      <w:r w:rsidRPr="00575662">
        <w:rPr>
          <w:rStyle w:val="TextoNormalCaracter"/>
        </w:rPr>
        <w:t>-</w:t>
      </w:r>
      <w:r>
        <w:t xml:space="preserve"> Sentencia </w:t>
      </w:r>
      <w:hyperlink w:anchor="SENTENCIA_1997_61" w:history="1">
        <w:r w:rsidRPr="00575662">
          <w:rPr>
            <w:rStyle w:val="TextoNormalCaracter"/>
          </w:rPr>
          <w:t>61/1997</w:t>
        </w:r>
      </w:hyperlink>
      <w:r>
        <w:t>, ff. 27, 28.</w:t>
      </w:r>
    </w:p>
    <w:p w:rsidR="00575662" w:rsidRDefault="00575662" w:rsidP="00575662">
      <w:pPr>
        <w:pStyle w:val="SangriaFrancesaArticulo"/>
      </w:pPr>
      <w:r w:rsidRPr="00575662">
        <w:rPr>
          <w:rStyle w:val="TextoNormalNegritaCaracter"/>
        </w:rPr>
        <w:t>Artículo 144.1.</w:t>
      </w:r>
      <w:r w:rsidRPr="00575662">
        <w:rPr>
          <w:rStyle w:val="TextoNormalCaracter"/>
        </w:rPr>
        <w:t>-</w:t>
      </w:r>
      <w:r>
        <w:t xml:space="preserve"> Sentencia </w:t>
      </w:r>
      <w:hyperlink w:anchor="SENTENCIA_1997_61" w:history="1">
        <w:r w:rsidRPr="00575662">
          <w:rPr>
            <w:rStyle w:val="TextoNormalCaracter"/>
          </w:rPr>
          <w:t>61/1997</w:t>
        </w:r>
      </w:hyperlink>
      <w:r>
        <w:t>, ff. 27, 28.</w:t>
      </w:r>
    </w:p>
    <w:p w:rsidR="00575662" w:rsidRDefault="00575662" w:rsidP="00575662">
      <w:pPr>
        <w:pStyle w:val="SangriaFrancesaArticulo"/>
      </w:pPr>
      <w:r w:rsidRPr="00575662">
        <w:rPr>
          <w:rStyle w:val="TextoNormalNegritaCaracter"/>
        </w:rPr>
        <w:t>Artículo 149.3.</w:t>
      </w:r>
      <w:r w:rsidRPr="00575662">
        <w:rPr>
          <w:rStyle w:val="TextoNormalCaracter"/>
        </w:rPr>
        <w:t>-</w:t>
      </w:r>
      <w:r>
        <w:t xml:space="preserve"> Sentencia </w:t>
      </w:r>
      <w:hyperlink w:anchor="SENTENCIA_1997_61" w:history="1">
        <w:r w:rsidRPr="00575662">
          <w:rPr>
            <w:rStyle w:val="TextoNormalCaracter"/>
          </w:rPr>
          <w:t>61/1997</w:t>
        </w:r>
      </w:hyperlink>
      <w:r>
        <w:t>, ff. 17, 28.</w:t>
      </w:r>
    </w:p>
    <w:p w:rsidR="00575662" w:rsidRDefault="00575662" w:rsidP="00575662">
      <w:pPr>
        <w:pStyle w:val="SangriaFrancesaArticulo"/>
      </w:pPr>
      <w:r w:rsidRPr="00575662">
        <w:rPr>
          <w:rStyle w:val="TextoNormalNegritaCaracter"/>
        </w:rPr>
        <w:t>Artículo 150.</w:t>
      </w:r>
      <w:r w:rsidRPr="00575662">
        <w:rPr>
          <w:rStyle w:val="TextoNormalCaracter"/>
        </w:rPr>
        <w:t>-</w:t>
      </w:r>
      <w:r>
        <w:t xml:space="preserve"> Sentencia </w:t>
      </w:r>
      <w:hyperlink w:anchor="SENTENCIA_1997_61" w:history="1">
        <w:r w:rsidRPr="00575662">
          <w:rPr>
            <w:rStyle w:val="TextoNormalCaracter"/>
          </w:rPr>
          <w:t>61/1997</w:t>
        </w:r>
      </w:hyperlink>
      <w:r>
        <w:t>, f. 28.</w:t>
      </w:r>
    </w:p>
    <w:p w:rsidR="00575662" w:rsidRDefault="00575662" w:rsidP="00575662">
      <w:pPr>
        <w:pStyle w:val="SangriaFrancesaArticulo"/>
      </w:pPr>
      <w:r w:rsidRPr="00575662">
        <w:rPr>
          <w:rStyle w:val="TextoNormalNegritaCaracter"/>
        </w:rPr>
        <w:t>Artículo 151.1.</w:t>
      </w:r>
      <w:r w:rsidRPr="00575662">
        <w:rPr>
          <w:rStyle w:val="TextoNormalCaracter"/>
        </w:rPr>
        <w:t>-</w:t>
      </w:r>
      <w:r>
        <w:t xml:space="preserve"> Sentencia </w:t>
      </w:r>
      <w:hyperlink w:anchor="SENTENCIA_1997_61" w:history="1">
        <w:r w:rsidRPr="00575662">
          <w:rPr>
            <w:rStyle w:val="TextoNormalCaracter"/>
          </w:rPr>
          <w:t>61/1997</w:t>
        </w:r>
      </w:hyperlink>
      <w:r>
        <w:t>, ff. 17, 28.</w:t>
      </w:r>
    </w:p>
    <w:p w:rsidR="00575662" w:rsidRDefault="00575662" w:rsidP="00575662">
      <w:pPr>
        <w:pStyle w:val="SangriaFrancesaArticulo"/>
      </w:pPr>
      <w:r w:rsidRPr="00575662">
        <w:rPr>
          <w:rStyle w:val="TextoNormalNegritaCaracter"/>
        </w:rPr>
        <w:t>Artículo 151.2.</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151.3.</w:t>
      </w:r>
      <w:r w:rsidRPr="00575662">
        <w:rPr>
          <w:rStyle w:val="TextoNormalCaracter"/>
        </w:rPr>
        <w:t>-</w:t>
      </w:r>
      <w:r>
        <w:t xml:space="preserve"> Sentencia </w:t>
      </w:r>
      <w:hyperlink w:anchor="SENTENCIA_1997_61" w:history="1">
        <w:r w:rsidRPr="00575662">
          <w:rPr>
            <w:rStyle w:val="TextoNormalCaracter"/>
          </w:rPr>
          <w:t>61/1997</w:t>
        </w:r>
      </w:hyperlink>
      <w:r>
        <w:t>, f. 28.</w:t>
      </w:r>
    </w:p>
    <w:p w:rsidR="00575662" w:rsidRDefault="00575662" w:rsidP="00575662">
      <w:pPr>
        <w:pStyle w:val="SangriaFrancesaArticulo"/>
      </w:pPr>
      <w:r w:rsidRPr="00575662">
        <w:rPr>
          <w:rStyle w:val="TextoNormalNegritaCaracter"/>
        </w:rPr>
        <w:t>Artículo 152.</w:t>
      </w:r>
      <w:r w:rsidRPr="00575662">
        <w:rPr>
          <w:rStyle w:val="TextoNormalCaracter"/>
        </w:rPr>
        <w:t>-</w:t>
      </w:r>
      <w:r>
        <w:t xml:space="preserve"> Sentencia </w:t>
      </w:r>
      <w:hyperlink w:anchor="SENTENCIA_1997_61" w:history="1">
        <w:r w:rsidRPr="00575662">
          <w:rPr>
            <w:rStyle w:val="TextoNormalCaracter"/>
          </w:rPr>
          <w:t>61/1997</w:t>
        </w:r>
      </w:hyperlink>
      <w:r>
        <w:t>, f. 28.</w:t>
      </w:r>
    </w:p>
    <w:p w:rsidR="00575662" w:rsidRDefault="00575662" w:rsidP="00575662">
      <w:pPr>
        <w:pStyle w:val="SangriaFrancesaArticulo"/>
      </w:pPr>
      <w:r w:rsidRPr="00575662">
        <w:rPr>
          <w:rStyle w:val="TextoNormalNegritaCaracter"/>
        </w:rPr>
        <w:t>Artículo 154.1.</w:t>
      </w:r>
      <w:r w:rsidRPr="00575662">
        <w:rPr>
          <w:rStyle w:val="TextoNormalCaracter"/>
        </w:rPr>
        <w:t>-</w:t>
      </w:r>
      <w:r>
        <w:t xml:space="preserve"> Sentencia </w:t>
      </w:r>
      <w:hyperlink w:anchor="SENTENCIA_1997_61" w:history="1">
        <w:r w:rsidRPr="00575662">
          <w:rPr>
            <w:rStyle w:val="TextoNormalCaracter"/>
          </w:rPr>
          <w:t>61/1997</w:t>
        </w:r>
      </w:hyperlink>
      <w:r>
        <w:t>, f. 28.</w:t>
      </w:r>
    </w:p>
    <w:p w:rsidR="00575662" w:rsidRDefault="00575662" w:rsidP="00575662">
      <w:pPr>
        <w:pStyle w:val="SangriaFrancesaArticulo"/>
      </w:pPr>
      <w:r w:rsidRPr="00575662">
        <w:rPr>
          <w:rStyle w:val="TextoNormalNegritaCaracter"/>
        </w:rPr>
        <w:t>Artículo 154.2.</w:t>
      </w:r>
      <w:r w:rsidRPr="00575662">
        <w:rPr>
          <w:rStyle w:val="TextoNormalCaracter"/>
        </w:rPr>
        <w:t>-</w:t>
      </w:r>
      <w:r>
        <w:t xml:space="preserve"> Sentencia </w:t>
      </w:r>
      <w:hyperlink w:anchor="SENTENCIA_1997_61" w:history="1">
        <w:r w:rsidRPr="00575662">
          <w:rPr>
            <w:rStyle w:val="TextoNormalCaracter"/>
          </w:rPr>
          <w:t>61/1997</w:t>
        </w:r>
      </w:hyperlink>
      <w:r>
        <w:t>, f. 28.</w:t>
      </w:r>
    </w:p>
    <w:p w:rsidR="00575662" w:rsidRDefault="00575662" w:rsidP="00575662">
      <w:pPr>
        <w:pStyle w:val="SangriaFrancesaArticulo"/>
      </w:pPr>
      <w:r w:rsidRPr="00575662">
        <w:rPr>
          <w:rStyle w:val="TextoNormalNegritaCaracter"/>
        </w:rPr>
        <w:t>Artículo 160.3.</w:t>
      </w:r>
      <w:r w:rsidRPr="00575662">
        <w:rPr>
          <w:rStyle w:val="TextoNormalCaracter"/>
        </w:rPr>
        <w:t>-</w:t>
      </w:r>
      <w:r>
        <w:t xml:space="preserve"> Sentencia </w:t>
      </w:r>
      <w:hyperlink w:anchor="SENTENCIA_1997_61" w:history="1">
        <w:r w:rsidRPr="00575662">
          <w:rPr>
            <w:rStyle w:val="TextoNormalCaracter"/>
          </w:rPr>
          <w:t>61/1997</w:t>
        </w:r>
      </w:hyperlink>
      <w:r>
        <w:t>, f. 4.</w:t>
      </w:r>
    </w:p>
    <w:p w:rsidR="00575662" w:rsidRDefault="00575662" w:rsidP="00575662">
      <w:pPr>
        <w:pStyle w:val="SangriaFrancesaArticulo"/>
      </w:pPr>
      <w:r w:rsidRPr="00575662">
        <w:rPr>
          <w:rStyle w:val="TextoNormalNegritaCaracter"/>
        </w:rPr>
        <w:t>Artículo 162.</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166.</w:t>
      </w:r>
      <w:r w:rsidRPr="00575662">
        <w:rPr>
          <w:rStyle w:val="TextoNormalCaracter"/>
        </w:rPr>
        <w:t>-</w:t>
      </w:r>
      <w:r>
        <w:t xml:space="preserve"> Sentencia </w:t>
      </w:r>
      <w:hyperlink w:anchor="SENTENCIA_1997_61" w:history="1">
        <w:r w:rsidRPr="00575662">
          <w:rPr>
            <w:rStyle w:val="TextoNormalCaracter"/>
          </w:rPr>
          <w:t>61/1997</w:t>
        </w:r>
      </w:hyperlink>
      <w:r>
        <w:t>, f. 28.</w:t>
      </w:r>
    </w:p>
    <w:p w:rsidR="00575662" w:rsidRDefault="00575662" w:rsidP="00575662">
      <w:pPr>
        <w:pStyle w:val="SangriaFrancesaArticulo"/>
      </w:pPr>
      <w:r w:rsidRPr="00575662">
        <w:rPr>
          <w:rStyle w:val="TextoNormalNegritaCaracter"/>
        </w:rPr>
        <w:t>Artículo 166.1 a).</w:t>
      </w:r>
      <w:r w:rsidRPr="00575662">
        <w:rPr>
          <w:rStyle w:val="TextoNormalCaracter"/>
        </w:rPr>
        <w:t>-</w:t>
      </w:r>
      <w:r>
        <w:t xml:space="preserve"> Sentencia </w:t>
      </w:r>
      <w:hyperlink w:anchor="SENTENCIA_1997_61" w:history="1">
        <w:r w:rsidRPr="00575662">
          <w:rPr>
            <w:rStyle w:val="TextoNormalCaracter"/>
          </w:rPr>
          <w:t>61/1997</w:t>
        </w:r>
      </w:hyperlink>
      <w:r>
        <w:t>, ff. 4, 28.</w:t>
      </w:r>
    </w:p>
    <w:p w:rsidR="00575662" w:rsidRDefault="00575662" w:rsidP="00575662">
      <w:pPr>
        <w:pStyle w:val="SangriaFrancesaArticulo"/>
      </w:pPr>
      <w:r w:rsidRPr="00575662">
        <w:rPr>
          <w:rStyle w:val="TextoNormalNegritaCaracter"/>
        </w:rPr>
        <w:t>Artículo 166.1 c).</w:t>
      </w:r>
      <w:r w:rsidRPr="00575662">
        <w:rPr>
          <w:rStyle w:val="TextoNormalCaracter"/>
        </w:rPr>
        <w:t>-</w:t>
      </w:r>
      <w:r>
        <w:t xml:space="preserve"> Sentencia </w:t>
      </w:r>
      <w:hyperlink w:anchor="SENTENCIA_1997_61" w:history="1">
        <w:r w:rsidRPr="00575662">
          <w:rPr>
            <w:rStyle w:val="TextoNormalCaracter"/>
          </w:rPr>
          <w:t>61/1997</w:t>
        </w:r>
      </w:hyperlink>
      <w:r>
        <w:t>, ff. 4, 28.</w:t>
      </w:r>
    </w:p>
    <w:p w:rsidR="00575662" w:rsidRDefault="00575662" w:rsidP="00575662">
      <w:pPr>
        <w:pStyle w:val="SangriaFrancesaArticulo"/>
      </w:pPr>
      <w:r w:rsidRPr="00575662">
        <w:rPr>
          <w:rStyle w:val="TextoNormalNegritaCaracter"/>
        </w:rPr>
        <w:t>Artículo 166.1 e).</w:t>
      </w:r>
      <w:r w:rsidRPr="00575662">
        <w:rPr>
          <w:rStyle w:val="TextoNormalCaracter"/>
        </w:rPr>
        <w:t>-</w:t>
      </w:r>
      <w:r>
        <w:t xml:space="preserve"> Sentencia </w:t>
      </w:r>
      <w:hyperlink w:anchor="SENTENCIA_1997_61" w:history="1">
        <w:r w:rsidRPr="00575662">
          <w:rPr>
            <w:rStyle w:val="TextoNormalCaracter"/>
          </w:rPr>
          <w:t>61/1997</w:t>
        </w:r>
      </w:hyperlink>
      <w:r>
        <w:t>, ff. 4, 28.</w:t>
      </w:r>
    </w:p>
    <w:p w:rsidR="00575662" w:rsidRDefault="00575662" w:rsidP="00575662">
      <w:pPr>
        <w:pStyle w:val="SangriaFrancesaArticulo"/>
      </w:pPr>
      <w:r w:rsidRPr="00575662">
        <w:rPr>
          <w:rStyle w:val="TextoNormalNegritaCaracter"/>
        </w:rPr>
        <w:t>Artículo 167.</w:t>
      </w:r>
      <w:r w:rsidRPr="00575662">
        <w:rPr>
          <w:rStyle w:val="TextoNormalCaracter"/>
        </w:rPr>
        <w:t>-</w:t>
      </w:r>
      <w:r>
        <w:t xml:space="preserve"> Sentencia </w:t>
      </w:r>
      <w:hyperlink w:anchor="SENTENCIA_1997_61" w:history="1">
        <w:r w:rsidRPr="00575662">
          <w:rPr>
            <w:rStyle w:val="TextoNormalCaracter"/>
          </w:rPr>
          <w:t>61/1997</w:t>
        </w:r>
      </w:hyperlink>
      <w:r>
        <w:t>, ff. 4, 28.</w:t>
      </w:r>
    </w:p>
    <w:p w:rsidR="00575662" w:rsidRDefault="00575662" w:rsidP="00575662">
      <w:pPr>
        <w:pStyle w:val="SangriaFrancesaArticulo"/>
      </w:pPr>
      <w:r w:rsidRPr="00575662">
        <w:rPr>
          <w:rStyle w:val="TextoNormalNegritaCaracter"/>
        </w:rPr>
        <w:t>Artículo 167 a).</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173.</w:t>
      </w:r>
      <w:r w:rsidRPr="00575662">
        <w:rPr>
          <w:rStyle w:val="TextoNormalCaracter"/>
        </w:rPr>
        <w:t>-</w:t>
      </w:r>
      <w:r>
        <w:t xml:space="preserve"> Sentencia </w:t>
      </w:r>
      <w:hyperlink w:anchor="SENTENCIA_1997_61" w:history="1">
        <w:r w:rsidRPr="00575662">
          <w:rPr>
            <w:rStyle w:val="TextoNormalCaracter"/>
          </w:rPr>
          <w:t>61/1997</w:t>
        </w:r>
      </w:hyperlink>
      <w:r>
        <w:t>, ff. 4, 28.</w:t>
      </w:r>
    </w:p>
    <w:p w:rsidR="00575662" w:rsidRDefault="00575662" w:rsidP="00575662">
      <w:pPr>
        <w:pStyle w:val="SangriaFrancesaArticulo"/>
      </w:pPr>
      <w:r w:rsidRPr="00575662">
        <w:rPr>
          <w:rStyle w:val="TextoNormalNegritaCaracter"/>
        </w:rPr>
        <w:t>Artículo 174.2.</w:t>
      </w:r>
      <w:r w:rsidRPr="00575662">
        <w:rPr>
          <w:rStyle w:val="TextoNormalCaracter"/>
        </w:rPr>
        <w:t>-</w:t>
      </w:r>
      <w:r>
        <w:t xml:space="preserve"> Sentencia </w:t>
      </w:r>
      <w:hyperlink w:anchor="SENTENCIA_1997_61" w:history="1">
        <w:r w:rsidRPr="00575662">
          <w:rPr>
            <w:rStyle w:val="TextoNormalCaracter"/>
          </w:rPr>
          <w:t>61/1997</w:t>
        </w:r>
      </w:hyperlink>
      <w:r>
        <w:t>, f. 28.</w:t>
      </w:r>
    </w:p>
    <w:p w:rsidR="00575662" w:rsidRDefault="00575662" w:rsidP="00575662">
      <w:pPr>
        <w:pStyle w:val="SangriaFrancesaArticulo"/>
      </w:pPr>
      <w:r w:rsidRPr="00575662">
        <w:rPr>
          <w:rStyle w:val="TextoNormalNegritaCaracter"/>
        </w:rPr>
        <w:t>Artículo 176.</w:t>
      </w:r>
      <w:r w:rsidRPr="00575662">
        <w:rPr>
          <w:rStyle w:val="TextoNormalCaracter"/>
        </w:rPr>
        <w:t>-</w:t>
      </w:r>
      <w:r>
        <w:t xml:space="preserve"> Sentencia </w:t>
      </w:r>
      <w:hyperlink w:anchor="SENTENCIA_1997_61" w:history="1">
        <w:r w:rsidRPr="00575662">
          <w:rPr>
            <w:rStyle w:val="TextoNormalCaracter"/>
          </w:rPr>
          <w:t>61/1997</w:t>
        </w:r>
      </w:hyperlink>
      <w:r>
        <w:t>, ff. 4, 28.</w:t>
      </w:r>
    </w:p>
    <w:p w:rsidR="00575662" w:rsidRDefault="00575662" w:rsidP="00575662">
      <w:pPr>
        <w:pStyle w:val="SangriaFrancesaArticulo"/>
      </w:pPr>
      <w:r w:rsidRPr="00575662">
        <w:rPr>
          <w:rStyle w:val="TextoNormalNegritaCaracter"/>
        </w:rPr>
        <w:t>Artículo 183.</w:t>
      </w:r>
      <w:r w:rsidRPr="00575662">
        <w:rPr>
          <w:rStyle w:val="TextoNormalCaracter"/>
        </w:rPr>
        <w:t>-</w:t>
      </w:r>
      <w:r>
        <w:t xml:space="preserve"> Sentencia </w:t>
      </w:r>
      <w:hyperlink w:anchor="SENTENCIA_1997_61" w:history="1">
        <w:r w:rsidRPr="00575662">
          <w:rPr>
            <w:rStyle w:val="TextoNormalCaracter"/>
          </w:rPr>
          <w:t>61/1997</w:t>
        </w:r>
      </w:hyperlink>
      <w:r>
        <w:t>, f. 4.</w:t>
      </w:r>
    </w:p>
    <w:p w:rsidR="00575662" w:rsidRDefault="00575662" w:rsidP="00575662">
      <w:pPr>
        <w:pStyle w:val="SangriaFrancesaArticulo"/>
      </w:pPr>
      <w:r w:rsidRPr="00575662">
        <w:rPr>
          <w:rStyle w:val="TextoNormalNegritaCaracter"/>
        </w:rPr>
        <w:t>Artículo 184.2.</w:t>
      </w:r>
      <w:r w:rsidRPr="00575662">
        <w:rPr>
          <w:rStyle w:val="TextoNormalCaracter"/>
        </w:rPr>
        <w:t>-</w:t>
      </w:r>
      <w:r>
        <w:t xml:space="preserve"> Sentencia </w:t>
      </w:r>
      <w:hyperlink w:anchor="SENTENCIA_1997_61" w:history="1">
        <w:r w:rsidRPr="00575662">
          <w:rPr>
            <w:rStyle w:val="TextoNormalCaracter"/>
          </w:rPr>
          <w:t>61/1997</w:t>
        </w:r>
      </w:hyperlink>
      <w:r>
        <w:t>, f. 28.</w:t>
      </w:r>
    </w:p>
    <w:p w:rsidR="00575662" w:rsidRDefault="00575662" w:rsidP="00575662">
      <w:pPr>
        <w:pStyle w:val="SangriaFrancesaArticulo"/>
      </w:pPr>
      <w:r w:rsidRPr="00575662">
        <w:rPr>
          <w:rStyle w:val="TextoNormalNegritaCaracter"/>
        </w:rPr>
        <w:t>Artículos 187 a 191.</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Artículos 194 a 196.</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197 b).</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199.1 b).</w:t>
      </w:r>
      <w:r w:rsidRPr="00575662">
        <w:rPr>
          <w:rStyle w:val="TextoNormalCaracter"/>
        </w:rPr>
        <w:t>-</w:t>
      </w:r>
      <w:r>
        <w:t xml:space="preserve"> Sentencia </w:t>
      </w:r>
      <w:hyperlink w:anchor="SENTENCIA_1997_61" w:history="1">
        <w:r w:rsidRPr="00575662">
          <w:rPr>
            <w:rStyle w:val="TextoNormalCaracter"/>
          </w:rPr>
          <w:t>61/1997</w:t>
        </w:r>
      </w:hyperlink>
      <w:r>
        <w:t>, f. 30.</w:t>
      </w:r>
    </w:p>
    <w:p w:rsidR="00575662" w:rsidRDefault="00575662" w:rsidP="00575662">
      <w:pPr>
        <w:pStyle w:val="SangriaFrancesaArticulo"/>
      </w:pPr>
      <w:r w:rsidRPr="00575662">
        <w:rPr>
          <w:rStyle w:val="TextoNormalNegritaCaracter"/>
        </w:rPr>
        <w:t>Artículo 199.2 b).</w:t>
      </w:r>
      <w:r w:rsidRPr="00575662">
        <w:rPr>
          <w:rStyle w:val="TextoNormalCaracter"/>
        </w:rPr>
        <w:t>-</w:t>
      </w:r>
      <w:r>
        <w:t xml:space="preserve"> Sentencia </w:t>
      </w:r>
      <w:hyperlink w:anchor="SENTENCIA_1997_61" w:history="1">
        <w:r w:rsidRPr="00575662">
          <w:rPr>
            <w:rStyle w:val="TextoNormalCaracter"/>
          </w:rPr>
          <w:t>61/1997</w:t>
        </w:r>
      </w:hyperlink>
      <w:r>
        <w:t>, f. 30.</w:t>
      </w:r>
    </w:p>
    <w:p w:rsidR="00575662" w:rsidRDefault="00575662" w:rsidP="00575662">
      <w:pPr>
        <w:pStyle w:val="SangriaFrancesaArticulo"/>
      </w:pPr>
      <w:r w:rsidRPr="00575662">
        <w:rPr>
          <w:rStyle w:val="TextoNormalNegritaCaracter"/>
        </w:rPr>
        <w:t>Artículo 202.1.</w:t>
      </w:r>
      <w:r w:rsidRPr="00575662">
        <w:rPr>
          <w:rStyle w:val="TextoNormalCaracter"/>
        </w:rPr>
        <w:t>-</w:t>
      </w:r>
      <w:r>
        <w:t xml:space="preserve"> Sentencia </w:t>
      </w:r>
      <w:hyperlink w:anchor="SENTENCIA_1997_61" w:history="1">
        <w:r w:rsidRPr="00575662">
          <w:rPr>
            <w:rStyle w:val="TextoNormalCaracter"/>
          </w:rPr>
          <w:t>61/1997</w:t>
        </w:r>
      </w:hyperlink>
      <w:r>
        <w:t>, f. 30.</w:t>
      </w:r>
    </w:p>
    <w:p w:rsidR="00575662" w:rsidRDefault="00575662" w:rsidP="00575662">
      <w:pPr>
        <w:pStyle w:val="SangriaFrancesaArticulo"/>
      </w:pPr>
      <w:r w:rsidRPr="00575662">
        <w:rPr>
          <w:rStyle w:val="TextoNormalNegritaCaracter"/>
        </w:rPr>
        <w:t>Artículo 202.1 a 4.</w:t>
      </w:r>
      <w:r w:rsidRPr="00575662">
        <w:rPr>
          <w:rStyle w:val="TextoNormalCaracter"/>
        </w:rPr>
        <w:t>-</w:t>
      </w:r>
      <w:r>
        <w:t xml:space="preserve"> Sentencia </w:t>
      </w:r>
      <w:hyperlink w:anchor="SENTENCIA_1997_61" w:history="1">
        <w:r w:rsidRPr="00575662">
          <w:rPr>
            <w:rStyle w:val="TextoNormalCaracter"/>
          </w:rPr>
          <w:t>61/1997</w:t>
        </w:r>
      </w:hyperlink>
      <w:r>
        <w:t>, f. 30.</w:t>
      </w:r>
    </w:p>
    <w:p w:rsidR="00575662" w:rsidRDefault="00575662" w:rsidP="00575662">
      <w:pPr>
        <w:pStyle w:val="SangriaFrancesaArticulo"/>
      </w:pPr>
      <w:r w:rsidRPr="00575662">
        <w:rPr>
          <w:rStyle w:val="TextoNormalNegritaCaracter"/>
        </w:rPr>
        <w:t>Artículo 202.4.</w:t>
      </w:r>
      <w:r w:rsidRPr="00575662">
        <w:rPr>
          <w:rStyle w:val="TextoNormalCaracter"/>
        </w:rPr>
        <w:t>-</w:t>
      </w:r>
      <w:r>
        <w:t xml:space="preserve"> Sentencia </w:t>
      </w:r>
      <w:hyperlink w:anchor="SENTENCIA_1997_61" w:history="1">
        <w:r w:rsidRPr="00575662">
          <w:rPr>
            <w:rStyle w:val="TextoNormalCaracter"/>
          </w:rPr>
          <w:t>61/1997</w:t>
        </w:r>
      </w:hyperlink>
      <w:r>
        <w:t>, f. 30.</w:t>
      </w:r>
    </w:p>
    <w:p w:rsidR="00575662" w:rsidRDefault="00575662" w:rsidP="00575662">
      <w:pPr>
        <w:pStyle w:val="SangriaFrancesaArticulo"/>
      </w:pPr>
      <w:r w:rsidRPr="00575662">
        <w:rPr>
          <w:rStyle w:val="TextoNormalNegritaCaracter"/>
        </w:rPr>
        <w:lastRenderedPageBreak/>
        <w:t>Artículo 203.</w:t>
      </w:r>
      <w:r w:rsidRPr="00575662">
        <w:rPr>
          <w:rStyle w:val="TextoNormalCaracter"/>
        </w:rPr>
        <w:t>-</w:t>
      </w:r>
      <w:r>
        <w:t xml:space="preserve"> Sentencia </w:t>
      </w:r>
      <w:hyperlink w:anchor="SENTENCIA_1997_61" w:history="1">
        <w:r w:rsidRPr="00575662">
          <w:rPr>
            <w:rStyle w:val="TextoNormalCaracter"/>
          </w:rPr>
          <w:t>61/1997</w:t>
        </w:r>
      </w:hyperlink>
      <w:r>
        <w:t>, ff. 29, 30.</w:t>
      </w:r>
    </w:p>
    <w:p w:rsidR="00575662" w:rsidRDefault="00575662" w:rsidP="00575662">
      <w:pPr>
        <w:pStyle w:val="SangriaFrancesaArticulo"/>
      </w:pPr>
      <w:r w:rsidRPr="00575662">
        <w:rPr>
          <w:rStyle w:val="TextoNormalNegritaCaracter"/>
        </w:rPr>
        <w:t>Artículo 203.1.</w:t>
      </w:r>
      <w:r w:rsidRPr="00575662">
        <w:rPr>
          <w:rStyle w:val="TextoNormalCaracter"/>
        </w:rPr>
        <w:t>-</w:t>
      </w:r>
      <w:r>
        <w:t xml:space="preserve"> Sentencia </w:t>
      </w:r>
      <w:hyperlink w:anchor="SENTENCIA_1997_61" w:history="1">
        <w:r w:rsidRPr="00575662">
          <w:rPr>
            <w:rStyle w:val="TextoNormalCaracter"/>
          </w:rPr>
          <w:t>61/1997</w:t>
        </w:r>
      </w:hyperlink>
      <w:r>
        <w:t>, f. 29.</w:t>
      </w:r>
    </w:p>
    <w:p w:rsidR="00575662" w:rsidRDefault="00575662" w:rsidP="00575662">
      <w:pPr>
        <w:pStyle w:val="SangriaFrancesaArticulo"/>
      </w:pPr>
      <w:r w:rsidRPr="00575662">
        <w:rPr>
          <w:rStyle w:val="TextoNormalNegritaCaracter"/>
        </w:rPr>
        <w:t>Artículo 203.2 a 6.</w:t>
      </w:r>
      <w:r w:rsidRPr="00575662">
        <w:rPr>
          <w:rStyle w:val="TextoNormalCaracter"/>
        </w:rPr>
        <w:t>-</w:t>
      </w:r>
      <w:r>
        <w:t xml:space="preserve"> Sentencia </w:t>
      </w:r>
      <w:hyperlink w:anchor="SENTENCIA_1997_61" w:history="1">
        <w:r w:rsidRPr="00575662">
          <w:rPr>
            <w:rStyle w:val="TextoNormalCaracter"/>
          </w:rPr>
          <w:t>61/1997</w:t>
        </w:r>
      </w:hyperlink>
      <w:r>
        <w:t>, f. 30.</w:t>
      </w:r>
    </w:p>
    <w:p w:rsidR="00575662" w:rsidRDefault="00575662" w:rsidP="00575662">
      <w:pPr>
        <w:pStyle w:val="SangriaFrancesaArticulo"/>
      </w:pPr>
      <w:r w:rsidRPr="00575662">
        <w:rPr>
          <w:rStyle w:val="TextoNormalNegritaCaracter"/>
        </w:rPr>
        <w:t>Artículo 203.3.</w:t>
      </w:r>
      <w:r w:rsidRPr="00575662">
        <w:rPr>
          <w:rStyle w:val="TextoNormalCaracter"/>
        </w:rPr>
        <w:t>-</w:t>
      </w:r>
      <w:r>
        <w:t xml:space="preserve"> Sentencia </w:t>
      </w:r>
      <w:hyperlink w:anchor="SENTENCIA_1997_61" w:history="1">
        <w:r w:rsidRPr="00575662">
          <w:rPr>
            <w:rStyle w:val="TextoNormalCaracter"/>
          </w:rPr>
          <w:t>61/1997</w:t>
        </w:r>
      </w:hyperlink>
      <w:r>
        <w:t>, f. 29.</w:t>
      </w:r>
    </w:p>
    <w:p w:rsidR="00575662" w:rsidRDefault="00575662" w:rsidP="00575662">
      <w:pPr>
        <w:pStyle w:val="SangriaFrancesaArticulo"/>
      </w:pPr>
      <w:r w:rsidRPr="00575662">
        <w:rPr>
          <w:rStyle w:val="TextoNormalNegritaCaracter"/>
        </w:rPr>
        <w:t>Artículo 203.3.1.</w:t>
      </w:r>
      <w:r w:rsidRPr="00575662">
        <w:rPr>
          <w:rStyle w:val="TextoNormalCaracter"/>
        </w:rPr>
        <w:t>-</w:t>
      </w:r>
      <w:r>
        <w:t xml:space="preserve"> Sentencia </w:t>
      </w:r>
      <w:hyperlink w:anchor="SENTENCIA_1997_61" w:history="1">
        <w:r w:rsidRPr="00575662">
          <w:rPr>
            <w:rStyle w:val="TextoNormalCaracter"/>
          </w:rPr>
          <w:t>61/1997</w:t>
        </w:r>
      </w:hyperlink>
      <w:r>
        <w:t>, f. 29.</w:t>
      </w:r>
    </w:p>
    <w:p w:rsidR="00575662" w:rsidRDefault="00575662" w:rsidP="00575662">
      <w:pPr>
        <w:pStyle w:val="SangriaFrancesaArticulo"/>
      </w:pPr>
      <w:r w:rsidRPr="00575662">
        <w:rPr>
          <w:rStyle w:val="TextoNormalNegritaCaracter"/>
        </w:rPr>
        <w:t>Artículo 203.3.2.</w:t>
      </w:r>
      <w:r w:rsidRPr="00575662">
        <w:rPr>
          <w:rStyle w:val="TextoNormalCaracter"/>
        </w:rPr>
        <w:t>-</w:t>
      </w:r>
      <w:r>
        <w:t xml:space="preserve"> Sentencia </w:t>
      </w:r>
      <w:hyperlink w:anchor="SENTENCIA_1997_61" w:history="1">
        <w:r w:rsidRPr="00575662">
          <w:rPr>
            <w:rStyle w:val="TextoNormalCaracter"/>
          </w:rPr>
          <w:t>61/1997</w:t>
        </w:r>
      </w:hyperlink>
      <w:r>
        <w:t>, f. 29.</w:t>
      </w:r>
    </w:p>
    <w:p w:rsidR="00575662" w:rsidRDefault="00575662" w:rsidP="00575662">
      <w:pPr>
        <w:pStyle w:val="SangriaFrancesaArticulo"/>
      </w:pPr>
      <w:r w:rsidRPr="00575662">
        <w:rPr>
          <w:rStyle w:val="TextoNormalNegritaCaracter"/>
        </w:rPr>
        <w:t>Artículo 203.3.3.</w:t>
      </w:r>
      <w:r w:rsidRPr="00575662">
        <w:rPr>
          <w:rStyle w:val="TextoNormalCaracter"/>
        </w:rPr>
        <w:t>-</w:t>
      </w:r>
      <w:r>
        <w:t xml:space="preserve"> Sentencia </w:t>
      </w:r>
      <w:hyperlink w:anchor="SENTENCIA_1997_61" w:history="1">
        <w:r w:rsidRPr="00575662">
          <w:rPr>
            <w:rStyle w:val="TextoNormalCaracter"/>
          </w:rPr>
          <w:t>61/1997</w:t>
        </w:r>
      </w:hyperlink>
      <w:r>
        <w:t>, f. 29.</w:t>
      </w:r>
    </w:p>
    <w:p w:rsidR="00575662" w:rsidRDefault="00575662" w:rsidP="00575662">
      <w:pPr>
        <w:pStyle w:val="SangriaFrancesaArticulo"/>
      </w:pPr>
      <w:r w:rsidRPr="00575662">
        <w:rPr>
          <w:rStyle w:val="TextoNormalNegritaCaracter"/>
        </w:rPr>
        <w:t>Artículo 203.4.</w:t>
      </w:r>
      <w:r w:rsidRPr="00575662">
        <w:rPr>
          <w:rStyle w:val="TextoNormalCaracter"/>
        </w:rPr>
        <w:t>-</w:t>
      </w:r>
      <w:r>
        <w:t xml:space="preserve"> Sentencia </w:t>
      </w:r>
      <w:hyperlink w:anchor="SENTENCIA_1997_61" w:history="1">
        <w:r w:rsidRPr="00575662">
          <w:rPr>
            <w:rStyle w:val="TextoNormalCaracter"/>
          </w:rPr>
          <w:t>61/1997</w:t>
        </w:r>
      </w:hyperlink>
      <w:r>
        <w:t>, f. 29.</w:t>
      </w:r>
    </w:p>
    <w:p w:rsidR="00575662" w:rsidRDefault="00575662" w:rsidP="00575662">
      <w:pPr>
        <w:pStyle w:val="SangriaFrancesaArticulo"/>
      </w:pPr>
      <w:r w:rsidRPr="00575662">
        <w:rPr>
          <w:rStyle w:val="TextoNormalNegritaCaracter"/>
        </w:rPr>
        <w:t>Artículo 203.5.</w:t>
      </w:r>
      <w:r w:rsidRPr="00575662">
        <w:rPr>
          <w:rStyle w:val="TextoNormalCaracter"/>
        </w:rPr>
        <w:t>-</w:t>
      </w:r>
      <w:r>
        <w:t xml:space="preserve"> Sentencia </w:t>
      </w:r>
      <w:hyperlink w:anchor="SENTENCIA_1997_61" w:history="1">
        <w:r w:rsidRPr="00575662">
          <w:rPr>
            <w:rStyle w:val="TextoNormalCaracter"/>
          </w:rPr>
          <w:t>61/1997</w:t>
        </w:r>
      </w:hyperlink>
      <w:r>
        <w:t>, f. 29.</w:t>
      </w:r>
    </w:p>
    <w:p w:rsidR="00575662" w:rsidRDefault="00575662" w:rsidP="00575662">
      <w:pPr>
        <w:pStyle w:val="SangriaFrancesaArticulo"/>
      </w:pPr>
      <w:r w:rsidRPr="00575662">
        <w:rPr>
          <w:rStyle w:val="TextoNormalNegritaCaracter"/>
        </w:rPr>
        <w:t>Artículo 203.6.</w:t>
      </w:r>
      <w:r w:rsidRPr="00575662">
        <w:rPr>
          <w:rStyle w:val="TextoNormalCaracter"/>
        </w:rPr>
        <w:t>-</w:t>
      </w:r>
      <w:r>
        <w:t xml:space="preserve"> Sentencia </w:t>
      </w:r>
      <w:hyperlink w:anchor="SENTENCIA_1997_61" w:history="1">
        <w:r w:rsidRPr="00575662">
          <w:rPr>
            <w:rStyle w:val="TextoNormalCaracter"/>
          </w:rPr>
          <w:t>61/1997</w:t>
        </w:r>
      </w:hyperlink>
      <w:r>
        <w:t>, f. 29.</w:t>
      </w:r>
    </w:p>
    <w:p w:rsidR="00575662" w:rsidRDefault="00575662" w:rsidP="00575662">
      <w:pPr>
        <w:pStyle w:val="SangriaFrancesaArticulo"/>
      </w:pPr>
      <w:r w:rsidRPr="00575662">
        <w:rPr>
          <w:rStyle w:val="TextoNormalNegritaCaracter"/>
        </w:rPr>
        <w:t>Artículo 204.</w:t>
      </w:r>
      <w:r w:rsidRPr="00575662">
        <w:rPr>
          <w:rStyle w:val="TextoNormalCaracter"/>
        </w:rPr>
        <w:t>-</w:t>
      </w:r>
      <w:r>
        <w:t xml:space="preserve"> Sentencia </w:t>
      </w:r>
      <w:hyperlink w:anchor="SENTENCIA_1997_61" w:history="1">
        <w:r w:rsidRPr="00575662">
          <w:rPr>
            <w:rStyle w:val="TextoNormalCaracter"/>
          </w:rPr>
          <w:t>61/1997</w:t>
        </w:r>
      </w:hyperlink>
      <w:r>
        <w:t>, ff. 29, 30.</w:t>
      </w:r>
    </w:p>
    <w:p w:rsidR="00575662" w:rsidRDefault="00575662" w:rsidP="00575662">
      <w:pPr>
        <w:pStyle w:val="SangriaFrancesaArticulo"/>
      </w:pPr>
      <w:r w:rsidRPr="00575662">
        <w:rPr>
          <w:rStyle w:val="TextoNormalNegritaCaracter"/>
        </w:rPr>
        <w:t>Artículo 204.2.</w:t>
      </w:r>
      <w:r w:rsidRPr="00575662">
        <w:rPr>
          <w:rStyle w:val="TextoNormalCaracter"/>
        </w:rPr>
        <w:t>-</w:t>
      </w:r>
      <w:r>
        <w:t xml:space="preserve"> Sentencia </w:t>
      </w:r>
      <w:hyperlink w:anchor="SENTENCIA_1997_61" w:history="1">
        <w:r w:rsidRPr="00575662">
          <w:rPr>
            <w:rStyle w:val="TextoNormalCaracter"/>
          </w:rPr>
          <w:t>61/1997</w:t>
        </w:r>
      </w:hyperlink>
      <w:r>
        <w:t>, f. 29.</w:t>
      </w:r>
    </w:p>
    <w:p w:rsidR="00575662" w:rsidRDefault="00575662" w:rsidP="00575662">
      <w:pPr>
        <w:pStyle w:val="SangriaFrancesaArticulo"/>
      </w:pPr>
      <w:r w:rsidRPr="00575662">
        <w:rPr>
          <w:rStyle w:val="TextoNormalNegritaCaracter"/>
        </w:rPr>
        <w:t>Artículo 205.</w:t>
      </w:r>
      <w:r w:rsidRPr="00575662">
        <w:rPr>
          <w:rStyle w:val="TextoNormalCaracter"/>
        </w:rPr>
        <w:t>-</w:t>
      </w:r>
      <w:r>
        <w:t xml:space="preserve"> Sentencia </w:t>
      </w:r>
      <w:hyperlink w:anchor="SENTENCIA_1997_61" w:history="1">
        <w:r w:rsidRPr="00575662">
          <w:rPr>
            <w:rStyle w:val="TextoNormalCaracter"/>
          </w:rPr>
          <w:t>61/1997</w:t>
        </w:r>
      </w:hyperlink>
      <w:r>
        <w:t>, ff. 4, 29, 30.</w:t>
      </w:r>
    </w:p>
    <w:p w:rsidR="00575662" w:rsidRDefault="00575662" w:rsidP="00575662">
      <w:pPr>
        <w:pStyle w:val="SangriaFrancesaArticulo"/>
      </w:pPr>
      <w:r w:rsidRPr="00575662">
        <w:rPr>
          <w:rStyle w:val="TextoNormalNegritaCaracter"/>
        </w:rPr>
        <w:t>Artículo 205.1.</w:t>
      </w:r>
      <w:r w:rsidRPr="00575662">
        <w:rPr>
          <w:rStyle w:val="TextoNormalCaracter"/>
        </w:rPr>
        <w:t>-</w:t>
      </w:r>
      <w:r>
        <w:t xml:space="preserve"> Sentencia </w:t>
      </w:r>
      <w:hyperlink w:anchor="SENTENCIA_1997_61" w:history="1">
        <w:r w:rsidRPr="00575662">
          <w:rPr>
            <w:rStyle w:val="TextoNormalCaracter"/>
          </w:rPr>
          <w:t>61/1997</w:t>
        </w:r>
      </w:hyperlink>
      <w:r>
        <w:t>, f. 29.</w:t>
      </w:r>
    </w:p>
    <w:p w:rsidR="00575662" w:rsidRDefault="00575662" w:rsidP="00575662">
      <w:pPr>
        <w:pStyle w:val="SangriaFrancesaArticulo"/>
      </w:pPr>
      <w:r w:rsidRPr="00575662">
        <w:rPr>
          <w:rStyle w:val="TextoNormalNegritaCaracter"/>
        </w:rPr>
        <w:t>Artículo 205.2.</w:t>
      </w:r>
      <w:r w:rsidRPr="00575662">
        <w:rPr>
          <w:rStyle w:val="TextoNormalCaracter"/>
        </w:rPr>
        <w:t>-</w:t>
      </w:r>
      <w:r>
        <w:t xml:space="preserve"> Sentencia </w:t>
      </w:r>
      <w:hyperlink w:anchor="SENTENCIA_1997_61" w:history="1">
        <w:r w:rsidRPr="00575662">
          <w:rPr>
            <w:rStyle w:val="TextoNormalCaracter"/>
          </w:rPr>
          <w:t>61/1997</w:t>
        </w:r>
      </w:hyperlink>
      <w:r>
        <w:t>, f. 29.</w:t>
      </w:r>
    </w:p>
    <w:p w:rsidR="00575662" w:rsidRDefault="00575662" w:rsidP="00575662">
      <w:pPr>
        <w:pStyle w:val="SangriaFrancesaArticulo"/>
      </w:pPr>
      <w:r w:rsidRPr="00575662">
        <w:rPr>
          <w:rStyle w:val="TextoNormalNegritaCaracter"/>
        </w:rPr>
        <w:t>Artículo 205.3.</w:t>
      </w:r>
      <w:r w:rsidRPr="00575662">
        <w:rPr>
          <w:rStyle w:val="TextoNormalCaracter"/>
        </w:rPr>
        <w:t>-</w:t>
      </w:r>
      <w:r>
        <w:t xml:space="preserve"> Sentencia </w:t>
      </w:r>
      <w:hyperlink w:anchor="SENTENCIA_1997_61" w:history="1">
        <w:r w:rsidRPr="00575662">
          <w:rPr>
            <w:rStyle w:val="TextoNormalCaracter"/>
          </w:rPr>
          <w:t>61/1997</w:t>
        </w:r>
      </w:hyperlink>
      <w:r>
        <w:t>, f. 29.</w:t>
      </w:r>
    </w:p>
    <w:p w:rsidR="00575662" w:rsidRDefault="00575662" w:rsidP="00575662">
      <w:pPr>
        <w:pStyle w:val="SangriaFrancesaArticulo"/>
      </w:pPr>
      <w:r w:rsidRPr="00575662">
        <w:rPr>
          <w:rStyle w:val="TextoNormalNegritaCaracter"/>
        </w:rPr>
        <w:t>Artículo 206.</w:t>
      </w:r>
      <w:r w:rsidRPr="00575662">
        <w:rPr>
          <w:rStyle w:val="TextoNormalCaracter"/>
        </w:rPr>
        <w:t>-</w:t>
      </w:r>
      <w:r>
        <w:t xml:space="preserve"> Sentencia </w:t>
      </w:r>
      <w:hyperlink w:anchor="SENTENCIA_1997_61" w:history="1">
        <w:r w:rsidRPr="00575662">
          <w:rPr>
            <w:rStyle w:val="TextoNormalCaracter"/>
          </w:rPr>
          <w:t>61/1997</w:t>
        </w:r>
      </w:hyperlink>
      <w:r>
        <w:t>, f. 30.</w:t>
      </w:r>
    </w:p>
    <w:p w:rsidR="00575662" w:rsidRDefault="00575662" w:rsidP="00575662">
      <w:pPr>
        <w:pStyle w:val="SangriaFrancesaArticulo"/>
      </w:pPr>
      <w:r w:rsidRPr="00575662">
        <w:rPr>
          <w:rStyle w:val="TextoNormalNegritaCaracter"/>
        </w:rPr>
        <w:t>Artículo 206.1 d).</w:t>
      </w:r>
      <w:r w:rsidRPr="00575662">
        <w:rPr>
          <w:rStyle w:val="TextoNormalCaracter"/>
        </w:rPr>
        <w:t>-</w:t>
      </w:r>
      <w:r>
        <w:t xml:space="preserve"> Sentencia </w:t>
      </w:r>
      <w:hyperlink w:anchor="SENTENCIA_1997_61" w:history="1">
        <w:r w:rsidRPr="00575662">
          <w:rPr>
            <w:rStyle w:val="TextoNormalCaracter"/>
          </w:rPr>
          <w:t>61/1997</w:t>
        </w:r>
      </w:hyperlink>
      <w:r>
        <w:t>, f. 30.</w:t>
      </w:r>
    </w:p>
    <w:p w:rsidR="00575662" w:rsidRDefault="00575662" w:rsidP="00575662">
      <w:pPr>
        <w:pStyle w:val="SangriaFrancesaArticulo"/>
      </w:pPr>
      <w:r w:rsidRPr="00575662">
        <w:rPr>
          <w:rStyle w:val="TextoNormalNegritaCaracter"/>
        </w:rPr>
        <w:t>Artículo 206.1 e).</w:t>
      </w:r>
      <w:r w:rsidRPr="00575662">
        <w:rPr>
          <w:rStyle w:val="TextoNormalCaracter"/>
        </w:rPr>
        <w:t>-</w:t>
      </w:r>
      <w:r>
        <w:t xml:space="preserve"> Sentencia </w:t>
      </w:r>
      <w:hyperlink w:anchor="SENTENCIA_1997_61" w:history="1">
        <w:r w:rsidRPr="00575662">
          <w:rPr>
            <w:rStyle w:val="TextoNormalCaracter"/>
          </w:rPr>
          <w:t>61/1997</w:t>
        </w:r>
      </w:hyperlink>
      <w:r>
        <w:t>, f. 30.</w:t>
      </w:r>
    </w:p>
    <w:p w:rsidR="00575662" w:rsidRDefault="00575662" w:rsidP="00575662">
      <w:pPr>
        <w:pStyle w:val="SangriaFrancesaArticulo"/>
      </w:pPr>
      <w:r w:rsidRPr="00575662">
        <w:rPr>
          <w:rStyle w:val="TextoNormalNegritaCaracter"/>
        </w:rPr>
        <w:t>Artículo 206.1 f).</w:t>
      </w:r>
      <w:r w:rsidRPr="00575662">
        <w:rPr>
          <w:rStyle w:val="TextoNormalCaracter"/>
        </w:rPr>
        <w:t>-</w:t>
      </w:r>
      <w:r>
        <w:t xml:space="preserve"> Sentencia </w:t>
      </w:r>
      <w:hyperlink w:anchor="SENTENCIA_1997_61" w:history="1">
        <w:r w:rsidRPr="00575662">
          <w:rPr>
            <w:rStyle w:val="TextoNormalCaracter"/>
          </w:rPr>
          <w:t>61/1997</w:t>
        </w:r>
      </w:hyperlink>
      <w:r>
        <w:t>, ff. 17, 30.</w:t>
      </w:r>
    </w:p>
    <w:p w:rsidR="00575662" w:rsidRDefault="00575662" w:rsidP="00575662">
      <w:pPr>
        <w:pStyle w:val="SangriaFrancesaArticulo"/>
      </w:pPr>
      <w:r w:rsidRPr="00575662">
        <w:rPr>
          <w:rStyle w:val="TextoNormalNegritaCaracter"/>
        </w:rPr>
        <w:t>Artículo 206.1 g).</w:t>
      </w:r>
      <w:r w:rsidRPr="00575662">
        <w:rPr>
          <w:rStyle w:val="TextoNormalCaracter"/>
        </w:rPr>
        <w:t>-</w:t>
      </w:r>
      <w:r>
        <w:t xml:space="preserve"> Sentencia </w:t>
      </w:r>
      <w:hyperlink w:anchor="SENTENCIA_1997_61" w:history="1">
        <w:r w:rsidRPr="00575662">
          <w:rPr>
            <w:rStyle w:val="TextoNormalCaracter"/>
          </w:rPr>
          <w:t>61/1997</w:t>
        </w:r>
      </w:hyperlink>
      <w:r>
        <w:t>, f. 30.</w:t>
      </w:r>
    </w:p>
    <w:p w:rsidR="00575662" w:rsidRDefault="00575662" w:rsidP="00575662">
      <w:pPr>
        <w:pStyle w:val="SangriaFrancesaArticulo"/>
      </w:pPr>
      <w:r w:rsidRPr="00575662">
        <w:rPr>
          <w:rStyle w:val="TextoNormalNegritaCaracter"/>
        </w:rPr>
        <w:t>Artículo 206.2.</w:t>
      </w:r>
      <w:r w:rsidRPr="00575662">
        <w:rPr>
          <w:rStyle w:val="TextoNormalCaracter"/>
        </w:rPr>
        <w:t>-</w:t>
      </w:r>
      <w:r>
        <w:t xml:space="preserve"> Sentencia </w:t>
      </w:r>
      <w:hyperlink w:anchor="SENTENCIA_1997_61" w:history="1">
        <w:r w:rsidRPr="00575662">
          <w:rPr>
            <w:rStyle w:val="TextoNormalCaracter"/>
          </w:rPr>
          <w:t>61/1997</w:t>
        </w:r>
      </w:hyperlink>
      <w:r>
        <w:t>, f. 30.</w:t>
      </w:r>
    </w:p>
    <w:p w:rsidR="00575662" w:rsidRDefault="00575662" w:rsidP="00575662">
      <w:pPr>
        <w:pStyle w:val="SangriaFrancesaArticulo"/>
      </w:pPr>
      <w:r w:rsidRPr="00575662">
        <w:rPr>
          <w:rStyle w:val="TextoNormalNegritaCaracter"/>
        </w:rPr>
        <w:t>Artículo 207.</w:t>
      </w:r>
      <w:r w:rsidRPr="00575662">
        <w:rPr>
          <w:rStyle w:val="TextoNormalCaracter"/>
        </w:rPr>
        <w:t>-</w:t>
      </w:r>
      <w:r>
        <w:t xml:space="preserve"> Sentencia </w:t>
      </w:r>
      <w:hyperlink w:anchor="SENTENCIA_1997_61" w:history="1">
        <w:r w:rsidRPr="00575662">
          <w:rPr>
            <w:rStyle w:val="TextoNormalCaracter"/>
          </w:rPr>
          <w:t>61/1997</w:t>
        </w:r>
      </w:hyperlink>
      <w:r>
        <w:t>, f. 30.</w:t>
      </w:r>
    </w:p>
    <w:p w:rsidR="00575662" w:rsidRDefault="00575662" w:rsidP="00575662">
      <w:pPr>
        <w:pStyle w:val="SangriaFrancesaArticulo"/>
      </w:pPr>
      <w:r w:rsidRPr="00575662">
        <w:rPr>
          <w:rStyle w:val="TextoNormalNegritaCaracter"/>
        </w:rPr>
        <w:t>Artículo 207 a).</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217.</w:t>
      </w:r>
      <w:r w:rsidRPr="00575662">
        <w:rPr>
          <w:rStyle w:val="TextoNormalCaracter"/>
        </w:rPr>
        <w:t>-</w:t>
      </w:r>
      <w:r>
        <w:t xml:space="preserve"> Sentencia </w:t>
      </w:r>
      <w:hyperlink w:anchor="SENTENCIA_1997_61" w:history="1">
        <w:r w:rsidRPr="00575662">
          <w:rPr>
            <w:rStyle w:val="TextoNormalCaracter"/>
          </w:rPr>
          <w:t>61/1997</w:t>
        </w:r>
      </w:hyperlink>
      <w:r>
        <w:t>, f. 29.</w:t>
      </w:r>
    </w:p>
    <w:p w:rsidR="00575662" w:rsidRDefault="00575662" w:rsidP="00575662">
      <w:pPr>
        <w:pStyle w:val="SangriaFrancesaArticulo"/>
      </w:pPr>
      <w:r w:rsidRPr="00575662">
        <w:rPr>
          <w:rStyle w:val="TextoNormalNegritaCaracter"/>
        </w:rPr>
        <w:t>Artículo 220.1.</w:t>
      </w:r>
      <w:r w:rsidRPr="00575662">
        <w:rPr>
          <w:rStyle w:val="TextoNormalCaracter"/>
        </w:rPr>
        <w:t>-</w:t>
      </w:r>
      <w:r>
        <w:t xml:space="preserve"> Sentencia </w:t>
      </w:r>
      <w:hyperlink w:anchor="SENTENCIA_1997_61" w:history="1">
        <w:r w:rsidRPr="00575662">
          <w:rPr>
            <w:rStyle w:val="TextoNormalCaracter"/>
          </w:rPr>
          <w:t>61/1997</w:t>
        </w:r>
      </w:hyperlink>
      <w:r>
        <w:t>, ff. 31, 40.</w:t>
      </w:r>
    </w:p>
    <w:p w:rsidR="00575662" w:rsidRDefault="00575662" w:rsidP="00575662">
      <w:pPr>
        <w:pStyle w:val="SangriaFrancesaArticulo"/>
      </w:pPr>
      <w:r w:rsidRPr="00575662">
        <w:rPr>
          <w:rStyle w:val="TextoNormalNegritaCaracter"/>
        </w:rPr>
        <w:t>Artículo 221.</w:t>
      </w:r>
      <w:r w:rsidRPr="00575662">
        <w:rPr>
          <w:rStyle w:val="TextoNormalCaracter"/>
        </w:rPr>
        <w:t>-</w:t>
      </w:r>
      <w:r>
        <w:t xml:space="preserve"> Sentencia </w:t>
      </w:r>
      <w:hyperlink w:anchor="SENTENCIA_1997_61" w:history="1">
        <w:r w:rsidRPr="00575662">
          <w:rPr>
            <w:rStyle w:val="TextoNormalCaracter"/>
          </w:rPr>
          <w:t>61/1997</w:t>
        </w:r>
      </w:hyperlink>
      <w:r>
        <w:t>, ff. 31, 40.</w:t>
      </w:r>
    </w:p>
    <w:p w:rsidR="00575662" w:rsidRDefault="00575662" w:rsidP="00575662">
      <w:pPr>
        <w:pStyle w:val="SangriaFrancesaArticulo"/>
      </w:pPr>
      <w:r w:rsidRPr="00575662">
        <w:rPr>
          <w:rStyle w:val="TextoNormalNegritaCaracter"/>
        </w:rPr>
        <w:t>Artículo 227.</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227.1.</w:t>
      </w:r>
      <w:r w:rsidRPr="00575662">
        <w:rPr>
          <w:rStyle w:val="TextoNormalCaracter"/>
        </w:rPr>
        <w:t>-</w:t>
      </w:r>
      <w:r>
        <w:t xml:space="preserve"> Sentencia </w:t>
      </w:r>
      <w:hyperlink w:anchor="SENTENCIA_1997_61" w:history="1">
        <w:r w:rsidRPr="00575662">
          <w:rPr>
            <w:rStyle w:val="TextoNormalCaracter"/>
          </w:rPr>
          <w:t>61/1997</w:t>
        </w:r>
      </w:hyperlink>
      <w:r>
        <w:t>, ff. 4, 32.</w:t>
      </w:r>
    </w:p>
    <w:p w:rsidR="00575662" w:rsidRDefault="00575662" w:rsidP="00575662">
      <w:pPr>
        <w:pStyle w:val="SangriaFrancesaArticulo"/>
      </w:pPr>
      <w:r w:rsidRPr="00575662">
        <w:rPr>
          <w:rStyle w:val="TextoNormalNegritaCaracter"/>
        </w:rPr>
        <w:t>Artículo 228.</w:t>
      </w:r>
      <w:r w:rsidRPr="00575662">
        <w:rPr>
          <w:rStyle w:val="TextoNormalCaracter"/>
        </w:rPr>
        <w:t>-</w:t>
      </w:r>
      <w:r>
        <w:t xml:space="preserve"> Sentencia </w:t>
      </w:r>
      <w:hyperlink w:anchor="SENTENCIA_1997_61" w:history="1">
        <w:r w:rsidRPr="00575662">
          <w:rPr>
            <w:rStyle w:val="TextoNormalCaracter"/>
          </w:rPr>
          <w:t>61/1997</w:t>
        </w:r>
      </w:hyperlink>
      <w:r>
        <w:t>, f. 32.</w:t>
      </w:r>
    </w:p>
    <w:p w:rsidR="00575662" w:rsidRDefault="00575662" w:rsidP="00575662">
      <w:pPr>
        <w:pStyle w:val="SangriaFrancesaArticulo"/>
      </w:pPr>
      <w:r w:rsidRPr="00575662">
        <w:rPr>
          <w:rStyle w:val="TextoNormalNegritaCaracter"/>
        </w:rPr>
        <w:t>Artículo 228.1.</w:t>
      </w:r>
      <w:r w:rsidRPr="00575662">
        <w:rPr>
          <w:rStyle w:val="TextoNormalCaracter"/>
        </w:rPr>
        <w:t>-</w:t>
      </w:r>
      <w:r>
        <w:t xml:space="preserve"> Sentencia </w:t>
      </w:r>
      <w:hyperlink w:anchor="SENTENCIA_1997_61" w:history="1">
        <w:r w:rsidRPr="00575662">
          <w:rPr>
            <w:rStyle w:val="TextoNormalCaracter"/>
          </w:rPr>
          <w:t>61/1997</w:t>
        </w:r>
      </w:hyperlink>
      <w:r>
        <w:t>, f. 32.</w:t>
      </w:r>
    </w:p>
    <w:p w:rsidR="00575662" w:rsidRDefault="00575662" w:rsidP="00575662">
      <w:pPr>
        <w:pStyle w:val="SangriaFrancesaArticulo"/>
      </w:pPr>
      <w:r w:rsidRPr="00575662">
        <w:rPr>
          <w:rStyle w:val="TextoNormalNegritaCaracter"/>
        </w:rPr>
        <w:t>Artículo 228.3.</w:t>
      </w:r>
      <w:r w:rsidRPr="00575662">
        <w:rPr>
          <w:rStyle w:val="TextoNormalCaracter"/>
        </w:rPr>
        <w:t>-</w:t>
      </w:r>
      <w:r>
        <w:t xml:space="preserve"> Sentencia </w:t>
      </w:r>
      <w:hyperlink w:anchor="SENTENCIA_1997_61" w:history="1">
        <w:r w:rsidRPr="00575662">
          <w:rPr>
            <w:rStyle w:val="TextoNormalCaracter"/>
          </w:rPr>
          <w:t>61/1997</w:t>
        </w:r>
      </w:hyperlink>
      <w:r>
        <w:t>, ff. 4, 32.</w:t>
      </w:r>
    </w:p>
    <w:p w:rsidR="00575662" w:rsidRDefault="00575662" w:rsidP="00575662">
      <w:pPr>
        <w:pStyle w:val="SangriaFrancesaArticulo"/>
      </w:pPr>
      <w:r w:rsidRPr="00575662">
        <w:rPr>
          <w:rStyle w:val="TextoNormalNegritaCaracter"/>
        </w:rPr>
        <w:t>Artículo 228.4.</w:t>
      </w:r>
      <w:r w:rsidRPr="00575662">
        <w:rPr>
          <w:rStyle w:val="TextoNormalCaracter"/>
        </w:rPr>
        <w:t>-</w:t>
      </w:r>
      <w:r>
        <w:t xml:space="preserve"> Sentencia </w:t>
      </w:r>
      <w:hyperlink w:anchor="SENTENCIA_1997_61" w:history="1">
        <w:r w:rsidRPr="00575662">
          <w:rPr>
            <w:rStyle w:val="TextoNormalCaracter"/>
          </w:rPr>
          <w:t>61/1997</w:t>
        </w:r>
      </w:hyperlink>
      <w:r>
        <w:t>, ff. 4, 32.</w:t>
      </w:r>
    </w:p>
    <w:p w:rsidR="00575662" w:rsidRDefault="00575662" w:rsidP="00575662">
      <w:pPr>
        <w:pStyle w:val="SangriaFrancesaArticulo"/>
      </w:pPr>
      <w:r w:rsidRPr="00575662">
        <w:rPr>
          <w:rStyle w:val="TextoNormalNegritaCaracter"/>
        </w:rPr>
        <w:t>Artículo 237.</w:t>
      </w:r>
      <w:r w:rsidRPr="00575662">
        <w:rPr>
          <w:rStyle w:val="TextoNormalCaracter"/>
        </w:rPr>
        <w:t>-</w:t>
      </w:r>
      <w:r>
        <w:t xml:space="preserve"> Sentencia </w:t>
      </w:r>
      <w:hyperlink w:anchor="SENTENCIA_1997_61" w:history="1">
        <w:r w:rsidRPr="00575662">
          <w:rPr>
            <w:rStyle w:val="TextoNormalCaracter"/>
          </w:rPr>
          <w:t>61/1997</w:t>
        </w:r>
      </w:hyperlink>
      <w:r>
        <w:t>, f. 33.</w:t>
      </w:r>
    </w:p>
    <w:p w:rsidR="00575662" w:rsidRDefault="00575662" w:rsidP="00575662">
      <w:pPr>
        <w:pStyle w:val="SangriaFrancesaArticulo"/>
      </w:pPr>
      <w:r w:rsidRPr="00575662">
        <w:rPr>
          <w:rStyle w:val="TextoNormalNegritaCaracter"/>
        </w:rPr>
        <w:t>Artículo 237 a 241.</w:t>
      </w:r>
      <w:r w:rsidRPr="00575662">
        <w:rPr>
          <w:rStyle w:val="TextoNormalCaracter"/>
        </w:rPr>
        <w:t>-</w:t>
      </w:r>
      <w:r>
        <w:t xml:space="preserve"> Sentencia </w:t>
      </w:r>
      <w:hyperlink w:anchor="SENTENCIA_1997_61" w:history="1">
        <w:r w:rsidRPr="00575662">
          <w:rPr>
            <w:rStyle w:val="TextoNormalCaracter"/>
          </w:rPr>
          <w:t>61/1997</w:t>
        </w:r>
      </w:hyperlink>
      <w:r>
        <w:t>, f. 19.</w:t>
      </w:r>
    </w:p>
    <w:p w:rsidR="00575662" w:rsidRDefault="00575662" w:rsidP="00575662">
      <w:pPr>
        <w:pStyle w:val="SangriaFrancesaArticulo"/>
      </w:pPr>
      <w:r w:rsidRPr="00575662">
        <w:rPr>
          <w:rStyle w:val="TextoNormalNegritaCaracter"/>
        </w:rPr>
        <w:t>Artículo 237.2.</w:t>
      </w:r>
      <w:r w:rsidRPr="00575662">
        <w:rPr>
          <w:rStyle w:val="TextoNormalCaracter"/>
        </w:rPr>
        <w:t>-</w:t>
      </w:r>
      <w:r>
        <w:t xml:space="preserve"> Sentencia </w:t>
      </w:r>
      <w:hyperlink w:anchor="SENTENCIA_1997_61" w:history="1">
        <w:r w:rsidRPr="00575662">
          <w:rPr>
            <w:rStyle w:val="TextoNormalCaracter"/>
          </w:rPr>
          <w:t>61/1997</w:t>
        </w:r>
      </w:hyperlink>
      <w:r>
        <w:t>, f. 33.</w:t>
      </w:r>
    </w:p>
    <w:p w:rsidR="00575662" w:rsidRDefault="00575662" w:rsidP="00575662">
      <w:pPr>
        <w:pStyle w:val="SangriaFrancesaArticulo"/>
      </w:pPr>
      <w:r w:rsidRPr="00575662">
        <w:rPr>
          <w:rStyle w:val="TextoNormalNegritaCaracter"/>
        </w:rPr>
        <w:t>Artículo 238.</w:t>
      </w:r>
      <w:r w:rsidRPr="00575662">
        <w:rPr>
          <w:rStyle w:val="TextoNormalCaracter"/>
        </w:rPr>
        <w:t>-</w:t>
      </w:r>
      <w:r>
        <w:t xml:space="preserve"> Sentencia </w:t>
      </w:r>
      <w:hyperlink w:anchor="SENTENCIA_1997_61" w:history="1">
        <w:r w:rsidRPr="00575662">
          <w:rPr>
            <w:rStyle w:val="TextoNormalCaracter"/>
          </w:rPr>
          <w:t>61/1997</w:t>
        </w:r>
      </w:hyperlink>
      <w:r>
        <w:t>, f. 33.</w:t>
      </w:r>
    </w:p>
    <w:p w:rsidR="00575662" w:rsidRDefault="00575662" w:rsidP="00575662">
      <w:pPr>
        <w:pStyle w:val="SangriaFrancesaArticulo"/>
      </w:pPr>
      <w:r w:rsidRPr="00575662">
        <w:rPr>
          <w:rStyle w:val="TextoNormalNegritaCaracter"/>
        </w:rPr>
        <w:t>Artículo 238.2.</w:t>
      </w:r>
      <w:r w:rsidRPr="00575662">
        <w:rPr>
          <w:rStyle w:val="TextoNormalCaracter"/>
        </w:rPr>
        <w:t>-</w:t>
      </w:r>
      <w:r>
        <w:t xml:space="preserve"> Sentencia </w:t>
      </w:r>
      <w:hyperlink w:anchor="SENTENCIA_1997_61" w:history="1">
        <w:r w:rsidRPr="00575662">
          <w:rPr>
            <w:rStyle w:val="TextoNormalCaracter"/>
          </w:rPr>
          <w:t>61/1997</w:t>
        </w:r>
      </w:hyperlink>
      <w:r>
        <w:t>, f. 33.</w:t>
      </w:r>
    </w:p>
    <w:p w:rsidR="00575662" w:rsidRDefault="00575662" w:rsidP="00575662">
      <w:pPr>
        <w:pStyle w:val="SangriaFrancesaArticulo"/>
      </w:pPr>
      <w:r w:rsidRPr="00575662">
        <w:rPr>
          <w:rStyle w:val="TextoNormalNegritaCaracter"/>
        </w:rPr>
        <w:t>Artículo 239.</w:t>
      </w:r>
      <w:r w:rsidRPr="00575662">
        <w:rPr>
          <w:rStyle w:val="TextoNormalCaracter"/>
        </w:rPr>
        <w:t>-</w:t>
      </w:r>
      <w:r>
        <w:t xml:space="preserve"> Sentencia </w:t>
      </w:r>
      <w:hyperlink w:anchor="SENTENCIA_1997_61" w:history="1">
        <w:r w:rsidRPr="00575662">
          <w:rPr>
            <w:rStyle w:val="TextoNormalCaracter"/>
          </w:rPr>
          <w:t>61/1997</w:t>
        </w:r>
      </w:hyperlink>
      <w:r>
        <w:t>, f. 33.</w:t>
      </w:r>
    </w:p>
    <w:p w:rsidR="00575662" w:rsidRDefault="00575662" w:rsidP="00575662">
      <w:pPr>
        <w:pStyle w:val="SangriaFrancesaArticulo"/>
      </w:pPr>
      <w:r w:rsidRPr="00575662">
        <w:rPr>
          <w:rStyle w:val="TextoNormalNegritaCaracter"/>
        </w:rPr>
        <w:t>Artículo 239.2.</w:t>
      </w:r>
      <w:r w:rsidRPr="00575662">
        <w:rPr>
          <w:rStyle w:val="TextoNormalCaracter"/>
        </w:rPr>
        <w:t>-</w:t>
      </w:r>
      <w:r>
        <w:t xml:space="preserve"> Sentencia </w:t>
      </w:r>
      <w:hyperlink w:anchor="SENTENCIA_1997_61" w:history="1">
        <w:r w:rsidRPr="00575662">
          <w:rPr>
            <w:rStyle w:val="TextoNormalCaracter"/>
          </w:rPr>
          <w:t>61/1997</w:t>
        </w:r>
      </w:hyperlink>
      <w:r>
        <w:t>, f. 33.</w:t>
      </w:r>
    </w:p>
    <w:p w:rsidR="00575662" w:rsidRDefault="00575662" w:rsidP="00575662">
      <w:pPr>
        <w:pStyle w:val="SangriaFrancesaArticulo"/>
      </w:pPr>
      <w:r w:rsidRPr="00575662">
        <w:rPr>
          <w:rStyle w:val="TextoNormalNegritaCaracter"/>
        </w:rPr>
        <w:t>Artículo 240.</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241.</w:t>
      </w:r>
      <w:r w:rsidRPr="00575662">
        <w:rPr>
          <w:rStyle w:val="TextoNormalCaracter"/>
        </w:rPr>
        <w:t>-</w:t>
      </w:r>
      <w:r>
        <w:t xml:space="preserve"> Sentencia </w:t>
      </w:r>
      <w:hyperlink w:anchor="SENTENCIA_1997_61" w:history="1">
        <w:r w:rsidRPr="00575662">
          <w:rPr>
            <w:rStyle w:val="TextoNormalCaracter"/>
          </w:rPr>
          <w:t>61/1997</w:t>
        </w:r>
      </w:hyperlink>
      <w:r>
        <w:t>, ff. 28, 33.</w:t>
      </w:r>
    </w:p>
    <w:p w:rsidR="00575662" w:rsidRDefault="00575662" w:rsidP="00575662">
      <w:pPr>
        <w:pStyle w:val="SangriaFrancesaArticulo"/>
      </w:pPr>
      <w:r w:rsidRPr="00575662">
        <w:rPr>
          <w:rStyle w:val="TextoNormalNegritaCaracter"/>
        </w:rPr>
        <w:t>Artículo 242.1.</w:t>
      </w:r>
      <w:r w:rsidRPr="00575662">
        <w:rPr>
          <w:rStyle w:val="TextoNormalCaracter"/>
        </w:rPr>
        <w:t>-</w:t>
      </w:r>
      <w:r>
        <w:t xml:space="preserve"> Sentencia </w:t>
      </w:r>
      <w:hyperlink w:anchor="SENTENCIA_1997_61" w:history="1">
        <w:r w:rsidRPr="00575662">
          <w:rPr>
            <w:rStyle w:val="TextoNormalCaracter"/>
          </w:rPr>
          <w:t>61/1997</w:t>
        </w:r>
      </w:hyperlink>
      <w:r>
        <w:t>, f. 34.</w:t>
      </w:r>
    </w:p>
    <w:p w:rsidR="00575662" w:rsidRDefault="00575662" w:rsidP="00575662">
      <w:pPr>
        <w:pStyle w:val="SangriaFrancesaArticulo"/>
      </w:pPr>
      <w:r w:rsidRPr="00575662">
        <w:rPr>
          <w:rStyle w:val="TextoNormalNegritaCaracter"/>
        </w:rPr>
        <w:t>Artículo 242.4.</w:t>
      </w:r>
      <w:r w:rsidRPr="00575662">
        <w:rPr>
          <w:rStyle w:val="TextoNormalCaracter"/>
        </w:rPr>
        <w:t>-</w:t>
      </w:r>
      <w:r>
        <w:t xml:space="preserve"> Sentencia </w:t>
      </w:r>
      <w:hyperlink w:anchor="SENTENCIA_1997_61" w:history="1">
        <w:r w:rsidRPr="00575662">
          <w:rPr>
            <w:rStyle w:val="TextoNormalCaracter"/>
          </w:rPr>
          <w:t>61/1997</w:t>
        </w:r>
      </w:hyperlink>
      <w:r>
        <w:t>, f. 34.</w:t>
      </w:r>
    </w:p>
    <w:p w:rsidR="00575662" w:rsidRDefault="00575662" w:rsidP="00575662">
      <w:pPr>
        <w:pStyle w:val="SangriaFrancesaArticulo"/>
      </w:pPr>
      <w:r w:rsidRPr="00575662">
        <w:rPr>
          <w:rStyle w:val="TextoNormalNegritaCaracter"/>
        </w:rPr>
        <w:t>Artículo 242.6.</w:t>
      </w:r>
      <w:r w:rsidRPr="00575662">
        <w:rPr>
          <w:rStyle w:val="TextoNormalCaracter"/>
        </w:rPr>
        <w:t>-</w:t>
      </w:r>
      <w:r>
        <w:t xml:space="preserve"> Sentencia </w:t>
      </w:r>
      <w:hyperlink w:anchor="SENTENCIA_1997_61" w:history="1">
        <w:r w:rsidRPr="00575662">
          <w:rPr>
            <w:rStyle w:val="TextoNormalCaracter"/>
          </w:rPr>
          <w:t>61/1997</w:t>
        </w:r>
      </w:hyperlink>
      <w:r>
        <w:t>, f. 34.</w:t>
      </w:r>
    </w:p>
    <w:p w:rsidR="00575662" w:rsidRDefault="00575662" w:rsidP="00575662">
      <w:pPr>
        <w:pStyle w:val="SangriaFrancesaArticulo"/>
      </w:pPr>
      <w:r w:rsidRPr="00575662">
        <w:rPr>
          <w:rStyle w:val="TextoNormalNegritaCaracter"/>
        </w:rPr>
        <w:t>Artículo 243.</w:t>
      </w:r>
      <w:r w:rsidRPr="00575662">
        <w:rPr>
          <w:rStyle w:val="TextoNormalCaracter"/>
        </w:rPr>
        <w:t>-</w:t>
      </w:r>
      <w:r>
        <w:t xml:space="preserve"> Sentencia </w:t>
      </w:r>
      <w:hyperlink w:anchor="SENTENCIA_1997_61" w:history="1">
        <w:r w:rsidRPr="00575662">
          <w:rPr>
            <w:rStyle w:val="TextoNormalCaracter"/>
          </w:rPr>
          <w:t>61/1997</w:t>
        </w:r>
      </w:hyperlink>
      <w:r>
        <w:t>, f. 34.</w:t>
      </w:r>
    </w:p>
    <w:p w:rsidR="00575662" w:rsidRDefault="00575662" w:rsidP="00575662">
      <w:pPr>
        <w:pStyle w:val="SangriaFrancesaArticulo"/>
      </w:pPr>
      <w:r w:rsidRPr="00575662">
        <w:rPr>
          <w:rStyle w:val="TextoNormalNegritaCaracter"/>
        </w:rPr>
        <w:t>Artículo 246.1.</w:t>
      </w:r>
      <w:r w:rsidRPr="00575662">
        <w:rPr>
          <w:rStyle w:val="TextoNormalCaracter"/>
        </w:rPr>
        <w:t>-</w:t>
      </w:r>
      <w:r>
        <w:t xml:space="preserve"> Sentencia </w:t>
      </w:r>
      <w:hyperlink w:anchor="SENTENCIA_1997_61" w:history="1">
        <w:r w:rsidRPr="00575662">
          <w:rPr>
            <w:rStyle w:val="TextoNormalCaracter"/>
          </w:rPr>
          <w:t>61/1997</w:t>
        </w:r>
      </w:hyperlink>
      <w:r>
        <w:t>, f. 34.</w:t>
      </w:r>
    </w:p>
    <w:p w:rsidR="00575662" w:rsidRDefault="00575662" w:rsidP="00575662">
      <w:pPr>
        <w:pStyle w:val="SangriaFrancesaArticulo"/>
      </w:pPr>
      <w:r w:rsidRPr="00575662">
        <w:rPr>
          <w:rStyle w:val="TextoNormalNegritaCaracter"/>
        </w:rPr>
        <w:t>Artículo 246.2.</w:t>
      </w:r>
      <w:r w:rsidRPr="00575662">
        <w:rPr>
          <w:rStyle w:val="TextoNormalCaracter"/>
        </w:rPr>
        <w:t>-</w:t>
      </w:r>
      <w:r>
        <w:t xml:space="preserve"> Sentencia </w:t>
      </w:r>
      <w:hyperlink w:anchor="SENTENCIA_1997_61" w:history="1">
        <w:r w:rsidRPr="00575662">
          <w:rPr>
            <w:rStyle w:val="TextoNormalCaracter"/>
          </w:rPr>
          <w:t>61/1997</w:t>
        </w:r>
      </w:hyperlink>
      <w:r>
        <w:t>, f. 34.</w:t>
      </w:r>
    </w:p>
    <w:p w:rsidR="00575662" w:rsidRDefault="00575662" w:rsidP="00575662">
      <w:pPr>
        <w:pStyle w:val="SangriaFrancesaArticulo"/>
      </w:pPr>
      <w:r w:rsidRPr="00575662">
        <w:rPr>
          <w:rStyle w:val="TextoNormalNegritaCaracter"/>
        </w:rPr>
        <w:lastRenderedPageBreak/>
        <w:t>Artículo 248.</w:t>
      </w:r>
      <w:r w:rsidRPr="00575662">
        <w:rPr>
          <w:rStyle w:val="TextoNormalCaracter"/>
        </w:rPr>
        <w:t>-</w:t>
      </w:r>
      <w:r>
        <w:t xml:space="preserve"> Sentencia </w:t>
      </w:r>
      <w:hyperlink w:anchor="SENTENCIA_1997_61" w:history="1">
        <w:r w:rsidRPr="00575662">
          <w:rPr>
            <w:rStyle w:val="TextoNormalCaracter"/>
          </w:rPr>
          <w:t>61/1997</w:t>
        </w:r>
      </w:hyperlink>
      <w:r>
        <w:t>, f. 34.</w:t>
      </w:r>
    </w:p>
    <w:p w:rsidR="00575662" w:rsidRDefault="00575662" w:rsidP="00575662">
      <w:pPr>
        <w:pStyle w:val="SangriaFrancesaArticulo"/>
      </w:pPr>
      <w:r w:rsidRPr="00575662">
        <w:rPr>
          <w:rStyle w:val="TextoNormalNegritaCaracter"/>
        </w:rPr>
        <w:t>Artículo 249.</w:t>
      </w:r>
      <w:r w:rsidRPr="00575662">
        <w:rPr>
          <w:rStyle w:val="TextoNormalCaracter"/>
        </w:rPr>
        <w:t>-</w:t>
      </w:r>
      <w:r>
        <w:t xml:space="preserve"> Sentencia </w:t>
      </w:r>
      <w:hyperlink w:anchor="SENTENCIA_1997_61" w:history="1">
        <w:r w:rsidRPr="00575662">
          <w:rPr>
            <w:rStyle w:val="TextoNormalCaracter"/>
          </w:rPr>
          <w:t>61/1997</w:t>
        </w:r>
      </w:hyperlink>
      <w:r>
        <w:t>, f. 34.</w:t>
      </w:r>
    </w:p>
    <w:p w:rsidR="00575662" w:rsidRDefault="00575662" w:rsidP="00575662">
      <w:pPr>
        <w:pStyle w:val="SangriaFrancesaArticulo"/>
      </w:pPr>
      <w:r w:rsidRPr="00575662">
        <w:rPr>
          <w:rStyle w:val="TextoNormalNegritaCaracter"/>
        </w:rPr>
        <w:t>Artículo 253.3.</w:t>
      </w:r>
      <w:r w:rsidRPr="00575662">
        <w:rPr>
          <w:rStyle w:val="TextoNormalCaracter"/>
        </w:rPr>
        <w:t>-</w:t>
      </w:r>
      <w:r>
        <w:t xml:space="preserve"> Sentencia </w:t>
      </w:r>
      <w:hyperlink w:anchor="SENTENCIA_1997_61" w:history="1">
        <w:r w:rsidRPr="00575662">
          <w:rPr>
            <w:rStyle w:val="TextoNormalCaracter"/>
          </w:rPr>
          <w:t>61/1997</w:t>
        </w:r>
      </w:hyperlink>
      <w:r>
        <w:t>, f. 34.</w:t>
      </w:r>
    </w:p>
    <w:p w:rsidR="00575662" w:rsidRDefault="00575662" w:rsidP="00575662">
      <w:pPr>
        <w:pStyle w:val="SangriaFrancesaArticulo"/>
      </w:pPr>
      <w:r w:rsidRPr="00575662">
        <w:rPr>
          <w:rStyle w:val="TextoNormalNegritaCaracter"/>
        </w:rPr>
        <w:t>Artículo 254.1.</w:t>
      </w:r>
      <w:r w:rsidRPr="00575662">
        <w:rPr>
          <w:rStyle w:val="TextoNormalCaracter"/>
        </w:rPr>
        <w:t>-</w:t>
      </w:r>
      <w:r>
        <w:t xml:space="preserve"> Sentencia </w:t>
      </w:r>
      <w:hyperlink w:anchor="SENTENCIA_1997_61" w:history="1">
        <w:r w:rsidRPr="00575662">
          <w:rPr>
            <w:rStyle w:val="TextoNormalCaracter"/>
          </w:rPr>
          <w:t>61/1997</w:t>
        </w:r>
      </w:hyperlink>
      <w:r>
        <w:t>, ff. 4, 35.</w:t>
      </w:r>
    </w:p>
    <w:p w:rsidR="00575662" w:rsidRDefault="00575662" w:rsidP="00575662">
      <w:pPr>
        <w:pStyle w:val="SangriaFrancesaArticulo"/>
      </w:pPr>
      <w:r w:rsidRPr="00575662">
        <w:rPr>
          <w:rStyle w:val="TextoNormalNegritaCaracter"/>
        </w:rPr>
        <w:t>Artículo 254.2.</w:t>
      </w:r>
      <w:r w:rsidRPr="00575662">
        <w:rPr>
          <w:rStyle w:val="TextoNormalCaracter"/>
        </w:rPr>
        <w:t>-</w:t>
      </w:r>
      <w:r>
        <w:t xml:space="preserve"> Sentencia </w:t>
      </w:r>
      <w:hyperlink w:anchor="SENTENCIA_1997_61" w:history="1">
        <w:r w:rsidRPr="00575662">
          <w:rPr>
            <w:rStyle w:val="TextoNormalCaracter"/>
          </w:rPr>
          <w:t>61/1997</w:t>
        </w:r>
      </w:hyperlink>
      <w:r>
        <w:t>, ff. 34, 35.</w:t>
      </w:r>
    </w:p>
    <w:p w:rsidR="00575662" w:rsidRDefault="00575662" w:rsidP="00575662">
      <w:pPr>
        <w:pStyle w:val="SangriaFrancesaArticulo"/>
      </w:pPr>
      <w:r w:rsidRPr="00575662">
        <w:rPr>
          <w:rStyle w:val="TextoNormalNegritaCaracter"/>
        </w:rPr>
        <w:t>Artículo 276.</w:t>
      </w:r>
      <w:r w:rsidRPr="00575662">
        <w:rPr>
          <w:rStyle w:val="TextoNormalCaracter"/>
        </w:rPr>
        <w:t>-</w:t>
      </w:r>
      <w:r>
        <w:t xml:space="preserve"> Sentencia </w:t>
      </w:r>
      <w:hyperlink w:anchor="SENTENCIA_1997_61" w:history="1">
        <w:r w:rsidRPr="00575662">
          <w:rPr>
            <w:rStyle w:val="TextoNormalCaracter"/>
          </w:rPr>
          <w:t>61/1997</w:t>
        </w:r>
      </w:hyperlink>
      <w:r>
        <w:t>, f. 36.</w:t>
      </w:r>
    </w:p>
    <w:p w:rsidR="00575662" w:rsidRDefault="00575662" w:rsidP="00575662">
      <w:pPr>
        <w:pStyle w:val="SangriaFrancesaArticulo"/>
      </w:pPr>
      <w:r w:rsidRPr="00575662">
        <w:rPr>
          <w:rStyle w:val="TextoNormalNegritaCaracter"/>
        </w:rPr>
        <w:t>Artículo 277.</w:t>
      </w:r>
      <w:r w:rsidRPr="00575662">
        <w:rPr>
          <w:rStyle w:val="TextoNormalCaracter"/>
        </w:rPr>
        <w:t>-</w:t>
      </w:r>
      <w:r>
        <w:t xml:space="preserve"> Sentencia </w:t>
      </w:r>
      <w:hyperlink w:anchor="SENTENCIA_1997_61" w:history="1">
        <w:r w:rsidRPr="00575662">
          <w:rPr>
            <w:rStyle w:val="TextoNormalCaracter"/>
          </w:rPr>
          <w:t>61/1997</w:t>
        </w:r>
      </w:hyperlink>
      <w:r>
        <w:t>, f. 36.</w:t>
      </w:r>
    </w:p>
    <w:p w:rsidR="00575662" w:rsidRDefault="00575662" w:rsidP="00575662">
      <w:pPr>
        <w:pStyle w:val="SangriaFrancesaArticulo"/>
      </w:pPr>
      <w:r w:rsidRPr="00575662">
        <w:rPr>
          <w:rStyle w:val="TextoNormalNegritaCaracter"/>
        </w:rPr>
        <w:t>Artículo 278.1.</w:t>
      </w:r>
      <w:r w:rsidRPr="00575662">
        <w:rPr>
          <w:rStyle w:val="TextoNormalCaracter"/>
        </w:rPr>
        <w:t>-</w:t>
      </w:r>
      <w:r>
        <w:t xml:space="preserve"> Sentencia </w:t>
      </w:r>
      <w:hyperlink w:anchor="SENTENCIA_1997_61" w:history="1">
        <w:r w:rsidRPr="00575662">
          <w:rPr>
            <w:rStyle w:val="TextoNormalCaracter"/>
          </w:rPr>
          <w:t>61/1997</w:t>
        </w:r>
      </w:hyperlink>
      <w:r>
        <w:t>, ff. 21, 36.</w:t>
      </w:r>
    </w:p>
    <w:p w:rsidR="00575662" w:rsidRDefault="00575662" w:rsidP="00575662">
      <w:pPr>
        <w:pStyle w:val="SangriaFrancesaArticulo"/>
      </w:pPr>
      <w:r w:rsidRPr="00575662">
        <w:rPr>
          <w:rStyle w:val="TextoNormalNegritaCaracter"/>
        </w:rPr>
        <w:t>Artículo 278.4.</w:t>
      </w:r>
      <w:r w:rsidRPr="00575662">
        <w:rPr>
          <w:rStyle w:val="TextoNormalCaracter"/>
        </w:rPr>
        <w:t>-</w:t>
      </w:r>
      <w:r>
        <w:t xml:space="preserve"> Sentencia </w:t>
      </w:r>
      <w:hyperlink w:anchor="SENTENCIA_1997_61" w:history="1">
        <w:r w:rsidRPr="00575662">
          <w:rPr>
            <w:rStyle w:val="TextoNormalCaracter"/>
          </w:rPr>
          <w:t>61/1997</w:t>
        </w:r>
      </w:hyperlink>
      <w:r>
        <w:t>, f. 37.</w:t>
      </w:r>
    </w:p>
    <w:p w:rsidR="00575662" w:rsidRDefault="00575662" w:rsidP="00575662">
      <w:pPr>
        <w:pStyle w:val="SangriaFrancesaArticulo"/>
      </w:pPr>
      <w:r w:rsidRPr="00575662">
        <w:rPr>
          <w:rStyle w:val="TextoNormalNegritaCaracter"/>
        </w:rPr>
        <w:t>Artículo 280.1.</w:t>
      </w:r>
      <w:r w:rsidRPr="00575662">
        <w:rPr>
          <w:rStyle w:val="TextoNormalCaracter"/>
        </w:rPr>
        <w:t>-</w:t>
      </w:r>
      <w:r>
        <w:t xml:space="preserve"> Sentencia </w:t>
      </w:r>
      <w:hyperlink w:anchor="SENTENCIA_1997_61" w:history="1">
        <w:r w:rsidRPr="00575662">
          <w:rPr>
            <w:rStyle w:val="TextoNormalCaracter"/>
          </w:rPr>
          <w:t>61/1997</w:t>
        </w:r>
      </w:hyperlink>
      <w:r>
        <w:t>, f. 36.</w:t>
      </w:r>
    </w:p>
    <w:p w:rsidR="00575662" w:rsidRDefault="00575662" w:rsidP="00575662">
      <w:pPr>
        <w:pStyle w:val="SangriaFrancesaArticulo"/>
      </w:pPr>
      <w:r w:rsidRPr="00575662">
        <w:rPr>
          <w:rStyle w:val="TextoNormalNegritaCaracter"/>
        </w:rPr>
        <w:t>Artículo 282.2.</w:t>
      </w:r>
      <w:r w:rsidRPr="00575662">
        <w:rPr>
          <w:rStyle w:val="TextoNormalCaracter"/>
        </w:rPr>
        <w:t>-</w:t>
      </w:r>
      <w:r>
        <w:t xml:space="preserve"> Sentencia </w:t>
      </w:r>
      <w:hyperlink w:anchor="SENTENCIA_1997_61" w:history="1">
        <w:r w:rsidRPr="00575662">
          <w:rPr>
            <w:rStyle w:val="TextoNormalCaracter"/>
          </w:rPr>
          <w:t>61/1997</w:t>
        </w:r>
      </w:hyperlink>
      <w:r>
        <w:t>, f. 36.</w:t>
      </w:r>
    </w:p>
    <w:p w:rsidR="00575662" w:rsidRDefault="00575662" w:rsidP="00575662">
      <w:pPr>
        <w:pStyle w:val="SangriaFrancesaArticulo"/>
      </w:pPr>
      <w:r w:rsidRPr="00575662">
        <w:rPr>
          <w:rStyle w:val="TextoNormalNegritaCaracter"/>
        </w:rPr>
        <w:t>Artículo 284.3.</w:t>
      </w:r>
      <w:r w:rsidRPr="00575662">
        <w:rPr>
          <w:rStyle w:val="TextoNormalCaracter"/>
        </w:rPr>
        <w:t>-</w:t>
      </w:r>
      <w:r>
        <w:t xml:space="preserve"> Sentencia </w:t>
      </w:r>
      <w:hyperlink w:anchor="SENTENCIA_1997_61" w:history="1">
        <w:r w:rsidRPr="00575662">
          <w:rPr>
            <w:rStyle w:val="TextoNormalCaracter"/>
          </w:rPr>
          <w:t>61/1997</w:t>
        </w:r>
      </w:hyperlink>
      <w:r>
        <w:t>, f. 36.</w:t>
      </w:r>
    </w:p>
    <w:p w:rsidR="00575662" w:rsidRDefault="00575662" w:rsidP="00575662">
      <w:pPr>
        <w:pStyle w:val="SangriaFrancesaArticulo"/>
      </w:pPr>
      <w:r w:rsidRPr="00575662">
        <w:rPr>
          <w:rStyle w:val="TextoNormalNegritaCaracter"/>
        </w:rPr>
        <w:t>Artículo 285.</w:t>
      </w:r>
      <w:r w:rsidRPr="00575662">
        <w:rPr>
          <w:rStyle w:val="TextoNormalCaracter"/>
        </w:rPr>
        <w:t>-</w:t>
      </w:r>
      <w:r>
        <w:t xml:space="preserve"> Sentencia </w:t>
      </w:r>
      <w:hyperlink w:anchor="SENTENCIA_1997_61" w:history="1">
        <w:r w:rsidRPr="00575662">
          <w:rPr>
            <w:rStyle w:val="TextoNormalCaracter"/>
          </w:rPr>
          <w:t>61/1997</w:t>
        </w:r>
      </w:hyperlink>
      <w:r>
        <w:t>, f. 36.</w:t>
      </w:r>
    </w:p>
    <w:p w:rsidR="00575662" w:rsidRDefault="00575662" w:rsidP="00575662">
      <w:pPr>
        <w:pStyle w:val="SangriaFrancesaArticulo"/>
      </w:pPr>
      <w:r w:rsidRPr="00575662">
        <w:rPr>
          <w:rStyle w:val="TextoNormalNegritaCaracter"/>
        </w:rPr>
        <w:t>Artículo 286.</w:t>
      </w:r>
      <w:r w:rsidRPr="00575662">
        <w:rPr>
          <w:rStyle w:val="TextoNormalCaracter"/>
        </w:rPr>
        <w:t>-</w:t>
      </w:r>
      <w:r>
        <w:t xml:space="preserve"> Sentencia </w:t>
      </w:r>
      <w:hyperlink w:anchor="SENTENCIA_1997_61" w:history="1">
        <w:r w:rsidRPr="00575662">
          <w:rPr>
            <w:rStyle w:val="TextoNormalCaracter"/>
          </w:rPr>
          <w:t>61/1997</w:t>
        </w:r>
      </w:hyperlink>
      <w:r>
        <w:t>, f. 36.</w:t>
      </w:r>
    </w:p>
    <w:p w:rsidR="00575662" w:rsidRDefault="00575662" w:rsidP="00575662">
      <w:pPr>
        <w:pStyle w:val="SangriaFrancesaArticulo"/>
      </w:pPr>
      <w:r w:rsidRPr="00575662">
        <w:rPr>
          <w:rStyle w:val="TextoNormalNegritaCaracter"/>
        </w:rPr>
        <w:t>Artículo 287.2.</w:t>
      </w:r>
      <w:r w:rsidRPr="00575662">
        <w:rPr>
          <w:rStyle w:val="TextoNormalCaracter"/>
        </w:rPr>
        <w:t>-</w:t>
      </w:r>
      <w:r>
        <w:t xml:space="preserve"> Sentencia </w:t>
      </w:r>
      <w:hyperlink w:anchor="SENTENCIA_1997_61" w:history="1">
        <w:r w:rsidRPr="00575662">
          <w:rPr>
            <w:rStyle w:val="TextoNormalCaracter"/>
          </w:rPr>
          <w:t>61/1997</w:t>
        </w:r>
      </w:hyperlink>
      <w:r>
        <w:t>, f. 38.</w:t>
      </w:r>
    </w:p>
    <w:p w:rsidR="00575662" w:rsidRDefault="00575662" w:rsidP="00575662">
      <w:pPr>
        <w:pStyle w:val="SangriaFrancesaArticulo"/>
      </w:pPr>
      <w:r w:rsidRPr="00575662">
        <w:rPr>
          <w:rStyle w:val="TextoNormalNegritaCaracter"/>
        </w:rPr>
        <w:t>Artículo 287.3.</w:t>
      </w:r>
      <w:r w:rsidRPr="00575662">
        <w:rPr>
          <w:rStyle w:val="TextoNormalCaracter"/>
        </w:rPr>
        <w:t>-</w:t>
      </w:r>
      <w:r>
        <w:t xml:space="preserve"> Sentencia </w:t>
      </w:r>
      <w:hyperlink w:anchor="SENTENCIA_1997_61" w:history="1">
        <w:r w:rsidRPr="00575662">
          <w:rPr>
            <w:rStyle w:val="TextoNormalCaracter"/>
          </w:rPr>
          <w:t>61/1997</w:t>
        </w:r>
      </w:hyperlink>
      <w:r>
        <w:t>, f. 38.</w:t>
      </w:r>
    </w:p>
    <w:p w:rsidR="00575662" w:rsidRDefault="00575662" w:rsidP="00575662">
      <w:pPr>
        <w:pStyle w:val="SangriaFrancesaArticulo"/>
      </w:pPr>
      <w:r w:rsidRPr="00575662">
        <w:rPr>
          <w:rStyle w:val="TextoNormalNegritaCaracter"/>
        </w:rPr>
        <w:t>Artículos 287 a 289.</w:t>
      </w:r>
      <w:r w:rsidRPr="00575662">
        <w:rPr>
          <w:rStyle w:val="TextoNormalCaracter"/>
        </w:rPr>
        <w:t>-</w:t>
      </w:r>
      <w:r>
        <w:t xml:space="preserve"> Sentencia </w:t>
      </w:r>
      <w:hyperlink w:anchor="SENTENCIA_1997_61" w:history="1">
        <w:r w:rsidRPr="00575662">
          <w:rPr>
            <w:rStyle w:val="TextoNormalCaracter"/>
          </w:rPr>
          <w:t>61/1997</w:t>
        </w:r>
      </w:hyperlink>
      <w:r>
        <w:t>, f. 26.</w:t>
      </w:r>
    </w:p>
    <w:p w:rsidR="00575662" w:rsidRDefault="00575662" w:rsidP="00575662">
      <w:pPr>
        <w:pStyle w:val="SangriaFrancesaArticulo"/>
      </w:pPr>
      <w:r w:rsidRPr="00575662">
        <w:rPr>
          <w:rStyle w:val="TextoNormalNegritaCaracter"/>
        </w:rPr>
        <w:t>Artículo 288.3.</w:t>
      </w:r>
      <w:r w:rsidRPr="00575662">
        <w:rPr>
          <w:rStyle w:val="TextoNormalCaracter"/>
        </w:rPr>
        <w:t>-</w:t>
      </w:r>
      <w:r>
        <w:t xml:space="preserve"> Sentencia </w:t>
      </w:r>
      <w:hyperlink w:anchor="SENTENCIA_1997_61" w:history="1">
        <w:r w:rsidRPr="00575662">
          <w:rPr>
            <w:rStyle w:val="TextoNormalCaracter"/>
          </w:rPr>
          <w:t>61/1997</w:t>
        </w:r>
      </w:hyperlink>
      <w:r>
        <w:t>, f. 38.</w:t>
      </w:r>
    </w:p>
    <w:p w:rsidR="00575662" w:rsidRDefault="00575662" w:rsidP="00575662">
      <w:pPr>
        <w:pStyle w:val="SangriaFrancesaArticulo"/>
      </w:pPr>
      <w:r w:rsidRPr="00575662">
        <w:rPr>
          <w:rStyle w:val="TextoNormalNegritaCaracter"/>
        </w:rPr>
        <w:t>Artículo 289.</w:t>
      </w:r>
      <w:r w:rsidRPr="00575662">
        <w:rPr>
          <w:rStyle w:val="TextoNormalCaracter"/>
        </w:rPr>
        <w:t>-</w:t>
      </w:r>
      <w:r>
        <w:t xml:space="preserve"> Sentencia </w:t>
      </w:r>
      <w:hyperlink w:anchor="SENTENCIA_1997_61" w:history="1">
        <w:r w:rsidRPr="00575662">
          <w:rPr>
            <w:rStyle w:val="TextoNormalCaracter"/>
          </w:rPr>
          <w:t>61/1997</w:t>
        </w:r>
      </w:hyperlink>
      <w:r>
        <w:t>, f. 38.</w:t>
      </w:r>
    </w:p>
    <w:p w:rsidR="00575662" w:rsidRDefault="00575662" w:rsidP="00575662">
      <w:pPr>
        <w:pStyle w:val="SangriaFrancesaArticulo"/>
      </w:pPr>
      <w:r w:rsidRPr="00575662">
        <w:rPr>
          <w:rStyle w:val="TextoNormalNegritaCaracter"/>
        </w:rPr>
        <w:t>Artículo 296.</w:t>
      </w:r>
      <w:r w:rsidRPr="00575662">
        <w:rPr>
          <w:rStyle w:val="TextoNormalCaracter"/>
        </w:rPr>
        <w:t>-</w:t>
      </w:r>
      <w:r>
        <w:t xml:space="preserve"> Sentencia </w:t>
      </w:r>
      <w:hyperlink w:anchor="SENTENCIA_1997_61" w:history="1">
        <w:r w:rsidRPr="00575662">
          <w:rPr>
            <w:rStyle w:val="TextoNormalCaracter"/>
          </w:rPr>
          <w:t>61/1997</w:t>
        </w:r>
      </w:hyperlink>
      <w:r>
        <w:t>, f. 39.</w:t>
      </w:r>
    </w:p>
    <w:p w:rsidR="00575662" w:rsidRDefault="00575662" w:rsidP="00575662">
      <w:pPr>
        <w:pStyle w:val="SangriaFrancesaArticulo"/>
      </w:pPr>
      <w:r w:rsidRPr="00575662">
        <w:rPr>
          <w:rStyle w:val="TextoNormalNegritaCaracter"/>
        </w:rPr>
        <w:t>Artículo 299.</w:t>
      </w:r>
      <w:r w:rsidRPr="00575662">
        <w:rPr>
          <w:rStyle w:val="TextoNormalCaracter"/>
        </w:rPr>
        <w:t>-</w:t>
      </w:r>
      <w:r>
        <w:t xml:space="preserve"> Sentencia </w:t>
      </w:r>
      <w:hyperlink w:anchor="SENTENCIA_1997_61" w:history="1">
        <w:r w:rsidRPr="00575662">
          <w:rPr>
            <w:rStyle w:val="TextoNormalCaracter"/>
          </w:rPr>
          <w:t>61/1997</w:t>
        </w:r>
      </w:hyperlink>
      <w:r>
        <w:t>, f. 35.</w:t>
      </w:r>
    </w:p>
    <w:p w:rsidR="00575662" w:rsidRDefault="00575662" w:rsidP="00575662">
      <w:pPr>
        <w:pStyle w:val="SangriaFrancesaArticulo"/>
      </w:pPr>
      <w:r w:rsidRPr="00575662">
        <w:rPr>
          <w:rStyle w:val="TextoNormalNegritaCaracter"/>
        </w:rPr>
        <w:t>Artículo 300.</w:t>
      </w:r>
      <w:r w:rsidRPr="00575662">
        <w:rPr>
          <w:rStyle w:val="TextoNormalCaracter"/>
        </w:rPr>
        <w:t>-</w:t>
      </w:r>
      <w:r>
        <w:t xml:space="preserve"> Sentencia </w:t>
      </w:r>
      <w:hyperlink w:anchor="SENTENCIA_1997_61" w:history="1">
        <w:r w:rsidRPr="00575662">
          <w:rPr>
            <w:rStyle w:val="TextoNormalCaracter"/>
          </w:rPr>
          <w:t>61/1997</w:t>
        </w:r>
      </w:hyperlink>
      <w:r>
        <w:t>, f. 40.</w:t>
      </w:r>
    </w:p>
    <w:p w:rsidR="00575662" w:rsidRDefault="00575662" w:rsidP="00575662">
      <w:pPr>
        <w:pStyle w:val="SangriaFrancesaArticulo"/>
      </w:pPr>
      <w:r w:rsidRPr="00575662">
        <w:rPr>
          <w:rStyle w:val="TextoNormalNegritaCaracter"/>
        </w:rPr>
        <w:t>Disposición adicional primera.</w:t>
      </w:r>
      <w:r w:rsidRPr="00575662">
        <w:rPr>
          <w:rStyle w:val="TextoNormalCaracter"/>
        </w:rPr>
        <w:t>-</w:t>
      </w:r>
      <w:r>
        <w:t xml:space="preserve"> Sentencia </w:t>
      </w:r>
      <w:hyperlink w:anchor="SENTENCIA_1997_61" w:history="1">
        <w:r w:rsidRPr="00575662">
          <w:rPr>
            <w:rStyle w:val="TextoNormalCaracter"/>
          </w:rPr>
          <w:t>61/1997</w:t>
        </w:r>
      </w:hyperlink>
      <w:r>
        <w:t>, ff. 24, 41.</w:t>
      </w:r>
    </w:p>
    <w:p w:rsidR="00575662" w:rsidRDefault="00575662" w:rsidP="00575662">
      <w:pPr>
        <w:pStyle w:val="SangriaFrancesaArticulo"/>
      </w:pPr>
      <w:r w:rsidRPr="00575662">
        <w:rPr>
          <w:rStyle w:val="TextoNormalNegritaCaracter"/>
        </w:rPr>
        <w:t>Disposición adicional primera, apartado 1.</w:t>
      </w:r>
      <w:r w:rsidRPr="00575662">
        <w:rPr>
          <w:rStyle w:val="TextoNormalCaracter"/>
        </w:rPr>
        <w:t>-</w:t>
      </w:r>
      <w:r>
        <w:t xml:space="preserve"> Sentencia </w:t>
      </w:r>
      <w:hyperlink w:anchor="SENTENCIA_1997_61" w:history="1">
        <w:r w:rsidRPr="00575662">
          <w:rPr>
            <w:rStyle w:val="TextoNormalCaracter"/>
          </w:rPr>
          <w:t>61/1997</w:t>
        </w:r>
      </w:hyperlink>
      <w:r>
        <w:t>, f. 41.</w:t>
      </w:r>
    </w:p>
    <w:p w:rsidR="00575662" w:rsidRDefault="00575662" w:rsidP="00575662">
      <w:pPr>
        <w:pStyle w:val="SangriaFrancesaArticulo"/>
      </w:pPr>
      <w:r w:rsidRPr="00575662">
        <w:rPr>
          <w:rStyle w:val="TextoNormalNegritaCaracter"/>
        </w:rPr>
        <w:t>Disposición adicional primera, apartado 2.</w:t>
      </w:r>
      <w:r w:rsidRPr="00575662">
        <w:rPr>
          <w:rStyle w:val="TextoNormalCaracter"/>
        </w:rPr>
        <w:t>-</w:t>
      </w:r>
      <w:r>
        <w:t xml:space="preserve"> Sentencia </w:t>
      </w:r>
      <w:hyperlink w:anchor="SENTENCIA_1997_61" w:history="1">
        <w:r w:rsidRPr="00575662">
          <w:rPr>
            <w:rStyle w:val="TextoNormalCaracter"/>
          </w:rPr>
          <w:t>61/1997</w:t>
        </w:r>
      </w:hyperlink>
      <w:r>
        <w:t>, f. 41.</w:t>
      </w:r>
    </w:p>
    <w:p w:rsidR="00575662" w:rsidRDefault="00575662" w:rsidP="00575662">
      <w:pPr>
        <w:pStyle w:val="SangriaFrancesaArticulo"/>
      </w:pPr>
      <w:r w:rsidRPr="00575662">
        <w:rPr>
          <w:rStyle w:val="TextoNormalNegritaCaracter"/>
        </w:rPr>
        <w:t>Disposición adicional primera, apartado 3.</w:t>
      </w:r>
      <w:r w:rsidRPr="00575662">
        <w:rPr>
          <w:rStyle w:val="TextoNormalCaracter"/>
        </w:rPr>
        <w:t>-</w:t>
      </w:r>
      <w:r>
        <w:t xml:space="preserve"> Sentencia </w:t>
      </w:r>
      <w:hyperlink w:anchor="SENTENCIA_1997_61" w:history="1">
        <w:r w:rsidRPr="00575662">
          <w:rPr>
            <w:rStyle w:val="TextoNormalCaracter"/>
          </w:rPr>
          <w:t>61/1997</w:t>
        </w:r>
      </w:hyperlink>
      <w:r>
        <w:t>, f. 41.</w:t>
      </w:r>
    </w:p>
    <w:p w:rsidR="00575662" w:rsidRDefault="00575662" w:rsidP="00575662">
      <w:pPr>
        <w:pStyle w:val="SangriaFrancesaArticulo"/>
      </w:pPr>
      <w:r w:rsidRPr="00575662">
        <w:rPr>
          <w:rStyle w:val="TextoNormalNegritaCaracter"/>
        </w:rPr>
        <w:t>Disposición adicional tercera.</w:t>
      </w:r>
      <w:r w:rsidRPr="00575662">
        <w:rPr>
          <w:rStyle w:val="TextoNormalCaracter"/>
        </w:rPr>
        <w:t>-</w:t>
      </w:r>
      <w:r>
        <w:t xml:space="preserve"> Sentencia </w:t>
      </w:r>
      <w:hyperlink w:anchor="SENTENCIA_1997_61" w:history="1">
        <w:r w:rsidRPr="00575662">
          <w:rPr>
            <w:rStyle w:val="TextoNormalCaracter"/>
          </w:rPr>
          <w:t>61/1997</w:t>
        </w:r>
      </w:hyperlink>
      <w:r>
        <w:t>, f. 41.</w:t>
      </w:r>
    </w:p>
    <w:p w:rsidR="00575662" w:rsidRDefault="00575662" w:rsidP="00575662">
      <w:pPr>
        <w:pStyle w:val="SangriaFrancesaArticulo"/>
      </w:pPr>
      <w:r w:rsidRPr="00575662">
        <w:rPr>
          <w:rStyle w:val="TextoNormalNegritaCaracter"/>
        </w:rPr>
        <w:t>Disposición adicional cuarta.</w:t>
      </w:r>
      <w:r w:rsidRPr="00575662">
        <w:rPr>
          <w:rStyle w:val="TextoNormalCaracter"/>
        </w:rPr>
        <w:t>-</w:t>
      </w:r>
      <w:r>
        <w:t xml:space="preserve"> Sentencia </w:t>
      </w:r>
      <w:hyperlink w:anchor="SENTENCIA_1997_61" w:history="1">
        <w:r w:rsidRPr="00575662">
          <w:rPr>
            <w:rStyle w:val="TextoNormalCaracter"/>
          </w:rPr>
          <w:t>61/1997</w:t>
        </w:r>
      </w:hyperlink>
      <w:r>
        <w:t>, ff. 4, 41.</w:t>
      </w:r>
    </w:p>
    <w:p w:rsidR="00575662" w:rsidRDefault="00575662" w:rsidP="00575662">
      <w:pPr>
        <w:pStyle w:val="SangriaFrancesaArticulo"/>
      </w:pPr>
      <w:r w:rsidRPr="00575662">
        <w:rPr>
          <w:rStyle w:val="TextoNormalNegritaCaracter"/>
        </w:rPr>
        <w:t>Disposición adicional cuarta, apartado 1.</w:t>
      </w:r>
      <w:r w:rsidRPr="00575662">
        <w:rPr>
          <w:rStyle w:val="TextoNormalCaracter"/>
        </w:rPr>
        <w:t>-</w:t>
      </w:r>
      <w:r>
        <w:t xml:space="preserve"> Sentencia </w:t>
      </w:r>
      <w:hyperlink w:anchor="SENTENCIA_1997_61" w:history="1">
        <w:r w:rsidRPr="00575662">
          <w:rPr>
            <w:rStyle w:val="TextoNormalCaracter"/>
          </w:rPr>
          <w:t>61/1997</w:t>
        </w:r>
      </w:hyperlink>
      <w:r>
        <w:t>, f. 41.</w:t>
      </w:r>
    </w:p>
    <w:p w:rsidR="00575662" w:rsidRDefault="00575662" w:rsidP="00575662">
      <w:pPr>
        <w:pStyle w:val="SangriaFrancesaArticulo"/>
      </w:pPr>
      <w:r w:rsidRPr="00575662">
        <w:rPr>
          <w:rStyle w:val="TextoNormalNegritaCaracter"/>
        </w:rPr>
        <w:t>Disposición adicional cuarta, apartado 2.</w:t>
      </w:r>
      <w:r w:rsidRPr="00575662">
        <w:rPr>
          <w:rStyle w:val="TextoNormalCaracter"/>
        </w:rPr>
        <w:t>-</w:t>
      </w:r>
      <w:r>
        <w:t xml:space="preserve"> Sentencia </w:t>
      </w:r>
      <w:hyperlink w:anchor="SENTENCIA_1997_61" w:history="1">
        <w:r w:rsidRPr="00575662">
          <w:rPr>
            <w:rStyle w:val="TextoNormalCaracter"/>
          </w:rPr>
          <w:t>61/1997</w:t>
        </w:r>
      </w:hyperlink>
      <w:r>
        <w:t>, f. 41.</w:t>
      </w:r>
    </w:p>
    <w:p w:rsidR="00575662" w:rsidRDefault="00575662" w:rsidP="00575662">
      <w:pPr>
        <w:pStyle w:val="SangriaFrancesaArticulo"/>
      </w:pPr>
      <w:r w:rsidRPr="00575662">
        <w:rPr>
          <w:rStyle w:val="TextoNormalNegritaCaracter"/>
        </w:rPr>
        <w:t>Disposición adicional cuarta, apartado 3.</w:t>
      </w:r>
      <w:r w:rsidRPr="00575662">
        <w:rPr>
          <w:rStyle w:val="TextoNormalCaracter"/>
        </w:rPr>
        <w:t>-</w:t>
      </w:r>
      <w:r>
        <w:t xml:space="preserve"> Sentencia </w:t>
      </w:r>
      <w:hyperlink w:anchor="SENTENCIA_1997_61" w:history="1">
        <w:r w:rsidRPr="00575662">
          <w:rPr>
            <w:rStyle w:val="TextoNormalCaracter"/>
          </w:rPr>
          <w:t>61/1997</w:t>
        </w:r>
      </w:hyperlink>
      <w:r>
        <w:t>, ff. 26, 41.</w:t>
      </w:r>
    </w:p>
    <w:p w:rsidR="00575662" w:rsidRDefault="00575662" w:rsidP="00575662">
      <w:pPr>
        <w:pStyle w:val="SangriaFrancesaArticulo"/>
      </w:pPr>
      <w:r w:rsidRPr="00575662">
        <w:rPr>
          <w:rStyle w:val="TextoNormalNegritaCaracter"/>
        </w:rPr>
        <w:t>Disposición adicional séptima.</w:t>
      </w:r>
      <w:r w:rsidRPr="00575662">
        <w:rPr>
          <w:rStyle w:val="TextoNormalCaracter"/>
        </w:rPr>
        <w:t>-</w:t>
      </w:r>
      <w:r>
        <w:t xml:space="preserve"> Sentencia </w:t>
      </w:r>
      <w:hyperlink w:anchor="SENTENCIA_1997_61" w:history="1">
        <w:r w:rsidRPr="00575662">
          <w:rPr>
            <w:rStyle w:val="TextoNormalCaracter"/>
          </w:rPr>
          <w:t>61/1997</w:t>
        </w:r>
      </w:hyperlink>
      <w:r>
        <w:t>, f. 41.</w:t>
      </w:r>
    </w:p>
    <w:p w:rsidR="00575662" w:rsidRDefault="00575662" w:rsidP="00575662">
      <w:pPr>
        <w:pStyle w:val="SangriaFrancesaArticulo"/>
      </w:pPr>
      <w:r w:rsidRPr="00575662">
        <w:rPr>
          <w:rStyle w:val="TextoNormalNegritaCaracter"/>
        </w:rPr>
        <w:t>Disposición adicional octava.</w:t>
      </w:r>
      <w:r w:rsidRPr="00575662">
        <w:rPr>
          <w:rStyle w:val="TextoNormalCaracter"/>
        </w:rPr>
        <w:t>-</w:t>
      </w:r>
      <w:r>
        <w:t xml:space="preserve"> Sentencia </w:t>
      </w:r>
      <w:hyperlink w:anchor="SENTENCIA_1997_61" w:history="1">
        <w:r w:rsidRPr="00575662">
          <w:rPr>
            <w:rStyle w:val="TextoNormalCaracter"/>
          </w:rPr>
          <w:t>61/1997</w:t>
        </w:r>
      </w:hyperlink>
      <w:r>
        <w:t>, f. 41.</w:t>
      </w:r>
    </w:p>
    <w:p w:rsidR="00575662" w:rsidRDefault="00575662" w:rsidP="00575662">
      <w:pPr>
        <w:pStyle w:val="SangriaFrancesaArticulo"/>
      </w:pPr>
      <w:r w:rsidRPr="00575662">
        <w:rPr>
          <w:rStyle w:val="TextoNormalNegritaCaracter"/>
        </w:rPr>
        <w:t>Disposición transitoria primera.</w:t>
      </w:r>
      <w:r w:rsidRPr="00575662">
        <w:rPr>
          <w:rStyle w:val="TextoNormalCaracter"/>
        </w:rPr>
        <w:t>-</w:t>
      </w:r>
      <w:r>
        <w:t xml:space="preserve"> Sentencia </w:t>
      </w:r>
      <w:hyperlink w:anchor="SENTENCIA_1997_61" w:history="1">
        <w:r w:rsidRPr="00575662">
          <w:rPr>
            <w:rStyle w:val="TextoNormalCaracter"/>
          </w:rPr>
          <w:t>61/1997</w:t>
        </w:r>
      </w:hyperlink>
      <w:r>
        <w:t>, ff. 4, 42.</w:t>
      </w:r>
    </w:p>
    <w:p w:rsidR="00575662" w:rsidRDefault="00575662" w:rsidP="00575662">
      <w:pPr>
        <w:pStyle w:val="SangriaFrancesaArticulo"/>
      </w:pPr>
      <w:r w:rsidRPr="00575662">
        <w:rPr>
          <w:rStyle w:val="TextoNormalNegritaCaracter"/>
        </w:rPr>
        <w:t>Disposición transitoria primera, apartado 1.</w:t>
      </w:r>
      <w:r w:rsidRPr="00575662">
        <w:rPr>
          <w:rStyle w:val="TextoNormalCaracter"/>
        </w:rPr>
        <w:t>-</w:t>
      </w:r>
      <w:r>
        <w:t xml:space="preserve"> Sentencia </w:t>
      </w:r>
      <w:hyperlink w:anchor="SENTENCIA_1997_61" w:history="1">
        <w:r w:rsidRPr="00575662">
          <w:rPr>
            <w:rStyle w:val="TextoNormalCaracter"/>
          </w:rPr>
          <w:t>61/1997</w:t>
        </w:r>
      </w:hyperlink>
      <w:r>
        <w:t>, f. 42.</w:t>
      </w:r>
    </w:p>
    <w:p w:rsidR="00575662" w:rsidRDefault="00575662" w:rsidP="00575662">
      <w:pPr>
        <w:pStyle w:val="SangriaFrancesaArticulo"/>
      </w:pPr>
      <w:r w:rsidRPr="00575662">
        <w:rPr>
          <w:rStyle w:val="TextoNormalNegritaCaracter"/>
        </w:rPr>
        <w:t>Disposición transitoria primera, apartado 2.</w:t>
      </w:r>
      <w:r w:rsidRPr="00575662">
        <w:rPr>
          <w:rStyle w:val="TextoNormalCaracter"/>
        </w:rPr>
        <w:t>-</w:t>
      </w:r>
      <w:r>
        <w:t xml:space="preserve"> Sentencia </w:t>
      </w:r>
      <w:hyperlink w:anchor="SENTENCIA_1997_61" w:history="1">
        <w:r w:rsidRPr="00575662">
          <w:rPr>
            <w:rStyle w:val="TextoNormalCaracter"/>
          </w:rPr>
          <w:t>61/1997</w:t>
        </w:r>
      </w:hyperlink>
      <w:r>
        <w:t>, f. 42.</w:t>
      </w:r>
    </w:p>
    <w:p w:rsidR="00575662" w:rsidRDefault="00575662" w:rsidP="00575662">
      <w:pPr>
        <w:pStyle w:val="SangriaFrancesaArticulo"/>
      </w:pPr>
      <w:r w:rsidRPr="00575662">
        <w:rPr>
          <w:rStyle w:val="TextoNormalNegritaCaracter"/>
        </w:rPr>
        <w:t>Disposición transitoria primera, apartado 3.</w:t>
      </w:r>
      <w:r w:rsidRPr="00575662">
        <w:rPr>
          <w:rStyle w:val="TextoNormalCaracter"/>
        </w:rPr>
        <w:t>-</w:t>
      </w:r>
      <w:r>
        <w:t xml:space="preserve"> Sentencia </w:t>
      </w:r>
      <w:hyperlink w:anchor="SENTENCIA_1997_61" w:history="1">
        <w:r w:rsidRPr="00575662">
          <w:rPr>
            <w:rStyle w:val="TextoNormalCaracter"/>
          </w:rPr>
          <w:t>61/1997</w:t>
        </w:r>
      </w:hyperlink>
      <w:r>
        <w:t>, f. 42.</w:t>
      </w:r>
    </w:p>
    <w:p w:rsidR="00575662" w:rsidRDefault="00575662" w:rsidP="00575662">
      <w:pPr>
        <w:pStyle w:val="SangriaFrancesaArticulo"/>
      </w:pPr>
      <w:r w:rsidRPr="00575662">
        <w:rPr>
          <w:rStyle w:val="TextoNormalNegritaCaracter"/>
        </w:rPr>
        <w:t>Disposición transitoria primera, apartado 4.</w:t>
      </w:r>
      <w:r w:rsidRPr="00575662">
        <w:rPr>
          <w:rStyle w:val="TextoNormalCaracter"/>
        </w:rPr>
        <w:t>-</w:t>
      </w:r>
      <w:r>
        <w:t xml:space="preserve"> Sentencia </w:t>
      </w:r>
      <w:hyperlink w:anchor="SENTENCIA_1997_61" w:history="1">
        <w:r w:rsidRPr="00575662">
          <w:rPr>
            <w:rStyle w:val="TextoNormalCaracter"/>
          </w:rPr>
          <w:t>61/1997</w:t>
        </w:r>
      </w:hyperlink>
      <w:r>
        <w:t>, f. 42.</w:t>
      </w:r>
    </w:p>
    <w:p w:rsidR="00575662" w:rsidRDefault="00575662" w:rsidP="00575662">
      <w:pPr>
        <w:pStyle w:val="SangriaFrancesaArticulo"/>
      </w:pPr>
      <w:r w:rsidRPr="00575662">
        <w:rPr>
          <w:rStyle w:val="TextoNormalNegritaCaracter"/>
        </w:rPr>
        <w:t>Disposición transitoria cuarta.</w:t>
      </w:r>
      <w:r w:rsidRPr="00575662">
        <w:rPr>
          <w:rStyle w:val="TextoNormalCaracter"/>
        </w:rPr>
        <w:t>-</w:t>
      </w:r>
      <w:r>
        <w:t xml:space="preserve"> Sentencia </w:t>
      </w:r>
      <w:hyperlink w:anchor="SENTENCIA_1997_61" w:history="1">
        <w:r w:rsidRPr="00575662">
          <w:rPr>
            <w:rStyle w:val="TextoNormalCaracter"/>
          </w:rPr>
          <w:t>61/1997</w:t>
        </w:r>
      </w:hyperlink>
      <w:r>
        <w:t>, ff. 4, 42.</w:t>
      </w:r>
    </w:p>
    <w:p w:rsidR="00575662" w:rsidRDefault="00575662" w:rsidP="00575662">
      <w:pPr>
        <w:pStyle w:val="SangriaFrancesaArticulo"/>
      </w:pPr>
      <w:r w:rsidRPr="00575662">
        <w:rPr>
          <w:rStyle w:val="TextoNormalNegritaCaracter"/>
        </w:rPr>
        <w:t>Disposición transitoria quinta.</w:t>
      </w:r>
      <w:r w:rsidRPr="00575662">
        <w:rPr>
          <w:rStyle w:val="TextoNormalCaracter"/>
        </w:rPr>
        <w:t>-</w:t>
      </w:r>
      <w:r>
        <w:t xml:space="preserve"> Sentencia </w:t>
      </w:r>
      <w:hyperlink w:anchor="SENTENCIA_1997_61" w:history="1">
        <w:r w:rsidRPr="00575662">
          <w:rPr>
            <w:rStyle w:val="TextoNormalCaracter"/>
          </w:rPr>
          <w:t>61/1997</w:t>
        </w:r>
      </w:hyperlink>
      <w:r>
        <w:t>, ff. 4, 42.</w:t>
      </w:r>
    </w:p>
    <w:p w:rsidR="00575662" w:rsidRDefault="00575662" w:rsidP="00575662">
      <w:pPr>
        <w:pStyle w:val="SangriaFrancesaArticulo"/>
      </w:pPr>
      <w:r w:rsidRPr="00575662">
        <w:rPr>
          <w:rStyle w:val="TextoNormalNegritaCaracter"/>
        </w:rPr>
        <w:t>Disposición transitoria quinta, apartado 2.</w:t>
      </w:r>
      <w:r w:rsidRPr="00575662">
        <w:rPr>
          <w:rStyle w:val="TextoNormalCaracter"/>
        </w:rPr>
        <w:t>-</w:t>
      </w:r>
      <w:r>
        <w:t xml:space="preserve"> Sentencia </w:t>
      </w:r>
      <w:hyperlink w:anchor="SENTENCIA_1997_61" w:history="1">
        <w:r w:rsidRPr="00575662">
          <w:rPr>
            <w:rStyle w:val="TextoNormalCaracter"/>
          </w:rPr>
          <w:t>61/1997</w:t>
        </w:r>
      </w:hyperlink>
      <w:r>
        <w:t>, f. 42.</w:t>
      </w:r>
    </w:p>
    <w:p w:rsidR="00575662" w:rsidRDefault="00575662" w:rsidP="00575662">
      <w:pPr>
        <w:pStyle w:val="SangriaFrancesaArticulo"/>
      </w:pPr>
      <w:r w:rsidRPr="00575662">
        <w:rPr>
          <w:rStyle w:val="TextoNormalNegritaCaracter"/>
        </w:rPr>
        <w:t>Disposición transitoria sexta, apartado 1.</w:t>
      </w:r>
      <w:r w:rsidRPr="00575662">
        <w:rPr>
          <w:rStyle w:val="TextoNormalCaracter"/>
        </w:rPr>
        <w:t>-</w:t>
      </w:r>
      <w:r>
        <w:t xml:space="preserve"> Sentencia </w:t>
      </w:r>
      <w:hyperlink w:anchor="SENTENCIA_1997_61" w:history="1">
        <w:r w:rsidRPr="00575662">
          <w:rPr>
            <w:rStyle w:val="TextoNormalCaracter"/>
          </w:rPr>
          <w:t>61/1997</w:t>
        </w:r>
      </w:hyperlink>
      <w:r>
        <w:t>, f. 42.</w:t>
      </w:r>
    </w:p>
    <w:p w:rsidR="00575662" w:rsidRDefault="00575662" w:rsidP="00575662">
      <w:pPr>
        <w:pStyle w:val="SangriaFrancesaArticulo"/>
      </w:pPr>
      <w:r w:rsidRPr="00575662">
        <w:rPr>
          <w:rStyle w:val="TextoNormalNegritaCaracter"/>
        </w:rPr>
        <w:t>Disposición transitoria sexta, apartado 4.</w:t>
      </w:r>
      <w:r w:rsidRPr="00575662">
        <w:rPr>
          <w:rStyle w:val="TextoNormalCaracter"/>
        </w:rPr>
        <w:t>-</w:t>
      </w:r>
      <w:r>
        <w:t xml:space="preserve"> Sentencia </w:t>
      </w:r>
      <w:hyperlink w:anchor="SENTENCIA_1997_61" w:history="1">
        <w:r w:rsidRPr="00575662">
          <w:rPr>
            <w:rStyle w:val="TextoNormalCaracter"/>
          </w:rPr>
          <w:t>61/1997</w:t>
        </w:r>
      </w:hyperlink>
      <w:r>
        <w:t>, ff. 4, 42.</w:t>
      </w:r>
    </w:p>
    <w:p w:rsidR="00575662" w:rsidRDefault="00575662" w:rsidP="00575662">
      <w:pPr>
        <w:pStyle w:val="SangriaFrancesaArticulo"/>
      </w:pPr>
      <w:r w:rsidRPr="00575662">
        <w:rPr>
          <w:rStyle w:val="TextoNormalNegritaCaracter"/>
        </w:rPr>
        <w:t>Disposición transitoria octava.</w:t>
      </w:r>
      <w:r w:rsidRPr="00575662">
        <w:rPr>
          <w:rStyle w:val="TextoNormalCaracter"/>
        </w:rPr>
        <w:t>-</w:t>
      </w:r>
      <w:r>
        <w:t xml:space="preserve"> Sentencia </w:t>
      </w:r>
      <w:hyperlink w:anchor="SENTENCIA_1997_61" w:history="1">
        <w:r w:rsidRPr="00575662">
          <w:rPr>
            <w:rStyle w:val="TextoNormalCaracter"/>
          </w:rPr>
          <w:t>61/1997</w:t>
        </w:r>
      </w:hyperlink>
      <w:r>
        <w:t>, ff. 4, 42.</w:t>
      </w:r>
    </w:p>
    <w:p w:rsidR="00575662" w:rsidRDefault="00575662" w:rsidP="00575662">
      <w:pPr>
        <w:pStyle w:val="SangriaFrancesaArticulo"/>
      </w:pPr>
      <w:r w:rsidRPr="00575662">
        <w:rPr>
          <w:rStyle w:val="TextoNormalNegritaCaracter"/>
        </w:rPr>
        <w:t>Disposición derogatoria única, apartado 1.</w:t>
      </w:r>
      <w:r w:rsidRPr="00575662">
        <w:rPr>
          <w:rStyle w:val="TextoNormalCaracter"/>
        </w:rPr>
        <w:t>-</w:t>
      </w:r>
      <w:r>
        <w:t xml:space="preserve"> Sentencia </w:t>
      </w:r>
      <w:hyperlink w:anchor="SENTENCIA_1997_61" w:history="1">
        <w:r w:rsidRPr="00575662">
          <w:rPr>
            <w:rStyle w:val="TextoNormalCaracter"/>
          </w:rPr>
          <w:t>61/1997</w:t>
        </w:r>
      </w:hyperlink>
      <w:r>
        <w:t>, ff. 1, 12.</w:t>
      </w:r>
    </w:p>
    <w:p w:rsidR="00575662" w:rsidRDefault="00575662" w:rsidP="00575662">
      <w:pPr>
        <w:pStyle w:val="SangriaFrancesaArticulo"/>
      </w:pPr>
      <w:r w:rsidRPr="00575662">
        <w:rPr>
          <w:rStyle w:val="TextoNormalNegritaCaracter"/>
        </w:rPr>
        <w:t>Disposición final única.</w:t>
      </w:r>
      <w:r w:rsidRPr="00575662">
        <w:rPr>
          <w:rStyle w:val="TextoNormalCaracter"/>
        </w:rPr>
        <w:t>-</w:t>
      </w:r>
      <w:r>
        <w:t xml:space="preserve"> Sentencia </w:t>
      </w:r>
      <w:hyperlink w:anchor="SENTENCIA_1997_61" w:history="1">
        <w:r w:rsidRPr="00575662">
          <w:rPr>
            <w:rStyle w:val="TextoNormalCaracter"/>
          </w:rPr>
          <w:t>61/1997</w:t>
        </w:r>
      </w:hyperlink>
      <w:r>
        <w:t>, ff. 1, 5, 12, 13, 15, 17, 18, 20, 27, 41.</w:t>
      </w:r>
    </w:p>
    <w:p w:rsidR="00575662" w:rsidRDefault="00575662" w:rsidP="00575662">
      <w:pPr>
        <w:pStyle w:val="SangriaFrancesaArticulo"/>
      </w:pPr>
      <w:r w:rsidRPr="00575662">
        <w:rPr>
          <w:rStyle w:val="TextoNormalNegritaCaracter"/>
        </w:rPr>
        <w:t>Disposición final única, apartado 1.</w:t>
      </w:r>
      <w:r w:rsidRPr="00575662">
        <w:rPr>
          <w:rStyle w:val="TextoNormalCaracter"/>
        </w:rPr>
        <w:t>-</w:t>
      </w:r>
      <w:r>
        <w:t xml:space="preserve"> Sentencia </w:t>
      </w:r>
      <w:hyperlink w:anchor="SENTENCIA_1997_61" w:history="1">
        <w:r w:rsidRPr="00575662">
          <w:rPr>
            <w:rStyle w:val="TextoNormalCaracter"/>
          </w:rPr>
          <w:t>61/1997</w:t>
        </w:r>
      </w:hyperlink>
      <w:r>
        <w:t>, ff. 5, 12, 17, 25, 26.</w:t>
      </w:r>
    </w:p>
    <w:p w:rsidR="00575662" w:rsidRDefault="00575662" w:rsidP="00575662">
      <w:pPr>
        <w:pStyle w:val="SangriaFrancesaArticulo"/>
      </w:pPr>
      <w:r w:rsidRPr="00575662">
        <w:rPr>
          <w:rStyle w:val="TextoNormalNegritaCaracter"/>
        </w:rPr>
        <w:t>Disposición final única, apartado 2.</w:t>
      </w:r>
      <w:r w:rsidRPr="00575662">
        <w:rPr>
          <w:rStyle w:val="TextoNormalCaracter"/>
        </w:rPr>
        <w:t>-</w:t>
      </w:r>
      <w:r>
        <w:t xml:space="preserve"> Sentencia </w:t>
      </w:r>
      <w:hyperlink w:anchor="SENTENCIA_1997_61" w:history="1">
        <w:r w:rsidRPr="00575662">
          <w:rPr>
            <w:rStyle w:val="TextoNormalCaracter"/>
          </w:rPr>
          <w:t>61/1997</w:t>
        </w:r>
      </w:hyperlink>
      <w:r>
        <w:t>, ff. 5, 12, 28, 30, 37.</w:t>
      </w:r>
    </w:p>
    <w:p w:rsidR="00575662" w:rsidRDefault="00575662" w:rsidP="00575662">
      <w:pPr>
        <w:pStyle w:val="SangriaFrancesaArticulo"/>
      </w:pPr>
      <w:r w:rsidRPr="00575662">
        <w:rPr>
          <w:rStyle w:val="TextoNormalNegritaCaracter"/>
        </w:rPr>
        <w:lastRenderedPageBreak/>
        <w:t>Disposición final única, apartado 3.</w:t>
      </w:r>
      <w:r w:rsidRPr="00575662">
        <w:rPr>
          <w:rStyle w:val="TextoNormalCaracter"/>
        </w:rPr>
        <w:t>-</w:t>
      </w:r>
      <w:r>
        <w:t xml:space="preserve"> Sentencia </w:t>
      </w:r>
      <w:hyperlink w:anchor="SENTENCIA_1997_61" w:history="1">
        <w:r w:rsidRPr="00575662">
          <w:rPr>
            <w:rStyle w:val="TextoNormalCaracter"/>
          </w:rPr>
          <w:t>61/1997</w:t>
        </w:r>
      </w:hyperlink>
      <w:r>
        <w:t>, f. 12.</w:t>
      </w:r>
    </w:p>
    <w:p w:rsidR="00575662" w:rsidRDefault="00575662" w:rsidP="00575662">
      <w:pPr>
        <w:pStyle w:val="SangriaFrancesaArticulo"/>
      </w:pPr>
    </w:p>
    <w:p w:rsidR="00575662" w:rsidRDefault="00575662" w:rsidP="00575662">
      <w:pPr>
        <w:pStyle w:val="TextoNormalNegritaCursivandice"/>
      </w:pPr>
      <w:r>
        <w:t>Real Decreto Legislativo 1/1995, de 24 de marzo. Texto refundido de la Ley del estatuto de los trabajadores</w:t>
      </w:r>
    </w:p>
    <w:p w:rsidR="00575662" w:rsidRDefault="00575662" w:rsidP="00575662">
      <w:pPr>
        <w:pStyle w:val="SangriaFrancesaArticulo"/>
      </w:pPr>
      <w:r w:rsidRPr="00575662">
        <w:rPr>
          <w:rStyle w:val="TextoNormalNegritaCaracter"/>
        </w:rPr>
        <w:t>Artículo 7.</w:t>
      </w:r>
      <w:r w:rsidRPr="00575662">
        <w:rPr>
          <w:rStyle w:val="TextoNormalCaracter"/>
        </w:rPr>
        <w:t>-</w:t>
      </w:r>
      <w:r>
        <w:t xml:space="preserve"> Auto </w:t>
      </w:r>
      <w:hyperlink w:anchor="AUTO_1997_77" w:history="1">
        <w:r w:rsidRPr="00575662">
          <w:rPr>
            <w:rStyle w:val="TextoNormalCaracter"/>
          </w:rPr>
          <w:t>77/1997</w:t>
        </w:r>
      </w:hyperlink>
      <w:r>
        <w:t>.</w:t>
      </w:r>
    </w:p>
    <w:p w:rsidR="00575662" w:rsidRDefault="00575662" w:rsidP="00575662">
      <w:pPr>
        <w:pStyle w:val="SangriaFrancesaArticulo"/>
      </w:pPr>
      <w:r w:rsidRPr="00575662">
        <w:rPr>
          <w:rStyle w:val="TextoNormalNegritaCaracter"/>
        </w:rPr>
        <w:t>Artículo 7 b).</w:t>
      </w:r>
      <w:r w:rsidRPr="00575662">
        <w:rPr>
          <w:rStyle w:val="TextoNormalCaracter"/>
        </w:rPr>
        <w:t>-</w:t>
      </w:r>
      <w:r>
        <w:t xml:space="preserve"> Auto </w:t>
      </w:r>
      <w:hyperlink w:anchor="AUTO_1997_77" w:history="1">
        <w:r w:rsidRPr="00575662">
          <w:rPr>
            <w:rStyle w:val="TextoNormalCaracter"/>
          </w:rPr>
          <w:t>77/1997</w:t>
        </w:r>
      </w:hyperlink>
      <w:r>
        <w:t>.</w:t>
      </w:r>
    </w:p>
    <w:p w:rsidR="00575662" w:rsidRDefault="00575662" w:rsidP="00575662">
      <w:pPr>
        <w:pStyle w:val="SangriaFrancesaArticulo"/>
      </w:pPr>
    </w:p>
    <w:p w:rsidR="00575662" w:rsidRDefault="00575662" w:rsidP="00575662">
      <w:pPr>
        <w:pStyle w:val="TextoNormalNegritaCursivandice"/>
      </w:pPr>
      <w:r>
        <w:t>Real Decreto Legislativo 2/1995, de 7 de abril. Texto refundido de la Ley de  procedimiento laboral</w:t>
      </w:r>
    </w:p>
    <w:p w:rsidR="00575662" w:rsidRDefault="00575662" w:rsidP="00575662">
      <w:pPr>
        <w:pStyle w:val="SangriaFrancesaArticulo"/>
      </w:pPr>
      <w:r w:rsidRPr="00575662">
        <w:rPr>
          <w:rStyle w:val="TextoNormalNegritaCaracter"/>
        </w:rPr>
        <w:t>Artículos 127 a 132.</w:t>
      </w:r>
      <w:r w:rsidRPr="00575662">
        <w:rPr>
          <w:rStyle w:val="TextoNormalCaracter"/>
        </w:rPr>
        <w:t>-</w:t>
      </w:r>
      <w:r>
        <w:t xml:space="preserve"> Sentencia </w:t>
      </w:r>
      <w:hyperlink w:anchor="SENTENCIA_1997_52" w:history="1">
        <w:r w:rsidRPr="00575662">
          <w:rPr>
            <w:rStyle w:val="TextoNormalCaracter"/>
          </w:rPr>
          <w:t>52/1997</w:t>
        </w:r>
      </w:hyperlink>
      <w:r>
        <w:t>, f. 5.</w:t>
      </w:r>
    </w:p>
    <w:p w:rsidR="00575662" w:rsidRDefault="00575662" w:rsidP="00575662">
      <w:pPr>
        <w:pStyle w:val="SangriaFrancesaArticulo"/>
      </w:pPr>
      <w:r w:rsidRPr="00575662">
        <w:rPr>
          <w:rStyle w:val="TextoNormalNegritaCaracter"/>
        </w:rPr>
        <w:t>Artículo 184.</w:t>
      </w:r>
      <w:r w:rsidRPr="00575662">
        <w:rPr>
          <w:rStyle w:val="TextoNormalCaracter"/>
        </w:rPr>
        <w:t>-</w:t>
      </w:r>
      <w:r>
        <w:t xml:space="preserve"> Auto </w:t>
      </w:r>
      <w:hyperlink w:anchor="AUTO_1997_60" w:history="1">
        <w:r w:rsidRPr="00575662">
          <w:rPr>
            <w:rStyle w:val="TextoNormalCaracter"/>
          </w:rPr>
          <w:t>60/1997</w:t>
        </w:r>
      </w:hyperlink>
      <w:r>
        <w:t>.</w:t>
      </w:r>
    </w:p>
    <w:p w:rsidR="00575662" w:rsidRDefault="00575662" w:rsidP="00575662">
      <w:pPr>
        <w:pStyle w:val="SangriaFrancesaArticulo"/>
      </w:pPr>
      <w:r w:rsidRPr="00575662">
        <w:rPr>
          <w:rStyle w:val="TextoNormalNegritaCaracter"/>
        </w:rPr>
        <w:t>Artículo 192.1.</w:t>
      </w:r>
      <w:r w:rsidRPr="00575662">
        <w:rPr>
          <w:rStyle w:val="TextoNormalCaracter"/>
        </w:rPr>
        <w:t>-</w:t>
      </w:r>
      <w:r>
        <w:t xml:space="preserve"> Auto </w:t>
      </w:r>
      <w:hyperlink w:anchor="AUTO_1997_60" w:history="1">
        <w:r w:rsidRPr="00575662">
          <w:rPr>
            <w:rStyle w:val="TextoNormalCaracter"/>
          </w:rPr>
          <w:t>60/1997</w:t>
        </w:r>
      </w:hyperlink>
      <w:r>
        <w:t>.</w:t>
      </w:r>
    </w:p>
    <w:p w:rsidR="00575662" w:rsidRDefault="00575662" w:rsidP="00575662">
      <w:pPr>
        <w:pStyle w:val="SangriaFrancesaArticulo"/>
      </w:pPr>
      <w:r w:rsidRPr="00575662">
        <w:rPr>
          <w:rStyle w:val="TextoNormalNegritaCaracter"/>
        </w:rPr>
        <w:t>Artículo 193.2.</w:t>
      </w:r>
      <w:r w:rsidRPr="00575662">
        <w:rPr>
          <w:rStyle w:val="TextoNormalCaracter"/>
        </w:rPr>
        <w:t>-</w:t>
      </w:r>
      <w:r>
        <w:t xml:space="preserve"> Auto </w:t>
      </w:r>
      <w:hyperlink w:anchor="AUTO_1997_60" w:history="1">
        <w:r w:rsidRPr="00575662">
          <w:rPr>
            <w:rStyle w:val="TextoNormalCaracter"/>
          </w:rPr>
          <w:t>60/1997</w:t>
        </w:r>
      </w:hyperlink>
      <w:r>
        <w:t>.</w:t>
      </w:r>
    </w:p>
    <w:p w:rsidR="00575662" w:rsidRDefault="00575662" w:rsidP="00575662">
      <w:pPr>
        <w:pStyle w:val="SangriaFrancesaArticulo"/>
      </w:pPr>
      <w:r w:rsidRPr="00575662">
        <w:rPr>
          <w:rStyle w:val="TextoNormalNegritaCaracter"/>
        </w:rPr>
        <w:t>Artículo 217.</w:t>
      </w:r>
      <w:r w:rsidRPr="00575662">
        <w:rPr>
          <w:rStyle w:val="TextoNormalCaracter"/>
        </w:rPr>
        <w:t>-</w:t>
      </w:r>
      <w:r>
        <w:t xml:space="preserve"> Sentencia </w:t>
      </w:r>
      <w:hyperlink w:anchor="SENTENCIA_1997_82" w:history="1">
        <w:r w:rsidRPr="00575662">
          <w:rPr>
            <w:rStyle w:val="TextoNormalCaracter"/>
          </w:rPr>
          <w:t>82/1997</w:t>
        </w:r>
      </w:hyperlink>
      <w:r>
        <w:t>, f. 1.</w:t>
      </w:r>
    </w:p>
    <w:p w:rsidR="00575662" w:rsidRDefault="00575662" w:rsidP="00575662">
      <w:pPr>
        <w:pStyle w:val="SangriaIzquierdaArticulo"/>
      </w:pPr>
      <w:r>
        <w:t xml:space="preserve">Auto </w:t>
      </w:r>
      <w:hyperlink w:anchor="AUTO_1997_94" w:history="1">
        <w:r w:rsidRPr="00575662">
          <w:rPr>
            <w:rStyle w:val="TextoNormalCaracter"/>
          </w:rPr>
          <w:t>94/1997</w:t>
        </w:r>
      </w:hyperlink>
      <w:r>
        <w:t>.</w:t>
      </w:r>
    </w:p>
    <w:p w:rsidR="00575662" w:rsidRDefault="00575662" w:rsidP="00575662">
      <w:pPr>
        <w:pStyle w:val="SangriaFrancesaArticulo"/>
      </w:pPr>
      <w:r w:rsidRPr="00575662">
        <w:rPr>
          <w:rStyle w:val="TextoNormalNegritaCaracter"/>
        </w:rPr>
        <w:t>Artículo 222.</w:t>
      </w:r>
      <w:r w:rsidRPr="00575662">
        <w:rPr>
          <w:rStyle w:val="TextoNormalCaracter"/>
        </w:rPr>
        <w:t>-</w:t>
      </w:r>
      <w:r>
        <w:t xml:space="preserve"> Auto </w:t>
      </w:r>
      <w:hyperlink w:anchor="AUTO_1997_94" w:history="1">
        <w:r w:rsidRPr="00575662">
          <w:rPr>
            <w:rStyle w:val="TextoNormalCaracter"/>
          </w:rPr>
          <w:t>94/1997</w:t>
        </w:r>
      </w:hyperlink>
      <w:r>
        <w:t>.</w:t>
      </w:r>
    </w:p>
    <w:p w:rsidR="00575662" w:rsidRDefault="00575662" w:rsidP="00575662">
      <w:pPr>
        <w:pStyle w:val="SangriaFrancesaArticulo"/>
      </w:pPr>
      <w:r w:rsidRPr="00575662">
        <w:rPr>
          <w:rStyle w:val="TextoNormalNegritaCaracter"/>
        </w:rPr>
        <w:t>Artículo 223.</w:t>
      </w:r>
      <w:r w:rsidRPr="00575662">
        <w:rPr>
          <w:rStyle w:val="TextoNormalCaracter"/>
        </w:rPr>
        <w:t>-</w:t>
      </w:r>
      <w:r>
        <w:t xml:space="preserve"> Auto </w:t>
      </w:r>
      <w:hyperlink w:anchor="AUTO_1997_94" w:history="1">
        <w:r w:rsidRPr="00575662">
          <w:rPr>
            <w:rStyle w:val="TextoNormalCaracter"/>
          </w:rPr>
          <w:t>94/1997</w:t>
        </w:r>
      </w:hyperlink>
      <w:r>
        <w:t>.</w:t>
      </w:r>
    </w:p>
    <w:p w:rsidR="00575662" w:rsidRDefault="00575662" w:rsidP="00575662">
      <w:pPr>
        <w:pStyle w:val="SangriaFrancesaArticulo"/>
      </w:pPr>
      <w:r w:rsidRPr="00575662">
        <w:rPr>
          <w:rStyle w:val="TextoNormalNegritaCaracter"/>
        </w:rPr>
        <w:t>Artículo 237.</w:t>
      </w:r>
      <w:r w:rsidRPr="00575662">
        <w:rPr>
          <w:rStyle w:val="TextoNormalCaracter"/>
        </w:rPr>
        <w:t>-</w:t>
      </w:r>
      <w:r>
        <w:t xml:space="preserve"> Sentencia </w:t>
      </w:r>
      <w:hyperlink w:anchor="SENTENCIA_1997_18" w:history="1">
        <w:r w:rsidRPr="00575662">
          <w:rPr>
            <w:rStyle w:val="TextoNormalCaracter"/>
          </w:rPr>
          <w:t>18/1997</w:t>
        </w:r>
      </w:hyperlink>
      <w:r>
        <w:t>, f. 4.</w:t>
      </w:r>
    </w:p>
    <w:p w:rsidR="00575662" w:rsidRDefault="00575662" w:rsidP="00575662">
      <w:pPr>
        <w:pStyle w:val="SangriaFrancesaArticulo"/>
      </w:pPr>
      <w:r w:rsidRPr="00575662">
        <w:rPr>
          <w:rStyle w:val="TextoNormalNegritaCaracter"/>
        </w:rPr>
        <w:t>Artículo 241.3.</w:t>
      </w:r>
      <w:r w:rsidRPr="00575662">
        <w:rPr>
          <w:rStyle w:val="TextoNormalCaracter"/>
        </w:rPr>
        <w:t>-</w:t>
      </w:r>
      <w:r>
        <w:t xml:space="preserve"> Sentencia </w:t>
      </w:r>
      <w:hyperlink w:anchor="SENTENCIA_1997_18" w:history="1">
        <w:r w:rsidRPr="00575662">
          <w:rPr>
            <w:rStyle w:val="TextoNormalCaracter"/>
          </w:rPr>
          <w:t>18/1997</w:t>
        </w:r>
      </w:hyperlink>
      <w:r>
        <w:t>, f. 5.</w:t>
      </w:r>
    </w:p>
    <w:p w:rsidR="00575662" w:rsidRDefault="00575662" w:rsidP="00575662">
      <w:pPr>
        <w:pStyle w:val="SangriaFrancesaArticulo"/>
      </w:pPr>
      <w:r w:rsidRPr="00575662">
        <w:rPr>
          <w:rStyle w:val="TextoNormalNegritaCaracter"/>
        </w:rPr>
        <w:t>Artículo 247.</w:t>
      </w:r>
      <w:r w:rsidRPr="00575662">
        <w:rPr>
          <w:rStyle w:val="TextoNormalCaracter"/>
        </w:rPr>
        <w:t>-</w:t>
      </w:r>
      <w:r>
        <w:t xml:space="preserve"> Sentencia </w:t>
      </w:r>
      <w:hyperlink w:anchor="SENTENCIA_1997_18" w:history="1">
        <w:r w:rsidRPr="00575662">
          <w:rPr>
            <w:rStyle w:val="TextoNormalCaracter"/>
          </w:rPr>
          <w:t>18/1997</w:t>
        </w:r>
      </w:hyperlink>
      <w:r>
        <w:t>, ff. 4, 8.</w:t>
      </w:r>
    </w:p>
    <w:p w:rsidR="00575662" w:rsidRDefault="00575662" w:rsidP="00575662">
      <w:pPr>
        <w:pStyle w:val="SangriaFrancesaArticulo"/>
      </w:pPr>
      <w:r w:rsidRPr="00575662">
        <w:rPr>
          <w:rStyle w:val="TextoNormalNegritaCaracter"/>
        </w:rPr>
        <w:t>Artículo 248.</w:t>
      </w:r>
      <w:r w:rsidRPr="00575662">
        <w:rPr>
          <w:rStyle w:val="TextoNormalCaracter"/>
        </w:rPr>
        <w:t>-</w:t>
      </w:r>
      <w:r>
        <w:t xml:space="preserve"> Sentencia </w:t>
      </w:r>
      <w:hyperlink w:anchor="SENTENCIA_1997_18" w:history="1">
        <w:r w:rsidRPr="00575662">
          <w:rPr>
            <w:rStyle w:val="TextoNormalCaracter"/>
          </w:rPr>
          <w:t>18/1997</w:t>
        </w:r>
      </w:hyperlink>
      <w:r>
        <w:t>, ff. 4, 8.</w:t>
      </w:r>
    </w:p>
    <w:p w:rsidR="00575662" w:rsidRDefault="00575662" w:rsidP="00575662">
      <w:pPr>
        <w:pStyle w:val="SangriaFrancesaArticulo"/>
      </w:pPr>
      <w:r w:rsidRPr="00575662">
        <w:rPr>
          <w:rStyle w:val="TextoNormalNegritaCaracter"/>
        </w:rPr>
        <w:t>Artículo 274.</w:t>
      </w:r>
      <w:r w:rsidRPr="00575662">
        <w:rPr>
          <w:rStyle w:val="TextoNormalCaracter"/>
        </w:rPr>
        <w:t>-</w:t>
      </w:r>
      <w:r>
        <w:t xml:space="preserve"> Sentencia </w:t>
      </w:r>
      <w:hyperlink w:anchor="SENTENCIA_1997_18" w:history="1">
        <w:r w:rsidRPr="00575662">
          <w:rPr>
            <w:rStyle w:val="TextoNormalCaracter"/>
          </w:rPr>
          <w:t>18/1997</w:t>
        </w:r>
      </w:hyperlink>
      <w:r>
        <w:t>, f. 5.</w:t>
      </w:r>
    </w:p>
    <w:p w:rsidR="00575662" w:rsidRDefault="00575662" w:rsidP="00575662">
      <w:pPr>
        <w:pStyle w:val="SangriaFrancesaArticulo"/>
      </w:pPr>
      <w:r w:rsidRPr="00575662">
        <w:rPr>
          <w:rStyle w:val="TextoNormalNegritaCaracter"/>
        </w:rPr>
        <w:t>Disposición transitoria cuarta.</w:t>
      </w:r>
      <w:r w:rsidRPr="00575662">
        <w:rPr>
          <w:rStyle w:val="TextoNormalCaracter"/>
        </w:rPr>
        <w:t>-</w:t>
      </w:r>
      <w:r>
        <w:t xml:space="preserve"> Sentencia </w:t>
      </w:r>
      <w:hyperlink w:anchor="SENTENCIA_1997_18" w:history="1">
        <w:r w:rsidRPr="00575662">
          <w:rPr>
            <w:rStyle w:val="TextoNormalCaracter"/>
          </w:rPr>
          <w:t>18/1997</w:t>
        </w:r>
      </w:hyperlink>
      <w:r>
        <w:t>, f. 4.</w:t>
      </w:r>
    </w:p>
    <w:p w:rsidR="00575662" w:rsidRDefault="00575662" w:rsidP="00575662">
      <w:pPr>
        <w:pStyle w:val="TextoNormal"/>
      </w:pPr>
    </w:p>
    <w:p w:rsidR="00575662" w:rsidRDefault="00575662" w:rsidP="00575662">
      <w:pPr>
        <w:pStyle w:val="SangriaFrancesaArticulo"/>
      </w:pPr>
      <w:bookmarkStart w:id="224" w:name="INDICE22848"/>
    </w:p>
    <w:bookmarkEnd w:id="224"/>
    <w:p w:rsidR="00575662" w:rsidRDefault="00575662" w:rsidP="00575662">
      <w:pPr>
        <w:pStyle w:val="TextoIndiceNivel2"/>
        <w:suppressAutoHyphens/>
      </w:pPr>
      <w:r>
        <w:t>G) Reales Decretos-leyes</w:t>
      </w:r>
    </w:p>
    <w:p w:rsidR="00575662" w:rsidRDefault="00575662" w:rsidP="00575662">
      <w:pPr>
        <w:pStyle w:val="TextoIndiceNivel2"/>
      </w:pPr>
    </w:p>
    <w:p w:rsidR="00575662" w:rsidRDefault="00575662" w:rsidP="00575662">
      <w:pPr>
        <w:pStyle w:val="TextoNormalNegritaCursivandice"/>
      </w:pPr>
      <w:r>
        <w:t>Real Decreto-ley 5/1996, de 7 de junio. Medidas liberalizadoras en materia de suelo y de colegios profesionales</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61" w:history="1">
        <w:r w:rsidRPr="00575662">
          <w:rPr>
            <w:rStyle w:val="TextoNormalCaracter"/>
          </w:rPr>
          <w:t>61/1997</w:t>
        </w:r>
      </w:hyperlink>
      <w:r>
        <w:t>, f. 3.</w:t>
      </w:r>
    </w:p>
    <w:p w:rsidR="00575662" w:rsidRDefault="00575662" w:rsidP="00575662">
      <w:pPr>
        <w:pStyle w:val="SangriaFrancesaArticulo"/>
      </w:pPr>
      <w:r w:rsidRPr="00575662">
        <w:rPr>
          <w:rStyle w:val="TextoNormalNegritaCaracter"/>
        </w:rPr>
        <w:t>Artículo 1.1.</w:t>
      </w:r>
      <w:r w:rsidRPr="00575662">
        <w:rPr>
          <w:rStyle w:val="TextoNormalCaracter"/>
        </w:rPr>
        <w:t>-</w:t>
      </w:r>
      <w:r>
        <w:t xml:space="preserve"> Sentencia </w:t>
      </w:r>
      <w:hyperlink w:anchor="SENTENCIA_1997_61" w:history="1">
        <w:r w:rsidRPr="00575662">
          <w:rPr>
            <w:rStyle w:val="TextoNormalCaracter"/>
          </w:rPr>
          <w:t>61/1997</w:t>
        </w:r>
      </w:hyperlink>
      <w:r>
        <w:t>, f. 15.</w:t>
      </w:r>
    </w:p>
    <w:p w:rsidR="00575662" w:rsidRDefault="00575662" w:rsidP="00575662">
      <w:pPr>
        <w:pStyle w:val="SangriaFrancesaArticulo"/>
      </w:pPr>
      <w:r w:rsidRPr="00575662">
        <w:rPr>
          <w:rStyle w:val="TextoNormalNegritaCaracter"/>
        </w:rPr>
        <w:t>Artículo 2.1.</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TextoNormal"/>
      </w:pPr>
    </w:p>
    <w:p w:rsidR="00575662" w:rsidRDefault="00575662" w:rsidP="00575662">
      <w:pPr>
        <w:pStyle w:val="SangriaFrancesaArticulo"/>
      </w:pPr>
      <w:bookmarkStart w:id="225" w:name="INDICE22849"/>
    </w:p>
    <w:bookmarkEnd w:id="225"/>
    <w:p w:rsidR="00575662" w:rsidRDefault="00575662" w:rsidP="00575662">
      <w:pPr>
        <w:pStyle w:val="TextoIndiceNivel2"/>
        <w:suppressAutoHyphens/>
      </w:pPr>
      <w:r>
        <w:t>H) Reales Decretos y otras disposiciones generales del Estado</w:t>
      </w:r>
    </w:p>
    <w:p w:rsidR="00575662" w:rsidRDefault="00575662" w:rsidP="00575662">
      <w:pPr>
        <w:pStyle w:val="TextoIndiceNivel2"/>
      </w:pPr>
    </w:p>
    <w:p w:rsidR="00575662" w:rsidRDefault="00575662" w:rsidP="00575662">
      <w:pPr>
        <w:pStyle w:val="TextoNormalNegritaCursivandice"/>
      </w:pPr>
      <w:r>
        <w:t>Real Decreto 1201/1981, de 8 de mayo. Reglamento penitenciario</w:t>
      </w:r>
    </w:p>
    <w:p w:rsidR="00575662" w:rsidRDefault="00575662" w:rsidP="00575662">
      <w:pPr>
        <w:pStyle w:val="SangriaFrancesaArticulo"/>
      </w:pPr>
      <w:r w:rsidRPr="00575662">
        <w:rPr>
          <w:rStyle w:val="TextoNormalNegritaCaracter"/>
        </w:rPr>
        <w:t>Artículo 108 a).</w:t>
      </w:r>
      <w:r w:rsidRPr="00575662">
        <w:rPr>
          <w:rStyle w:val="TextoNormalCaracter"/>
        </w:rPr>
        <w:t>-</w:t>
      </w:r>
      <w:r>
        <w:t xml:space="preserve"> Sentencia </w:t>
      </w:r>
      <w:hyperlink w:anchor="SENTENCIA_1997_35" w:history="1">
        <w:r w:rsidRPr="00575662">
          <w:rPr>
            <w:rStyle w:val="TextoNormalCaracter"/>
          </w:rPr>
          <w:t>35/1997</w:t>
        </w:r>
      </w:hyperlink>
      <w:r>
        <w:t>, f. 2.</w:t>
      </w:r>
    </w:p>
    <w:p w:rsidR="00575662" w:rsidRDefault="00575662" w:rsidP="00575662">
      <w:pPr>
        <w:pStyle w:val="SangriaFrancesaArticulo"/>
      </w:pPr>
      <w:r w:rsidRPr="00575662">
        <w:rPr>
          <w:rStyle w:val="TextoNormalNegritaCaracter"/>
        </w:rPr>
        <w:t>Artículo 108 b).</w:t>
      </w:r>
      <w:r w:rsidRPr="00575662">
        <w:rPr>
          <w:rStyle w:val="TextoNormalCaracter"/>
        </w:rPr>
        <w:t>-</w:t>
      </w:r>
      <w:r>
        <w:t xml:space="preserve"> Sentencia </w:t>
      </w:r>
      <w:hyperlink w:anchor="SENTENCIA_1997_35" w:history="1">
        <w:r w:rsidRPr="00575662">
          <w:rPr>
            <w:rStyle w:val="TextoNormalCaracter"/>
          </w:rPr>
          <w:t>35/1997</w:t>
        </w:r>
      </w:hyperlink>
      <w:r>
        <w:t>, f. 2.</w:t>
      </w:r>
    </w:p>
    <w:p w:rsidR="00575662" w:rsidRDefault="00575662" w:rsidP="00575662">
      <w:pPr>
        <w:pStyle w:val="SangriaFrancesaArticulo"/>
      </w:pPr>
      <w:r w:rsidRPr="00575662">
        <w:rPr>
          <w:rStyle w:val="TextoNormalNegritaCaracter"/>
        </w:rPr>
        <w:t>Artículo 110 c).</w:t>
      </w:r>
      <w:r w:rsidRPr="00575662">
        <w:rPr>
          <w:rStyle w:val="TextoNormalCaracter"/>
        </w:rPr>
        <w:t>-</w:t>
      </w:r>
      <w:r>
        <w:t xml:space="preserve"> Sentencia </w:t>
      </w:r>
      <w:hyperlink w:anchor="SENTENCIA_1997_35" w:history="1">
        <w:r w:rsidRPr="00575662">
          <w:rPr>
            <w:rStyle w:val="TextoNormalCaracter"/>
          </w:rPr>
          <w:t>35/1997</w:t>
        </w:r>
      </w:hyperlink>
      <w:r>
        <w:t>, f. 2.</w:t>
      </w:r>
    </w:p>
    <w:p w:rsidR="00575662" w:rsidRDefault="00575662" w:rsidP="00575662">
      <w:pPr>
        <w:pStyle w:val="SangriaFrancesaArticulo"/>
      </w:pPr>
      <w:r w:rsidRPr="00575662">
        <w:rPr>
          <w:rStyle w:val="TextoNormalNegritaCaracter"/>
        </w:rPr>
        <w:t>Artículo 125.</w:t>
      </w:r>
      <w:r w:rsidRPr="00575662">
        <w:rPr>
          <w:rStyle w:val="TextoNormalCaracter"/>
        </w:rPr>
        <w:t>-</w:t>
      </w:r>
      <w:r>
        <w:t xml:space="preserve"> Sentencia </w:t>
      </w:r>
      <w:hyperlink w:anchor="SENTENCIA_1997_39" w:history="1">
        <w:r w:rsidRPr="00575662">
          <w:rPr>
            <w:rStyle w:val="TextoNormalCaracter"/>
          </w:rPr>
          <w:t>39/1997</w:t>
        </w:r>
      </w:hyperlink>
      <w:r>
        <w:t>, f. 4.</w:t>
      </w:r>
    </w:p>
    <w:p w:rsidR="00575662" w:rsidRDefault="00575662" w:rsidP="00575662">
      <w:pPr>
        <w:pStyle w:val="SangriaFrancesaArticulo"/>
      </w:pPr>
      <w:r w:rsidRPr="00575662">
        <w:rPr>
          <w:rStyle w:val="TextoNormalNegritaCaracter"/>
        </w:rPr>
        <w:t>Artículo 130.1 e).</w:t>
      </w:r>
      <w:r w:rsidRPr="00575662">
        <w:rPr>
          <w:rStyle w:val="TextoNormalCaracter"/>
        </w:rPr>
        <w:t>-</w:t>
      </w:r>
      <w:r>
        <w:t xml:space="preserve"> Sentencia </w:t>
      </w:r>
      <w:hyperlink w:anchor="SENTENCIA_1997_83" w:history="1">
        <w:r w:rsidRPr="00575662">
          <w:rPr>
            <w:rStyle w:val="TextoNormalCaracter"/>
          </w:rPr>
          <w:t>83/1997</w:t>
        </w:r>
      </w:hyperlink>
      <w:r>
        <w:t>, f. 3.</w:t>
      </w:r>
    </w:p>
    <w:p w:rsidR="00575662" w:rsidRDefault="00575662" w:rsidP="00575662">
      <w:pPr>
        <w:pStyle w:val="SangriaFrancesaArticulo"/>
      </w:pPr>
      <w:r w:rsidRPr="00575662">
        <w:rPr>
          <w:rStyle w:val="TextoNormalNegritaCaracter"/>
        </w:rPr>
        <w:t>Artículo 130.2.2.</w:t>
      </w:r>
      <w:r w:rsidRPr="00575662">
        <w:rPr>
          <w:rStyle w:val="TextoNormalCaracter"/>
        </w:rPr>
        <w:t>-</w:t>
      </w:r>
      <w:r>
        <w:t xml:space="preserve"> Sentencia </w:t>
      </w:r>
      <w:hyperlink w:anchor="SENTENCIA_1997_83" w:history="1">
        <w:r w:rsidRPr="00575662">
          <w:rPr>
            <w:rStyle w:val="TextoNormalCaracter"/>
          </w:rPr>
          <w:t>83/1997</w:t>
        </w:r>
      </w:hyperlink>
      <w:r>
        <w:t>, f. 4.</w:t>
      </w:r>
    </w:p>
    <w:p w:rsidR="00575662" w:rsidRDefault="00575662" w:rsidP="00575662">
      <w:pPr>
        <w:pStyle w:val="SangriaFrancesaArticulo"/>
      </w:pPr>
      <w:r w:rsidRPr="00575662">
        <w:rPr>
          <w:rStyle w:val="TextoNormalNegritaCaracter"/>
        </w:rPr>
        <w:lastRenderedPageBreak/>
        <w:t>Artículo 131 b).</w:t>
      </w:r>
      <w:r w:rsidRPr="00575662">
        <w:rPr>
          <w:rStyle w:val="TextoNormalCaracter"/>
        </w:rPr>
        <w:t>-</w:t>
      </w:r>
      <w:r>
        <w:t xml:space="preserve"> Sentencia </w:t>
      </w:r>
      <w:hyperlink w:anchor="SENTENCIA_1997_83" w:history="1">
        <w:r w:rsidRPr="00575662">
          <w:rPr>
            <w:rStyle w:val="TextoNormalCaracter"/>
          </w:rPr>
          <w:t>83/1997</w:t>
        </w:r>
      </w:hyperlink>
      <w:r>
        <w:t>, f. 4.</w:t>
      </w:r>
    </w:p>
    <w:p w:rsidR="00575662" w:rsidRDefault="00575662" w:rsidP="00575662">
      <w:pPr>
        <w:pStyle w:val="SangriaFrancesaArticulo"/>
      </w:pPr>
      <w:r w:rsidRPr="00575662">
        <w:rPr>
          <w:rStyle w:val="TextoNormalNegritaCaracter"/>
        </w:rPr>
        <w:t>Artículo 254.2.</w:t>
      </w:r>
      <w:r w:rsidRPr="00575662">
        <w:rPr>
          <w:rStyle w:val="TextoNormalCaracter"/>
        </w:rPr>
        <w:t>-</w:t>
      </w:r>
      <w:r>
        <w:t xml:space="preserve"> Sentencias </w:t>
      </w:r>
      <w:hyperlink w:anchor="SENTENCIA_1997_2" w:history="1">
        <w:r w:rsidRPr="00575662">
          <w:rPr>
            <w:rStyle w:val="TextoNormalCaracter"/>
          </w:rPr>
          <w:t>2/1997</w:t>
        </w:r>
      </w:hyperlink>
      <w:r>
        <w:t xml:space="preserve">, f. 4; </w:t>
      </w:r>
      <w:hyperlink w:anchor="SENTENCIA_1997_81" w:history="1">
        <w:r w:rsidRPr="00575662">
          <w:rPr>
            <w:rStyle w:val="TextoNormalCaracter"/>
          </w:rPr>
          <w:t>81/1997</w:t>
        </w:r>
      </w:hyperlink>
      <w:r>
        <w:t>, ff. 3, 5.</w:t>
      </w:r>
    </w:p>
    <w:p w:rsidR="00575662" w:rsidRDefault="00575662" w:rsidP="00575662">
      <w:pPr>
        <w:pStyle w:val="SangriaFrancesaArticulo"/>
      </w:pPr>
    </w:p>
    <w:p w:rsidR="00575662" w:rsidRDefault="00575662" w:rsidP="00575662">
      <w:pPr>
        <w:pStyle w:val="TextoNormalNegritaCursivandice"/>
      </w:pPr>
      <w:r>
        <w:t>Real Decreto 1344/1984, de 4 de julio. Indemnizaciones a funcionarios públicos por razón de servicio</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1" w:history="1">
        <w:r w:rsidRPr="00575662">
          <w:rPr>
            <w:rStyle w:val="TextoNormalCaracter"/>
          </w:rPr>
          <w:t>1/1997</w:t>
        </w:r>
      </w:hyperlink>
      <w:r>
        <w:t>, f. 2.</w:t>
      </w:r>
    </w:p>
    <w:p w:rsidR="00575662" w:rsidRDefault="00575662" w:rsidP="00575662">
      <w:pPr>
        <w:pStyle w:val="SangriaFrancesaArticulo"/>
      </w:pPr>
    </w:p>
    <w:p w:rsidR="00575662" w:rsidRDefault="00575662" w:rsidP="00575662">
      <w:pPr>
        <w:pStyle w:val="TextoNormalNegritaCursivandice"/>
      </w:pPr>
      <w:r>
        <w:t>Real Decreto 1888/1984, de 26 de septiembre. Regulación de los concursos para la provisión de plazas de los cuerpos docentes universitarios</w:t>
      </w:r>
    </w:p>
    <w:p w:rsidR="00575662" w:rsidRDefault="00575662" w:rsidP="00575662">
      <w:pPr>
        <w:pStyle w:val="SangriaFrancesaArticulo"/>
      </w:pPr>
      <w:r w:rsidRPr="00575662">
        <w:rPr>
          <w:rStyle w:val="TextoNormalNegritaCaracter"/>
        </w:rPr>
        <w:t>Disposición transitoria primera.</w:t>
      </w:r>
      <w:r w:rsidRPr="00575662">
        <w:rPr>
          <w:rStyle w:val="TextoNormalCaracter"/>
        </w:rPr>
        <w:t>-</w:t>
      </w:r>
      <w:r>
        <w:t xml:space="preserve"> Sentencia </w:t>
      </w:r>
      <w:hyperlink w:anchor="SENTENCIA_1997_75" w:history="1">
        <w:r w:rsidRPr="00575662">
          <w:rPr>
            <w:rStyle w:val="TextoNormalCaracter"/>
          </w:rPr>
          <w:t>75/1997</w:t>
        </w:r>
      </w:hyperlink>
      <w:r>
        <w:t>, f. 4.</w:t>
      </w:r>
    </w:p>
    <w:p w:rsidR="00575662" w:rsidRDefault="00575662" w:rsidP="00575662">
      <w:pPr>
        <w:pStyle w:val="SangriaFrancesaArticulo"/>
      </w:pPr>
    </w:p>
    <w:p w:rsidR="00575662" w:rsidRDefault="00575662" w:rsidP="00575662">
      <w:pPr>
        <w:pStyle w:val="TextoNormalNegritaCursivandice"/>
      </w:pPr>
      <w:r>
        <w:t>Orden de la Presidencia, de 10 de agosto de 1985. Fija el nuevo margen de beneficio de las Oficinas de Farmacia por dispensación al público de especialidades farmacéuticas</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42" w:history="1">
        <w:r w:rsidRPr="00575662">
          <w:rPr>
            <w:rStyle w:val="TextoNormalCaracter"/>
          </w:rPr>
          <w:t>42/1997</w:t>
        </w:r>
      </w:hyperlink>
      <w:r>
        <w:t>, ff. 1, 3, 4.</w:t>
      </w:r>
    </w:p>
    <w:p w:rsidR="00575662" w:rsidRDefault="00575662" w:rsidP="00575662">
      <w:pPr>
        <w:pStyle w:val="SangriaFrancesaArticulo"/>
      </w:pPr>
    </w:p>
    <w:p w:rsidR="00575662" w:rsidRDefault="00575662" w:rsidP="00575662">
      <w:pPr>
        <w:pStyle w:val="TextoNormalNegritaCursivandice"/>
      </w:pPr>
      <w:r>
        <w:t>Real Decreto 2248/1985, de 20 de noviembre. Integración en la Seguridad Social de las Entidades que actúan como sustitutorias de aquélla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31" w:history="1">
        <w:r w:rsidRPr="00575662">
          <w:rPr>
            <w:rStyle w:val="TextoNormalCaracter"/>
          </w:rPr>
          <w:t>31/1997</w:t>
        </w:r>
      </w:hyperlink>
      <w:r>
        <w:t>, f. 2.</w:t>
      </w:r>
    </w:p>
    <w:p w:rsidR="00575662" w:rsidRDefault="00575662" w:rsidP="00575662">
      <w:pPr>
        <w:pStyle w:val="SangriaFrancesaArticulo"/>
      </w:pPr>
    </w:p>
    <w:p w:rsidR="00575662" w:rsidRDefault="00575662" w:rsidP="00575662">
      <w:pPr>
        <w:pStyle w:val="TextoNormalNegritaCursivandice"/>
      </w:pPr>
      <w:r>
        <w:t>Real Decreto 611/1986, de 21 de marzo. Reglamento de la Ley del Servicio Militar</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64" w:history="1">
        <w:r w:rsidRPr="00575662">
          <w:rPr>
            <w:rStyle w:val="TextoNormalCaracter"/>
          </w:rPr>
          <w:t>64/1997</w:t>
        </w:r>
      </w:hyperlink>
      <w:r>
        <w:t>, f. 5.</w:t>
      </w:r>
    </w:p>
    <w:p w:rsidR="00575662" w:rsidRDefault="00575662" w:rsidP="00575662">
      <w:pPr>
        <w:pStyle w:val="SangriaFrancesaArticulo"/>
      </w:pPr>
    </w:p>
    <w:p w:rsidR="00575662" w:rsidRDefault="00575662" w:rsidP="00575662">
      <w:pPr>
        <w:pStyle w:val="TextoNormalNegritaCursivandice"/>
      </w:pPr>
      <w:r>
        <w:t>Real Decreto 943/1986, de 9 de mayo. Regulación de los procedimientos para el ingreso en los Centros universitarios</w:t>
      </w:r>
    </w:p>
    <w:p w:rsidR="00575662" w:rsidRDefault="00575662" w:rsidP="00575662">
      <w:pPr>
        <w:pStyle w:val="SangriaFrancesaArticulo"/>
      </w:pPr>
      <w:r w:rsidRPr="00575662">
        <w:rPr>
          <w:rStyle w:val="TextoNormalNegritaCaracter"/>
        </w:rPr>
        <w:t>Artículo 1.2.</w:t>
      </w:r>
      <w:r w:rsidRPr="00575662">
        <w:rPr>
          <w:rStyle w:val="TextoNormalCaracter"/>
        </w:rPr>
        <w:t>-</w:t>
      </w:r>
      <w:r>
        <w:t xml:space="preserve"> Sentencia </w:t>
      </w:r>
      <w:hyperlink w:anchor="SENTENCIA_1997_78" w:history="1">
        <w:r w:rsidRPr="00575662">
          <w:rPr>
            <w:rStyle w:val="TextoNormalCaracter"/>
          </w:rPr>
          <w:t>78/1997</w:t>
        </w:r>
      </w:hyperlink>
      <w:r>
        <w:t>, f. 5.</w:t>
      </w:r>
    </w:p>
    <w:p w:rsidR="00575662" w:rsidRDefault="00575662" w:rsidP="00575662">
      <w:pPr>
        <w:pStyle w:val="SangriaFrancesaArticulo"/>
      </w:pPr>
      <w:r w:rsidRPr="00575662">
        <w:rPr>
          <w:rStyle w:val="TextoNormalNegritaCaracter"/>
        </w:rPr>
        <w:t>Artículo 7.1 b).</w:t>
      </w:r>
      <w:r w:rsidRPr="00575662">
        <w:rPr>
          <w:rStyle w:val="TextoNormalCaracter"/>
        </w:rPr>
        <w:t>-</w:t>
      </w:r>
      <w:r>
        <w:t xml:space="preserve"> Sentencia </w:t>
      </w:r>
      <w:hyperlink w:anchor="SENTENCIA_1997_78" w:history="1">
        <w:r w:rsidRPr="00575662">
          <w:rPr>
            <w:rStyle w:val="TextoNormalCaracter"/>
          </w:rPr>
          <w:t>78/1997</w:t>
        </w:r>
      </w:hyperlink>
      <w:r>
        <w:t>, ff. 3, 5.</w:t>
      </w:r>
    </w:p>
    <w:p w:rsidR="00575662" w:rsidRDefault="00575662" w:rsidP="00575662">
      <w:pPr>
        <w:pStyle w:val="SangriaFrancesaArticulo"/>
      </w:pPr>
      <w:r w:rsidRPr="00575662">
        <w:rPr>
          <w:rStyle w:val="TextoNormalNegritaCaracter"/>
        </w:rPr>
        <w:t>Disposición adicional quinta.</w:t>
      </w:r>
      <w:r w:rsidRPr="00575662">
        <w:rPr>
          <w:rStyle w:val="TextoNormalCaracter"/>
        </w:rPr>
        <w:t>-</w:t>
      </w:r>
      <w:r>
        <w:t xml:space="preserve"> Sentencia </w:t>
      </w:r>
      <w:hyperlink w:anchor="SENTENCIA_1997_78" w:history="1">
        <w:r w:rsidRPr="00575662">
          <w:rPr>
            <w:rStyle w:val="TextoNormalCaracter"/>
          </w:rPr>
          <w:t>78/1997</w:t>
        </w:r>
      </w:hyperlink>
      <w:r>
        <w:t>, ff. 2, 3.</w:t>
      </w:r>
    </w:p>
    <w:p w:rsidR="00575662" w:rsidRDefault="00575662" w:rsidP="00575662">
      <w:pPr>
        <w:pStyle w:val="SangriaFrancesaArticulo"/>
      </w:pPr>
    </w:p>
    <w:p w:rsidR="00575662" w:rsidRDefault="00575662" w:rsidP="00575662">
      <w:pPr>
        <w:pStyle w:val="TextoNormalNegritaCursivandice"/>
      </w:pPr>
      <w:r>
        <w:t>Real Decreto 1311/1986, de 13 de junio. Normas para la celebración de elecciones a los órganos de representación de los trabajadores en la empresa</w:t>
      </w:r>
    </w:p>
    <w:p w:rsidR="00575662" w:rsidRDefault="00575662" w:rsidP="00575662">
      <w:pPr>
        <w:pStyle w:val="SangriaFrancesaArticulo"/>
      </w:pPr>
      <w:r w:rsidRPr="00575662">
        <w:rPr>
          <w:rStyle w:val="TextoNormalNegritaCaracter"/>
        </w:rPr>
        <w:t>Artículo 7.3.</w:t>
      </w:r>
      <w:r w:rsidRPr="00575662">
        <w:rPr>
          <w:rStyle w:val="TextoNormalCaracter"/>
        </w:rPr>
        <w:t>-</w:t>
      </w:r>
      <w:r>
        <w:t xml:space="preserve"> Sentencia </w:t>
      </w:r>
      <w:hyperlink w:anchor="SENTENCIA_1997_13" w:history="1">
        <w:r w:rsidRPr="00575662">
          <w:rPr>
            <w:rStyle w:val="TextoNormalCaracter"/>
          </w:rPr>
          <w:t>13/1997</w:t>
        </w:r>
      </w:hyperlink>
      <w:r>
        <w:t>, f. 4.</w:t>
      </w:r>
    </w:p>
    <w:p w:rsidR="00575662" w:rsidRDefault="00575662" w:rsidP="00575662">
      <w:pPr>
        <w:pStyle w:val="SangriaFrancesaArticulo"/>
      </w:pPr>
    </w:p>
    <w:p w:rsidR="00575662" w:rsidRDefault="00575662" w:rsidP="00575662">
      <w:pPr>
        <w:pStyle w:val="TextoNormalNegritaCursivandice"/>
      </w:pPr>
      <w:r>
        <w:t>Real Decreto 1369/1987, de 18 de septiembre. Crea el sistema nacional de compensación electrónica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37" w:history="1">
        <w:r w:rsidRPr="00575662">
          <w:rPr>
            <w:rStyle w:val="TextoNormalCaracter"/>
          </w:rPr>
          <w:t>37/1997</w:t>
        </w:r>
      </w:hyperlink>
      <w:r>
        <w:t>, ff. 1, 5.</w:t>
      </w:r>
    </w:p>
    <w:p w:rsidR="00575662" w:rsidRDefault="00575662" w:rsidP="00575662">
      <w:pPr>
        <w:pStyle w:val="SangriaFrancesaArticulo"/>
      </w:pPr>
      <w:r w:rsidRPr="00575662">
        <w:rPr>
          <w:rStyle w:val="TextoNormalNegritaCaracter"/>
        </w:rPr>
        <w:t>Preámbulo.</w:t>
      </w:r>
      <w:r w:rsidRPr="00575662">
        <w:rPr>
          <w:rStyle w:val="TextoNormalCaracter"/>
        </w:rPr>
        <w:t>-</w:t>
      </w:r>
      <w:r>
        <w:t xml:space="preserve"> Sentencia </w:t>
      </w:r>
      <w:hyperlink w:anchor="SENTENCIA_1997_37" w:history="1">
        <w:r w:rsidRPr="00575662">
          <w:rPr>
            <w:rStyle w:val="TextoNormalCaracter"/>
          </w:rPr>
          <w:t>37/1997</w:t>
        </w:r>
      </w:hyperlink>
      <w:r>
        <w:t>, f. 5.</w:t>
      </w:r>
    </w:p>
    <w:p w:rsidR="00575662" w:rsidRDefault="00575662" w:rsidP="00575662">
      <w:pPr>
        <w:pStyle w:val="SangriaFrancesaArticulo"/>
      </w:pPr>
      <w:r w:rsidRPr="00575662">
        <w:rPr>
          <w:rStyle w:val="TextoNormalNegritaCaracter"/>
        </w:rPr>
        <w:t>Artículo 1.</w:t>
      </w:r>
      <w:r w:rsidRPr="00575662">
        <w:rPr>
          <w:rStyle w:val="TextoNormalCaracter"/>
        </w:rPr>
        <w:t>-</w:t>
      </w:r>
      <w:r>
        <w:t xml:space="preserve"> Sentencia </w:t>
      </w:r>
      <w:hyperlink w:anchor="SENTENCIA_1997_37" w:history="1">
        <w:r w:rsidRPr="00575662">
          <w:rPr>
            <w:rStyle w:val="TextoNormalCaracter"/>
          </w:rPr>
          <w:t>37/1997</w:t>
        </w:r>
      </w:hyperlink>
      <w:r>
        <w:t>, ff. 1 a 3, 5.</w:t>
      </w:r>
    </w:p>
    <w:p w:rsidR="00575662" w:rsidRDefault="00575662" w:rsidP="00575662">
      <w:pPr>
        <w:pStyle w:val="SangriaFrancesaArticulo"/>
      </w:pPr>
      <w:r w:rsidRPr="00575662">
        <w:rPr>
          <w:rStyle w:val="TextoNormalNegritaCaracter"/>
        </w:rPr>
        <w:t>Artículo 1.1.</w:t>
      </w:r>
      <w:r w:rsidRPr="00575662">
        <w:rPr>
          <w:rStyle w:val="TextoNormalCaracter"/>
        </w:rPr>
        <w:t>-</w:t>
      </w:r>
      <w:r>
        <w:t xml:space="preserve"> Sentencia </w:t>
      </w:r>
      <w:hyperlink w:anchor="SENTENCIA_1997_37" w:history="1">
        <w:r w:rsidRPr="00575662">
          <w:rPr>
            <w:rStyle w:val="TextoNormalCaracter"/>
          </w:rPr>
          <w:t>37/1997</w:t>
        </w:r>
      </w:hyperlink>
      <w:r>
        <w:t>, f. 6.</w:t>
      </w:r>
    </w:p>
    <w:p w:rsidR="00575662" w:rsidRDefault="00575662" w:rsidP="00575662">
      <w:pPr>
        <w:pStyle w:val="SangriaFrancesaArticulo"/>
      </w:pPr>
      <w:r w:rsidRPr="00575662">
        <w:rPr>
          <w:rStyle w:val="TextoNormalNegritaCaracter"/>
        </w:rPr>
        <w:t>Artículo 2.</w:t>
      </w:r>
      <w:r w:rsidRPr="00575662">
        <w:rPr>
          <w:rStyle w:val="TextoNormalCaracter"/>
        </w:rPr>
        <w:t>-</w:t>
      </w:r>
      <w:r>
        <w:t xml:space="preserve"> Sentencia </w:t>
      </w:r>
      <w:hyperlink w:anchor="SENTENCIA_1997_37" w:history="1">
        <w:r w:rsidRPr="00575662">
          <w:rPr>
            <w:rStyle w:val="TextoNormalCaracter"/>
          </w:rPr>
          <w:t>37/1997</w:t>
        </w:r>
      </w:hyperlink>
      <w:r>
        <w:t>, f. 1.</w:t>
      </w:r>
    </w:p>
    <w:p w:rsidR="00575662" w:rsidRDefault="00575662" w:rsidP="00575662">
      <w:pPr>
        <w:pStyle w:val="SangriaFrancesaArticulo"/>
      </w:pPr>
      <w:r w:rsidRPr="00575662">
        <w:rPr>
          <w:rStyle w:val="TextoNormalNegritaCaracter"/>
        </w:rPr>
        <w:t>Artículo 2.2.</w:t>
      </w:r>
      <w:r w:rsidRPr="00575662">
        <w:rPr>
          <w:rStyle w:val="TextoNormalCaracter"/>
        </w:rPr>
        <w:t>-</w:t>
      </w:r>
      <w:r>
        <w:t xml:space="preserve"> Sentencia </w:t>
      </w:r>
      <w:hyperlink w:anchor="SENTENCIA_1997_37" w:history="1">
        <w:r w:rsidRPr="00575662">
          <w:rPr>
            <w:rStyle w:val="TextoNormalCaracter"/>
          </w:rPr>
          <w:t>37/1997</w:t>
        </w:r>
      </w:hyperlink>
      <w:r>
        <w:t>, ff. 1 a 3, 5, 6.</w:t>
      </w:r>
    </w:p>
    <w:p w:rsidR="00575662" w:rsidRDefault="00575662" w:rsidP="00575662">
      <w:pPr>
        <w:pStyle w:val="SangriaFrancesaArticulo"/>
      </w:pPr>
      <w:r w:rsidRPr="00575662">
        <w:rPr>
          <w:rStyle w:val="TextoNormalNegritaCaracter"/>
        </w:rPr>
        <w:t>Disposición adicional.</w:t>
      </w:r>
      <w:r w:rsidRPr="00575662">
        <w:rPr>
          <w:rStyle w:val="TextoNormalCaracter"/>
        </w:rPr>
        <w:t>-</w:t>
      </w:r>
      <w:r>
        <w:t xml:space="preserve"> Sentencia </w:t>
      </w:r>
      <w:hyperlink w:anchor="SENTENCIA_1997_37" w:history="1">
        <w:r w:rsidRPr="00575662">
          <w:rPr>
            <w:rStyle w:val="TextoNormalCaracter"/>
          </w:rPr>
          <w:t>37/1997</w:t>
        </w:r>
      </w:hyperlink>
      <w:r>
        <w:t>, ff. 1 a 3, 5, 7, 8.</w:t>
      </w:r>
    </w:p>
    <w:p w:rsidR="00575662" w:rsidRDefault="00575662" w:rsidP="00575662">
      <w:pPr>
        <w:pStyle w:val="SangriaFrancesaArticulo"/>
      </w:pPr>
    </w:p>
    <w:p w:rsidR="00575662" w:rsidRDefault="00575662" w:rsidP="00575662">
      <w:pPr>
        <w:pStyle w:val="TextoNormalNegritaCursivandice"/>
      </w:pPr>
      <w:r>
        <w:t>Orden del Ministerio de Industria y Energía, de 20 de mayo de 1988. Modifica los precios de venta al público de diversos productos petrolíferos en la Comunidad Autónoma de Canarias</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Auto </w:t>
      </w:r>
      <w:hyperlink w:anchor="AUTO_1997_54" w:history="1">
        <w:r w:rsidRPr="00575662">
          <w:rPr>
            <w:rStyle w:val="TextoNormalCaracter"/>
          </w:rPr>
          <w:t>54/1997</w:t>
        </w:r>
      </w:hyperlink>
      <w:r>
        <w:t>.</w:t>
      </w:r>
    </w:p>
    <w:p w:rsidR="00575662" w:rsidRDefault="00575662" w:rsidP="00575662">
      <w:pPr>
        <w:pStyle w:val="SangriaFrancesaArticulo"/>
      </w:pPr>
    </w:p>
    <w:p w:rsidR="00575662" w:rsidRDefault="00575662" w:rsidP="00575662">
      <w:pPr>
        <w:pStyle w:val="TextoNormalNegritaCursivandice"/>
      </w:pPr>
      <w:r>
        <w:t>Real Decreto 1435/1988, de 25 de noviembre. Regulación del régimen de ayudas destinado a fomentar la retirada de tierras de la producción</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70" w:history="1">
        <w:r w:rsidRPr="00575662">
          <w:rPr>
            <w:rStyle w:val="TextoNormalCaracter"/>
          </w:rPr>
          <w:t>70/1997</w:t>
        </w:r>
      </w:hyperlink>
      <w:r>
        <w:t>, ff. 1, 3.</w:t>
      </w:r>
    </w:p>
    <w:p w:rsidR="00575662" w:rsidRDefault="00575662" w:rsidP="00575662">
      <w:pPr>
        <w:pStyle w:val="SangriaFrancesaArticulo"/>
      </w:pPr>
      <w:r w:rsidRPr="00575662">
        <w:rPr>
          <w:rStyle w:val="TextoNormalNegritaCaracter"/>
        </w:rPr>
        <w:t>Artículo 1.1.</w:t>
      </w:r>
      <w:r w:rsidRPr="00575662">
        <w:rPr>
          <w:rStyle w:val="TextoNormalCaracter"/>
        </w:rPr>
        <w:t>-</w:t>
      </w:r>
      <w:r>
        <w:t xml:space="preserve"> Sentencia </w:t>
      </w:r>
      <w:hyperlink w:anchor="SENTENCIA_1997_70" w:history="1">
        <w:r w:rsidRPr="00575662">
          <w:rPr>
            <w:rStyle w:val="TextoNormalCaracter"/>
          </w:rPr>
          <w:t>70/1997</w:t>
        </w:r>
      </w:hyperlink>
      <w:r>
        <w:t>, f. 2.</w:t>
      </w:r>
    </w:p>
    <w:p w:rsidR="00575662" w:rsidRDefault="00575662" w:rsidP="00575662">
      <w:pPr>
        <w:pStyle w:val="SangriaFrancesaArticulo"/>
      </w:pPr>
      <w:r w:rsidRPr="00575662">
        <w:rPr>
          <w:rStyle w:val="TextoNormalNegritaCaracter"/>
        </w:rPr>
        <w:t>Artículo 10.</w:t>
      </w:r>
      <w:r w:rsidRPr="00575662">
        <w:rPr>
          <w:rStyle w:val="TextoNormalCaracter"/>
        </w:rPr>
        <w:t>-</w:t>
      </w:r>
      <w:r>
        <w:t xml:space="preserve"> Sentencia </w:t>
      </w:r>
      <w:hyperlink w:anchor="SENTENCIA_1997_70" w:history="1">
        <w:r w:rsidRPr="00575662">
          <w:rPr>
            <w:rStyle w:val="TextoNormalCaracter"/>
          </w:rPr>
          <w:t>70/1997</w:t>
        </w:r>
      </w:hyperlink>
      <w:r>
        <w:t>, f. 3.</w:t>
      </w:r>
    </w:p>
    <w:p w:rsidR="00575662" w:rsidRDefault="00575662" w:rsidP="00575662">
      <w:pPr>
        <w:pStyle w:val="SangriaFrancesaArticulo"/>
      </w:pPr>
      <w:r w:rsidRPr="00575662">
        <w:rPr>
          <w:rStyle w:val="TextoNormalNegritaCaracter"/>
        </w:rPr>
        <w:t>Artículo 15.</w:t>
      </w:r>
      <w:r w:rsidRPr="00575662">
        <w:rPr>
          <w:rStyle w:val="TextoNormalCaracter"/>
        </w:rPr>
        <w:t>-</w:t>
      </w:r>
      <w:r>
        <w:t xml:space="preserve"> Sentencia </w:t>
      </w:r>
      <w:hyperlink w:anchor="SENTENCIA_1997_70" w:history="1">
        <w:r w:rsidRPr="00575662">
          <w:rPr>
            <w:rStyle w:val="TextoNormalCaracter"/>
          </w:rPr>
          <w:t>70/1997</w:t>
        </w:r>
      </w:hyperlink>
      <w:r>
        <w:t>, ff. 1, 5.</w:t>
      </w:r>
    </w:p>
    <w:p w:rsidR="00575662" w:rsidRDefault="00575662" w:rsidP="00575662">
      <w:pPr>
        <w:pStyle w:val="SangriaFrancesaArticulo"/>
      </w:pPr>
      <w:r w:rsidRPr="00575662">
        <w:rPr>
          <w:rStyle w:val="TextoNormalNegritaCaracter"/>
        </w:rPr>
        <w:t>Artículo 15.1.</w:t>
      </w:r>
      <w:r w:rsidRPr="00575662">
        <w:rPr>
          <w:rStyle w:val="TextoNormalCaracter"/>
        </w:rPr>
        <w:t>-</w:t>
      </w:r>
      <w:r>
        <w:t xml:space="preserve"> Sentencia </w:t>
      </w:r>
      <w:hyperlink w:anchor="SENTENCIA_1997_70" w:history="1">
        <w:r w:rsidRPr="00575662">
          <w:rPr>
            <w:rStyle w:val="TextoNormalCaracter"/>
          </w:rPr>
          <w:t>70/1997</w:t>
        </w:r>
      </w:hyperlink>
      <w:r>
        <w:t>, f. 5.</w:t>
      </w:r>
    </w:p>
    <w:p w:rsidR="00575662" w:rsidRDefault="00575662" w:rsidP="00575662">
      <w:pPr>
        <w:pStyle w:val="SangriaFrancesaArticulo"/>
      </w:pPr>
    </w:p>
    <w:p w:rsidR="00575662" w:rsidRDefault="00575662" w:rsidP="00575662">
      <w:pPr>
        <w:pStyle w:val="TextoNormalNegritaCursivandice"/>
      </w:pPr>
      <w:r>
        <w:t>Orden del Ministerio de Agricultura, Pesca y Alimentación, de 5 de diciembre de 1988. Establece las normas de aplicación del régimen de ayudas destinado a fomentar la retirada de tierras de la producción (modificada parcialmente por la Orden de 13 de abril de 1989)</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70" w:history="1">
        <w:r w:rsidRPr="00575662">
          <w:rPr>
            <w:rStyle w:val="TextoNormalCaracter"/>
          </w:rPr>
          <w:t>70/1997</w:t>
        </w:r>
      </w:hyperlink>
      <w:r>
        <w:t>, f. 1.</w:t>
      </w:r>
    </w:p>
    <w:p w:rsidR="00575662" w:rsidRDefault="00575662" w:rsidP="00575662">
      <w:pPr>
        <w:pStyle w:val="SangriaFrancesaArticulo"/>
      </w:pPr>
      <w:r w:rsidRPr="00575662">
        <w:rPr>
          <w:rStyle w:val="TextoNormalNegritaCaracter"/>
        </w:rPr>
        <w:t>Artículo 10.1.</w:t>
      </w:r>
      <w:r w:rsidRPr="00575662">
        <w:rPr>
          <w:rStyle w:val="TextoNormalCaracter"/>
        </w:rPr>
        <w:t>-</w:t>
      </w:r>
      <w:r>
        <w:t xml:space="preserve"> Sentencia </w:t>
      </w:r>
      <w:hyperlink w:anchor="SENTENCIA_1997_70" w:history="1">
        <w:r w:rsidRPr="00575662">
          <w:rPr>
            <w:rStyle w:val="TextoNormalCaracter"/>
          </w:rPr>
          <w:t>70/1997</w:t>
        </w:r>
      </w:hyperlink>
      <w:r>
        <w:t>, ff. 1, 3, 4.</w:t>
      </w:r>
    </w:p>
    <w:p w:rsidR="00575662" w:rsidRDefault="00575662" w:rsidP="00575662">
      <w:pPr>
        <w:pStyle w:val="SangriaFrancesaArticulo"/>
      </w:pPr>
      <w:r w:rsidRPr="00575662">
        <w:rPr>
          <w:rStyle w:val="TextoNormalNegritaCaracter"/>
        </w:rPr>
        <w:t>Artículo 11.1.</w:t>
      </w:r>
      <w:r w:rsidRPr="00575662">
        <w:rPr>
          <w:rStyle w:val="TextoNormalCaracter"/>
        </w:rPr>
        <w:t>-</w:t>
      </w:r>
      <w:r>
        <w:t xml:space="preserve"> Sentencia </w:t>
      </w:r>
      <w:hyperlink w:anchor="SENTENCIA_1997_70" w:history="1">
        <w:r w:rsidRPr="00575662">
          <w:rPr>
            <w:rStyle w:val="TextoNormalCaracter"/>
          </w:rPr>
          <w:t>70/1997</w:t>
        </w:r>
      </w:hyperlink>
      <w:r>
        <w:t>, ff. 1, 3, 4.</w:t>
      </w:r>
    </w:p>
    <w:p w:rsidR="00575662" w:rsidRDefault="00575662" w:rsidP="00575662">
      <w:pPr>
        <w:pStyle w:val="SangriaFrancesaArticulo"/>
      </w:pPr>
      <w:r w:rsidRPr="00575662">
        <w:rPr>
          <w:rStyle w:val="TextoNormalNegritaCaracter"/>
        </w:rPr>
        <w:t>Artículo 11.2.</w:t>
      </w:r>
      <w:r w:rsidRPr="00575662">
        <w:rPr>
          <w:rStyle w:val="TextoNormalCaracter"/>
        </w:rPr>
        <w:t>-</w:t>
      </w:r>
      <w:r>
        <w:t xml:space="preserve"> Sentencia </w:t>
      </w:r>
      <w:hyperlink w:anchor="SENTENCIA_1997_70" w:history="1">
        <w:r w:rsidRPr="00575662">
          <w:rPr>
            <w:rStyle w:val="TextoNormalCaracter"/>
          </w:rPr>
          <w:t>70/1997</w:t>
        </w:r>
      </w:hyperlink>
      <w:r>
        <w:t>, f. 1.</w:t>
      </w:r>
    </w:p>
    <w:p w:rsidR="00575662" w:rsidRDefault="00575662" w:rsidP="00575662">
      <w:pPr>
        <w:pStyle w:val="SangriaFrancesaArticulo"/>
      </w:pPr>
      <w:r w:rsidRPr="00575662">
        <w:rPr>
          <w:rStyle w:val="TextoNormalNegritaCaracter"/>
        </w:rPr>
        <w:t>Artículo 11.4.</w:t>
      </w:r>
      <w:r w:rsidRPr="00575662">
        <w:rPr>
          <w:rStyle w:val="TextoNormalCaracter"/>
        </w:rPr>
        <w:t>-</w:t>
      </w:r>
      <w:r>
        <w:t xml:space="preserve"> Sentencia </w:t>
      </w:r>
      <w:hyperlink w:anchor="SENTENCIA_1997_70" w:history="1">
        <w:r w:rsidRPr="00575662">
          <w:rPr>
            <w:rStyle w:val="TextoNormalCaracter"/>
          </w:rPr>
          <w:t>70/1997</w:t>
        </w:r>
      </w:hyperlink>
      <w:r>
        <w:t>, f. 5.</w:t>
      </w:r>
    </w:p>
    <w:p w:rsidR="00575662" w:rsidRDefault="00575662" w:rsidP="00575662">
      <w:pPr>
        <w:pStyle w:val="SangriaFrancesaArticulo"/>
      </w:pPr>
      <w:r w:rsidRPr="00575662">
        <w:rPr>
          <w:rStyle w:val="TextoNormalNegritaCaracter"/>
        </w:rPr>
        <w:t>Artículo 11.5.</w:t>
      </w:r>
      <w:r w:rsidRPr="00575662">
        <w:rPr>
          <w:rStyle w:val="TextoNormalCaracter"/>
        </w:rPr>
        <w:t>-</w:t>
      </w:r>
      <w:r>
        <w:t xml:space="preserve"> Sentencia </w:t>
      </w:r>
      <w:hyperlink w:anchor="SENTENCIA_1997_70" w:history="1">
        <w:r w:rsidRPr="00575662">
          <w:rPr>
            <w:rStyle w:val="TextoNormalCaracter"/>
          </w:rPr>
          <w:t>70/1997</w:t>
        </w:r>
      </w:hyperlink>
      <w:r>
        <w:t>, ff. 1, 3.</w:t>
      </w:r>
    </w:p>
    <w:p w:rsidR="00575662" w:rsidRDefault="00575662" w:rsidP="00575662">
      <w:pPr>
        <w:pStyle w:val="SangriaFrancesaArticulo"/>
      </w:pPr>
      <w:r w:rsidRPr="00575662">
        <w:rPr>
          <w:rStyle w:val="TextoNormalNegritaCaracter"/>
        </w:rPr>
        <w:t>Artículo 11.7.</w:t>
      </w:r>
      <w:r w:rsidRPr="00575662">
        <w:rPr>
          <w:rStyle w:val="TextoNormalCaracter"/>
        </w:rPr>
        <w:t>-</w:t>
      </w:r>
      <w:r>
        <w:t xml:space="preserve"> Sentencia </w:t>
      </w:r>
      <w:hyperlink w:anchor="SENTENCIA_1997_70" w:history="1">
        <w:r w:rsidRPr="00575662">
          <w:rPr>
            <w:rStyle w:val="TextoNormalCaracter"/>
          </w:rPr>
          <w:t>70/1997</w:t>
        </w:r>
      </w:hyperlink>
      <w:r>
        <w:t>, ff. 1, 5.</w:t>
      </w:r>
    </w:p>
    <w:p w:rsidR="00575662" w:rsidRDefault="00575662" w:rsidP="00575662">
      <w:pPr>
        <w:pStyle w:val="SangriaFrancesaArticulo"/>
      </w:pPr>
      <w:r w:rsidRPr="00575662">
        <w:rPr>
          <w:rStyle w:val="TextoNormalNegritaCaracter"/>
        </w:rPr>
        <w:t>Anexo 3.</w:t>
      </w:r>
      <w:r w:rsidRPr="00575662">
        <w:rPr>
          <w:rStyle w:val="TextoNormalCaracter"/>
        </w:rPr>
        <w:t>-</w:t>
      </w:r>
      <w:r>
        <w:t xml:space="preserve"> Sentencia </w:t>
      </w:r>
      <w:hyperlink w:anchor="SENTENCIA_1997_70" w:history="1">
        <w:r w:rsidRPr="00575662">
          <w:rPr>
            <w:rStyle w:val="TextoNormalCaracter"/>
          </w:rPr>
          <w:t>70/1997</w:t>
        </w:r>
      </w:hyperlink>
      <w:r>
        <w:t>, ff. 1, 4.</w:t>
      </w:r>
    </w:p>
    <w:p w:rsidR="00575662" w:rsidRDefault="00575662" w:rsidP="00575662">
      <w:pPr>
        <w:pStyle w:val="SangriaFrancesaArticulo"/>
      </w:pPr>
      <w:r w:rsidRPr="00575662">
        <w:rPr>
          <w:rStyle w:val="TextoNormalNegritaCaracter"/>
        </w:rPr>
        <w:t>Anexo 4.</w:t>
      </w:r>
      <w:r w:rsidRPr="00575662">
        <w:rPr>
          <w:rStyle w:val="TextoNormalCaracter"/>
        </w:rPr>
        <w:t>-</w:t>
      </w:r>
      <w:r>
        <w:t xml:space="preserve"> Sentencia </w:t>
      </w:r>
      <w:hyperlink w:anchor="SENTENCIA_1997_70" w:history="1">
        <w:r w:rsidRPr="00575662">
          <w:rPr>
            <w:rStyle w:val="TextoNormalCaracter"/>
          </w:rPr>
          <w:t>70/1997</w:t>
        </w:r>
      </w:hyperlink>
      <w:r>
        <w:t>, ff. 1, 4.</w:t>
      </w:r>
    </w:p>
    <w:p w:rsidR="00575662" w:rsidRDefault="00575662" w:rsidP="00575662">
      <w:pPr>
        <w:pStyle w:val="SangriaFrancesaArticulo"/>
      </w:pPr>
    </w:p>
    <w:p w:rsidR="00575662" w:rsidRDefault="00575662" w:rsidP="00575662">
      <w:pPr>
        <w:pStyle w:val="TextoNormalNegritaCursivandice"/>
      </w:pPr>
      <w:r>
        <w:t>Orden del Ministerio de Agricultura, Pesca y Alimentación, de 13 de abril de 1989. Modifica parcialmente la Orden de 5 de diciembre de 1988, por la que se establecen las normas de aplicación del régimen de ayudas destinado a fomentar la retirada de tierras de la producción</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70" w:history="1">
        <w:r w:rsidRPr="00575662">
          <w:rPr>
            <w:rStyle w:val="TextoNormalCaracter"/>
          </w:rPr>
          <w:t>70/1997</w:t>
        </w:r>
      </w:hyperlink>
      <w:r>
        <w:t>, ff. 1, 3 a 5.</w:t>
      </w:r>
    </w:p>
    <w:p w:rsidR="00575662" w:rsidRDefault="00575662" w:rsidP="00575662">
      <w:pPr>
        <w:pStyle w:val="SangriaFrancesaArticulo"/>
      </w:pPr>
    </w:p>
    <w:p w:rsidR="00575662" w:rsidRDefault="00575662" w:rsidP="00575662">
      <w:pPr>
        <w:pStyle w:val="TextoNormalNegritaCursivandice"/>
      </w:pPr>
      <w:r>
        <w:t>Real Decreto 1597/1989, de 29 de diciembre. Reglamento del Registro Mercantil</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87" w:history="1">
        <w:r w:rsidRPr="00575662">
          <w:rPr>
            <w:rStyle w:val="TextoNormalCaracter"/>
          </w:rPr>
          <w:t>87/1997</w:t>
        </w:r>
      </w:hyperlink>
      <w:r>
        <w:t>, ff. 5, 6.</w:t>
      </w:r>
    </w:p>
    <w:p w:rsidR="00575662" w:rsidRDefault="00575662" w:rsidP="00575662">
      <w:pPr>
        <w:pStyle w:val="SangriaFrancesaArticulo"/>
      </w:pPr>
      <w:r w:rsidRPr="00575662">
        <w:rPr>
          <w:rStyle w:val="TextoNormalNegritaCaracter"/>
        </w:rPr>
        <w:t>Preámbulo.</w:t>
      </w:r>
      <w:r w:rsidRPr="00575662">
        <w:rPr>
          <w:rStyle w:val="TextoNormalCaracter"/>
        </w:rPr>
        <w:t>-</w:t>
      </w:r>
      <w:r>
        <w:t xml:space="preserve"> Sentencia </w:t>
      </w:r>
      <w:hyperlink w:anchor="SENTENCIA_1997_87" w:history="1">
        <w:r w:rsidRPr="00575662">
          <w:rPr>
            <w:rStyle w:val="TextoNormalCaracter"/>
          </w:rPr>
          <w:t>87/1997</w:t>
        </w:r>
      </w:hyperlink>
      <w:r>
        <w:t>, f. 5.</w:t>
      </w:r>
    </w:p>
    <w:p w:rsidR="00575662" w:rsidRDefault="00575662" w:rsidP="00575662">
      <w:pPr>
        <w:pStyle w:val="SangriaFrancesaArticulo"/>
      </w:pPr>
      <w:r w:rsidRPr="00575662">
        <w:rPr>
          <w:rStyle w:val="TextoNormalNegritaCaracter"/>
        </w:rPr>
        <w:t>Artículos 7 a 9.</w:t>
      </w:r>
      <w:r w:rsidRPr="00575662">
        <w:rPr>
          <w:rStyle w:val="TextoNormalCaracter"/>
        </w:rPr>
        <w:t>-</w:t>
      </w:r>
      <w:r>
        <w:t xml:space="preserve"> Sentencia </w:t>
      </w:r>
      <w:hyperlink w:anchor="SENTENCIA_1997_87" w:history="1">
        <w:r w:rsidRPr="00575662">
          <w:rPr>
            <w:rStyle w:val="TextoNormalCaracter"/>
          </w:rPr>
          <w:t>87/1997</w:t>
        </w:r>
      </w:hyperlink>
      <w:r>
        <w:t>, f. 5.</w:t>
      </w:r>
    </w:p>
    <w:p w:rsidR="00575662" w:rsidRDefault="00575662" w:rsidP="00575662">
      <w:pPr>
        <w:pStyle w:val="SangriaFrancesaArticulo"/>
      </w:pPr>
      <w:r w:rsidRPr="00575662">
        <w:rPr>
          <w:rStyle w:val="TextoNormalNegritaCaracter"/>
        </w:rPr>
        <w:t>Artículo 9.</w:t>
      </w:r>
      <w:r w:rsidRPr="00575662">
        <w:rPr>
          <w:rStyle w:val="TextoNormalCaracter"/>
        </w:rPr>
        <w:t>-</w:t>
      </w:r>
      <w:r>
        <w:t xml:space="preserve"> Sentencia </w:t>
      </w:r>
      <w:hyperlink w:anchor="SENTENCIA_1997_87" w:history="1">
        <w:r w:rsidRPr="00575662">
          <w:rPr>
            <w:rStyle w:val="TextoNormalCaracter"/>
          </w:rPr>
          <w:t>87/1997</w:t>
        </w:r>
      </w:hyperlink>
      <w:r>
        <w:t>, f. 5.</w:t>
      </w:r>
    </w:p>
    <w:p w:rsidR="00575662" w:rsidRDefault="00575662" w:rsidP="00575662">
      <w:pPr>
        <w:pStyle w:val="SangriaFrancesaArticulo"/>
      </w:pPr>
      <w:r w:rsidRPr="00575662">
        <w:rPr>
          <w:rStyle w:val="TextoNormalNegritaCaracter"/>
        </w:rPr>
        <w:t>Artículo 33.</w:t>
      </w:r>
      <w:r w:rsidRPr="00575662">
        <w:rPr>
          <w:rStyle w:val="TextoNormalCaracter"/>
        </w:rPr>
        <w:t>-</w:t>
      </w:r>
      <w:r>
        <w:t xml:space="preserve"> Sentencia </w:t>
      </w:r>
      <w:hyperlink w:anchor="SENTENCIA_1997_87" w:history="1">
        <w:r w:rsidRPr="00575662">
          <w:rPr>
            <w:rStyle w:val="TextoNormalCaracter"/>
          </w:rPr>
          <w:t>87/1997</w:t>
        </w:r>
      </w:hyperlink>
      <w:r>
        <w:t>, f. 5.</w:t>
      </w:r>
    </w:p>
    <w:p w:rsidR="00575662" w:rsidRDefault="00575662" w:rsidP="00575662">
      <w:pPr>
        <w:pStyle w:val="SangriaFrancesaArticulo"/>
      </w:pPr>
      <w:r w:rsidRPr="00575662">
        <w:rPr>
          <w:rStyle w:val="TextoNormalNegritaCaracter"/>
        </w:rPr>
        <w:t>Artículo 36.1.</w:t>
      </w:r>
      <w:r w:rsidRPr="00575662">
        <w:rPr>
          <w:rStyle w:val="TextoNormalCaracter"/>
        </w:rPr>
        <w:t>-</w:t>
      </w:r>
      <w:r>
        <w:t xml:space="preserve"> Sentencia </w:t>
      </w:r>
      <w:hyperlink w:anchor="SENTENCIA_1997_87" w:history="1">
        <w:r w:rsidRPr="00575662">
          <w:rPr>
            <w:rStyle w:val="TextoNormalCaracter"/>
          </w:rPr>
          <w:t>87/1997</w:t>
        </w:r>
      </w:hyperlink>
      <w:r>
        <w:t>, ff. 1, 4, 6.</w:t>
      </w:r>
    </w:p>
    <w:p w:rsidR="00575662" w:rsidRDefault="00575662" w:rsidP="00575662">
      <w:pPr>
        <w:pStyle w:val="SangriaFrancesaArticulo"/>
      </w:pPr>
      <w:r w:rsidRPr="00575662">
        <w:rPr>
          <w:rStyle w:val="TextoNormalNegritaCaracter"/>
        </w:rPr>
        <w:t>Artículo 37.</w:t>
      </w:r>
      <w:r w:rsidRPr="00575662">
        <w:rPr>
          <w:rStyle w:val="TextoNormalCaracter"/>
        </w:rPr>
        <w:t>-</w:t>
      </w:r>
      <w:r>
        <w:t xml:space="preserve"> Sentencia </w:t>
      </w:r>
      <w:hyperlink w:anchor="SENTENCIA_1997_87" w:history="1">
        <w:r w:rsidRPr="00575662">
          <w:rPr>
            <w:rStyle w:val="TextoNormalCaracter"/>
          </w:rPr>
          <w:t>87/1997</w:t>
        </w:r>
      </w:hyperlink>
      <w:r>
        <w:t>, f. 5.</w:t>
      </w:r>
    </w:p>
    <w:p w:rsidR="00575662" w:rsidRDefault="00575662" w:rsidP="00575662">
      <w:pPr>
        <w:pStyle w:val="SangriaFrancesaArticulo"/>
      </w:pPr>
      <w:r w:rsidRPr="00575662">
        <w:rPr>
          <w:rStyle w:val="TextoNormalNegritaCaracter"/>
        </w:rPr>
        <w:t>Artículo 77.2.</w:t>
      </w:r>
      <w:r w:rsidRPr="00575662">
        <w:rPr>
          <w:rStyle w:val="TextoNormalCaracter"/>
        </w:rPr>
        <w:t>-</w:t>
      </w:r>
      <w:r>
        <w:t xml:space="preserve"> Sentencia </w:t>
      </w:r>
      <w:hyperlink w:anchor="SENTENCIA_1997_87" w:history="1">
        <w:r w:rsidRPr="00575662">
          <w:rPr>
            <w:rStyle w:val="TextoNormalCaracter"/>
          </w:rPr>
          <w:t>87/1997</w:t>
        </w:r>
      </w:hyperlink>
      <w:r>
        <w:t>, f. 6.</w:t>
      </w:r>
    </w:p>
    <w:p w:rsidR="00575662" w:rsidRDefault="00575662" w:rsidP="00575662">
      <w:pPr>
        <w:pStyle w:val="SangriaFrancesaArticulo"/>
      </w:pPr>
      <w:r w:rsidRPr="00575662">
        <w:rPr>
          <w:rStyle w:val="TextoNormalNegritaCaracter"/>
        </w:rPr>
        <w:t>Artículos 77 a 80.</w:t>
      </w:r>
      <w:r w:rsidRPr="00575662">
        <w:rPr>
          <w:rStyle w:val="TextoNormalCaracter"/>
        </w:rPr>
        <w:t>-</w:t>
      </w:r>
      <w:r>
        <w:t xml:space="preserve"> Sentencia </w:t>
      </w:r>
      <w:hyperlink w:anchor="SENTENCIA_1997_87" w:history="1">
        <w:r w:rsidRPr="00575662">
          <w:rPr>
            <w:rStyle w:val="TextoNormalCaracter"/>
          </w:rPr>
          <w:t>87/1997</w:t>
        </w:r>
      </w:hyperlink>
      <w:r>
        <w:t>, f. 6.</w:t>
      </w:r>
    </w:p>
    <w:p w:rsidR="00575662" w:rsidRDefault="00575662" w:rsidP="00575662">
      <w:pPr>
        <w:pStyle w:val="SangriaFrancesaArticulo"/>
      </w:pPr>
    </w:p>
    <w:p w:rsidR="00575662" w:rsidRDefault="00575662" w:rsidP="00575662">
      <w:pPr>
        <w:pStyle w:val="TextoNormalNegritaCursivandice"/>
      </w:pPr>
      <w:r>
        <w:t>Orden del Ministerio de Cultura, de 16 de marzo de 1990. Establece la normativa de ayudas al sector del libro español</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71" w:history="1">
        <w:r w:rsidRPr="00575662">
          <w:rPr>
            <w:rStyle w:val="TextoNormalCaracter"/>
          </w:rPr>
          <w:t>71/1997</w:t>
        </w:r>
      </w:hyperlink>
      <w:r>
        <w:t>, ff. 1 a 3, 5, 6.</w:t>
      </w:r>
    </w:p>
    <w:p w:rsidR="00575662" w:rsidRDefault="00575662" w:rsidP="00575662">
      <w:pPr>
        <w:pStyle w:val="SangriaFrancesaArticulo"/>
      </w:pPr>
      <w:r w:rsidRPr="00575662">
        <w:rPr>
          <w:rStyle w:val="TextoNormalNegritaCaracter"/>
        </w:rPr>
        <w:t>Preámbulo.</w:t>
      </w:r>
      <w:r w:rsidRPr="00575662">
        <w:rPr>
          <w:rStyle w:val="TextoNormalCaracter"/>
        </w:rPr>
        <w:t>-</w:t>
      </w:r>
      <w:r>
        <w:t xml:space="preserve"> Sentencia </w:t>
      </w:r>
      <w:hyperlink w:anchor="SENTENCIA_1997_71" w:history="1">
        <w:r w:rsidRPr="00575662">
          <w:rPr>
            <w:rStyle w:val="TextoNormalCaracter"/>
          </w:rPr>
          <w:t>71/1997</w:t>
        </w:r>
      </w:hyperlink>
      <w:r>
        <w:t>, f. 2.</w:t>
      </w:r>
    </w:p>
    <w:p w:rsidR="00575662" w:rsidRDefault="00575662" w:rsidP="00575662">
      <w:pPr>
        <w:pStyle w:val="SangriaFrancesaArticulo"/>
      </w:pPr>
      <w:r w:rsidRPr="00575662">
        <w:rPr>
          <w:rStyle w:val="TextoNormalNegritaCaracter"/>
        </w:rPr>
        <w:t>Artículo 1 c).</w:t>
      </w:r>
      <w:r w:rsidRPr="00575662">
        <w:rPr>
          <w:rStyle w:val="TextoNormalCaracter"/>
        </w:rPr>
        <w:t>-</w:t>
      </w:r>
      <w:r>
        <w:t xml:space="preserve"> Sentencia </w:t>
      </w:r>
      <w:hyperlink w:anchor="SENTENCIA_1997_71" w:history="1">
        <w:r w:rsidRPr="00575662">
          <w:rPr>
            <w:rStyle w:val="TextoNormalCaracter"/>
          </w:rPr>
          <w:t>71/1997</w:t>
        </w:r>
      </w:hyperlink>
      <w:r>
        <w:t>, ff. 1, 4.</w:t>
      </w:r>
    </w:p>
    <w:p w:rsidR="00575662" w:rsidRDefault="00575662" w:rsidP="00575662">
      <w:pPr>
        <w:pStyle w:val="SangriaFrancesaArticulo"/>
      </w:pPr>
      <w:r w:rsidRPr="00575662">
        <w:rPr>
          <w:rStyle w:val="TextoNormalNegritaCaracter"/>
        </w:rPr>
        <w:t>Artículo 4.2 c).</w:t>
      </w:r>
      <w:r w:rsidRPr="00575662">
        <w:rPr>
          <w:rStyle w:val="TextoNormalCaracter"/>
        </w:rPr>
        <w:t>-</w:t>
      </w:r>
      <w:r>
        <w:t xml:space="preserve"> Sentencia </w:t>
      </w:r>
      <w:hyperlink w:anchor="SENTENCIA_1997_71" w:history="1">
        <w:r w:rsidRPr="00575662">
          <w:rPr>
            <w:rStyle w:val="TextoNormalCaracter"/>
          </w:rPr>
          <w:t>71/1997</w:t>
        </w:r>
      </w:hyperlink>
      <w:r>
        <w:t>, f. 5.</w:t>
      </w:r>
    </w:p>
    <w:p w:rsidR="00575662" w:rsidRDefault="00575662" w:rsidP="00575662">
      <w:pPr>
        <w:pStyle w:val="SangriaFrancesaArticulo"/>
      </w:pPr>
      <w:r w:rsidRPr="00575662">
        <w:rPr>
          <w:rStyle w:val="TextoNormalNegritaCaracter"/>
        </w:rPr>
        <w:t>Artículo 5.</w:t>
      </w:r>
      <w:r w:rsidRPr="00575662">
        <w:rPr>
          <w:rStyle w:val="TextoNormalCaracter"/>
        </w:rPr>
        <w:t>-</w:t>
      </w:r>
      <w:r>
        <w:t xml:space="preserve"> Sentencia </w:t>
      </w:r>
      <w:hyperlink w:anchor="SENTENCIA_1997_71" w:history="1">
        <w:r w:rsidRPr="00575662">
          <w:rPr>
            <w:rStyle w:val="TextoNormalCaracter"/>
          </w:rPr>
          <w:t>71/1997</w:t>
        </w:r>
      </w:hyperlink>
      <w:r>
        <w:t>, f. 5.</w:t>
      </w:r>
    </w:p>
    <w:p w:rsidR="00575662" w:rsidRDefault="00575662" w:rsidP="00575662">
      <w:pPr>
        <w:pStyle w:val="SangriaFrancesaArticulo"/>
      </w:pPr>
      <w:r w:rsidRPr="00575662">
        <w:rPr>
          <w:rStyle w:val="TextoNormalNegritaCaracter"/>
        </w:rPr>
        <w:lastRenderedPageBreak/>
        <w:t>Artículo 9.4.</w:t>
      </w:r>
      <w:r w:rsidRPr="00575662">
        <w:rPr>
          <w:rStyle w:val="TextoNormalCaracter"/>
        </w:rPr>
        <w:t>-</w:t>
      </w:r>
      <w:r>
        <w:t xml:space="preserve"> Sentencia </w:t>
      </w:r>
      <w:hyperlink w:anchor="SENTENCIA_1997_71" w:history="1">
        <w:r w:rsidRPr="00575662">
          <w:rPr>
            <w:rStyle w:val="TextoNormalCaracter"/>
          </w:rPr>
          <w:t>71/1997</w:t>
        </w:r>
      </w:hyperlink>
      <w:r>
        <w:t>, f. 5.</w:t>
      </w:r>
    </w:p>
    <w:p w:rsidR="00575662" w:rsidRDefault="00575662" w:rsidP="00575662">
      <w:pPr>
        <w:pStyle w:val="SangriaFrancesaArticulo"/>
      </w:pPr>
      <w:r w:rsidRPr="00575662">
        <w:rPr>
          <w:rStyle w:val="TextoNormalNegritaCaracter"/>
        </w:rPr>
        <w:t>Artículo 24.1.</w:t>
      </w:r>
      <w:r w:rsidRPr="00575662">
        <w:rPr>
          <w:rStyle w:val="TextoNormalCaracter"/>
        </w:rPr>
        <w:t>-</w:t>
      </w:r>
      <w:r>
        <w:t xml:space="preserve"> Sentencia </w:t>
      </w:r>
      <w:hyperlink w:anchor="SENTENCIA_1997_71" w:history="1">
        <w:r w:rsidRPr="00575662">
          <w:rPr>
            <w:rStyle w:val="TextoNormalCaracter"/>
          </w:rPr>
          <w:t>71/1997</w:t>
        </w:r>
      </w:hyperlink>
      <w:r>
        <w:t>, f. 5.</w:t>
      </w:r>
    </w:p>
    <w:p w:rsidR="00575662" w:rsidRDefault="00575662" w:rsidP="00575662">
      <w:pPr>
        <w:pStyle w:val="SangriaFrancesaArticulo"/>
      </w:pPr>
      <w:r w:rsidRPr="00575662">
        <w:rPr>
          <w:rStyle w:val="TextoNormalNegritaCaracter"/>
        </w:rPr>
        <w:t>Artículo 24.2.</w:t>
      </w:r>
      <w:r w:rsidRPr="00575662">
        <w:rPr>
          <w:rStyle w:val="TextoNormalCaracter"/>
        </w:rPr>
        <w:t>-</w:t>
      </w:r>
      <w:r>
        <w:t xml:space="preserve"> Sentencia </w:t>
      </w:r>
      <w:hyperlink w:anchor="SENTENCIA_1997_71" w:history="1">
        <w:r w:rsidRPr="00575662">
          <w:rPr>
            <w:rStyle w:val="TextoNormalCaracter"/>
          </w:rPr>
          <w:t>71/1997</w:t>
        </w:r>
      </w:hyperlink>
      <w:r>
        <w:t>, ff. 1, 4.</w:t>
      </w:r>
    </w:p>
    <w:p w:rsidR="00575662" w:rsidRDefault="00575662" w:rsidP="00575662">
      <w:pPr>
        <w:pStyle w:val="SangriaFrancesaArticulo"/>
      </w:pPr>
      <w:r w:rsidRPr="00575662">
        <w:rPr>
          <w:rStyle w:val="TextoNormalNegritaCaracter"/>
        </w:rPr>
        <w:t>Artículo 25.</w:t>
      </w:r>
      <w:r w:rsidRPr="00575662">
        <w:rPr>
          <w:rStyle w:val="TextoNormalCaracter"/>
        </w:rPr>
        <w:t>-</w:t>
      </w:r>
      <w:r>
        <w:t xml:space="preserve"> Sentencia </w:t>
      </w:r>
      <w:hyperlink w:anchor="SENTENCIA_1997_71" w:history="1">
        <w:r w:rsidRPr="00575662">
          <w:rPr>
            <w:rStyle w:val="TextoNormalCaracter"/>
          </w:rPr>
          <w:t>71/1997</w:t>
        </w:r>
      </w:hyperlink>
      <w:r>
        <w:t>, f. 4.</w:t>
      </w:r>
    </w:p>
    <w:p w:rsidR="00575662" w:rsidRDefault="00575662" w:rsidP="00575662">
      <w:pPr>
        <w:pStyle w:val="SangriaFrancesaArticulo"/>
      </w:pPr>
      <w:r w:rsidRPr="00575662">
        <w:rPr>
          <w:rStyle w:val="TextoNormalNegritaCaracter"/>
        </w:rPr>
        <w:t>Artículo 26.1.</w:t>
      </w:r>
      <w:r w:rsidRPr="00575662">
        <w:rPr>
          <w:rStyle w:val="TextoNormalCaracter"/>
        </w:rPr>
        <w:t>-</w:t>
      </w:r>
      <w:r>
        <w:t xml:space="preserve"> Sentencia </w:t>
      </w:r>
      <w:hyperlink w:anchor="SENTENCIA_1997_71" w:history="1">
        <w:r w:rsidRPr="00575662">
          <w:rPr>
            <w:rStyle w:val="TextoNormalCaracter"/>
          </w:rPr>
          <w:t>71/1997</w:t>
        </w:r>
      </w:hyperlink>
      <w:r>
        <w:t>, ff. 2, 4.</w:t>
      </w:r>
    </w:p>
    <w:p w:rsidR="00575662" w:rsidRDefault="00575662" w:rsidP="00575662">
      <w:pPr>
        <w:pStyle w:val="SangriaFrancesaArticulo"/>
      </w:pPr>
      <w:r w:rsidRPr="00575662">
        <w:rPr>
          <w:rStyle w:val="TextoNormalNegritaCaracter"/>
        </w:rPr>
        <w:t>Artículo 26.2.</w:t>
      </w:r>
      <w:r w:rsidRPr="00575662">
        <w:rPr>
          <w:rStyle w:val="TextoNormalCaracter"/>
        </w:rPr>
        <w:t>-</w:t>
      </w:r>
      <w:r>
        <w:t xml:space="preserve"> Sentencia </w:t>
      </w:r>
      <w:hyperlink w:anchor="SENTENCIA_1997_71" w:history="1">
        <w:r w:rsidRPr="00575662">
          <w:rPr>
            <w:rStyle w:val="TextoNormalCaracter"/>
          </w:rPr>
          <w:t>71/1997</w:t>
        </w:r>
      </w:hyperlink>
      <w:r>
        <w:t>, f. 5.</w:t>
      </w:r>
    </w:p>
    <w:p w:rsidR="00575662" w:rsidRDefault="00575662" w:rsidP="00575662">
      <w:pPr>
        <w:pStyle w:val="SangriaFrancesaArticulo"/>
      </w:pPr>
      <w:r w:rsidRPr="00575662">
        <w:rPr>
          <w:rStyle w:val="TextoNormalNegritaCaracter"/>
        </w:rPr>
        <w:t>Artículo 27.</w:t>
      </w:r>
      <w:r w:rsidRPr="00575662">
        <w:rPr>
          <w:rStyle w:val="TextoNormalCaracter"/>
        </w:rPr>
        <w:t>-</w:t>
      </w:r>
      <w:r>
        <w:t xml:space="preserve"> Sentencia </w:t>
      </w:r>
      <w:hyperlink w:anchor="SENTENCIA_1997_71" w:history="1">
        <w:r w:rsidRPr="00575662">
          <w:rPr>
            <w:rStyle w:val="TextoNormalCaracter"/>
          </w:rPr>
          <w:t>71/1997</w:t>
        </w:r>
      </w:hyperlink>
      <w:r>
        <w:t>, ff. 2, 4.</w:t>
      </w:r>
    </w:p>
    <w:p w:rsidR="00575662" w:rsidRDefault="00575662" w:rsidP="00575662">
      <w:pPr>
        <w:pStyle w:val="SangriaFrancesaArticulo"/>
      </w:pPr>
      <w:r w:rsidRPr="00575662">
        <w:rPr>
          <w:rStyle w:val="TextoNormalNegritaCaracter"/>
        </w:rPr>
        <w:t>Artículo 28.</w:t>
      </w:r>
      <w:r w:rsidRPr="00575662">
        <w:rPr>
          <w:rStyle w:val="TextoNormalCaracter"/>
        </w:rPr>
        <w:t>-</w:t>
      </w:r>
      <w:r>
        <w:t xml:space="preserve"> Sentencia </w:t>
      </w:r>
      <w:hyperlink w:anchor="SENTENCIA_1997_71" w:history="1">
        <w:r w:rsidRPr="00575662">
          <w:rPr>
            <w:rStyle w:val="TextoNormalCaracter"/>
          </w:rPr>
          <w:t>71/1997</w:t>
        </w:r>
      </w:hyperlink>
      <w:r>
        <w:t>, f. 5.</w:t>
      </w:r>
    </w:p>
    <w:p w:rsidR="00575662" w:rsidRDefault="00575662" w:rsidP="00575662">
      <w:pPr>
        <w:pStyle w:val="SangriaFrancesaArticulo"/>
      </w:pPr>
      <w:r w:rsidRPr="00575662">
        <w:rPr>
          <w:rStyle w:val="TextoNormalNegritaCaracter"/>
        </w:rPr>
        <w:t>Artículo 29.</w:t>
      </w:r>
      <w:r w:rsidRPr="00575662">
        <w:rPr>
          <w:rStyle w:val="TextoNormalCaracter"/>
        </w:rPr>
        <w:t>-</w:t>
      </w:r>
      <w:r>
        <w:t xml:space="preserve"> Sentencia </w:t>
      </w:r>
      <w:hyperlink w:anchor="SENTENCIA_1997_71" w:history="1">
        <w:r w:rsidRPr="00575662">
          <w:rPr>
            <w:rStyle w:val="TextoNormalCaracter"/>
          </w:rPr>
          <w:t>71/1997</w:t>
        </w:r>
      </w:hyperlink>
      <w:r>
        <w:t>, f. 5.</w:t>
      </w:r>
    </w:p>
    <w:p w:rsidR="00575662" w:rsidRDefault="00575662" w:rsidP="00575662">
      <w:pPr>
        <w:pStyle w:val="SangriaFrancesaArticulo"/>
      </w:pPr>
    </w:p>
    <w:p w:rsidR="00575662" w:rsidRDefault="00575662" w:rsidP="00575662">
      <w:pPr>
        <w:pStyle w:val="TextoNormalNegritaCursivandice"/>
      </w:pPr>
      <w:r>
        <w:t>Orden del Ministerio de Cultura, de 30 de julio de 1990. Ayudas financieras a la inversión en el sector del libro</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71" w:history="1">
        <w:r w:rsidRPr="00575662">
          <w:rPr>
            <w:rStyle w:val="TextoNormalCaracter"/>
          </w:rPr>
          <w:t>71/1997</w:t>
        </w:r>
      </w:hyperlink>
      <w:r>
        <w:t>, ff. 1 a 3, 5, 6.</w:t>
      </w:r>
    </w:p>
    <w:p w:rsidR="00575662" w:rsidRDefault="00575662" w:rsidP="00575662">
      <w:pPr>
        <w:pStyle w:val="SangriaFrancesaArticulo"/>
      </w:pPr>
      <w:r w:rsidRPr="00575662">
        <w:rPr>
          <w:rStyle w:val="TextoNormalNegritaCaracter"/>
        </w:rPr>
        <w:t>Preámbulo.</w:t>
      </w:r>
      <w:r w:rsidRPr="00575662">
        <w:rPr>
          <w:rStyle w:val="TextoNormalCaracter"/>
        </w:rPr>
        <w:t>-</w:t>
      </w:r>
      <w:r>
        <w:t xml:space="preserve"> Sentencia </w:t>
      </w:r>
      <w:hyperlink w:anchor="SENTENCIA_1997_71" w:history="1">
        <w:r w:rsidRPr="00575662">
          <w:rPr>
            <w:rStyle w:val="TextoNormalCaracter"/>
          </w:rPr>
          <w:t>71/1997</w:t>
        </w:r>
      </w:hyperlink>
      <w:r>
        <w:t>, f. 2.</w:t>
      </w:r>
    </w:p>
    <w:p w:rsidR="00575662" w:rsidRDefault="00575662" w:rsidP="00575662">
      <w:pPr>
        <w:pStyle w:val="SangriaFrancesaArticulo"/>
      </w:pPr>
      <w:r w:rsidRPr="00575662">
        <w:rPr>
          <w:rStyle w:val="TextoNormalNegritaCaracter"/>
        </w:rPr>
        <w:t>Artículo 1.</w:t>
      </w:r>
      <w:r w:rsidRPr="00575662">
        <w:rPr>
          <w:rStyle w:val="TextoNormalCaracter"/>
        </w:rPr>
        <w:t>-</w:t>
      </w:r>
      <w:r>
        <w:t xml:space="preserve"> Sentencia </w:t>
      </w:r>
      <w:hyperlink w:anchor="SENTENCIA_1997_71" w:history="1">
        <w:r w:rsidRPr="00575662">
          <w:rPr>
            <w:rStyle w:val="TextoNormalCaracter"/>
          </w:rPr>
          <w:t>71/1997</w:t>
        </w:r>
      </w:hyperlink>
      <w:r>
        <w:t>, ff. 1, 2.</w:t>
      </w:r>
    </w:p>
    <w:p w:rsidR="00575662" w:rsidRDefault="00575662" w:rsidP="00575662">
      <w:pPr>
        <w:pStyle w:val="SangriaFrancesaArticulo"/>
      </w:pPr>
      <w:r w:rsidRPr="00575662">
        <w:rPr>
          <w:rStyle w:val="TextoNormalNegritaCaracter"/>
        </w:rPr>
        <w:t>Artículo 4.</w:t>
      </w:r>
      <w:r w:rsidRPr="00575662">
        <w:rPr>
          <w:rStyle w:val="TextoNormalCaracter"/>
        </w:rPr>
        <w:t>-</w:t>
      </w:r>
      <w:r>
        <w:t xml:space="preserve"> Sentencia </w:t>
      </w:r>
      <w:hyperlink w:anchor="SENTENCIA_1997_71" w:history="1">
        <w:r w:rsidRPr="00575662">
          <w:rPr>
            <w:rStyle w:val="TextoNormalCaracter"/>
          </w:rPr>
          <w:t>71/1997</w:t>
        </w:r>
      </w:hyperlink>
      <w:r>
        <w:t>, f. 5.</w:t>
      </w:r>
    </w:p>
    <w:p w:rsidR="00575662" w:rsidRDefault="00575662" w:rsidP="00575662">
      <w:pPr>
        <w:pStyle w:val="SangriaFrancesaArticulo"/>
      </w:pPr>
      <w:r w:rsidRPr="00575662">
        <w:rPr>
          <w:rStyle w:val="TextoNormalNegritaCaracter"/>
        </w:rPr>
        <w:t>Artículo 6.2.</w:t>
      </w:r>
      <w:r w:rsidRPr="00575662">
        <w:rPr>
          <w:rStyle w:val="TextoNormalCaracter"/>
        </w:rPr>
        <w:t>-</w:t>
      </w:r>
      <w:r>
        <w:t xml:space="preserve"> Sentencia </w:t>
      </w:r>
      <w:hyperlink w:anchor="SENTENCIA_1997_71" w:history="1">
        <w:r w:rsidRPr="00575662">
          <w:rPr>
            <w:rStyle w:val="TextoNormalCaracter"/>
          </w:rPr>
          <w:t>71/1997</w:t>
        </w:r>
      </w:hyperlink>
      <w:r>
        <w:t>, f. 5.</w:t>
      </w:r>
    </w:p>
    <w:p w:rsidR="00575662" w:rsidRDefault="00575662" w:rsidP="00575662">
      <w:pPr>
        <w:pStyle w:val="SangriaFrancesaArticulo"/>
      </w:pPr>
      <w:r w:rsidRPr="00575662">
        <w:rPr>
          <w:rStyle w:val="TextoNormalNegritaCaracter"/>
        </w:rPr>
        <w:t>Artículo 9.2.</w:t>
      </w:r>
      <w:r w:rsidRPr="00575662">
        <w:rPr>
          <w:rStyle w:val="TextoNormalCaracter"/>
        </w:rPr>
        <w:t>-</w:t>
      </w:r>
      <w:r>
        <w:t xml:space="preserve"> Sentencia </w:t>
      </w:r>
      <w:hyperlink w:anchor="SENTENCIA_1997_71" w:history="1">
        <w:r w:rsidRPr="00575662">
          <w:rPr>
            <w:rStyle w:val="TextoNormalCaracter"/>
          </w:rPr>
          <w:t>71/1997</w:t>
        </w:r>
      </w:hyperlink>
      <w:r>
        <w:t>, f. 5.</w:t>
      </w:r>
    </w:p>
    <w:p w:rsidR="00575662" w:rsidRDefault="00575662" w:rsidP="00575662">
      <w:pPr>
        <w:pStyle w:val="SangriaFrancesaArticulo"/>
      </w:pPr>
      <w:r w:rsidRPr="00575662">
        <w:rPr>
          <w:rStyle w:val="TextoNormalNegritaCaracter"/>
        </w:rPr>
        <w:t>Artículo 10.</w:t>
      </w:r>
      <w:r w:rsidRPr="00575662">
        <w:rPr>
          <w:rStyle w:val="TextoNormalCaracter"/>
        </w:rPr>
        <w:t>-</w:t>
      </w:r>
      <w:r>
        <w:t xml:space="preserve"> Sentencia </w:t>
      </w:r>
      <w:hyperlink w:anchor="SENTENCIA_1997_71" w:history="1">
        <w:r w:rsidRPr="00575662">
          <w:rPr>
            <w:rStyle w:val="TextoNormalCaracter"/>
          </w:rPr>
          <w:t>71/1997</w:t>
        </w:r>
      </w:hyperlink>
      <w:r>
        <w:t>, f. 5.</w:t>
      </w:r>
    </w:p>
    <w:p w:rsidR="00575662" w:rsidRDefault="00575662" w:rsidP="00575662">
      <w:pPr>
        <w:pStyle w:val="SangriaFrancesaArticulo"/>
      </w:pPr>
      <w:r w:rsidRPr="00575662">
        <w:rPr>
          <w:rStyle w:val="TextoNormalNegritaCaracter"/>
        </w:rPr>
        <w:t>Artículo 11.</w:t>
      </w:r>
      <w:r w:rsidRPr="00575662">
        <w:rPr>
          <w:rStyle w:val="TextoNormalCaracter"/>
        </w:rPr>
        <w:t>-</w:t>
      </w:r>
      <w:r>
        <w:t xml:space="preserve"> Sentencia </w:t>
      </w:r>
      <w:hyperlink w:anchor="SENTENCIA_1997_71" w:history="1">
        <w:r w:rsidRPr="00575662">
          <w:rPr>
            <w:rStyle w:val="TextoNormalCaracter"/>
          </w:rPr>
          <w:t>71/1997</w:t>
        </w:r>
      </w:hyperlink>
      <w:r>
        <w:t>, f. 1.</w:t>
      </w:r>
    </w:p>
    <w:p w:rsidR="00575662" w:rsidRDefault="00575662" w:rsidP="00575662">
      <w:pPr>
        <w:pStyle w:val="SangriaFrancesaArticulo"/>
      </w:pPr>
      <w:r w:rsidRPr="00575662">
        <w:rPr>
          <w:rStyle w:val="TextoNormalNegritaCaracter"/>
        </w:rPr>
        <w:t>Artículo 15.</w:t>
      </w:r>
      <w:r w:rsidRPr="00575662">
        <w:rPr>
          <w:rStyle w:val="TextoNormalCaracter"/>
        </w:rPr>
        <w:t>-</w:t>
      </w:r>
      <w:r>
        <w:t xml:space="preserve"> Sentencia </w:t>
      </w:r>
      <w:hyperlink w:anchor="SENTENCIA_1997_71" w:history="1">
        <w:r w:rsidRPr="00575662">
          <w:rPr>
            <w:rStyle w:val="TextoNormalCaracter"/>
          </w:rPr>
          <w:t>71/1997</w:t>
        </w:r>
      </w:hyperlink>
      <w:r>
        <w:t>, f. 2.</w:t>
      </w:r>
    </w:p>
    <w:p w:rsidR="00575662" w:rsidRDefault="00575662" w:rsidP="00575662">
      <w:pPr>
        <w:pStyle w:val="SangriaFrancesaArticulo"/>
      </w:pPr>
      <w:r w:rsidRPr="00575662">
        <w:rPr>
          <w:rStyle w:val="TextoNormalNegritaCaracter"/>
        </w:rPr>
        <w:t>Artículo 16.</w:t>
      </w:r>
      <w:r w:rsidRPr="00575662">
        <w:rPr>
          <w:rStyle w:val="TextoNormalCaracter"/>
        </w:rPr>
        <w:t>-</w:t>
      </w:r>
      <w:r>
        <w:t xml:space="preserve"> Sentencia </w:t>
      </w:r>
      <w:hyperlink w:anchor="SENTENCIA_1997_71" w:history="1">
        <w:r w:rsidRPr="00575662">
          <w:rPr>
            <w:rStyle w:val="TextoNormalCaracter"/>
          </w:rPr>
          <w:t>71/1997</w:t>
        </w:r>
      </w:hyperlink>
      <w:r>
        <w:t>, f. 2.</w:t>
      </w:r>
    </w:p>
    <w:p w:rsidR="00575662" w:rsidRDefault="00575662" w:rsidP="00575662">
      <w:pPr>
        <w:pStyle w:val="SangriaFrancesaArticulo"/>
      </w:pPr>
      <w:r w:rsidRPr="00575662">
        <w:rPr>
          <w:rStyle w:val="TextoNormalNegritaCaracter"/>
        </w:rPr>
        <w:t>Disposición transitoria primera.</w:t>
      </w:r>
      <w:r w:rsidRPr="00575662">
        <w:rPr>
          <w:rStyle w:val="TextoNormalCaracter"/>
        </w:rPr>
        <w:t>-</w:t>
      </w:r>
      <w:r>
        <w:t xml:space="preserve"> Sentencia </w:t>
      </w:r>
      <w:hyperlink w:anchor="SENTENCIA_1997_71" w:history="1">
        <w:r w:rsidRPr="00575662">
          <w:rPr>
            <w:rStyle w:val="TextoNormalCaracter"/>
          </w:rPr>
          <w:t>71/1997</w:t>
        </w:r>
      </w:hyperlink>
      <w:r>
        <w:t>, f. 5.</w:t>
      </w:r>
    </w:p>
    <w:p w:rsidR="00575662" w:rsidRDefault="00575662" w:rsidP="00575662">
      <w:pPr>
        <w:pStyle w:val="SangriaFrancesaArticulo"/>
      </w:pPr>
    </w:p>
    <w:p w:rsidR="00575662" w:rsidRDefault="00575662" w:rsidP="00575662">
      <w:pPr>
        <w:pStyle w:val="TextoNormalNegritaCursivandice"/>
      </w:pPr>
      <w:r>
        <w:t>Orden del Ministerio de Cultura, de 22 de febrero de 1991. Ayudas financieras a la inversión en el sector del libro</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71" w:history="1">
        <w:r w:rsidRPr="00575662">
          <w:rPr>
            <w:rStyle w:val="TextoNormalCaracter"/>
          </w:rPr>
          <w:t>71/1997</w:t>
        </w:r>
      </w:hyperlink>
      <w:r>
        <w:t>, f. 6.</w:t>
      </w:r>
    </w:p>
    <w:p w:rsidR="00575662" w:rsidRDefault="00575662" w:rsidP="00575662">
      <w:pPr>
        <w:pStyle w:val="SangriaFrancesaArticulo"/>
      </w:pPr>
    </w:p>
    <w:p w:rsidR="00575662" w:rsidRDefault="00575662" w:rsidP="00575662">
      <w:pPr>
        <w:pStyle w:val="TextoNormalNegritaCursivandice"/>
      </w:pPr>
      <w:r>
        <w:t>Orden del Ministerio de Cultura, de 22 de febrero de 1991. Establece la normativa de ayudas al sector del libro español</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71" w:history="1">
        <w:r w:rsidRPr="00575662">
          <w:rPr>
            <w:rStyle w:val="TextoNormalCaracter"/>
          </w:rPr>
          <w:t>71/1997</w:t>
        </w:r>
      </w:hyperlink>
      <w:r>
        <w:t>, f. 6.</w:t>
      </w:r>
    </w:p>
    <w:p w:rsidR="00575662" w:rsidRDefault="00575662" w:rsidP="00575662">
      <w:pPr>
        <w:pStyle w:val="SangriaFrancesaArticulo"/>
      </w:pPr>
    </w:p>
    <w:p w:rsidR="00575662" w:rsidRDefault="00575662" w:rsidP="00575662">
      <w:pPr>
        <w:pStyle w:val="TextoNormalNegritaCursivandice"/>
      </w:pPr>
      <w:r>
        <w:t>Orden del Ministerio de Trabajo y Seguridad Social, de 30 de diciembre de 1991. Dispone la publicación del Acuerdo del Consejo de Ministros sobre la integración en el Régimen General de la Seguridad Social de los colectivos de Institución Telefónica de Previsión y se desarrollan determinados aspectos  del mismo</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31" w:history="1">
        <w:r w:rsidRPr="00575662">
          <w:rPr>
            <w:rStyle w:val="TextoNormalCaracter"/>
          </w:rPr>
          <w:t>31/1997</w:t>
        </w:r>
      </w:hyperlink>
      <w:r>
        <w:t>, f. 1.</w:t>
      </w:r>
    </w:p>
    <w:p w:rsidR="00575662" w:rsidRDefault="00575662" w:rsidP="00575662">
      <w:pPr>
        <w:pStyle w:val="SangriaFrancesaArticulo"/>
      </w:pPr>
    </w:p>
    <w:p w:rsidR="00575662" w:rsidRDefault="00575662" w:rsidP="00575662">
      <w:pPr>
        <w:pStyle w:val="TextoNormalNegritaCursivandice"/>
      </w:pPr>
      <w:r>
        <w:t>Real Decreto 121/1994, de 28 de enero. Estatuto de la Red nacional de los ferrocarriles españoles (RENFE)</w:t>
      </w:r>
    </w:p>
    <w:p w:rsidR="00575662" w:rsidRDefault="00575662" w:rsidP="00575662">
      <w:pPr>
        <w:pStyle w:val="SangriaFrancesaArticulo"/>
      </w:pPr>
      <w:r w:rsidRPr="00575662">
        <w:rPr>
          <w:rStyle w:val="TextoNormalNegritaCaracter"/>
        </w:rPr>
        <w:t>Artículo 1.1.</w:t>
      </w:r>
      <w:r w:rsidRPr="00575662">
        <w:rPr>
          <w:rStyle w:val="TextoNormalCaracter"/>
        </w:rPr>
        <w:t>-</w:t>
      </w:r>
      <w:r>
        <w:t xml:space="preserve"> Sentencia </w:t>
      </w:r>
      <w:hyperlink w:anchor="SENTENCIA_1997_69" w:history="1">
        <w:r w:rsidRPr="00575662">
          <w:rPr>
            <w:rStyle w:val="TextoNormalCaracter"/>
          </w:rPr>
          <w:t>69/1997</w:t>
        </w:r>
      </w:hyperlink>
      <w:r>
        <w:t>, f. 5.</w:t>
      </w:r>
    </w:p>
    <w:p w:rsidR="00575662" w:rsidRDefault="00575662" w:rsidP="00575662">
      <w:pPr>
        <w:pStyle w:val="SangriaFrancesaArticulo"/>
      </w:pPr>
    </w:p>
    <w:p w:rsidR="00575662" w:rsidRDefault="00575662" w:rsidP="00575662">
      <w:pPr>
        <w:pStyle w:val="TextoNormalNegritaCursivandice"/>
      </w:pPr>
      <w:r>
        <w:t>Real Decreto 1844/1994, de 9 de septiembre. Reglamento de elecciones a órganos de representación de los trabajadores en la empresa</w:t>
      </w:r>
    </w:p>
    <w:p w:rsidR="00575662" w:rsidRDefault="00575662" w:rsidP="00575662">
      <w:pPr>
        <w:pStyle w:val="SangriaFrancesaArticulo"/>
      </w:pPr>
      <w:r w:rsidRPr="00575662">
        <w:rPr>
          <w:rStyle w:val="TextoNormalNegritaCaracter"/>
        </w:rPr>
        <w:t>Artículo 8.1.</w:t>
      </w:r>
      <w:r w:rsidRPr="00575662">
        <w:rPr>
          <w:rStyle w:val="TextoNormalCaracter"/>
        </w:rPr>
        <w:t>-</w:t>
      </w:r>
      <w:r>
        <w:t xml:space="preserve"> Sentencia </w:t>
      </w:r>
      <w:hyperlink w:anchor="SENTENCIA_1997_13" w:history="1">
        <w:r w:rsidRPr="00575662">
          <w:rPr>
            <w:rStyle w:val="TextoNormalCaracter"/>
          </w:rPr>
          <w:t>13/1997</w:t>
        </w:r>
      </w:hyperlink>
      <w:r>
        <w:t>, f. 4.</w:t>
      </w:r>
    </w:p>
    <w:p w:rsidR="00575662" w:rsidRDefault="00575662" w:rsidP="00575662">
      <w:pPr>
        <w:pStyle w:val="SangriaFrancesaArticulo"/>
      </w:pPr>
      <w:r w:rsidRPr="00575662">
        <w:rPr>
          <w:rStyle w:val="TextoNormalNegritaCaracter"/>
        </w:rPr>
        <w:t>Artículo 8.3.</w:t>
      </w:r>
      <w:r w:rsidRPr="00575662">
        <w:rPr>
          <w:rStyle w:val="TextoNormalCaracter"/>
        </w:rPr>
        <w:t>-</w:t>
      </w:r>
      <w:r>
        <w:t xml:space="preserve"> Sentencia </w:t>
      </w:r>
      <w:hyperlink w:anchor="SENTENCIA_1997_13" w:history="1">
        <w:r w:rsidRPr="00575662">
          <w:rPr>
            <w:rStyle w:val="TextoNormalCaracter"/>
          </w:rPr>
          <w:t>13/1997</w:t>
        </w:r>
      </w:hyperlink>
      <w:r>
        <w:t>, f. 4.</w:t>
      </w:r>
    </w:p>
    <w:p w:rsidR="00575662" w:rsidRDefault="00575662" w:rsidP="00575662">
      <w:pPr>
        <w:pStyle w:val="SangriaFrancesaArticulo"/>
      </w:pPr>
    </w:p>
    <w:p w:rsidR="00575662" w:rsidRDefault="00575662" w:rsidP="00575662">
      <w:pPr>
        <w:pStyle w:val="TextoNormalNegritaCursivandice"/>
      </w:pPr>
      <w:r>
        <w:lastRenderedPageBreak/>
        <w:t>Real Decreto 190/1996, de 9 de febrero. Reglamento penitenciario</w:t>
      </w:r>
    </w:p>
    <w:p w:rsidR="00575662" w:rsidRDefault="00575662" w:rsidP="00575662">
      <w:pPr>
        <w:pStyle w:val="SangriaFrancesaArticulo"/>
      </w:pPr>
      <w:r w:rsidRPr="00575662">
        <w:rPr>
          <w:rStyle w:val="TextoNormalNegritaCaracter"/>
        </w:rPr>
        <w:t>Artículos 152 a 154.</w:t>
      </w:r>
      <w:r w:rsidRPr="00575662">
        <w:rPr>
          <w:rStyle w:val="TextoNormalCaracter"/>
        </w:rPr>
        <w:t>-</w:t>
      </w:r>
      <w:r>
        <w:t xml:space="preserve"> Sentencia </w:t>
      </w:r>
      <w:hyperlink w:anchor="SENTENCIA_1997_2" w:history="1">
        <w:r w:rsidRPr="00575662">
          <w:rPr>
            <w:rStyle w:val="TextoNormalCaracter"/>
          </w:rPr>
          <w:t>2/1997</w:t>
        </w:r>
      </w:hyperlink>
      <w:r>
        <w:t>, f. 4.</w:t>
      </w:r>
    </w:p>
    <w:p w:rsidR="00575662" w:rsidRDefault="00575662" w:rsidP="00575662">
      <w:pPr>
        <w:pStyle w:val="SangriaFrancesaArticulo"/>
      </w:pPr>
      <w:r w:rsidRPr="00575662">
        <w:rPr>
          <w:rStyle w:val="TextoNormalNegritaCaracter"/>
        </w:rPr>
        <w:t>Artículo 156.1.</w:t>
      </w:r>
      <w:r w:rsidRPr="00575662">
        <w:rPr>
          <w:rStyle w:val="TextoNormalCaracter"/>
        </w:rPr>
        <w:t>-</w:t>
      </w:r>
      <w:r>
        <w:t xml:space="preserve"> Sentencia </w:t>
      </w:r>
      <w:hyperlink w:anchor="SENTENCIA_1997_81" w:history="1">
        <w:r w:rsidRPr="00575662">
          <w:rPr>
            <w:rStyle w:val="TextoNormalCaracter"/>
          </w:rPr>
          <w:t>81/1997</w:t>
        </w:r>
      </w:hyperlink>
      <w:r>
        <w:t>, f. 3.</w:t>
      </w:r>
    </w:p>
    <w:p w:rsidR="00575662" w:rsidRDefault="00575662" w:rsidP="00575662">
      <w:pPr>
        <w:pStyle w:val="SangriaFrancesaArticulo"/>
      </w:pPr>
    </w:p>
    <w:p w:rsidR="00575662" w:rsidRDefault="00575662" w:rsidP="00575662">
      <w:pPr>
        <w:pStyle w:val="TextoNormalNegritaCursivandice"/>
      </w:pPr>
      <w:r>
        <w:t>Real Decreto 1784/1996, de 19 de julio. Reglamento del Registro Mercantil</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87" w:history="1">
        <w:r w:rsidRPr="00575662">
          <w:rPr>
            <w:rStyle w:val="TextoNormalCaracter"/>
          </w:rPr>
          <w:t>87/1997</w:t>
        </w:r>
      </w:hyperlink>
      <w:r>
        <w:t>, f. 1.</w:t>
      </w:r>
    </w:p>
    <w:p w:rsidR="00575662" w:rsidRDefault="00575662" w:rsidP="00575662">
      <w:pPr>
        <w:pStyle w:val="TextoNormal"/>
      </w:pPr>
    </w:p>
    <w:p w:rsidR="00575662" w:rsidRDefault="00575662" w:rsidP="00575662">
      <w:pPr>
        <w:pStyle w:val="SangriaFrancesaArticulo"/>
      </w:pPr>
      <w:bookmarkStart w:id="226" w:name="INDICE22850"/>
    </w:p>
    <w:bookmarkEnd w:id="226"/>
    <w:p w:rsidR="00575662" w:rsidRDefault="00575662" w:rsidP="00575662">
      <w:pPr>
        <w:pStyle w:val="TextoIndiceNivel2"/>
        <w:suppressAutoHyphens/>
      </w:pPr>
      <w:r>
        <w:t>I) Legislación preconstitucional</w:t>
      </w:r>
    </w:p>
    <w:p w:rsidR="00575662" w:rsidRDefault="00575662" w:rsidP="00575662">
      <w:pPr>
        <w:pStyle w:val="TextoIndiceNivel2"/>
      </w:pPr>
    </w:p>
    <w:p w:rsidR="00575662" w:rsidRDefault="00575662" w:rsidP="00575662">
      <w:pPr>
        <w:pStyle w:val="TextoNormalNegritaCursivandice"/>
      </w:pPr>
      <w:r>
        <w:t>Real Decreto de 3 de febrero de 1881. Ley de enjuiciamiento civil</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54" w:history="1">
        <w:r w:rsidRPr="00575662">
          <w:rPr>
            <w:rStyle w:val="TextoNormalCaracter"/>
          </w:rPr>
          <w:t>54/1997</w:t>
        </w:r>
      </w:hyperlink>
      <w:r>
        <w:t>, f. 2.</w:t>
      </w:r>
    </w:p>
    <w:p w:rsidR="00575662" w:rsidRDefault="00575662" w:rsidP="00575662">
      <w:pPr>
        <w:pStyle w:val="SangriaFrancesaArticulo"/>
      </w:pPr>
      <w:r w:rsidRPr="00575662">
        <w:rPr>
          <w:rStyle w:val="TextoNormalNegritaCaracter"/>
        </w:rPr>
        <w:t>Libro II, título IV.</w:t>
      </w:r>
      <w:r w:rsidRPr="00575662">
        <w:rPr>
          <w:rStyle w:val="TextoNormalCaracter"/>
        </w:rPr>
        <w:t>-</w:t>
      </w:r>
      <w:r>
        <w:t xml:space="preserve"> Sentencia </w:t>
      </w:r>
      <w:hyperlink w:anchor="SENTENCIA_1997_5" w:history="1">
        <w:r w:rsidRPr="00575662">
          <w:rPr>
            <w:rStyle w:val="TextoNormalCaracter"/>
          </w:rPr>
          <w:t>5/1997</w:t>
        </w:r>
      </w:hyperlink>
      <w:r>
        <w:t>, f. 2.</w:t>
      </w:r>
    </w:p>
    <w:p w:rsidR="00575662" w:rsidRDefault="00575662" w:rsidP="00575662">
      <w:pPr>
        <w:pStyle w:val="SangriaFrancesaArticulo"/>
      </w:pPr>
      <w:r w:rsidRPr="00575662">
        <w:rPr>
          <w:rStyle w:val="TextoNormalNegritaCaracter"/>
        </w:rPr>
        <w:t>Artículo 8.</w:t>
      </w:r>
      <w:r w:rsidRPr="00575662">
        <w:rPr>
          <w:rStyle w:val="TextoNormalCaracter"/>
        </w:rPr>
        <w:t>-</w:t>
      </w:r>
      <w:r>
        <w:t xml:space="preserve"> Sentencias </w:t>
      </w:r>
      <w:hyperlink w:anchor="SENTENCIA_1997_12" w:history="1">
        <w:r w:rsidRPr="00575662">
          <w:rPr>
            <w:rStyle w:val="TextoNormalCaracter"/>
          </w:rPr>
          <w:t>12/1997</w:t>
        </w:r>
      </w:hyperlink>
      <w:r>
        <w:t xml:space="preserve">, ff. 2, 3; </w:t>
      </w:r>
      <w:hyperlink w:anchor="SENTENCIA_1997_20" w:history="1">
        <w:r w:rsidRPr="00575662">
          <w:rPr>
            <w:rStyle w:val="TextoNormalCaracter"/>
          </w:rPr>
          <w:t>20/1997</w:t>
        </w:r>
      </w:hyperlink>
      <w:r>
        <w:t>, ff. 2, 4.</w:t>
      </w:r>
    </w:p>
    <w:p w:rsidR="00575662" w:rsidRDefault="00575662" w:rsidP="00575662">
      <w:pPr>
        <w:pStyle w:val="SangriaIzquierdaArticulo"/>
      </w:pPr>
      <w:r>
        <w:t xml:space="preserve">Autos </w:t>
      </w:r>
      <w:hyperlink w:anchor="AUTO_1997_17" w:history="1">
        <w:r w:rsidRPr="00575662">
          <w:rPr>
            <w:rStyle w:val="TextoNormalCaracter"/>
          </w:rPr>
          <w:t>17/1997</w:t>
        </w:r>
      </w:hyperlink>
      <w:r>
        <w:t xml:space="preserve">; </w:t>
      </w:r>
      <w:hyperlink w:anchor="AUTO_1997_45" w:history="1">
        <w:r w:rsidRPr="00575662">
          <w:rPr>
            <w:rStyle w:val="TextoNormalCaracter"/>
          </w:rPr>
          <w:t>45/1997</w:t>
        </w:r>
      </w:hyperlink>
      <w:r>
        <w:t xml:space="preserve">; </w:t>
      </w:r>
      <w:hyperlink w:anchor="AUTO_1997_65" w:history="1">
        <w:r w:rsidRPr="00575662">
          <w:rPr>
            <w:rStyle w:val="TextoNormalCaracter"/>
          </w:rPr>
          <w:t>65/1997</w:t>
        </w:r>
      </w:hyperlink>
      <w:r>
        <w:t>.</w:t>
      </w:r>
    </w:p>
    <w:p w:rsidR="00575662" w:rsidRDefault="00575662" w:rsidP="00575662">
      <w:pPr>
        <w:pStyle w:val="SangriaFrancesaArticulo"/>
      </w:pPr>
      <w:r w:rsidRPr="00575662">
        <w:rPr>
          <w:rStyle w:val="TextoNormalNegritaCaracter"/>
        </w:rPr>
        <w:t>Artículo 12.</w:t>
      </w:r>
      <w:r w:rsidRPr="00575662">
        <w:rPr>
          <w:rStyle w:val="TextoNormalCaracter"/>
        </w:rPr>
        <w:t>-</w:t>
      </w:r>
      <w:r>
        <w:t xml:space="preserve"> Sentencias </w:t>
      </w:r>
      <w:hyperlink w:anchor="SENTENCIA_1997_12" w:history="1">
        <w:r w:rsidRPr="00575662">
          <w:rPr>
            <w:rStyle w:val="TextoNormalCaracter"/>
          </w:rPr>
          <w:t>12/1997</w:t>
        </w:r>
      </w:hyperlink>
      <w:r>
        <w:t xml:space="preserve">, ff. 1 a 3; </w:t>
      </w:r>
      <w:hyperlink w:anchor="SENTENCIA_1997_20" w:history="1">
        <w:r w:rsidRPr="00575662">
          <w:rPr>
            <w:rStyle w:val="TextoNormalCaracter"/>
          </w:rPr>
          <w:t>20/1997</w:t>
        </w:r>
      </w:hyperlink>
      <w:r>
        <w:t>, ff. 2, 4.</w:t>
      </w:r>
    </w:p>
    <w:p w:rsidR="00575662" w:rsidRDefault="00575662" w:rsidP="00575662">
      <w:pPr>
        <w:pStyle w:val="SangriaIzquierdaArticulo"/>
      </w:pPr>
      <w:r>
        <w:t xml:space="preserve">Autos </w:t>
      </w:r>
      <w:hyperlink w:anchor="AUTO_1997_17" w:history="1">
        <w:r w:rsidRPr="00575662">
          <w:rPr>
            <w:rStyle w:val="TextoNormalCaracter"/>
          </w:rPr>
          <w:t>17/1997</w:t>
        </w:r>
      </w:hyperlink>
      <w:r>
        <w:t xml:space="preserve">; </w:t>
      </w:r>
      <w:hyperlink w:anchor="AUTO_1997_45" w:history="1">
        <w:r w:rsidRPr="00575662">
          <w:rPr>
            <w:rStyle w:val="TextoNormalCaracter"/>
          </w:rPr>
          <w:t>45/1997</w:t>
        </w:r>
      </w:hyperlink>
      <w:r>
        <w:t xml:space="preserve">; </w:t>
      </w:r>
      <w:hyperlink w:anchor="AUTO_1997_65" w:history="1">
        <w:r w:rsidRPr="00575662">
          <w:rPr>
            <w:rStyle w:val="TextoNormalCaracter"/>
          </w:rPr>
          <w:t>65/1997</w:t>
        </w:r>
      </w:hyperlink>
      <w:r>
        <w:t>.</w:t>
      </w:r>
    </w:p>
    <w:p w:rsidR="00575662" w:rsidRDefault="00575662" w:rsidP="00575662">
      <w:pPr>
        <w:pStyle w:val="SangriaFrancesaArticulo"/>
      </w:pPr>
      <w:r w:rsidRPr="00575662">
        <w:rPr>
          <w:rStyle w:val="TextoNormalNegritaCaracter"/>
        </w:rPr>
        <w:t>Artículo 80.</w:t>
      </w:r>
      <w:r w:rsidRPr="00575662">
        <w:rPr>
          <w:rStyle w:val="TextoNormalCaracter"/>
        </w:rPr>
        <w:t>-</w:t>
      </w:r>
      <w:r>
        <w:t xml:space="preserve"> Auto </w:t>
      </w:r>
      <w:hyperlink w:anchor="AUTO_1997_54" w:history="1">
        <w:r w:rsidRPr="00575662">
          <w:rPr>
            <w:rStyle w:val="TextoNormalCaracter"/>
          </w:rPr>
          <w:t>54/1997</w:t>
        </w:r>
      </w:hyperlink>
      <w:r>
        <w:t>.</w:t>
      </w:r>
    </w:p>
    <w:p w:rsidR="00575662" w:rsidRDefault="00575662" w:rsidP="00575662">
      <w:pPr>
        <w:pStyle w:val="SangriaFrancesaArticulo"/>
      </w:pPr>
      <w:r w:rsidRPr="00575662">
        <w:rPr>
          <w:rStyle w:val="TextoNormalNegritaCaracter"/>
        </w:rPr>
        <w:t>Artículo 269.</w:t>
      </w:r>
      <w:r w:rsidRPr="00575662">
        <w:rPr>
          <w:rStyle w:val="TextoNormalCaracter"/>
        </w:rPr>
        <w:t>-</w:t>
      </w:r>
      <w:r>
        <w:t xml:space="preserve"> Sentencia </w:t>
      </w:r>
      <w:hyperlink w:anchor="SENTENCIA_1997_86" w:history="1">
        <w:r w:rsidRPr="00575662">
          <w:rPr>
            <w:rStyle w:val="TextoNormalCaracter"/>
          </w:rPr>
          <w:t>86/1997</w:t>
        </w:r>
      </w:hyperlink>
      <w:r>
        <w:t>, f. 1.</w:t>
      </w:r>
    </w:p>
    <w:p w:rsidR="00575662" w:rsidRDefault="00575662" w:rsidP="00575662">
      <w:pPr>
        <w:pStyle w:val="SangriaFrancesaArticulo"/>
      </w:pPr>
      <w:r w:rsidRPr="00575662">
        <w:rPr>
          <w:rStyle w:val="TextoNormalNegritaCaracter"/>
        </w:rPr>
        <w:t>Artículo 326.</w:t>
      </w:r>
      <w:r w:rsidRPr="00575662">
        <w:rPr>
          <w:rStyle w:val="TextoNormalCaracter"/>
        </w:rPr>
        <w:t>-</w:t>
      </w:r>
      <w:r>
        <w:t xml:space="preserve"> Sentencia </w:t>
      </w:r>
      <w:hyperlink w:anchor="SENTENCIA_1997_64" w:history="1">
        <w:r w:rsidRPr="00575662">
          <w:rPr>
            <w:rStyle w:val="TextoNormalCaracter"/>
          </w:rPr>
          <w:t>64/1997</w:t>
        </w:r>
      </w:hyperlink>
      <w:r>
        <w:t>, f. 3.</w:t>
      </w:r>
    </w:p>
    <w:p w:rsidR="00575662" w:rsidRDefault="00575662" w:rsidP="00575662">
      <w:pPr>
        <w:pStyle w:val="SangriaFrancesaArticulo"/>
      </w:pPr>
      <w:r w:rsidRPr="00575662">
        <w:rPr>
          <w:rStyle w:val="TextoNormalNegritaCaracter"/>
        </w:rPr>
        <w:t>Artículo 359.</w:t>
      </w:r>
      <w:r w:rsidRPr="00575662">
        <w:rPr>
          <w:rStyle w:val="TextoNormalCaracter"/>
        </w:rPr>
        <w:t>-</w:t>
      </w:r>
      <w:r>
        <w:t xml:space="preserve"> Sentencias </w:t>
      </w:r>
      <w:hyperlink w:anchor="SENTENCIA_1997_54" w:history="1">
        <w:r w:rsidRPr="00575662">
          <w:rPr>
            <w:rStyle w:val="TextoNormalCaracter"/>
          </w:rPr>
          <w:t>54/1997</w:t>
        </w:r>
      </w:hyperlink>
      <w:r>
        <w:t xml:space="preserve">, f. 3; </w:t>
      </w:r>
      <w:hyperlink w:anchor="SENTENCIA_1997_57" w:history="1">
        <w:r w:rsidRPr="00575662">
          <w:rPr>
            <w:rStyle w:val="TextoNormalCaracter"/>
          </w:rPr>
          <w:t>57/1997</w:t>
        </w:r>
      </w:hyperlink>
      <w:r>
        <w:t>, f. 5.</w:t>
      </w:r>
    </w:p>
    <w:p w:rsidR="00575662" w:rsidRDefault="00575662" w:rsidP="00575662">
      <w:pPr>
        <w:pStyle w:val="SangriaFrancesaArticulo"/>
      </w:pPr>
      <w:r w:rsidRPr="00575662">
        <w:rPr>
          <w:rStyle w:val="TextoNormalNegritaCaracter"/>
        </w:rPr>
        <w:t>Artículo 377.</w:t>
      </w:r>
      <w:r w:rsidRPr="00575662">
        <w:rPr>
          <w:rStyle w:val="TextoNormalCaracter"/>
        </w:rPr>
        <w:t>-</w:t>
      </w:r>
      <w:r>
        <w:t xml:space="preserve"> Sentencia </w:t>
      </w:r>
      <w:hyperlink w:anchor="SENTENCIA_1997_30" w:history="1">
        <w:r w:rsidRPr="00575662">
          <w:rPr>
            <w:rStyle w:val="TextoNormalCaracter"/>
          </w:rPr>
          <w:t>30/1997</w:t>
        </w:r>
      </w:hyperlink>
      <w:r>
        <w:t>, f. 3.</w:t>
      </w:r>
    </w:p>
    <w:p w:rsidR="00575662" w:rsidRDefault="00575662" w:rsidP="00575662">
      <w:pPr>
        <w:pStyle w:val="SangriaIzquierdaArticulo"/>
      </w:pPr>
      <w:r>
        <w:t xml:space="preserve">Auto </w:t>
      </w:r>
      <w:hyperlink w:anchor="AUTO_1997_60" w:history="1">
        <w:r w:rsidRPr="00575662">
          <w:rPr>
            <w:rStyle w:val="TextoNormalCaracter"/>
          </w:rPr>
          <w:t>60/1997</w:t>
        </w:r>
      </w:hyperlink>
      <w:r>
        <w:t>.</w:t>
      </w:r>
    </w:p>
    <w:p w:rsidR="00575662" w:rsidRDefault="00575662" w:rsidP="00575662">
      <w:pPr>
        <w:pStyle w:val="SangriaFrancesaArticulo"/>
      </w:pPr>
      <w:r w:rsidRPr="00575662">
        <w:rPr>
          <w:rStyle w:val="TextoNormalNegritaCaracter"/>
        </w:rPr>
        <w:t>Artículo 378.</w:t>
      </w:r>
      <w:r w:rsidRPr="00575662">
        <w:rPr>
          <w:rStyle w:val="TextoNormalCaracter"/>
        </w:rPr>
        <w:t>-</w:t>
      </w:r>
      <w:r>
        <w:t xml:space="preserve"> Sentencia </w:t>
      </w:r>
      <w:hyperlink w:anchor="SENTENCIA_1997_30" w:history="1">
        <w:r w:rsidRPr="00575662">
          <w:rPr>
            <w:rStyle w:val="TextoNormalCaracter"/>
          </w:rPr>
          <w:t>30/1997</w:t>
        </w:r>
      </w:hyperlink>
      <w:r>
        <w:t>, f. 7.</w:t>
      </w:r>
    </w:p>
    <w:p w:rsidR="00575662" w:rsidRDefault="00575662" w:rsidP="00575662">
      <w:pPr>
        <w:pStyle w:val="SangriaFrancesaArticulo"/>
      </w:pPr>
      <w:r w:rsidRPr="00575662">
        <w:rPr>
          <w:rStyle w:val="TextoNormalNegritaCaracter"/>
        </w:rPr>
        <w:t>Artículo 402.</w:t>
      </w:r>
      <w:r w:rsidRPr="00575662">
        <w:rPr>
          <w:rStyle w:val="TextoNormalCaracter"/>
        </w:rPr>
        <w:t>-</w:t>
      </w:r>
      <w:r>
        <w:t xml:space="preserve"> Sentencia </w:t>
      </w:r>
      <w:hyperlink w:anchor="SENTENCIA_1997_7" w:history="1">
        <w:r w:rsidRPr="00575662">
          <w:rPr>
            <w:rStyle w:val="TextoNormalCaracter"/>
          </w:rPr>
          <w:t>7/1997</w:t>
        </w:r>
      </w:hyperlink>
      <w:r>
        <w:t>, f. 3.</w:t>
      </w:r>
    </w:p>
    <w:p w:rsidR="00575662" w:rsidRDefault="00575662" w:rsidP="00575662">
      <w:pPr>
        <w:pStyle w:val="SangriaFrancesaArticulo"/>
      </w:pPr>
      <w:r w:rsidRPr="00575662">
        <w:rPr>
          <w:rStyle w:val="TextoNormalNegritaCaracter"/>
        </w:rPr>
        <w:t>Artículo 421.</w:t>
      </w:r>
      <w:r w:rsidRPr="00575662">
        <w:rPr>
          <w:rStyle w:val="TextoNormalCaracter"/>
        </w:rPr>
        <w:t>-</w:t>
      </w:r>
      <w:r>
        <w:t xml:space="preserve"> Sentencia </w:t>
      </w:r>
      <w:hyperlink w:anchor="SENTENCIA_1997_34" w:history="1">
        <w:r w:rsidRPr="00575662">
          <w:rPr>
            <w:rStyle w:val="TextoNormalCaracter"/>
          </w:rPr>
          <w:t>34/1997</w:t>
        </w:r>
      </w:hyperlink>
      <w:r>
        <w:t>, f. 4.</w:t>
      </w:r>
    </w:p>
    <w:p w:rsidR="00575662" w:rsidRDefault="00575662" w:rsidP="00575662">
      <w:pPr>
        <w:pStyle w:val="SangriaFrancesaArticulo"/>
      </w:pPr>
      <w:r w:rsidRPr="00575662">
        <w:rPr>
          <w:rStyle w:val="TextoNormalNegritaCaracter"/>
        </w:rPr>
        <w:t>Artículo 533.1.</w:t>
      </w:r>
      <w:r w:rsidRPr="00575662">
        <w:rPr>
          <w:rStyle w:val="TextoNormalCaracter"/>
        </w:rPr>
        <w:t>-</w:t>
      </w:r>
      <w:r>
        <w:t xml:space="preserve"> Sentencia </w:t>
      </w:r>
      <w:hyperlink w:anchor="SENTENCIA_1997_30" w:history="1">
        <w:r w:rsidRPr="00575662">
          <w:rPr>
            <w:rStyle w:val="TextoNormalCaracter"/>
          </w:rPr>
          <w:t>30/1997</w:t>
        </w:r>
      </w:hyperlink>
      <w:r>
        <w:t>, f. 6.</w:t>
      </w:r>
    </w:p>
    <w:p w:rsidR="00575662" w:rsidRDefault="00575662" w:rsidP="00575662">
      <w:pPr>
        <w:pStyle w:val="SangriaFrancesaArticulo"/>
      </w:pPr>
      <w:r w:rsidRPr="00575662">
        <w:rPr>
          <w:rStyle w:val="TextoNormalNegritaCaracter"/>
        </w:rPr>
        <w:t>Artículo 681.</w:t>
      </w:r>
      <w:r w:rsidRPr="00575662">
        <w:rPr>
          <w:rStyle w:val="TextoNormalCaracter"/>
        </w:rPr>
        <w:t>-</w:t>
      </w:r>
      <w:r>
        <w:t xml:space="preserve"> Sentencia </w:t>
      </w:r>
      <w:hyperlink w:anchor="SENTENCIA_1997_10" w:history="1">
        <w:r w:rsidRPr="00575662">
          <w:rPr>
            <w:rStyle w:val="TextoNormalCaracter"/>
          </w:rPr>
          <w:t>10/1997</w:t>
        </w:r>
      </w:hyperlink>
      <w:r>
        <w:t>, f. 8.</w:t>
      </w:r>
    </w:p>
    <w:p w:rsidR="00575662" w:rsidRDefault="00575662" w:rsidP="00575662">
      <w:pPr>
        <w:pStyle w:val="SangriaFrancesaArticulo"/>
      </w:pPr>
      <w:r w:rsidRPr="00575662">
        <w:rPr>
          <w:rStyle w:val="TextoNormalNegritaCaracter"/>
        </w:rPr>
        <w:t>Artículo 771.</w:t>
      </w:r>
      <w:r w:rsidRPr="00575662">
        <w:rPr>
          <w:rStyle w:val="TextoNormalCaracter"/>
        </w:rPr>
        <w:t>-</w:t>
      </w:r>
      <w:r>
        <w:t xml:space="preserve"> Sentencia </w:t>
      </w:r>
      <w:hyperlink w:anchor="SENTENCIA_1997_5" w:history="1">
        <w:r w:rsidRPr="00575662">
          <w:rPr>
            <w:rStyle w:val="TextoNormalCaracter"/>
          </w:rPr>
          <w:t>5/1997</w:t>
        </w:r>
      </w:hyperlink>
      <w:r>
        <w:t>, f. 2.</w:t>
      </w:r>
    </w:p>
    <w:p w:rsidR="00575662" w:rsidRDefault="00575662" w:rsidP="00575662">
      <w:pPr>
        <w:pStyle w:val="SangriaFrancesaArticulo"/>
      </w:pPr>
      <w:r w:rsidRPr="00575662">
        <w:rPr>
          <w:rStyle w:val="TextoNormalNegritaCaracter"/>
        </w:rPr>
        <w:t>Artículo 772.</w:t>
      </w:r>
      <w:r w:rsidRPr="00575662">
        <w:rPr>
          <w:rStyle w:val="TextoNormalCaracter"/>
        </w:rPr>
        <w:t>-</w:t>
      </w:r>
      <w:r>
        <w:t xml:space="preserve"> Sentencia </w:t>
      </w:r>
      <w:hyperlink w:anchor="SENTENCIA_1997_5" w:history="1">
        <w:r w:rsidRPr="00575662">
          <w:rPr>
            <w:rStyle w:val="TextoNormalCaracter"/>
          </w:rPr>
          <w:t>5/1997</w:t>
        </w:r>
      </w:hyperlink>
      <w:r>
        <w:t>, f. 2.</w:t>
      </w:r>
    </w:p>
    <w:p w:rsidR="00575662" w:rsidRDefault="00575662" w:rsidP="00575662">
      <w:pPr>
        <w:pStyle w:val="SangriaFrancesaArticulo"/>
      </w:pPr>
      <w:r w:rsidRPr="00575662">
        <w:rPr>
          <w:rStyle w:val="TextoNormalNegritaCaracter"/>
        </w:rPr>
        <w:t>Artículo 774.</w:t>
      </w:r>
      <w:r w:rsidRPr="00575662">
        <w:rPr>
          <w:rStyle w:val="TextoNormalCaracter"/>
        </w:rPr>
        <w:t>-</w:t>
      </w:r>
      <w:r>
        <w:t xml:space="preserve"> Sentencia </w:t>
      </w:r>
      <w:hyperlink w:anchor="SENTENCIA_1997_5" w:history="1">
        <w:r w:rsidRPr="00575662">
          <w:rPr>
            <w:rStyle w:val="TextoNormalCaracter"/>
          </w:rPr>
          <w:t>5/1997</w:t>
        </w:r>
      </w:hyperlink>
      <w:r>
        <w:t>, f. 2.</w:t>
      </w:r>
    </w:p>
    <w:p w:rsidR="00575662" w:rsidRDefault="00575662" w:rsidP="00575662">
      <w:pPr>
        <w:pStyle w:val="SangriaFrancesaArticulo"/>
      </w:pPr>
      <w:r w:rsidRPr="00575662">
        <w:rPr>
          <w:rStyle w:val="TextoNormalNegritaCaracter"/>
        </w:rPr>
        <w:t>Artículo 776.</w:t>
      </w:r>
      <w:r w:rsidRPr="00575662">
        <w:rPr>
          <w:rStyle w:val="TextoNormalCaracter"/>
        </w:rPr>
        <w:t>-</w:t>
      </w:r>
      <w:r>
        <w:t xml:space="preserve"> Sentencia </w:t>
      </w:r>
      <w:hyperlink w:anchor="SENTENCIA_1997_5" w:history="1">
        <w:r w:rsidRPr="00575662">
          <w:rPr>
            <w:rStyle w:val="TextoNormalCaracter"/>
          </w:rPr>
          <w:t>5/1997</w:t>
        </w:r>
      </w:hyperlink>
      <w:r>
        <w:t>, f. 2.</w:t>
      </w:r>
    </w:p>
    <w:p w:rsidR="00575662" w:rsidRDefault="00575662" w:rsidP="00575662">
      <w:pPr>
        <w:pStyle w:val="SangriaFrancesaArticulo"/>
      </w:pPr>
      <w:r w:rsidRPr="00575662">
        <w:rPr>
          <w:rStyle w:val="TextoNormalNegritaCaracter"/>
        </w:rPr>
        <w:t>Artículo 777.</w:t>
      </w:r>
      <w:r w:rsidRPr="00575662">
        <w:rPr>
          <w:rStyle w:val="TextoNormalCaracter"/>
        </w:rPr>
        <w:t>-</w:t>
      </w:r>
      <w:r>
        <w:t xml:space="preserve"> Sentencia </w:t>
      </w:r>
      <w:hyperlink w:anchor="SENTENCIA_1997_5" w:history="1">
        <w:r w:rsidRPr="00575662">
          <w:rPr>
            <w:rStyle w:val="TextoNormalCaracter"/>
          </w:rPr>
          <w:t>5/1997</w:t>
        </w:r>
      </w:hyperlink>
      <w:r>
        <w:t>, f. 3.</w:t>
      </w:r>
    </w:p>
    <w:p w:rsidR="00575662" w:rsidRDefault="00575662" w:rsidP="00575662">
      <w:pPr>
        <w:pStyle w:val="SangriaFrancesaArticulo"/>
      </w:pPr>
      <w:r w:rsidRPr="00575662">
        <w:rPr>
          <w:rStyle w:val="TextoNormalNegritaCaracter"/>
        </w:rPr>
        <w:t>Artículo 777.1.</w:t>
      </w:r>
      <w:r w:rsidRPr="00575662">
        <w:rPr>
          <w:rStyle w:val="TextoNormalCaracter"/>
        </w:rPr>
        <w:t>-</w:t>
      </w:r>
      <w:r>
        <w:t xml:space="preserve"> Sentencia </w:t>
      </w:r>
      <w:hyperlink w:anchor="SENTENCIA_1997_5" w:history="1">
        <w:r w:rsidRPr="00575662">
          <w:rPr>
            <w:rStyle w:val="TextoNormalCaracter"/>
          </w:rPr>
          <w:t>5/1997</w:t>
        </w:r>
      </w:hyperlink>
      <w:r>
        <w:t>, f. 3.</w:t>
      </w:r>
    </w:p>
    <w:p w:rsidR="00575662" w:rsidRDefault="00575662" w:rsidP="00575662">
      <w:pPr>
        <w:pStyle w:val="SangriaFrancesaArticulo"/>
      </w:pPr>
      <w:r w:rsidRPr="00575662">
        <w:rPr>
          <w:rStyle w:val="TextoNormalNegritaCaracter"/>
        </w:rPr>
        <w:t>Artículo 779.</w:t>
      </w:r>
      <w:r w:rsidRPr="00575662">
        <w:rPr>
          <w:rStyle w:val="TextoNormalCaracter"/>
        </w:rPr>
        <w:t>-</w:t>
      </w:r>
      <w:r>
        <w:t xml:space="preserve"> Sentencia </w:t>
      </w:r>
      <w:hyperlink w:anchor="SENTENCIA_1997_5" w:history="1">
        <w:r w:rsidRPr="00575662">
          <w:rPr>
            <w:rStyle w:val="TextoNormalCaracter"/>
          </w:rPr>
          <w:t>5/1997</w:t>
        </w:r>
      </w:hyperlink>
      <w:r>
        <w:t>, f. 2.</w:t>
      </w:r>
    </w:p>
    <w:p w:rsidR="00575662" w:rsidRDefault="00575662" w:rsidP="00575662">
      <w:pPr>
        <w:pStyle w:val="SangriaFrancesaArticulo"/>
      </w:pPr>
      <w:r w:rsidRPr="00575662">
        <w:rPr>
          <w:rStyle w:val="TextoNormalNegritaCaracter"/>
        </w:rPr>
        <w:t>Artículo 921.</w:t>
      </w:r>
      <w:r w:rsidRPr="00575662">
        <w:rPr>
          <w:rStyle w:val="TextoNormalCaracter"/>
        </w:rPr>
        <w:t>-</w:t>
      </w:r>
      <w:r>
        <w:t xml:space="preserve"> Auto </w:t>
      </w:r>
      <w:hyperlink w:anchor="AUTO_1997_62" w:history="1">
        <w:r w:rsidRPr="00575662">
          <w:rPr>
            <w:rStyle w:val="TextoNormalCaracter"/>
          </w:rPr>
          <w:t>62/1997</w:t>
        </w:r>
      </w:hyperlink>
      <w:r>
        <w:t>.</w:t>
      </w:r>
    </w:p>
    <w:p w:rsidR="00575662" w:rsidRDefault="00575662" w:rsidP="00575662">
      <w:pPr>
        <w:pStyle w:val="SangriaFrancesaArticulo"/>
      </w:pPr>
      <w:r w:rsidRPr="00575662">
        <w:rPr>
          <w:rStyle w:val="TextoNormalNegritaCaracter"/>
        </w:rPr>
        <w:t>Artículo 1566.</w:t>
      </w:r>
      <w:r w:rsidRPr="00575662">
        <w:rPr>
          <w:rStyle w:val="TextoNormalCaracter"/>
        </w:rPr>
        <w:t>-</w:t>
      </w:r>
      <w:r>
        <w:t xml:space="preserve"> Auto </w:t>
      </w:r>
      <w:hyperlink w:anchor="AUTO_1997_80" w:history="1">
        <w:r w:rsidRPr="00575662">
          <w:rPr>
            <w:rStyle w:val="TextoNormalCaracter"/>
          </w:rPr>
          <w:t>80/1997</w:t>
        </w:r>
      </w:hyperlink>
      <w:r>
        <w:t>.</w:t>
      </w:r>
    </w:p>
    <w:p w:rsidR="00575662" w:rsidRDefault="00575662" w:rsidP="00575662">
      <w:pPr>
        <w:pStyle w:val="SangriaFrancesaArticulo"/>
      </w:pPr>
      <w:r w:rsidRPr="00575662">
        <w:rPr>
          <w:rStyle w:val="TextoNormalNegritaCaracter"/>
        </w:rPr>
        <w:t>Artículo 1567.</w:t>
      </w:r>
      <w:r w:rsidRPr="00575662">
        <w:rPr>
          <w:rStyle w:val="TextoNormalCaracter"/>
        </w:rPr>
        <w:t>-</w:t>
      </w:r>
      <w:r>
        <w:t xml:space="preserve"> Auto </w:t>
      </w:r>
      <w:hyperlink w:anchor="AUTO_1997_80" w:history="1">
        <w:r w:rsidRPr="00575662">
          <w:rPr>
            <w:rStyle w:val="TextoNormalCaracter"/>
          </w:rPr>
          <w:t>80/1997</w:t>
        </w:r>
      </w:hyperlink>
      <w:r>
        <w:t>.</w:t>
      </w:r>
    </w:p>
    <w:p w:rsidR="00575662" w:rsidRDefault="00575662" w:rsidP="00575662">
      <w:pPr>
        <w:pStyle w:val="SangriaFrancesaArticulo"/>
      </w:pPr>
      <w:r w:rsidRPr="00575662">
        <w:rPr>
          <w:rStyle w:val="TextoNormalNegritaCaracter"/>
        </w:rPr>
        <w:t>Artículo 1576.</w:t>
      </w:r>
      <w:r w:rsidRPr="00575662">
        <w:rPr>
          <w:rStyle w:val="TextoNormalCaracter"/>
        </w:rPr>
        <w:t>-</w:t>
      </w:r>
      <w:r>
        <w:t xml:space="preserve"> Sentencia </w:t>
      </w:r>
      <w:hyperlink w:anchor="SENTENCIA_1997_49" w:history="1">
        <w:r w:rsidRPr="00575662">
          <w:rPr>
            <w:rStyle w:val="TextoNormalCaracter"/>
          </w:rPr>
          <w:t>49/1997</w:t>
        </w:r>
      </w:hyperlink>
      <w:r>
        <w:t>, f. 3.</w:t>
      </w:r>
    </w:p>
    <w:p w:rsidR="00575662" w:rsidRDefault="00575662" w:rsidP="00575662">
      <w:pPr>
        <w:pStyle w:val="SangriaFrancesaArticulo"/>
      </w:pPr>
      <w:r w:rsidRPr="00575662">
        <w:rPr>
          <w:rStyle w:val="TextoNormalNegritaCaracter"/>
        </w:rPr>
        <w:t>Artículo 1578.</w:t>
      </w:r>
      <w:r w:rsidRPr="00575662">
        <w:rPr>
          <w:rStyle w:val="TextoNormalCaracter"/>
        </w:rPr>
        <w:t>-</w:t>
      </w:r>
      <w:r>
        <w:t xml:space="preserve"> Sentencia </w:t>
      </w:r>
      <w:hyperlink w:anchor="SENTENCIA_1997_49" w:history="1">
        <w:r w:rsidRPr="00575662">
          <w:rPr>
            <w:rStyle w:val="TextoNormalCaracter"/>
          </w:rPr>
          <w:t>49/1997</w:t>
        </w:r>
      </w:hyperlink>
      <w:r>
        <w:t>, f. 3.</w:t>
      </w:r>
    </w:p>
    <w:p w:rsidR="00575662" w:rsidRDefault="00575662" w:rsidP="00575662">
      <w:pPr>
        <w:pStyle w:val="SangriaFrancesaArticulo"/>
      </w:pPr>
      <w:r w:rsidRPr="00575662">
        <w:rPr>
          <w:rStyle w:val="TextoNormalNegritaCaracter"/>
        </w:rPr>
        <w:t>Artículo 1687.1.</w:t>
      </w:r>
      <w:r w:rsidRPr="00575662">
        <w:rPr>
          <w:rStyle w:val="TextoNormalCaracter"/>
        </w:rPr>
        <w:t>-</w:t>
      </w:r>
      <w:r>
        <w:t xml:space="preserve"> Auto </w:t>
      </w:r>
      <w:hyperlink w:anchor="AUTO_1997_91" w:history="1">
        <w:r w:rsidRPr="00575662">
          <w:rPr>
            <w:rStyle w:val="TextoNormalCaracter"/>
          </w:rPr>
          <w:t>91/1997</w:t>
        </w:r>
      </w:hyperlink>
      <w:r>
        <w:t>.</w:t>
      </w:r>
    </w:p>
    <w:p w:rsidR="00575662" w:rsidRDefault="00575662" w:rsidP="00575662">
      <w:pPr>
        <w:pStyle w:val="SangriaFrancesaArticulo"/>
      </w:pPr>
      <w:r w:rsidRPr="00575662">
        <w:rPr>
          <w:rStyle w:val="TextoNormalNegritaCaracter"/>
        </w:rPr>
        <w:t>Artículo 1687.1 b).</w:t>
      </w:r>
      <w:r w:rsidRPr="00575662">
        <w:rPr>
          <w:rStyle w:val="TextoNormalCaracter"/>
        </w:rPr>
        <w:t>-</w:t>
      </w:r>
      <w:r>
        <w:t xml:space="preserve"> Auto </w:t>
      </w:r>
      <w:hyperlink w:anchor="AUTO_1997_91" w:history="1">
        <w:r w:rsidRPr="00575662">
          <w:rPr>
            <w:rStyle w:val="TextoNormalCaracter"/>
          </w:rPr>
          <w:t>91/1997</w:t>
        </w:r>
      </w:hyperlink>
      <w:r>
        <w:t>.</w:t>
      </w:r>
    </w:p>
    <w:p w:rsidR="00575662" w:rsidRDefault="00575662" w:rsidP="00575662">
      <w:pPr>
        <w:pStyle w:val="SangriaFrancesaArticulo"/>
      </w:pPr>
      <w:r w:rsidRPr="00575662">
        <w:rPr>
          <w:rStyle w:val="TextoNormalNegritaCaracter"/>
        </w:rPr>
        <w:t>Artículo 1687.1 c).</w:t>
      </w:r>
      <w:r w:rsidRPr="00575662">
        <w:rPr>
          <w:rStyle w:val="TextoNormalCaracter"/>
        </w:rPr>
        <w:t>-</w:t>
      </w:r>
      <w:r>
        <w:t xml:space="preserve"> Auto </w:t>
      </w:r>
      <w:hyperlink w:anchor="AUTO_1997_91" w:history="1">
        <w:r w:rsidRPr="00575662">
          <w:rPr>
            <w:rStyle w:val="TextoNormalCaracter"/>
          </w:rPr>
          <w:t>91/1997</w:t>
        </w:r>
      </w:hyperlink>
      <w:r>
        <w:t>.</w:t>
      </w:r>
    </w:p>
    <w:p w:rsidR="00575662" w:rsidRDefault="00575662" w:rsidP="00575662">
      <w:pPr>
        <w:pStyle w:val="SangriaFrancesaArticulo"/>
      </w:pPr>
      <w:r w:rsidRPr="00575662">
        <w:rPr>
          <w:rStyle w:val="TextoNormalNegritaCaracter"/>
        </w:rPr>
        <w:t>Artículo 1694.</w:t>
      </w:r>
      <w:r w:rsidRPr="00575662">
        <w:rPr>
          <w:rStyle w:val="TextoNormalCaracter"/>
        </w:rPr>
        <w:t>-</w:t>
      </w:r>
      <w:r>
        <w:t xml:space="preserve"> Auto </w:t>
      </w:r>
      <w:hyperlink w:anchor="AUTO_1997_91" w:history="1">
        <w:r w:rsidRPr="00575662">
          <w:rPr>
            <w:rStyle w:val="TextoNormalCaracter"/>
          </w:rPr>
          <w:t>91/1997</w:t>
        </w:r>
      </w:hyperlink>
      <w:r>
        <w:t>.</w:t>
      </w:r>
    </w:p>
    <w:p w:rsidR="00575662" w:rsidRDefault="00575662" w:rsidP="00575662">
      <w:pPr>
        <w:pStyle w:val="SangriaFrancesaArticulo"/>
      </w:pPr>
      <w:r w:rsidRPr="00575662">
        <w:rPr>
          <w:rStyle w:val="TextoNormalNegritaCaracter"/>
        </w:rPr>
        <w:t>Artículo 1697.</w:t>
      </w:r>
      <w:r w:rsidRPr="00575662">
        <w:rPr>
          <w:rStyle w:val="TextoNormalCaracter"/>
        </w:rPr>
        <w:t>-</w:t>
      </w:r>
      <w:r>
        <w:t xml:space="preserve"> Auto </w:t>
      </w:r>
      <w:hyperlink w:anchor="AUTO_1997_91" w:history="1">
        <w:r w:rsidRPr="00575662">
          <w:rPr>
            <w:rStyle w:val="TextoNormalCaracter"/>
          </w:rPr>
          <w:t>91/1997</w:t>
        </w:r>
      </w:hyperlink>
      <w:r>
        <w:t>.</w:t>
      </w:r>
    </w:p>
    <w:p w:rsidR="00575662" w:rsidRDefault="00575662" w:rsidP="00575662">
      <w:pPr>
        <w:pStyle w:val="SangriaFrancesaArticulo"/>
      </w:pPr>
      <w:r w:rsidRPr="00575662">
        <w:rPr>
          <w:rStyle w:val="TextoNormalNegritaCaracter"/>
        </w:rPr>
        <w:t>Artículo 1710.1.2.</w:t>
      </w:r>
      <w:r w:rsidRPr="00575662">
        <w:rPr>
          <w:rStyle w:val="TextoNormalCaracter"/>
        </w:rPr>
        <w:t>-</w:t>
      </w:r>
      <w:r>
        <w:t xml:space="preserve"> Auto </w:t>
      </w:r>
      <w:hyperlink w:anchor="AUTO_1997_91" w:history="1">
        <w:r w:rsidRPr="00575662">
          <w:rPr>
            <w:rStyle w:val="TextoNormalCaracter"/>
          </w:rPr>
          <w:t>91/1997</w:t>
        </w:r>
      </w:hyperlink>
      <w:r>
        <w:t>.</w:t>
      </w:r>
    </w:p>
    <w:p w:rsidR="00575662" w:rsidRDefault="00575662" w:rsidP="00575662">
      <w:pPr>
        <w:pStyle w:val="SangriaFrancesaArticulo"/>
      </w:pPr>
      <w:r w:rsidRPr="00575662">
        <w:rPr>
          <w:rStyle w:val="TextoNormalNegritaCaracter"/>
        </w:rPr>
        <w:t>Artículo 1796.4.</w:t>
      </w:r>
      <w:r w:rsidRPr="00575662">
        <w:rPr>
          <w:rStyle w:val="TextoNormalCaracter"/>
        </w:rPr>
        <w:t>-</w:t>
      </w:r>
      <w:r>
        <w:t xml:space="preserve"> Sentencia </w:t>
      </w:r>
      <w:hyperlink w:anchor="SENTENCIA_1997_7" w:history="1">
        <w:r w:rsidRPr="00575662">
          <w:rPr>
            <w:rStyle w:val="TextoNormalCaracter"/>
          </w:rPr>
          <w:t>7/1997</w:t>
        </w:r>
      </w:hyperlink>
      <w:r>
        <w:t>, f. 2.</w:t>
      </w:r>
    </w:p>
    <w:p w:rsidR="00575662" w:rsidRDefault="00575662" w:rsidP="00575662">
      <w:pPr>
        <w:pStyle w:val="SangriaFrancesaArticulo"/>
      </w:pPr>
      <w:r w:rsidRPr="00575662">
        <w:rPr>
          <w:rStyle w:val="TextoNormalNegritaCaracter"/>
        </w:rPr>
        <w:lastRenderedPageBreak/>
        <w:t>Artículo 1797.</w:t>
      </w:r>
      <w:r w:rsidRPr="00575662">
        <w:rPr>
          <w:rStyle w:val="TextoNormalCaracter"/>
        </w:rPr>
        <w:t>-</w:t>
      </w:r>
      <w:r>
        <w:t xml:space="preserve"> Sentencia </w:t>
      </w:r>
      <w:hyperlink w:anchor="SENTENCIA_1997_7" w:history="1">
        <w:r w:rsidRPr="00575662">
          <w:rPr>
            <w:rStyle w:val="TextoNormalCaracter"/>
          </w:rPr>
          <w:t>7/1997</w:t>
        </w:r>
      </w:hyperlink>
      <w:r>
        <w:t>, f. 2.</w:t>
      </w:r>
    </w:p>
    <w:p w:rsidR="00575662" w:rsidRDefault="00575662" w:rsidP="00575662">
      <w:pPr>
        <w:pStyle w:val="SangriaFrancesaArticulo"/>
      </w:pPr>
    </w:p>
    <w:p w:rsidR="00575662" w:rsidRDefault="00575662" w:rsidP="00575662">
      <w:pPr>
        <w:pStyle w:val="TextoNormalNegritaCursivandice"/>
      </w:pPr>
      <w:r>
        <w:t>Real Decreto de 14 de septiembre de 1882. Ley de enjuiciamiento criminal</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Sentencias </w:t>
      </w:r>
      <w:hyperlink w:anchor="SENTENCIA_1997_22" w:history="1">
        <w:r w:rsidRPr="00575662">
          <w:rPr>
            <w:rStyle w:val="TextoNormalCaracter"/>
          </w:rPr>
          <w:t>22/1997</w:t>
        </w:r>
      </w:hyperlink>
      <w:r>
        <w:t xml:space="preserve">, f. 7; </w:t>
      </w:r>
      <w:hyperlink w:anchor="SENTENCIA_1997_39" w:history="1">
        <w:r w:rsidRPr="00575662">
          <w:rPr>
            <w:rStyle w:val="TextoNormalCaracter"/>
          </w:rPr>
          <w:t>39/1997</w:t>
        </w:r>
      </w:hyperlink>
      <w:r>
        <w:t xml:space="preserve">, f. 3; </w:t>
      </w:r>
      <w:hyperlink w:anchor="SENTENCIA_1997_44" w:history="1">
        <w:r w:rsidRPr="00575662">
          <w:rPr>
            <w:rStyle w:val="TextoNormalCaracter"/>
          </w:rPr>
          <w:t>44/1997</w:t>
        </w:r>
      </w:hyperlink>
      <w:r>
        <w:t xml:space="preserve">, f. 6; </w:t>
      </w:r>
      <w:hyperlink w:anchor="SENTENCIA_1997_56" w:history="1">
        <w:r w:rsidRPr="00575662">
          <w:rPr>
            <w:rStyle w:val="TextoNormalCaracter"/>
          </w:rPr>
          <w:t>56/1997</w:t>
        </w:r>
      </w:hyperlink>
      <w:r>
        <w:t xml:space="preserve">, VP I, VP II, VP III; </w:t>
      </w:r>
      <w:hyperlink w:anchor="SENTENCIA_1997_62" w:history="1">
        <w:r w:rsidRPr="00575662">
          <w:rPr>
            <w:rStyle w:val="TextoNormalCaracter"/>
          </w:rPr>
          <w:t>62/1997</w:t>
        </w:r>
      </w:hyperlink>
      <w:r>
        <w:t xml:space="preserve">, VP; </w:t>
      </w:r>
      <w:hyperlink w:anchor="SENTENCIA_1997_67" w:history="1">
        <w:r w:rsidRPr="00575662">
          <w:rPr>
            <w:rStyle w:val="TextoNormalCaracter"/>
          </w:rPr>
          <w:t>67/1997</w:t>
        </w:r>
      </w:hyperlink>
      <w:r>
        <w:t>, f. 3.</w:t>
      </w:r>
    </w:p>
    <w:p w:rsidR="00575662" w:rsidRDefault="00575662" w:rsidP="00575662">
      <w:pPr>
        <w:pStyle w:val="SangriaFrancesaArticulo"/>
      </w:pPr>
      <w:r w:rsidRPr="00575662">
        <w:rPr>
          <w:rStyle w:val="TextoNormalNegritaCaracter"/>
        </w:rPr>
        <w:t>Exposición de motivos.</w:t>
      </w:r>
      <w:r w:rsidRPr="00575662">
        <w:rPr>
          <w:rStyle w:val="TextoNormalCaracter"/>
        </w:rPr>
        <w:t>-</w:t>
      </w:r>
      <w:r>
        <w:t xml:space="preserve"> Sentencia </w:t>
      </w:r>
      <w:hyperlink w:anchor="SENTENCIA_1997_41" w:history="1">
        <w:r w:rsidRPr="00575662">
          <w:rPr>
            <w:rStyle w:val="TextoNormalCaracter"/>
          </w:rPr>
          <w:t>41/1997</w:t>
        </w:r>
      </w:hyperlink>
      <w:r>
        <w:t>, f. 6.</w:t>
      </w:r>
    </w:p>
    <w:p w:rsidR="00575662" w:rsidRDefault="00575662" w:rsidP="00575662">
      <w:pPr>
        <w:pStyle w:val="SangriaFrancesaArticulo"/>
      </w:pPr>
      <w:r w:rsidRPr="00575662">
        <w:rPr>
          <w:rStyle w:val="TextoNormalNegritaCaracter"/>
        </w:rPr>
        <w:t>Artículo 3.</w:t>
      </w:r>
      <w:r w:rsidRPr="00575662">
        <w:rPr>
          <w:rStyle w:val="TextoNormalCaracter"/>
        </w:rPr>
        <w:t>-</w:t>
      </w:r>
      <w:r>
        <w:t xml:space="preserve"> Sentencia </w:t>
      </w:r>
      <w:hyperlink w:anchor="SENTENCIA_1997_41" w:history="1">
        <w:r w:rsidRPr="00575662">
          <w:rPr>
            <w:rStyle w:val="TextoNormalCaracter"/>
          </w:rPr>
          <w:t>41/1997</w:t>
        </w:r>
      </w:hyperlink>
      <w:r>
        <w:t>, f. 6.</w:t>
      </w:r>
    </w:p>
    <w:p w:rsidR="00575662" w:rsidRDefault="00575662" w:rsidP="00575662">
      <w:pPr>
        <w:pStyle w:val="SangriaFrancesaArticulo"/>
      </w:pPr>
      <w:r w:rsidRPr="00575662">
        <w:rPr>
          <w:rStyle w:val="TextoNormalNegritaCaracter"/>
        </w:rPr>
        <w:t>Artículo 45.</w:t>
      </w:r>
      <w:r w:rsidRPr="00575662">
        <w:rPr>
          <w:rStyle w:val="TextoNormalCaracter"/>
        </w:rPr>
        <w:t>-</w:t>
      </w:r>
      <w:r>
        <w:t xml:space="preserve"> Auto </w:t>
      </w:r>
      <w:hyperlink w:anchor="AUTO_1997_121" w:history="1">
        <w:r w:rsidRPr="00575662">
          <w:rPr>
            <w:rStyle w:val="TextoNormalCaracter"/>
          </w:rPr>
          <w:t>121/1997</w:t>
        </w:r>
      </w:hyperlink>
      <w:r>
        <w:t>.</w:t>
      </w:r>
    </w:p>
    <w:p w:rsidR="00575662" w:rsidRDefault="00575662" w:rsidP="00575662">
      <w:pPr>
        <w:pStyle w:val="SangriaFrancesaArticulo"/>
      </w:pPr>
      <w:r w:rsidRPr="00575662">
        <w:rPr>
          <w:rStyle w:val="TextoNormalNegritaCaracter"/>
        </w:rPr>
        <w:t>Artículo 201.</w:t>
      </w:r>
      <w:r w:rsidRPr="00575662">
        <w:rPr>
          <w:rStyle w:val="TextoNormalCaracter"/>
        </w:rPr>
        <w:t>-</w:t>
      </w:r>
      <w:r>
        <w:t xml:space="preserve"> Auto </w:t>
      </w:r>
      <w:hyperlink w:anchor="AUTO_1997_111" w:history="1">
        <w:r w:rsidRPr="00575662">
          <w:rPr>
            <w:rStyle w:val="TextoNormalCaracter"/>
          </w:rPr>
          <w:t>111/1997</w:t>
        </w:r>
      </w:hyperlink>
      <w:r>
        <w:t>.</w:t>
      </w:r>
    </w:p>
    <w:p w:rsidR="00575662" w:rsidRDefault="00575662" w:rsidP="00575662">
      <w:pPr>
        <w:pStyle w:val="SangriaFrancesaArticulo"/>
      </w:pPr>
      <w:r w:rsidRPr="00575662">
        <w:rPr>
          <w:rStyle w:val="TextoNormalNegritaCaracter"/>
        </w:rPr>
        <w:t>Artículo 221.</w:t>
      </w:r>
      <w:r w:rsidRPr="00575662">
        <w:rPr>
          <w:rStyle w:val="TextoNormalCaracter"/>
        </w:rPr>
        <w:t>-</w:t>
      </w:r>
      <w:r>
        <w:t xml:space="preserve"> Sentencia </w:t>
      </w:r>
      <w:hyperlink w:anchor="SENTENCIA_1997_39" w:history="1">
        <w:r w:rsidRPr="00575662">
          <w:rPr>
            <w:rStyle w:val="TextoNormalCaracter"/>
          </w:rPr>
          <w:t>39/1997</w:t>
        </w:r>
      </w:hyperlink>
      <w:r>
        <w:t>, f. 3.</w:t>
      </w:r>
    </w:p>
    <w:p w:rsidR="00575662" w:rsidRDefault="00575662" w:rsidP="00575662">
      <w:pPr>
        <w:pStyle w:val="SangriaFrancesaArticulo"/>
      </w:pPr>
      <w:r w:rsidRPr="00575662">
        <w:rPr>
          <w:rStyle w:val="TextoNormalNegritaCaracter"/>
        </w:rPr>
        <w:t>Artículo 299.</w:t>
      </w:r>
      <w:r w:rsidRPr="00575662">
        <w:rPr>
          <w:rStyle w:val="TextoNormalCaracter"/>
        </w:rPr>
        <w:t>-</w:t>
      </w:r>
      <w:r>
        <w:t xml:space="preserve"> Sentencia </w:t>
      </w:r>
      <w:hyperlink w:anchor="SENTENCIA_1997_40" w:history="1">
        <w:r w:rsidRPr="00575662">
          <w:rPr>
            <w:rStyle w:val="TextoNormalCaracter"/>
          </w:rPr>
          <w:t>40/1997</w:t>
        </w:r>
      </w:hyperlink>
      <w:r>
        <w:t>, f. 2.</w:t>
      </w:r>
    </w:p>
    <w:p w:rsidR="00575662" w:rsidRDefault="00575662" w:rsidP="00575662">
      <w:pPr>
        <w:pStyle w:val="SangriaFrancesaArticulo"/>
      </w:pPr>
      <w:r w:rsidRPr="00575662">
        <w:rPr>
          <w:rStyle w:val="TextoNormalNegritaCaracter"/>
        </w:rPr>
        <w:t>Artículo 303.5.</w:t>
      </w:r>
      <w:r w:rsidRPr="00575662">
        <w:rPr>
          <w:rStyle w:val="TextoNormalCaracter"/>
        </w:rPr>
        <w:t>-</w:t>
      </w:r>
      <w:r>
        <w:t xml:space="preserve"> Sentencia </w:t>
      </w:r>
      <w:hyperlink w:anchor="SENTENCIA_1997_22" w:history="1">
        <w:r w:rsidRPr="00575662">
          <w:rPr>
            <w:rStyle w:val="TextoNormalCaracter"/>
          </w:rPr>
          <w:t>22/1997</w:t>
        </w:r>
      </w:hyperlink>
      <w:r>
        <w:t>, f. 4.</w:t>
      </w:r>
    </w:p>
    <w:p w:rsidR="00575662" w:rsidRDefault="00575662" w:rsidP="00575662">
      <w:pPr>
        <w:pStyle w:val="SangriaFrancesaArticulo"/>
      </w:pPr>
      <w:r w:rsidRPr="00575662">
        <w:rPr>
          <w:rStyle w:val="TextoNormalNegritaCaracter"/>
        </w:rPr>
        <w:t>Artículo 309.</w:t>
      </w:r>
      <w:r w:rsidRPr="00575662">
        <w:rPr>
          <w:rStyle w:val="TextoNormalCaracter"/>
        </w:rPr>
        <w:t>-</w:t>
      </w:r>
      <w:r>
        <w:t xml:space="preserve"> Sentencia </w:t>
      </w:r>
      <w:hyperlink w:anchor="SENTENCIA_1997_22" w:history="1">
        <w:r w:rsidRPr="00575662">
          <w:rPr>
            <w:rStyle w:val="TextoNormalCaracter"/>
          </w:rPr>
          <w:t>22/1997</w:t>
        </w:r>
      </w:hyperlink>
      <w:r>
        <w:t>, f. 4.</w:t>
      </w:r>
    </w:p>
    <w:p w:rsidR="00575662" w:rsidRDefault="00575662" w:rsidP="00575662">
      <w:pPr>
        <w:pStyle w:val="SangriaFrancesaArticulo"/>
      </w:pPr>
      <w:r w:rsidRPr="00575662">
        <w:rPr>
          <w:rStyle w:val="TextoNormalNegritaCaracter"/>
        </w:rPr>
        <w:t>Artículo 492.</w:t>
      </w:r>
      <w:r w:rsidRPr="00575662">
        <w:rPr>
          <w:rStyle w:val="TextoNormalCaracter"/>
        </w:rPr>
        <w:t>-</w:t>
      </w:r>
      <w:r>
        <w:t xml:space="preserve"> Sentencia </w:t>
      </w:r>
      <w:hyperlink w:anchor="SENTENCIA_1997_68" w:history="1">
        <w:r w:rsidRPr="00575662">
          <w:rPr>
            <w:rStyle w:val="TextoNormalCaracter"/>
          </w:rPr>
          <w:t>68/1997</w:t>
        </w:r>
      </w:hyperlink>
      <w:r>
        <w:t>, f. 1.</w:t>
      </w:r>
    </w:p>
    <w:p w:rsidR="00575662" w:rsidRDefault="00575662" w:rsidP="00575662">
      <w:pPr>
        <w:pStyle w:val="SangriaFrancesaArticulo"/>
      </w:pPr>
      <w:r w:rsidRPr="00575662">
        <w:rPr>
          <w:rStyle w:val="TextoNormalNegritaCaracter"/>
        </w:rPr>
        <w:t>Artículo 503.</w:t>
      </w:r>
      <w:r w:rsidRPr="00575662">
        <w:rPr>
          <w:rStyle w:val="TextoNormalCaracter"/>
        </w:rPr>
        <w:t>-</w:t>
      </w:r>
      <w:r>
        <w:t xml:space="preserve"> Sentencia </w:t>
      </w:r>
      <w:hyperlink w:anchor="SENTENCIA_1997_67" w:history="1">
        <w:r w:rsidRPr="00575662">
          <w:rPr>
            <w:rStyle w:val="TextoNormalCaracter"/>
          </w:rPr>
          <w:t>67/1997</w:t>
        </w:r>
      </w:hyperlink>
      <w:r>
        <w:t>, f. 3.</w:t>
      </w:r>
    </w:p>
    <w:p w:rsidR="00575662" w:rsidRDefault="00575662" w:rsidP="00575662">
      <w:pPr>
        <w:pStyle w:val="SangriaFrancesaArticulo"/>
      </w:pPr>
      <w:r w:rsidRPr="00575662">
        <w:rPr>
          <w:rStyle w:val="TextoNormalNegritaCaracter"/>
        </w:rPr>
        <w:t>Artículo 503.3.</w:t>
      </w:r>
      <w:r w:rsidRPr="00575662">
        <w:rPr>
          <w:rStyle w:val="TextoNormalCaracter"/>
        </w:rPr>
        <w:t>-</w:t>
      </w:r>
      <w:r>
        <w:t xml:space="preserve"> Sentencia </w:t>
      </w:r>
      <w:hyperlink w:anchor="SENTENCIA_1997_66" w:history="1">
        <w:r w:rsidRPr="00575662">
          <w:rPr>
            <w:rStyle w:val="TextoNormalCaracter"/>
          </w:rPr>
          <w:t>66/1997</w:t>
        </w:r>
      </w:hyperlink>
      <w:r>
        <w:t>, f. 5.</w:t>
      </w:r>
    </w:p>
    <w:p w:rsidR="00575662" w:rsidRDefault="00575662" w:rsidP="00575662">
      <w:pPr>
        <w:pStyle w:val="SangriaFrancesaArticulo"/>
      </w:pPr>
      <w:r w:rsidRPr="00575662">
        <w:rPr>
          <w:rStyle w:val="TextoNormalNegritaCaracter"/>
        </w:rPr>
        <w:t>Artículo 504.</w:t>
      </w:r>
      <w:r w:rsidRPr="00575662">
        <w:rPr>
          <w:rStyle w:val="TextoNormalCaracter"/>
        </w:rPr>
        <w:t>-</w:t>
      </w:r>
      <w:r>
        <w:t xml:space="preserve"> Sentencias </w:t>
      </w:r>
      <w:hyperlink w:anchor="SENTENCIA_1997_56" w:history="1">
        <w:r w:rsidRPr="00575662">
          <w:rPr>
            <w:rStyle w:val="TextoNormalCaracter"/>
          </w:rPr>
          <w:t>56/1997</w:t>
        </w:r>
      </w:hyperlink>
      <w:r>
        <w:t xml:space="preserve">, f. 12, VP III; </w:t>
      </w:r>
      <w:hyperlink w:anchor="SENTENCIA_1997_66" w:history="1">
        <w:r w:rsidRPr="00575662">
          <w:rPr>
            <w:rStyle w:val="TextoNormalCaracter"/>
          </w:rPr>
          <w:t>66/1997</w:t>
        </w:r>
      </w:hyperlink>
      <w:r>
        <w:t xml:space="preserve">, f. 3; </w:t>
      </w:r>
      <w:hyperlink w:anchor="SENTENCIA_1997_67" w:history="1">
        <w:r w:rsidRPr="00575662">
          <w:rPr>
            <w:rStyle w:val="TextoNormalCaracter"/>
          </w:rPr>
          <w:t>67/1997</w:t>
        </w:r>
      </w:hyperlink>
      <w:r>
        <w:t>, f. 3.</w:t>
      </w:r>
    </w:p>
    <w:p w:rsidR="00575662" w:rsidRDefault="00575662" w:rsidP="00575662">
      <w:pPr>
        <w:pStyle w:val="SangriaFrancesaArticulo"/>
      </w:pPr>
      <w:r w:rsidRPr="00575662">
        <w:rPr>
          <w:rStyle w:val="TextoNormalNegritaCaracter"/>
        </w:rPr>
        <w:t>Artículo 504.3.</w:t>
      </w:r>
      <w:r w:rsidRPr="00575662">
        <w:rPr>
          <w:rStyle w:val="TextoNormalCaracter"/>
        </w:rPr>
        <w:t>-</w:t>
      </w:r>
      <w:r>
        <w:t xml:space="preserve"> Sentencia </w:t>
      </w:r>
      <w:hyperlink w:anchor="SENTENCIA_1997_56" w:history="1">
        <w:r w:rsidRPr="00575662">
          <w:rPr>
            <w:rStyle w:val="TextoNormalCaracter"/>
          </w:rPr>
          <w:t>56/1997</w:t>
        </w:r>
      </w:hyperlink>
      <w:r>
        <w:t>, VP III.</w:t>
      </w:r>
    </w:p>
    <w:p w:rsidR="00575662" w:rsidRDefault="00575662" w:rsidP="00575662">
      <w:pPr>
        <w:pStyle w:val="SangriaFrancesaArticulo"/>
      </w:pPr>
      <w:r w:rsidRPr="00575662">
        <w:rPr>
          <w:rStyle w:val="TextoNormalNegritaCaracter"/>
        </w:rPr>
        <w:t>Artículo 505.2.</w:t>
      </w:r>
      <w:r w:rsidRPr="00575662">
        <w:rPr>
          <w:rStyle w:val="TextoNormalCaracter"/>
        </w:rPr>
        <w:t>-</w:t>
      </w:r>
      <w:r>
        <w:t xml:space="preserve"> Sentencia </w:t>
      </w:r>
      <w:hyperlink w:anchor="SENTENCIA_1997_56" w:history="1">
        <w:r w:rsidRPr="00575662">
          <w:rPr>
            <w:rStyle w:val="TextoNormalCaracter"/>
          </w:rPr>
          <w:t>56/1997</w:t>
        </w:r>
      </w:hyperlink>
      <w:r>
        <w:t>, VP II, VP III.</w:t>
      </w:r>
    </w:p>
    <w:p w:rsidR="00575662" w:rsidRDefault="00575662" w:rsidP="00575662">
      <w:pPr>
        <w:pStyle w:val="SangriaFrancesaArticulo"/>
      </w:pPr>
      <w:r w:rsidRPr="00575662">
        <w:rPr>
          <w:rStyle w:val="TextoNormalNegritaCaracter"/>
        </w:rPr>
        <w:t>Artículo 520.</w:t>
      </w:r>
      <w:r w:rsidRPr="00575662">
        <w:rPr>
          <w:rStyle w:val="TextoNormalCaracter"/>
        </w:rPr>
        <w:t>-</w:t>
      </w:r>
      <w:r>
        <w:t xml:space="preserve"> Sentencia </w:t>
      </w:r>
      <w:hyperlink w:anchor="SENTENCIA_1997_21" w:history="1">
        <w:r w:rsidRPr="00575662">
          <w:rPr>
            <w:rStyle w:val="TextoNormalCaracter"/>
          </w:rPr>
          <w:t>21/1997</w:t>
        </w:r>
      </w:hyperlink>
      <w:r>
        <w:t>, f. 5.</w:t>
      </w:r>
    </w:p>
    <w:p w:rsidR="00575662" w:rsidRDefault="00575662" w:rsidP="00575662">
      <w:pPr>
        <w:pStyle w:val="SangriaFrancesaArticulo"/>
      </w:pPr>
      <w:r w:rsidRPr="00575662">
        <w:rPr>
          <w:rStyle w:val="TextoNormalNegritaCaracter"/>
        </w:rPr>
        <w:t>Artículo 520.1.</w:t>
      </w:r>
      <w:r w:rsidRPr="00575662">
        <w:rPr>
          <w:rStyle w:val="TextoNormalCaracter"/>
        </w:rPr>
        <w:t>-</w:t>
      </w:r>
      <w:r>
        <w:t xml:space="preserve"> Sentencia </w:t>
      </w:r>
      <w:hyperlink w:anchor="SENTENCIA_1997_21" w:history="1">
        <w:r w:rsidRPr="00575662">
          <w:rPr>
            <w:rStyle w:val="TextoNormalCaracter"/>
          </w:rPr>
          <w:t>21/1997</w:t>
        </w:r>
      </w:hyperlink>
      <w:r>
        <w:t>, f. 5.</w:t>
      </w:r>
    </w:p>
    <w:p w:rsidR="00575662" w:rsidRDefault="00575662" w:rsidP="00575662">
      <w:pPr>
        <w:pStyle w:val="SangriaFrancesaArticulo"/>
      </w:pPr>
      <w:r w:rsidRPr="00575662">
        <w:rPr>
          <w:rStyle w:val="TextoNormalNegritaCaracter"/>
        </w:rPr>
        <w:t>Artículo 520.1.2.</w:t>
      </w:r>
      <w:r w:rsidRPr="00575662">
        <w:rPr>
          <w:rStyle w:val="TextoNormalCaracter"/>
        </w:rPr>
        <w:t>-</w:t>
      </w:r>
      <w:r>
        <w:t xml:space="preserve"> Sentencia </w:t>
      </w:r>
      <w:hyperlink w:anchor="SENTENCIA_1997_21" w:history="1">
        <w:r w:rsidRPr="00575662">
          <w:rPr>
            <w:rStyle w:val="TextoNormalCaracter"/>
          </w:rPr>
          <w:t>21/1997</w:t>
        </w:r>
      </w:hyperlink>
      <w:r>
        <w:t>, f. 5.</w:t>
      </w:r>
    </w:p>
    <w:p w:rsidR="00575662" w:rsidRDefault="00575662" w:rsidP="00575662">
      <w:pPr>
        <w:pStyle w:val="SangriaFrancesaArticulo"/>
      </w:pPr>
      <w:r w:rsidRPr="00575662">
        <w:rPr>
          <w:rStyle w:val="TextoNormalNegritaCaracter"/>
        </w:rPr>
        <w:t>Artículo 520.2.</w:t>
      </w:r>
      <w:r w:rsidRPr="00575662">
        <w:rPr>
          <w:rStyle w:val="TextoNormalCaracter"/>
        </w:rPr>
        <w:t>-</w:t>
      </w:r>
      <w:r>
        <w:t xml:space="preserve"> Sentencia </w:t>
      </w:r>
      <w:hyperlink w:anchor="SENTENCIA_1997_21" w:history="1">
        <w:r w:rsidRPr="00575662">
          <w:rPr>
            <w:rStyle w:val="TextoNormalCaracter"/>
          </w:rPr>
          <w:t>21/1997</w:t>
        </w:r>
      </w:hyperlink>
      <w:r>
        <w:t>, f. 5.</w:t>
      </w:r>
    </w:p>
    <w:p w:rsidR="00575662" w:rsidRDefault="00575662" w:rsidP="00575662">
      <w:pPr>
        <w:pStyle w:val="SangriaFrancesaArticulo"/>
      </w:pPr>
      <w:r w:rsidRPr="00575662">
        <w:rPr>
          <w:rStyle w:val="TextoNormalNegritaCaracter"/>
        </w:rPr>
        <w:t>Artículos 528 a 545.</w:t>
      </w:r>
      <w:r w:rsidRPr="00575662">
        <w:rPr>
          <w:rStyle w:val="TextoNormalCaracter"/>
        </w:rPr>
        <w:t>-</w:t>
      </w:r>
      <w:r>
        <w:t xml:space="preserve"> Sentencia </w:t>
      </w:r>
      <w:hyperlink w:anchor="SENTENCIA_1997_56" w:history="1">
        <w:r w:rsidRPr="00575662">
          <w:rPr>
            <w:rStyle w:val="TextoNormalCaracter"/>
          </w:rPr>
          <w:t>56/1997</w:t>
        </w:r>
      </w:hyperlink>
      <w:r>
        <w:t>, VP III.</w:t>
      </w:r>
    </w:p>
    <w:p w:rsidR="00575662" w:rsidRDefault="00575662" w:rsidP="00575662">
      <w:pPr>
        <w:pStyle w:val="SangriaFrancesaArticulo"/>
      </w:pPr>
      <w:r w:rsidRPr="00575662">
        <w:rPr>
          <w:rStyle w:val="TextoNormalNegritaCaracter"/>
        </w:rPr>
        <w:t>Artículo 539.</w:t>
      </w:r>
      <w:r w:rsidRPr="00575662">
        <w:rPr>
          <w:rStyle w:val="TextoNormalCaracter"/>
        </w:rPr>
        <w:t>-</w:t>
      </w:r>
      <w:r>
        <w:t xml:space="preserve"> Sentencia </w:t>
      </w:r>
      <w:hyperlink w:anchor="SENTENCIA_1997_27" w:history="1">
        <w:r w:rsidRPr="00575662">
          <w:rPr>
            <w:rStyle w:val="TextoNormalCaracter"/>
          </w:rPr>
          <w:t>27/1997</w:t>
        </w:r>
      </w:hyperlink>
      <w:r>
        <w:t>, VP.</w:t>
      </w:r>
    </w:p>
    <w:p w:rsidR="00575662" w:rsidRDefault="00575662" w:rsidP="00575662">
      <w:pPr>
        <w:pStyle w:val="SangriaFrancesaArticulo"/>
      </w:pPr>
      <w:r w:rsidRPr="00575662">
        <w:rPr>
          <w:rStyle w:val="TextoNormalNegritaCaracter"/>
        </w:rPr>
        <w:t>Artículo 561.</w:t>
      </w:r>
      <w:r w:rsidRPr="00575662">
        <w:rPr>
          <w:rStyle w:val="TextoNormalCaracter"/>
        </w:rPr>
        <w:t>-</w:t>
      </w:r>
      <w:r>
        <w:t xml:space="preserve"> Sentencia </w:t>
      </w:r>
      <w:hyperlink w:anchor="SENTENCIA_1997_21" w:history="1">
        <w:r w:rsidRPr="00575662">
          <w:rPr>
            <w:rStyle w:val="TextoNormalCaracter"/>
          </w:rPr>
          <w:t>21/1997</w:t>
        </w:r>
      </w:hyperlink>
      <w:r>
        <w:t>, f. 3.</w:t>
      </w:r>
    </w:p>
    <w:p w:rsidR="00575662" w:rsidRDefault="00575662" w:rsidP="00575662">
      <w:pPr>
        <w:pStyle w:val="SangriaFrancesaArticulo"/>
      </w:pPr>
      <w:r w:rsidRPr="00575662">
        <w:rPr>
          <w:rStyle w:val="TextoNormalNegritaCaracter"/>
        </w:rPr>
        <w:t>Artículo 579.</w:t>
      </w:r>
      <w:r w:rsidRPr="00575662">
        <w:rPr>
          <w:rStyle w:val="TextoNormalCaracter"/>
        </w:rPr>
        <w:t>-</w:t>
      </w:r>
      <w:r>
        <w:t xml:space="preserve"> Sentencia </w:t>
      </w:r>
      <w:hyperlink w:anchor="SENTENCIA_1997_56" w:history="1">
        <w:r w:rsidRPr="00575662">
          <w:rPr>
            <w:rStyle w:val="TextoNormalCaracter"/>
          </w:rPr>
          <w:t>56/1997</w:t>
        </w:r>
      </w:hyperlink>
      <w:r>
        <w:t>, VP III.</w:t>
      </w:r>
    </w:p>
    <w:p w:rsidR="00575662" w:rsidRDefault="00575662" w:rsidP="00575662">
      <w:pPr>
        <w:pStyle w:val="SangriaFrancesaArticulo"/>
      </w:pPr>
      <w:r w:rsidRPr="00575662">
        <w:rPr>
          <w:rStyle w:val="TextoNormalNegritaCaracter"/>
        </w:rPr>
        <w:t>Artículos 598 a 614.</w:t>
      </w:r>
      <w:r w:rsidRPr="00575662">
        <w:rPr>
          <w:rStyle w:val="TextoNormalCaracter"/>
        </w:rPr>
        <w:t>-</w:t>
      </w:r>
      <w:r>
        <w:t xml:space="preserve"> Sentencia </w:t>
      </w:r>
      <w:hyperlink w:anchor="SENTENCIA_1997_56" w:history="1">
        <w:r w:rsidRPr="00575662">
          <w:rPr>
            <w:rStyle w:val="TextoNormalCaracter"/>
          </w:rPr>
          <w:t>56/1997</w:t>
        </w:r>
      </w:hyperlink>
      <w:r>
        <w:t>, VP III.</w:t>
      </w:r>
    </w:p>
    <w:p w:rsidR="00575662" w:rsidRDefault="00575662" w:rsidP="00575662">
      <w:pPr>
        <w:pStyle w:val="SangriaFrancesaArticulo"/>
      </w:pPr>
      <w:r w:rsidRPr="00575662">
        <w:rPr>
          <w:rStyle w:val="TextoNormalNegritaCaracter"/>
        </w:rPr>
        <w:t>Artículo 637.</w:t>
      </w:r>
      <w:r w:rsidRPr="00575662">
        <w:rPr>
          <w:rStyle w:val="TextoNormalCaracter"/>
        </w:rPr>
        <w:t>-</w:t>
      </w:r>
      <w:r>
        <w:t xml:space="preserve"> Sentencia </w:t>
      </w:r>
      <w:hyperlink w:anchor="SENTENCIA_1997_85" w:history="1">
        <w:r w:rsidRPr="00575662">
          <w:rPr>
            <w:rStyle w:val="TextoNormalCaracter"/>
          </w:rPr>
          <w:t>85/1997</w:t>
        </w:r>
      </w:hyperlink>
      <w:r>
        <w:t>, f. 2.</w:t>
      </w:r>
    </w:p>
    <w:p w:rsidR="00575662" w:rsidRDefault="00575662" w:rsidP="00575662">
      <w:pPr>
        <w:pStyle w:val="SangriaFrancesaArticulo"/>
      </w:pPr>
      <w:r w:rsidRPr="00575662">
        <w:rPr>
          <w:rStyle w:val="TextoNormalNegritaCaracter"/>
        </w:rPr>
        <w:t>Artículo 637.1.</w:t>
      </w:r>
      <w:r w:rsidRPr="00575662">
        <w:rPr>
          <w:rStyle w:val="TextoNormalCaracter"/>
        </w:rPr>
        <w:t>-</w:t>
      </w:r>
      <w:r>
        <w:t xml:space="preserve"> Sentencia </w:t>
      </w:r>
      <w:hyperlink w:anchor="SENTENCIA_1997_85" w:history="1">
        <w:r w:rsidRPr="00575662">
          <w:rPr>
            <w:rStyle w:val="TextoNormalCaracter"/>
          </w:rPr>
          <w:t>85/1997</w:t>
        </w:r>
      </w:hyperlink>
      <w:r>
        <w:t>, f. 2.</w:t>
      </w:r>
    </w:p>
    <w:p w:rsidR="00575662" w:rsidRDefault="00575662" w:rsidP="00575662">
      <w:pPr>
        <w:pStyle w:val="SangriaFrancesaArticulo"/>
      </w:pPr>
      <w:r w:rsidRPr="00575662">
        <w:rPr>
          <w:rStyle w:val="TextoNormalNegritaCaracter"/>
        </w:rPr>
        <w:t>Artículo 637.2.</w:t>
      </w:r>
      <w:r w:rsidRPr="00575662">
        <w:rPr>
          <w:rStyle w:val="TextoNormalCaracter"/>
        </w:rPr>
        <w:t>-</w:t>
      </w:r>
      <w:r>
        <w:t xml:space="preserve"> Sentencia </w:t>
      </w:r>
      <w:hyperlink w:anchor="SENTENCIA_1997_85" w:history="1">
        <w:r w:rsidRPr="00575662">
          <w:rPr>
            <w:rStyle w:val="TextoNormalCaracter"/>
          </w:rPr>
          <w:t>85/1997</w:t>
        </w:r>
      </w:hyperlink>
      <w:r>
        <w:t>, f. 2.</w:t>
      </w:r>
    </w:p>
    <w:p w:rsidR="00575662" w:rsidRDefault="00575662" w:rsidP="00575662">
      <w:pPr>
        <w:pStyle w:val="SangriaFrancesaArticulo"/>
      </w:pPr>
      <w:r w:rsidRPr="00575662">
        <w:rPr>
          <w:rStyle w:val="TextoNormalNegritaCaracter"/>
        </w:rPr>
        <w:t>Artículo 637.3.</w:t>
      </w:r>
      <w:r w:rsidRPr="00575662">
        <w:rPr>
          <w:rStyle w:val="TextoNormalCaracter"/>
        </w:rPr>
        <w:t>-</w:t>
      </w:r>
      <w:r>
        <w:t xml:space="preserve"> Sentencia </w:t>
      </w:r>
      <w:hyperlink w:anchor="SENTENCIA_1997_85" w:history="1">
        <w:r w:rsidRPr="00575662">
          <w:rPr>
            <w:rStyle w:val="TextoNormalCaracter"/>
          </w:rPr>
          <w:t>85/1997</w:t>
        </w:r>
      </w:hyperlink>
      <w:r>
        <w:t>, f. 2.</w:t>
      </w:r>
    </w:p>
    <w:p w:rsidR="00575662" w:rsidRDefault="00575662" w:rsidP="00575662">
      <w:pPr>
        <w:pStyle w:val="SangriaFrancesaArticulo"/>
      </w:pPr>
      <w:r w:rsidRPr="00575662">
        <w:rPr>
          <w:rStyle w:val="TextoNormalNegritaCaracter"/>
        </w:rPr>
        <w:t>Artículo 641.</w:t>
      </w:r>
      <w:r w:rsidRPr="00575662">
        <w:rPr>
          <w:rStyle w:val="TextoNormalCaracter"/>
        </w:rPr>
        <w:t>-</w:t>
      </w:r>
      <w:r>
        <w:t xml:space="preserve"> Sentencia </w:t>
      </w:r>
      <w:hyperlink w:anchor="SENTENCIA_1997_85" w:history="1">
        <w:r w:rsidRPr="00575662">
          <w:rPr>
            <w:rStyle w:val="TextoNormalCaracter"/>
          </w:rPr>
          <w:t>85/1997</w:t>
        </w:r>
      </w:hyperlink>
      <w:r>
        <w:t>, f. 2.</w:t>
      </w:r>
    </w:p>
    <w:p w:rsidR="00575662" w:rsidRDefault="00575662" w:rsidP="00575662">
      <w:pPr>
        <w:pStyle w:val="SangriaFrancesaArticulo"/>
      </w:pPr>
      <w:r w:rsidRPr="00575662">
        <w:rPr>
          <w:rStyle w:val="TextoNormalNegritaCaracter"/>
        </w:rPr>
        <w:t>Artículo 641.1.</w:t>
      </w:r>
      <w:r w:rsidRPr="00575662">
        <w:rPr>
          <w:rStyle w:val="TextoNormalCaracter"/>
        </w:rPr>
        <w:t>-</w:t>
      </w:r>
      <w:r>
        <w:t xml:space="preserve"> Sentencia </w:t>
      </w:r>
      <w:hyperlink w:anchor="SENTENCIA_1997_85" w:history="1">
        <w:r w:rsidRPr="00575662">
          <w:rPr>
            <w:rStyle w:val="TextoNormalCaracter"/>
          </w:rPr>
          <w:t>85/1997</w:t>
        </w:r>
      </w:hyperlink>
      <w:r>
        <w:t>, f. 2.</w:t>
      </w:r>
    </w:p>
    <w:p w:rsidR="00575662" w:rsidRDefault="00575662" w:rsidP="00575662">
      <w:pPr>
        <w:pStyle w:val="SangriaFrancesaArticulo"/>
      </w:pPr>
      <w:r w:rsidRPr="00575662">
        <w:rPr>
          <w:rStyle w:val="TextoNormalNegritaCaracter"/>
        </w:rPr>
        <w:t>Artículo 641.2.</w:t>
      </w:r>
      <w:r w:rsidRPr="00575662">
        <w:rPr>
          <w:rStyle w:val="TextoNormalCaracter"/>
        </w:rPr>
        <w:t>-</w:t>
      </w:r>
      <w:r>
        <w:t xml:space="preserve"> Sentencia </w:t>
      </w:r>
      <w:hyperlink w:anchor="SENTENCIA_1997_85" w:history="1">
        <w:r w:rsidRPr="00575662">
          <w:rPr>
            <w:rStyle w:val="TextoNormalCaracter"/>
          </w:rPr>
          <w:t>85/1997</w:t>
        </w:r>
      </w:hyperlink>
      <w:r>
        <w:t>, f. 2.</w:t>
      </w:r>
    </w:p>
    <w:p w:rsidR="00575662" w:rsidRDefault="00575662" w:rsidP="00575662">
      <w:pPr>
        <w:pStyle w:val="SangriaFrancesaArticulo"/>
      </w:pPr>
      <w:r w:rsidRPr="00575662">
        <w:rPr>
          <w:rStyle w:val="TextoNormalNegritaCaracter"/>
        </w:rPr>
        <w:t>Artículo 666.</w:t>
      </w:r>
      <w:r w:rsidRPr="00575662">
        <w:rPr>
          <w:rStyle w:val="TextoNormalCaracter"/>
        </w:rPr>
        <w:t>-</w:t>
      </w:r>
      <w:r>
        <w:t xml:space="preserve"> Auto </w:t>
      </w:r>
      <w:hyperlink w:anchor="AUTO_1997_121" w:history="1">
        <w:r w:rsidRPr="00575662">
          <w:rPr>
            <w:rStyle w:val="TextoNormalCaracter"/>
          </w:rPr>
          <w:t>121/1997</w:t>
        </w:r>
      </w:hyperlink>
      <w:r>
        <w:t>.</w:t>
      </w:r>
    </w:p>
    <w:p w:rsidR="00575662" w:rsidRDefault="00575662" w:rsidP="00575662">
      <w:pPr>
        <w:pStyle w:val="SangriaFrancesaArticulo"/>
      </w:pPr>
      <w:r w:rsidRPr="00575662">
        <w:rPr>
          <w:rStyle w:val="TextoNormalNegritaCaracter"/>
        </w:rPr>
        <w:t>Artículo 676.</w:t>
      </w:r>
      <w:r w:rsidRPr="00575662">
        <w:rPr>
          <w:rStyle w:val="TextoNormalCaracter"/>
        </w:rPr>
        <w:t>-</w:t>
      </w:r>
      <w:r>
        <w:t xml:space="preserve"> Auto </w:t>
      </w:r>
      <w:hyperlink w:anchor="AUTO_1997_121" w:history="1">
        <w:r w:rsidRPr="00575662">
          <w:rPr>
            <w:rStyle w:val="TextoNormalCaracter"/>
          </w:rPr>
          <w:t>121/1997</w:t>
        </w:r>
      </w:hyperlink>
      <w:r>
        <w:t>.</w:t>
      </w:r>
    </w:p>
    <w:p w:rsidR="00575662" w:rsidRDefault="00575662" w:rsidP="00575662">
      <w:pPr>
        <w:pStyle w:val="SangriaFrancesaArticulo"/>
      </w:pPr>
      <w:r w:rsidRPr="00575662">
        <w:rPr>
          <w:rStyle w:val="TextoNormalNegritaCaracter"/>
        </w:rPr>
        <w:t>Artículo 726.</w:t>
      </w:r>
      <w:r w:rsidRPr="00575662">
        <w:rPr>
          <w:rStyle w:val="TextoNormalCaracter"/>
        </w:rPr>
        <w:t>-</w:t>
      </w:r>
      <w:r>
        <w:t xml:space="preserve"> Auto </w:t>
      </w:r>
      <w:hyperlink w:anchor="AUTO_1997_19" w:history="1">
        <w:r w:rsidRPr="00575662">
          <w:rPr>
            <w:rStyle w:val="TextoNormalCaracter"/>
          </w:rPr>
          <w:t>19/1997</w:t>
        </w:r>
      </w:hyperlink>
      <w:r>
        <w:t>.</w:t>
      </w:r>
    </w:p>
    <w:p w:rsidR="00575662" w:rsidRDefault="00575662" w:rsidP="00575662">
      <w:pPr>
        <w:pStyle w:val="SangriaFrancesaArticulo"/>
      </w:pPr>
      <w:r w:rsidRPr="00575662">
        <w:rPr>
          <w:rStyle w:val="TextoNormalNegritaCaracter"/>
        </w:rPr>
        <w:t>Artículo 730.</w:t>
      </w:r>
      <w:r w:rsidRPr="00575662">
        <w:rPr>
          <w:rStyle w:val="TextoNormalCaracter"/>
        </w:rPr>
        <w:t>-</w:t>
      </w:r>
      <w:r>
        <w:t xml:space="preserve"> Auto </w:t>
      </w:r>
      <w:hyperlink w:anchor="AUTO_1997_19" w:history="1">
        <w:r w:rsidRPr="00575662">
          <w:rPr>
            <w:rStyle w:val="TextoNormalCaracter"/>
          </w:rPr>
          <w:t>19/1997</w:t>
        </w:r>
      </w:hyperlink>
      <w:r>
        <w:t>.</w:t>
      </w:r>
    </w:p>
    <w:p w:rsidR="00575662" w:rsidRDefault="00575662" w:rsidP="00575662">
      <w:pPr>
        <w:pStyle w:val="SangriaFrancesaArticulo"/>
      </w:pPr>
      <w:r w:rsidRPr="00575662">
        <w:rPr>
          <w:rStyle w:val="TextoNormalNegritaCaracter"/>
        </w:rPr>
        <w:t>Artículo 733.</w:t>
      </w:r>
      <w:r w:rsidRPr="00575662">
        <w:rPr>
          <w:rStyle w:val="TextoNormalCaracter"/>
        </w:rPr>
        <w:t>-</w:t>
      </w:r>
      <w:r>
        <w:t xml:space="preserve"> Sentencia </w:t>
      </w:r>
      <w:hyperlink w:anchor="SENTENCIA_1997_43" w:history="1">
        <w:r w:rsidRPr="00575662">
          <w:rPr>
            <w:rStyle w:val="TextoNormalCaracter"/>
          </w:rPr>
          <w:t>43/1997</w:t>
        </w:r>
      </w:hyperlink>
      <w:r>
        <w:t>, f. 3.</w:t>
      </w:r>
    </w:p>
    <w:p w:rsidR="00575662" w:rsidRDefault="00575662" w:rsidP="00575662">
      <w:pPr>
        <w:pStyle w:val="SangriaIzquierdaArticulo"/>
      </w:pPr>
      <w:r>
        <w:t xml:space="preserve">Auto </w:t>
      </w:r>
      <w:hyperlink w:anchor="AUTO_1997_59" w:history="1">
        <w:r w:rsidRPr="00575662">
          <w:rPr>
            <w:rStyle w:val="TextoNormalCaracter"/>
          </w:rPr>
          <w:t>59/1997</w:t>
        </w:r>
      </w:hyperlink>
      <w:r>
        <w:t>.</w:t>
      </w:r>
    </w:p>
    <w:p w:rsidR="00575662" w:rsidRDefault="00575662" w:rsidP="00575662">
      <w:pPr>
        <w:pStyle w:val="SangriaFrancesaArticulo"/>
      </w:pPr>
      <w:r w:rsidRPr="00575662">
        <w:rPr>
          <w:rStyle w:val="TextoNormalNegritaCaracter"/>
        </w:rPr>
        <w:t>Artículo 741.</w:t>
      </w:r>
      <w:r w:rsidRPr="00575662">
        <w:rPr>
          <w:rStyle w:val="TextoNormalCaracter"/>
        </w:rPr>
        <w:t>-</w:t>
      </w:r>
      <w:r>
        <w:t xml:space="preserve"> Sentencia </w:t>
      </w:r>
      <w:hyperlink w:anchor="SENTENCIA_1997_26" w:history="1">
        <w:r w:rsidRPr="00575662">
          <w:rPr>
            <w:rStyle w:val="TextoNormalCaracter"/>
          </w:rPr>
          <w:t>26/1997</w:t>
        </w:r>
      </w:hyperlink>
      <w:r>
        <w:t>, f. 2.</w:t>
      </w:r>
    </w:p>
    <w:p w:rsidR="00575662" w:rsidRDefault="00575662" w:rsidP="00575662">
      <w:pPr>
        <w:pStyle w:val="SangriaIzquierdaArticulo"/>
      </w:pPr>
      <w:r>
        <w:t xml:space="preserve">Autos </w:t>
      </w:r>
      <w:hyperlink w:anchor="AUTO_1997_19" w:history="1">
        <w:r w:rsidRPr="00575662">
          <w:rPr>
            <w:rStyle w:val="TextoNormalCaracter"/>
          </w:rPr>
          <w:t>19/1997</w:t>
        </w:r>
      </w:hyperlink>
      <w:r>
        <w:t xml:space="preserve">; </w:t>
      </w:r>
      <w:hyperlink w:anchor="AUTO_1997_117" w:history="1">
        <w:r w:rsidRPr="00575662">
          <w:rPr>
            <w:rStyle w:val="TextoNormalCaracter"/>
          </w:rPr>
          <w:t>117/1997</w:t>
        </w:r>
      </w:hyperlink>
      <w:r>
        <w:t>.</w:t>
      </w:r>
    </w:p>
    <w:p w:rsidR="00575662" w:rsidRDefault="00575662" w:rsidP="00575662">
      <w:pPr>
        <w:pStyle w:val="SangriaFrancesaArticulo"/>
      </w:pPr>
      <w:r w:rsidRPr="00575662">
        <w:rPr>
          <w:rStyle w:val="TextoNormalNegritaCaracter"/>
        </w:rPr>
        <w:t>Artículo 750 a 756.</w:t>
      </w:r>
      <w:r w:rsidRPr="00575662">
        <w:rPr>
          <w:rStyle w:val="TextoNormalCaracter"/>
        </w:rPr>
        <w:t>-</w:t>
      </w:r>
      <w:r>
        <w:t xml:space="preserve"> Sentencia </w:t>
      </w:r>
      <w:hyperlink w:anchor="SENTENCIA_1997_22" w:history="1">
        <w:r w:rsidRPr="00575662">
          <w:rPr>
            <w:rStyle w:val="TextoNormalCaracter"/>
          </w:rPr>
          <w:t>22/1997</w:t>
        </w:r>
      </w:hyperlink>
      <w:r>
        <w:t>, f. 4.</w:t>
      </w:r>
    </w:p>
    <w:p w:rsidR="00575662" w:rsidRDefault="00575662" w:rsidP="00575662">
      <w:pPr>
        <w:pStyle w:val="SangriaFrancesaArticulo"/>
      </w:pPr>
      <w:r w:rsidRPr="00575662">
        <w:rPr>
          <w:rStyle w:val="TextoNormalNegritaCaracter"/>
        </w:rPr>
        <w:t>Artículo 785.8.</w:t>
      </w:r>
      <w:r w:rsidRPr="00575662">
        <w:rPr>
          <w:rStyle w:val="TextoNormalCaracter"/>
        </w:rPr>
        <w:t>-</w:t>
      </w:r>
      <w:r>
        <w:t xml:space="preserve"> Sentencia </w:t>
      </w:r>
      <w:hyperlink w:anchor="SENTENCIA_1997_56" w:history="1">
        <w:r w:rsidRPr="00575662">
          <w:rPr>
            <w:rStyle w:val="TextoNormalCaracter"/>
          </w:rPr>
          <w:t>56/1997</w:t>
        </w:r>
      </w:hyperlink>
      <w:r>
        <w:t>, VP III.</w:t>
      </w:r>
    </w:p>
    <w:p w:rsidR="00575662" w:rsidRDefault="00575662" w:rsidP="00575662">
      <w:pPr>
        <w:pStyle w:val="SangriaFrancesaArticulo"/>
      </w:pPr>
      <w:r w:rsidRPr="00575662">
        <w:rPr>
          <w:rStyle w:val="TextoNormalNegritaCaracter"/>
        </w:rPr>
        <w:t>Artículo 787.1.</w:t>
      </w:r>
      <w:r w:rsidRPr="00575662">
        <w:rPr>
          <w:rStyle w:val="TextoNormalCaracter"/>
        </w:rPr>
        <w:t>-</w:t>
      </w:r>
      <w:r>
        <w:t xml:space="preserve"> Auto </w:t>
      </w:r>
      <w:hyperlink w:anchor="AUTO_1997_121" w:history="1">
        <w:r w:rsidRPr="00575662">
          <w:rPr>
            <w:rStyle w:val="TextoNormalCaracter"/>
          </w:rPr>
          <w:t>121/1997</w:t>
        </w:r>
      </w:hyperlink>
      <w:r>
        <w:t>.</w:t>
      </w:r>
    </w:p>
    <w:p w:rsidR="00575662" w:rsidRDefault="00575662" w:rsidP="00575662">
      <w:pPr>
        <w:pStyle w:val="SangriaFrancesaArticulo"/>
      </w:pPr>
      <w:r w:rsidRPr="00575662">
        <w:rPr>
          <w:rStyle w:val="TextoNormalNegritaCaracter"/>
        </w:rPr>
        <w:t>Artículo 789.5.</w:t>
      </w:r>
      <w:r w:rsidRPr="00575662">
        <w:rPr>
          <w:rStyle w:val="TextoNormalCaracter"/>
        </w:rPr>
        <w:t>-</w:t>
      </w:r>
      <w:r>
        <w:t xml:space="preserve"> Sentencia </w:t>
      </w:r>
      <w:hyperlink w:anchor="SENTENCIA_1997_85" w:history="1">
        <w:r w:rsidRPr="00575662">
          <w:rPr>
            <w:rStyle w:val="TextoNormalCaracter"/>
          </w:rPr>
          <w:t>85/1997</w:t>
        </w:r>
      </w:hyperlink>
      <w:r>
        <w:t>, f. 3.</w:t>
      </w:r>
    </w:p>
    <w:p w:rsidR="00575662" w:rsidRDefault="00575662" w:rsidP="00575662">
      <w:pPr>
        <w:pStyle w:val="SangriaFrancesaArticulo"/>
      </w:pPr>
      <w:r w:rsidRPr="00575662">
        <w:rPr>
          <w:rStyle w:val="TextoNormalNegritaCaracter"/>
        </w:rPr>
        <w:t>Artículo 790.3.</w:t>
      </w:r>
      <w:r w:rsidRPr="00575662">
        <w:rPr>
          <w:rStyle w:val="TextoNormalCaracter"/>
        </w:rPr>
        <w:t>-</w:t>
      </w:r>
      <w:r>
        <w:t xml:space="preserve"> Sentencia </w:t>
      </w:r>
      <w:hyperlink w:anchor="SENTENCIA_1997_85" w:history="1">
        <w:r w:rsidRPr="00575662">
          <w:rPr>
            <w:rStyle w:val="TextoNormalCaracter"/>
          </w:rPr>
          <w:t>85/1997</w:t>
        </w:r>
      </w:hyperlink>
      <w:r>
        <w:t>, ff. 2, 3.</w:t>
      </w:r>
    </w:p>
    <w:p w:rsidR="00575662" w:rsidRDefault="00575662" w:rsidP="00575662">
      <w:pPr>
        <w:pStyle w:val="SangriaFrancesaArticulo"/>
      </w:pPr>
      <w:r w:rsidRPr="00575662">
        <w:rPr>
          <w:rStyle w:val="TextoNormalNegritaCaracter"/>
        </w:rPr>
        <w:lastRenderedPageBreak/>
        <w:t>Artículo 790.6.</w:t>
      </w:r>
      <w:r w:rsidRPr="00575662">
        <w:rPr>
          <w:rStyle w:val="TextoNormalCaracter"/>
        </w:rPr>
        <w:t>-</w:t>
      </w:r>
      <w:r>
        <w:t xml:space="preserve"> Sentencia </w:t>
      </w:r>
      <w:hyperlink w:anchor="SENTENCIA_1997_85" w:history="1">
        <w:r w:rsidRPr="00575662">
          <w:rPr>
            <w:rStyle w:val="TextoNormalCaracter"/>
          </w:rPr>
          <w:t>85/1997</w:t>
        </w:r>
      </w:hyperlink>
      <w:r>
        <w:t>, ff. 2, 3.</w:t>
      </w:r>
    </w:p>
    <w:p w:rsidR="00575662" w:rsidRDefault="00575662" w:rsidP="00575662">
      <w:pPr>
        <w:pStyle w:val="SangriaIzquierdaArticulo"/>
      </w:pPr>
      <w:r>
        <w:t xml:space="preserve">Auto </w:t>
      </w:r>
      <w:hyperlink w:anchor="AUTO_1997_111" w:history="1">
        <w:r w:rsidRPr="00575662">
          <w:rPr>
            <w:rStyle w:val="TextoNormalCaracter"/>
          </w:rPr>
          <w:t>111/1997</w:t>
        </w:r>
      </w:hyperlink>
      <w:r>
        <w:t>.</w:t>
      </w:r>
    </w:p>
    <w:p w:rsidR="00575662" w:rsidRDefault="00575662" w:rsidP="00575662">
      <w:pPr>
        <w:pStyle w:val="SangriaFrancesaArticulo"/>
      </w:pPr>
      <w:r w:rsidRPr="00575662">
        <w:rPr>
          <w:rStyle w:val="TextoNormalNegritaCaracter"/>
        </w:rPr>
        <w:t>Artículo 793.2.</w:t>
      </w:r>
      <w:r w:rsidRPr="00575662">
        <w:rPr>
          <w:rStyle w:val="TextoNormalCaracter"/>
        </w:rPr>
        <w:t>-</w:t>
      </w:r>
      <w:r>
        <w:t xml:space="preserve"> Auto </w:t>
      </w:r>
      <w:hyperlink w:anchor="AUTO_1997_111" w:history="1">
        <w:r w:rsidRPr="00575662">
          <w:rPr>
            <w:rStyle w:val="TextoNormalCaracter"/>
          </w:rPr>
          <w:t>111/1997</w:t>
        </w:r>
      </w:hyperlink>
      <w:r>
        <w:t>.</w:t>
      </w:r>
    </w:p>
    <w:p w:rsidR="00575662" w:rsidRDefault="00575662" w:rsidP="00575662">
      <w:pPr>
        <w:pStyle w:val="SangriaFrancesaArticulo"/>
      </w:pPr>
      <w:r w:rsidRPr="00575662">
        <w:rPr>
          <w:rStyle w:val="TextoNormalNegritaCaracter"/>
        </w:rPr>
        <w:t>Artículo 793.3.</w:t>
      </w:r>
      <w:r w:rsidRPr="00575662">
        <w:rPr>
          <w:rStyle w:val="TextoNormalCaracter"/>
        </w:rPr>
        <w:t>-</w:t>
      </w:r>
      <w:r>
        <w:t xml:space="preserve"> Sentencia </w:t>
      </w:r>
      <w:hyperlink w:anchor="SENTENCIA_1997_85" w:history="1">
        <w:r w:rsidRPr="00575662">
          <w:rPr>
            <w:rStyle w:val="TextoNormalCaracter"/>
          </w:rPr>
          <w:t>85/1997</w:t>
        </w:r>
      </w:hyperlink>
      <w:r>
        <w:t>, ff. 2, 3.</w:t>
      </w:r>
    </w:p>
    <w:p w:rsidR="00575662" w:rsidRDefault="00575662" w:rsidP="00575662">
      <w:pPr>
        <w:pStyle w:val="SangriaFrancesaArticulo"/>
      </w:pPr>
      <w:r w:rsidRPr="00575662">
        <w:rPr>
          <w:rStyle w:val="TextoNormalNegritaCaracter"/>
        </w:rPr>
        <w:t>Artículo 795.</w:t>
      </w:r>
      <w:r w:rsidRPr="00575662">
        <w:rPr>
          <w:rStyle w:val="TextoNormalCaracter"/>
        </w:rPr>
        <w:t>-</w:t>
      </w:r>
      <w:r>
        <w:t xml:space="preserve"> Sentencia </w:t>
      </w:r>
      <w:hyperlink w:anchor="SENTENCIA_1997_25" w:history="1">
        <w:r w:rsidRPr="00575662">
          <w:rPr>
            <w:rStyle w:val="TextoNormalCaracter"/>
          </w:rPr>
          <w:t>25/1997</w:t>
        </w:r>
      </w:hyperlink>
      <w:r>
        <w:t>, f. 5.</w:t>
      </w:r>
    </w:p>
    <w:p w:rsidR="00575662" w:rsidRDefault="00575662" w:rsidP="00575662">
      <w:pPr>
        <w:pStyle w:val="SangriaFrancesaArticulo"/>
      </w:pPr>
      <w:r w:rsidRPr="00575662">
        <w:rPr>
          <w:rStyle w:val="TextoNormalNegritaCaracter"/>
        </w:rPr>
        <w:t>Artículo 795.3.</w:t>
      </w:r>
      <w:r w:rsidRPr="00575662">
        <w:rPr>
          <w:rStyle w:val="TextoNormalCaracter"/>
        </w:rPr>
        <w:t>-</w:t>
      </w:r>
      <w:r>
        <w:t xml:space="preserve"> Sentencia </w:t>
      </w:r>
      <w:hyperlink w:anchor="SENTENCIA_1997_25" w:history="1">
        <w:r w:rsidRPr="00575662">
          <w:rPr>
            <w:rStyle w:val="TextoNormalCaracter"/>
          </w:rPr>
          <w:t>25/1997</w:t>
        </w:r>
      </w:hyperlink>
      <w:r>
        <w:t>, f. 5.</w:t>
      </w:r>
    </w:p>
    <w:p w:rsidR="00575662" w:rsidRDefault="00575662" w:rsidP="00575662">
      <w:pPr>
        <w:pStyle w:val="SangriaFrancesaArticulo"/>
      </w:pPr>
      <w:r w:rsidRPr="00575662">
        <w:rPr>
          <w:rStyle w:val="TextoNormalNegritaCaracter"/>
        </w:rPr>
        <w:t>Artículo 796</w:t>
      </w:r>
      <w:r>
        <w:t xml:space="preserve"> </w:t>
      </w:r>
      <w:r w:rsidRPr="00575662">
        <w:rPr>
          <w:rStyle w:val="TextoNormalCaracter"/>
        </w:rPr>
        <w:t>(redactado por la Ley 10/1992, de 30 de abril)</w:t>
      </w:r>
      <w:r w:rsidRPr="00575662">
        <w:rPr>
          <w:rStyle w:val="TextoNormalNegritaCaracter"/>
        </w:rPr>
        <w:t>.</w:t>
      </w:r>
      <w:r w:rsidRPr="00575662">
        <w:rPr>
          <w:rStyle w:val="TextoNormalCaracter"/>
        </w:rPr>
        <w:t>-</w:t>
      </w:r>
      <w:r>
        <w:t xml:space="preserve"> Sentencia </w:t>
      </w:r>
      <w:hyperlink w:anchor="SENTENCIA_1997_25" w:history="1">
        <w:r w:rsidRPr="00575662">
          <w:rPr>
            <w:rStyle w:val="TextoNormalCaracter"/>
          </w:rPr>
          <w:t>25/1997</w:t>
        </w:r>
      </w:hyperlink>
      <w:r>
        <w:t>, f. 5.</w:t>
      </w:r>
    </w:p>
    <w:p w:rsidR="00575662" w:rsidRDefault="00575662" w:rsidP="00575662">
      <w:pPr>
        <w:pStyle w:val="SangriaFrancesaArticulo"/>
      </w:pPr>
      <w:r w:rsidRPr="00575662">
        <w:rPr>
          <w:rStyle w:val="TextoNormalNegritaCaracter"/>
        </w:rPr>
        <w:t>Artículo 849.1.</w:t>
      </w:r>
      <w:r w:rsidRPr="00575662">
        <w:rPr>
          <w:rStyle w:val="TextoNormalCaracter"/>
        </w:rPr>
        <w:t>-</w:t>
      </w:r>
      <w:r>
        <w:t xml:space="preserve"> Sentencia </w:t>
      </w:r>
      <w:hyperlink w:anchor="SENTENCIA_1997_43" w:history="1">
        <w:r w:rsidRPr="00575662">
          <w:rPr>
            <w:rStyle w:val="TextoNormalCaracter"/>
          </w:rPr>
          <w:t>43/1997</w:t>
        </w:r>
      </w:hyperlink>
      <w:r>
        <w:t>, f. 2.</w:t>
      </w:r>
    </w:p>
    <w:p w:rsidR="00575662" w:rsidRDefault="00575662" w:rsidP="00575662">
      <w:pPr>
        <w:pStyle w:val="SangriaFrancesaArticulo"/>
      </w:pPr>
      <w:r w:rsidRPr="00575662">
        <w:rPr>
          <w:rStyle w:val="TextoNormalNegritaCaracter"/>
        </w:rPr>
        <w:t>Artículo 902.</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Artículo 954.</w:t>
      </w:r>
      <w:r w:rsidRPr="00575662">
        <w:rPr>
          <w:rStyle w:val="TextoNormalCaracter"/>
        </w:rPr>
        <w:t>-</w:t>
      </w:r>
      <w:r>
        <w:t xml:space="preserve"> Sentencia </w:t>
      </w:r>
      <w:hyperlink w:anchor="SENTENCIA_1997_41" w:history="1">
        <w:r w:rsidRPr="00575662">
          <w:rPr>
            <w:rStyle w:val="TextoNormalCaracter"/>
          </w:rPr>
          <w:t>41/1997</w:t>
        </w:r>
      </w:hyperlink>
      <w:r>
        <w:t>, f. 6.</w:t>
      </w:r>
    </w:p>
    <w:p w:rsidR="00575662" w:rsidRDefault="00575662" w:rsidP="00575662">
      <w:pPr>
        <w:pStyle w:val="SangriaFrancesaArticulo"/>
      </w:pPr>
      <w:r w:rsidRPr="00575662">
        <w:rPr>
          <w:rStyle w:val="TextoNormalNegritaCaracter"/>
        </w:rPr>
        <w:t>Artículo 965.</w:t>
      </w:r>
      <w:r w:rsidRPr="00575662">
        <w:rPr>
          <w:rStyle w:val="TextoNormalCaracter"/>
        </w:rPr>
        <w:t>-</w:t>
      </w:r>
      <w:r>
        <w:t xml:space="preserve"> Sentencia </w:t>
      </w:r>
      <w:hyperlink w:anchor="SENTENCIA_1997_25" w:history="1">
        <w:r w:rsidRPr="00575662">
          <w:rPr>
            <w:rStyle w:val="TextoNormalCaracter"/>
          </w:rPr>
          <w:t>25/1997</w:t>
        </w:r>
      </w:hyperlink>
      <w:r>
        <w:t>, f. 2.</w:t>
      </w:r>
    </w:p>
    <w:p w:rsidR="00575662" w:rsidRDefault="00575662" w:rsidP="00575662">
      <w:pPr>
        <w:pStyle w:val="SangriaFrancesaArticulo"/>
      </w:pPr>
      <w:r w:rsidRPr="00575662">
        <w:rPr>
          <w:rStyle w:val="TextoNormalNegritaCaracter"/>
        </w:rPr>
        <w:t>Artículo 971.</w:t>
      </w:r>
      <w:r w:rsidRPr="00575662">
        <w:rPr>
          <w:rStyle w:val="TextoNormalCaracter"/>
        </w:rPr>
        <w:t>-</w:t>
      </w:r>
      <w:r>
        <w:t xml:space="preserve"> Sentencia </w:t>
      </w:r>
      <w:hyperlink w:anchor="SENTENCIA_1997_25" w:history="1">
        <w:r w:rsidRPr="00575662">
          <w:rPr>
            <w:rStyle w:val="TextoNormalCaracter"/>
          </w:rPr>
          <w:t>25/1997</w:t>
        </w:r>
      </w:hyperlink>
      <w:r>
        <w:t>, f. 2.</w:t>
      </w:r>
    </w:p>
    <w:p w:rsidR="00575662" w:rsidRDefault="00575662" w:rsidP="00575662">
      <w:pPr>
        <w:pStyle w:val="SangriaFrancesaArticulo"/>
      </w:pPr>
      <w:r w:rsidRPr="00575662">
        <w:rPr>
          <w:rStyle w:val="TextoNormalNegritaCaracter"/>
        </w:rPr>
        <w:t>Artículo 976.</w:t>
      </w:r>
      <w:r w:rsidRPr="00575662">
        <w:rPr>
          <w:rStyle w:val="TextoNormalCaracter"/>
        </w:rPr>
        <w:t>-</w:t>
      </w:r>
      <w:r>
        <w:t xml:space="preserve"> Sentencia </w:t>
      </w:r>
      <w:hyperlink w:anchor="SENTENCIA_1997_25" w:history="1">
        <w:r w:rsidRPr="00575662">
          <w:rPr>
            <w:rStyle w:val="TextoNormalCaracter"/>
          </w:rPr>
          <w:t>25/1997</w:t>
        </w:r>
      </w:hyperlink>
      <w:r>
        <w:t>, f. 5.</w:t>
      </w:r>
    </w:p>
    <w:p w:rsidR="00575662" w:rsidRDefault="00575662" w:rsidP="00575662">
      <w:pPr>
        <w:pStyle w:val="SangriaFrancesaArticulo"/>
      </w:pPr>
      <w:r w:rsidRPr="00575662">
        <w:rPr>
          <w:rStyle w:val="TextoNormalNegritaCaracter"/>
        </w:rPr>
        <w:t>Artículo 988.</w:t>
      </w:r>
      <w:r w:rsidRPr="00575662">
        <w:rPr>
          <w:rStyle w:val="TextoNormalCaracter"/>
        </w:rPr>
        <w:t>-</w:t>
      </w:r>
      <w:r>
        <w:t xml:space="preserve"> Auto </w:t>
      </w:r>
      <w:hyperlink w:anchor="AUTO_1997_90" w:history="1">
        <w:r w:rsidRPr="00575662">
          <w:rPr>
            <w:rStyle w:val="TextoNormalCaracter"/>
          </w:rPr>
          <w:t>90/1997</w:t>
        </w:r>
      </w:hyperlink>
      <w:r>
        <w:t>.</w:t>
      </w:r>
    </w:p>
    <w:p w:rsidR="00575662" w:rsidRDefault="00575662" w:rsidP="00575662">
      <w:pPr>
        <w:pStyle w:val="SangriaFrancesaArticulo"/>
      </w:pPr>
    </w:p>
    <w:p w:rsidR="00575662" w:rsidRDefault="00575662" w:rsidP="00575662">
      <w:pPr>
        <w:pStyle w:val="TextoNormalNegritaCursivandice"/>
      </w:pPr>
      <w:r>
        <w:t>Real Decreto de 24 de julio de 1889. Código civil</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Sentencias </w:t>
      </w:r>
      <w:hyperlink w:anchor="SENTENCIA_1997_54" w:history="1">
        <w:r w:rsidRPr="00575662">
          <w:rPr>
            <w:rStyle w:val="TextoNormalCaracter"/>
          </w:rPr>
          <w:t>54/1997</w:t>
        </w:r>
      </w:hyperlink>
      <w:r>
        <w:t xml:space="preserve">, f. 2; </w:t>
      </w:r>
      <w:hyperlink w:anchor="SENTENCIA_1997_57" w:history="1">
        <w:r w:rsidRPr="00575662">
          <w:rPr>
            <w:rStyle w:val="TextoNormalCaracter"/>
          </w:rPr>
          <w:t>57/1997</w:t>
        </w:r>
      </w:hyperlink>
      <w:r>
        <w:t xml:space="preserve">, f. 4;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Artículo 1.5.</w:t>
      </w:r>
      <w:r w:rsidRPr="00575662">
        <w:rPr>
          <w:rStyle w:val="TextoNormalCaracter"/>
        </w:rPr>
        <w:t>-</w:t>
      </w:r>
      <w:r>
        <w:t xml:space="preserve"> Sentencia </w:t>
      </w:r>
      <w:hyperlink w:anchor="SENTENCIA_1997_21" w:history="1">
        <w:r w:rsidRPr="00575662">
          <w:rPr>
            <w:rStyle w:val="TextoNormalCaracter"/>
          </w:rPr>
          <w:t>21/1997</w:t>
        </w:r>
      </w:hyperlink>
      <w:r>
        <w:t>, f. 3.</w:t>
      </w:r>
    </w:p>
    <w:p w:rsidR="00575662" w:rsidRDefault="00575662" w:rsidP="00575662">
      <w:pPr>
        <w:pStyle w:val="SangriaFrancesaArticulo"/>
      </w:pPr>
      <w:r w:rsidRPr="00575662">
        <w:rPr>
          <w:rStyle w:val="TextoNormalNegritaCaracter"/>
        </w:rPr>
        <w:t>Artículo 1.6.</w:t>
      </w:r>
      <w:r w:rsidRPr="00575662">
        <w:rPr>
          <w:rStyle w:val="TextoNormalCaracter"/>
        </w:rPr>
        <w:t>-</w:t>
      </w:r>
      <w:r>
        <w:t xml:space="preserve"> Sentencia </w:t>
      </w:r>
      <w:hyperlink w:anchor="SENTENCIA_1997_54" w:history="1">
        <w:r w:rsidRPr="00575662">
          <w:rPr>
            <w:rStyle w:val="TextoNormalCaracter"/>
          </w:rPr>
          <w:t>54/1997</w:t>
        </w:r>
      </w:hyperlink>
      <w:r>
        <w:t>, f. 2.</w:t>
      </w:r>
    </w:p>
    <w:p w:rsidR="00575662" w:rsidRDefault="00575662" w:rsidP="00575662">
      <w:pPr>
        <w:pStyle w:val="SangriaIzquierdaArticulo"/>
      </w:pPr>
      <w:r>
        <w:t xml:space="preserve">Auto </w:t>
      </w:r>
      <w:hyperlink w:anchor="AUTO_1997_91" w:history="1">
        <w:r w:rsidRPr="00575662">
          <w:rPr>
            <w:rStyle w:val="TextoNormalCaracter"/>
          </w:rPr>
          <w:t>91/1997</w:t>
        </w:r>
      </w:hyperlink>
      <w:r>
        <w:t>.</w:t>
      </w:r>
    </w:p>
    <w:p w:rsidR="00575662" w:rsidRDefault="00575662" w:rsidP="00575662">
      <w:pPr>
        <w:pStyle w:val="SangriaFrancesaArticulo"/>
      </w:pPr>
      <w:r w:rsidRPr="00575662">
        <w:rPr>
          <w:rStyle w:val="TextoNormalNegritaCaracter"/>
        </w:rPr>
        <w:t>Artículo 3.</w:t>
      </w:r>
      <w:r w:rsidRPr="00575662">
        <w:rPr>
          <w:rStyle w:val="TextoNormalCaracter"/>
        </w:rPr>
        <w:t>-</w:t>
      </w:r>
      <w:r>
        <w:t xml:space="preserve"> Sentencia </w:t>
      </w:r>
      <w:hyperlink w:anchor="SENTENCIA_1997_54" w:history="1">
        <w:r w:rsidRPr="00575662">
          <w:rPr>
            <w:rStyle w:val="TextoNormalCaracter"/>
          </w:rPr>
          <w:t>54/1997</w:t>
        </w:r>
      </w:hyperlink>
      <w:r>
        <w:t>, f. 3.</w:t>
      </w:r>
    </w:p>
    <w:p w:rsidR="00575662" w:rsidRDefault="00575662" w:rsidP="00575662">
      <w:pPr>
        <w:pStyle w:val="SangriaFrancesaArticulo"/>
      </w:pPr>
      <w:r w:rsidRPr="00575662">
        <w:rPr>
          <w:rStyle w:val="TextoNormalNegritaCaracter"/>
        </w:rPr>
        <w:t>Artículo 4.3.</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Artículo 13.2.</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Artículo 80.</w:t>
      </w:r>
      <w:r w:rsidRPr="00575662">
        <w:rPr>
          <w:rStyle w:val="TextoNormalCaracter"/>
        </w:rPr>
        <w:t>-</w:t>
      </w:r>
      <w:r>
        <w:t xml:space="preserve"> Sentencia </w:t>
      </w:r>
      <w:hyperlink w:anchor="SENTENCIA_1997_6" w:history="1">
        <w:r w:rsidRPr="00575662">
          <w:rPr>
            <w:rStyle w:val="TextoNormalCaracter"/>
          </w:rPr>
          <w:t>6/1997</w:t>
        </w:r>
      </w:hyperlink>
      <w:r>
        <w:t>, f. 1.</w:t>
      </w:r>
    </w:p>
    <w:p w:rsidR="00575662" w:rsidRDefault="00575662" w:rsidP="00575662">
      <w:pPr>
        <w:pStyle w:val="SangriaFrancesaArticulo"/>
      </w:pPr>
      <w:r w:rsidRPr="00575662">
        <w:rPr>
          <w:rStyle w:val="TextoNormalNegritaCaracter"/>
        </w:rPr>
        <w:t>Artículo 82.</w:t>
      </w:r>
      <w:r w:rsidRPr="00575662">
        <w:rPr>
          <w:rStyle w:val="TextoNormalCaracter"/>
        </w:rPr>
        <w:t>-</w:t>
      </w:r>
      <w:r>
        <w:t xml:space="preserve"> Sentencia </w:t>
      </w:r>
      <w:hyperlink w:anchor="SENTENCIA_1997_6" w:history="1">
        <w:r w:rsidRPr="00575662">
          <w:rPr>
            <w:rStyle w:val="TextoNormalCaracter"/>
          </w:rPr>
          <w:t>6/1997</w:t>
        </w:r>
      </w:hyperlink>
      <w:r>
        <w:t>, f. 1.</w:t>
      </w:r>
    </w:p>
    <w:p w:rsidR="00575662" w:rsidRDefault="00575662" w:rsidP="00575662">
      <w:pPr>
        <w:pStyle w:val="SangriaFrancesaArticulo"/>
      </w:pPr>
      <w:r w:rsidRPr="00575662">
        <w:rPr>
          <w:rStyle w:val="TextoNormalNegritaCaracter"/>
        </w:rPr>
        <w:t>Artículo 91.</w:t>
      </w:r>
      <w:r w:rsidRPr="00575662">
        <w:rPr>
          <w:rStyle w:val="TextoNormalCaracter"/>
        </w:rPr>
        <w:t>-</w:t>
      </w:r>
      <w:r>
        <w:t xml:space="preserve"> Sentencia </w:t>
      </w:r>
      <w:hyperlink w:anchor="SENTENCIA_1997_54" w:history="1">
        <w:r w:rsidRPr="00575662">
          <w:rPr>
            <w:rStyle w:val="TextoNormalCaracter"/>
          </w:rPr>
          <w:t>54/1997</w:t>
        </w:r>
      </w:hyperlink>
      <w:r>
        <w:t>, ff. 1, 3.</w:t>
      </w:r>
    </w:p>
    <w:p w:rsidR="00575662" w:rsidRDefault="00575662" w:rsidP="00575662">
      <w:pPr>
        <w:pStyle w:val="SangriaFrancesaArticulo"/>
      </w:pPr>
      <w:r w:rsidRPr="00575662">
        <w:rPr>
          <w:rStyle w:val="TextoNormalNegritaCaracter"/>
        </w:rPr>
        <w:t>Artículo 95.</w:t>
      </w:r>
      <w:r w:rsidRPr="00575662">
        <w:rPr>
          <w:rStyle w:val="TextoNormalCaracter"/>
        </w:rPr>
        <w:t>-</w:t>
      </w:r>
      <w:r>
        <w:t xml:space="preserve"> Sentencia </w:t>
      </w:r>
      <w:hyperlink w:anchor="SENTENCIA_1997_6" w:history="1">
        <w:r w:rsidRPr="00575662">
          <w:rPr>
            <w:rStyle w:val="TextoNormalCaracter"/>
          </w:rPr>
          <w:t>6/1997</w:t>
        </w:r>
      </w:hyperlink>
      <w:r>
        <w:t>, f. 6.</w:t>
      </w:r>
    </w:p>
    <w:p w:rsidR="00575662" w:rsidRDefault="00575662" w:rsidP="00575662">
      <w:pPr>
        <w:pStyle w:val="SangriaFrancesaArticulo"/>
      </w:pPr>
      <w:r w:rsidRPr="00575662">
        <w:rPr>
          <w:rStyle w:val="TextoNormalNegritaCaracter"/>
        </w:rPr>
        <w:t>Artículo 97.</w:t>
      </w:r>
      <w:r w:rsidRPr="00575662">
        <w:rPr>
          <w:rStyle w:val="TextoNormalCaracter"/>
        </w:rPr>
        <w:t>-</w:t>
      </w:r>
      <w:r>
        <w:t xml:space="preserve"> Sentencia </w:t>
      </w:r>
      <w:hyperlink w:anchor="SENTENCIA_1997_6" w:history="1">
        <w:r w:rsidRPr="00575662">
          <w:rPr>
            <w:rStyle w:val="TextoNormalCaracter"/>
          </w:rPr>
          <w:t>6/1997</w:t>
        </w:r>
      </w:hyperlink>
      <w:r>
        <w:t>, f. 6.</w:t>
      </w:r>
    </w:p>
    <w:p w:rsidR="00575662" w:rsidRDefault="00575662" w:rsidP="00575662">
      <w:pPr>
        <w:pStyle w:val="SangriaFrancesaArticulo"/>
      </w:pPr>
      <w:r w:rsidRPr="00575662">
        <w:rPr>
          <w:rStyle w:val="TextoNormalNegritaCaracter"/>
        </w:rPr>
        <w:t>Artículo 98.</w:t>
      </w:r>
      <w:r w:rsidRPr="00575662">
        <w:rPr>
          <w:rStyle w:val="TextoNormalCaracter"/>
        </w:rPr>
        <w:t>-</w:t>
      </w:r>
      <w:r>
        <w:t xml:space="preserve"> Sentencia </w:t>
      </w:r>
      <w:hyperlink w:anchor="SENTENCIA_1997_6" w:history="1">
        <w:r w:rsidRPr="00575662">
          <w:rPr>
            <w:rStyle w:val="TextoNormalCaracter"/>
          </w:rPr>
          <w:t>6/1997</w:t>
        </w:r>
      </w:hyperlink>
      <w:r>
        <w:t>, f. 6.</w:t>
      </w:r>
    </w:p>
    <w:p w:rsidR="00575662" w:rsidRDefault="00575662" w:rsidP="00575662">
      <w:pPr>
        <w:pStyle w:val="SangriaFrancesaArticulo"/>
      </w:pPr>
      <w:r w:rsidRPr="00575662">
        <w:rPr>
          <w:rStyle w:val="TextoNormalNegritaCaracter"/>
        </w:rPr>
        <w:t>Artículo 100.</w:t>
      </w:r>
      <w:r w:rsidRPr="00575662">
        <w:rPr>
          <w:rStyle w:val="TextoNormalCaracter"/>
        </w:rPr>
        <w:t>-</w:t>
      </w:r>
      <w:r>
        <w:t xml:space="preserve"> Sentencia </w:t>
      </w:r>
      <w:hyperlink w:anchor="SENTENCIA_1997_54" w:history="1">
        <w:r w:rsidRPr="00575662">
          <w:rPr>
            <w:rStyle w:val="TextoNormalCaracter"/>
          </w:rPr>
          <w:t>54/1997</w:t>
        </w:r>
      </w:hyperlink>
      <w:r>
        <w:t>, ff. 1, 3.</w:t>
      </w:r>
    </w:p>
    <w:p w:rsidR="00575662" w:rsidRDefault="00575662" w:rsidP="00575662">
      <w:pPr>
        <w:pStyle w:val="SangriaFrancesaArticulo"/>
      </w:pPr>
      <w:r w:rsidRPr="00575662">
        <w:rPr>
          <w:rStyle w:val="TextoNormalNegritaCaracter"/>
        </w:rPr>
        <w:t>Artículo 1090.</w:t>
      </w:r>
      <w:r w:rsidRPr="00575662">
        <w:rPr>
          <w:rStyle w:val="TextoNormalCaracter"/>
        </w:rPr>
        <w:t>-</w:t>
      </w:r>
      <w:r>
        <w:t xml:space="preserve"> Sentencia </w:t>
      </w:r>
      <w:hyperlink w:anchor="SENTENCIA_1997_1" w:history="1">
        <w:r w:rsidRPr="00575662">
          <w:rPr>
            <w:rStyle w:val="TextoNormalCaracter"/>
          </w:rPr>
          <w:t>1/1997</w:t>
        </w:r>
      </w:hyperlink>
      <w:r>
        <w:t>, f. 1.</w:t>
      </w:r>
    </w:p>
    <w:p w:rsidR="00575662" w:rsidRDefault="00575662" w:rsidP="00575662">
      <w:pPr>
        <w:pStyle w:val="SangriaFrancesaArticulo"/>
      </w:pPr>
      <w:r w:rsidRPr="00575662">
        <w:rPr>
          <w:rStyle w:val="TextoNormalNegritaCaracter"/>
        </w:rPr>
        <w:t>Artículo 1100.</w:t>
      </w:r>
      <w:r w:rsidRPr="00575662">
        <w:rPr>
          <w:rStyle w:val="TextoNormalCaracter"/>
        </w:rPr>
        <w:t>-</w:t>
      </w:r>
      <w:r>
        <w:t xml:space="preserve"> Sentencia </w:t>
      </w:r>
      <w:hyperlink w:anchor="SENTENCIA_1997_23" w:history="1">
        <w:r w:rsidRPr="00575662">
          <w:rPr>
            <w:rStyle w:val="TextoNormalCaracter"/>
          </w:rPr>
          <w:t>23/1997</w:t>
        </w:r>
      </w:hyperlink>
      <w:r>
        <w:t>, ff. 4, 6.</w:t>
      </w:r>
    </w:p>
    <w:p w:rsidR="00575662" w:rsidRDefault="00575662" w:rsidP="00575662">
      <w:pPr>
        <w:pStyle w:val="SangriaFrancesaArticulo"/>
      </w:pPr>
      <w:r w:rsidRPr="00575662">
        <w:rPr>
          <w:rStyle w:val="TextoNormalNegritaCaracter"/>
        </w:rPr>
        <w:t>Artículo 1120.</w:t>
      </w:r>
      <w:r w:rsidRPr="00575662">
        <w:rPr>
          <w:rStyle w:val="TextoNormalCaracter"/>
        </w:rPr>
        <w:t>-</w:t>
      </w:r>
      <w:r>
        <w:t xml:space="preserve"> Sentencia </w:t>
      </w:r>
      <w:hyperlink w:anchor="SENTENCIA_1997_57" w:history="1">
        <w:r w:rsidRPr="00575662">
          <w:rPr>
            <w:rStyle w:val="TextoNormalCaracter"/>
          </w:rPr>
          <w:t>57/1997</w:t>
        </w:r>
      </w:hyperlink>
      <w:r>
        <w:t>, f. 5.</w:t>
      </w:r>
    </w:p>
    <w:p w:rsidR="00575662" w:rsidRDefault="00575662" w:rsidP="00575662">
      <w:pPr>
        <w:pStyle w:val="SangriaFrancesaArticulo"/>
      </w:pPr>
      <w:r w:rsidRPr="00575662">
        <w:rPr>
          <w:rStyle w:val="TextoNormalNegritaCaracter"/>
        </w:rPr>
        <w:t>Artículo 1131.1.</w:t>
      </w:r>
      <w:r w:rsidRPr="00575662">
        <w:rPr>
          <w:rStyle w:val="TextoNormalCaracter"/>
        </w:rPr>
        <w:t>-</w:t>
      </w:r>
      <w:r>
        <w:t xml:space="preserve"> Sentencia </w:t>
      </w:r>
      <w:hyperlink w:anchor="SENTENCIA_1997_1" w:history="1">
        <w:r w:rsidRPr="00575662">
          <w:rPr>
            <w:rStyle w:val="TextoNormalCaracter"/>
          </w:rPr>
          <w:t>1/1997</w:t>
        </w:r>
      </w:hyperlink>
      <w:r>
        <w:t>, f. 1.</w:t>
      </w:r>
    </w:p>
    <w:p w:rsidR="00575662" w:rsidRDefault="00575662" w:rsidP="00575662">
      <w:pPr>
        <w:pStyle w:val="SangriaFrancesaArticulo"/>
      </w:pPr>
      <w:r w:rsidRPr="00575662">
        <w:rPr>
          <w:rStyle w:val="TextoNormalNegritaCaracter"/>
        </w:rPr>
        <w:t>Artículo 1204.</w:t>
      </w:r>
      <w:r w:rsidRPr="00575662">
        <w:rPr>
          <w:rStyle w:val="TextoNormalCaracter"/>
        </w:rPr>
        <w:t>-</w:t>
      </w:r>
      <w:r>
        <w:t xml:space="preserve"> Sentencia </w:t>
      </w:r>
      <w:hyperlink w:anchor="SENTENCIA_1997_1" w:history="1">
        <w:r w:rsidRPr="00575662">
          <w:rPr>
            <w:rStyle w:val="TextoNormalCaracter"/>
          </w:rPr>
          <w:t>1/1997</w:t>
        </w:r>
      </w:hyperlink>
      <w:r>
        <w:t>, f. 1.</w:t>
      </w:r>
    </w:p>
    <w:p w:rsidR="00575662" w:rsidRDefault="00575662" w:rsidP="00575662">
      <w:pPr>
        <w:pStyle w:val="SangriaFrancesaArticulo"/>
      </w:pPr>
      <w:r w:rsidRPr="00575662">
        <w:rPr>
          <w:rStyle w:val="TextoNormalNegritaCaracter"/>
        </w:rPr>
        <w:t>Artículo 1214.</w:t>
      </w:r>
      <w:r w:rsidRPr="00575662">
        <w:rPr>
          <w:rStyle w:val="TextoNormalCaracter"/>
        </w:rPr>
        <w:t>-</w:t>
      </w:r>
      <w:r>
        <w:t xml:space="preserve"> Sentencia </w:t>
      </w:r>
      <w:hyperlink w:anchor="SENTENCIA_1997_1" w:history="1">
        <w:r w:rsidRPr="00575662">
          <w:rPr>
            <w:rStyle w:val="TextoNormalCaracter"/>
          </w:rPr>
          <w:t>1/1997</w:t>
        </w:r>
      </w:hyperlink>
      <w:r>
        <w:t>, f. 2.</w:t>
      </w:r>
    </w:p>
    <w:p w:rsidR="00575662" w:rsidRDefault="00575662" w:rsidP="00575662">
      <w:pPr>
        <w:pStyle w:val="SangriaFrancesaArticulo"/>
      </w:pPr>
      <w:r w:rsidRPr="00575662">
        <w:rPr>
          <w:rStyle w:val="TextoNormalNegritaCaracter"/>
        </w:rPr>
        <w:t>Artículo 1253.</w:t>
      </w:r>
      <w:r w:rsidRPr="00575662">
        <w:rPr>
          <w:rStyle w:val="TextoNormalCaracter"/>
        </w:rPr>
        <w:t>-</w:t>
      </w:r>
      <w:r>
        <w:t xml:space="preserve"> Sentencia </w:t>
      </w:r>
      <w:hyperlink w:anchor="SENTENCIA_1997_54" w:history="1">
        <w:r w:rsidRPr="00575662">
          <w:rPr>
            <w:rStyle w:val="TextoNormalCaracter"/>
          </w:rPr>
          <w:t>54/1997</w:t>
        </w:r>
      </w:hyperlink>
      <w:r>
        <w:t>, VP.</w:t>
      </w:r>
    </w:p>
    <w:p w:rsidR="00575662" w:rsidRDefault="00575662" w:rsidP="00575662">
      <w:pPr>
        <w:pStyle w:val="SangriaFrancesaArticulo"/>
      </w:pPr>
      <w:r w:rsidRPr="00575662">
        <w:rPr>
          <w:rStyle w:val="TextoNormalNegritaCaracter"/>
        </w:rPr>
        <w:t>Artículo 1809.</w:t>
      </w:r>
      <w:r w:rsidRPr="00575662">
        <w:rPr>
          <w:rStyle w:val="TextoNormalCaracter"/>
        </w:rPr>
        <w:t>-</w:t>
      </w:r>
      <w:r>
        <w:t xml:space="preserve"> Sentencia </w:t>
      </w:r>
      <w:hyperlink w:anchor="SENTENCIA_1997_57" w:history="1">
        <w:r w:rsidRPr="00575662">
          <w:rPr>
            <w:rStyle w:val="TextoNormalCaracter"/>
          </w:rPr>
          <w:t>57/1997</w:t>
        </w:r>
      </w:hyperlink>
      <w:r>
        <w:t>, f. 5.</w:t>
      </w:r>
    </w:p>
    <w:p w:rsidR="00575662" w:rsidRDefault="00575662" w:rsidP="00575662">
      <w:pPr>
        <w:pStyle w:val="SangriaFrancesaArticulo"/>
      </w:pPr>
      <w:r w:rsidRPr="00575662">
        <w:rPr>
          <w:rStyle w:val="TextoNormalNegritaCaracter"/>
        </w:rPr>
        <w:t>Artículo 1969.</w:t>
      </w:r>
      <w:r w:rsidRPr="00575662">
        <w:rPr>
          <w:rStyle w:val="TextoNormalCaracter"/>
        </w:rPr>
        <w:t>-</w:t>
      </w:r>
      <w:r>
        <w:t xml:space="preserve"> Sentencia </w:t>
      </w:r>
      <w:hyperlink w:anchor="SENTENCIA_1997_42" w:history="1">
        <w:r w:rsidRPr="00575662">
          <w:rPr>
            <w:rStyle w:val="TextoNormalCaracter"/>
          </w:rPr>
          <w:t>42/1997</w:t>
        </w:r>
      </w:hyperlink>
      <w:r>
        <w:t>, f. 4.</w:t>
      </w:r>
    </w:p>
    <w:p w:rsidR="00575662" w:rsidRDefault="00575662" w:rsidP="00575662">
      <w:pPr>
        <w:pStyle w:val="SangriaFrancesaArticulo"/>
      </w:pPr>
    </w:p>
    <w:p w:rsidR="00575662" w:rsidRDefault="00575662" w:rsidP="00575662">
      <w:pPr>
        <w:pStyle w:val="TextoNormalNegritaCursivandice"/>
      </w:pPr>
      <w:r>
        <w:t>Ley de 9 de febrero de 1912. Jurisdicción y procedimiento especiales en las causas contra senadores y diputados</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22" w:history="1">
        <w:r w:rsidRPr="00575662">
          <w:rPr>
            <w:rStyle w:val="TextoNormalCaracter"/>
          </w:rPr>
          <w:t>22/1997</w:t>
        </w:r>
      </w:hyperlink>
      <w:r>
        <w:t>, ff. 4, 8.</w:t>
      </w:r>
    </w:p>
    <w:p w:rsidR="00575662" w:rsidRDefault="00575662" w:rsidP="00575662">
      <w:pPr>
        <w:pStyle w:val="SangriaFrancesaArticulo"/>
      </w:pPr>
      <w:r w:rsidRPr="00575662">
        <w:rPr>
          <w:rStyle w:val="TextoNormalNegritaCaracter"/>
        </w:rPr>
        <w:t>Artículo 7.</w:t>
      </w:r>
      <w:r w:rsidRPr="00575662">
        <w:rPr>
          <w:rStyle w:val="TextoNormalCaracter"/>
        </w:rPr>
        <w:t>-</w:t>
      </w:r>
      <w:r>
        <w:t xml:space="preserve"> Sentencia </w:t>
      </w:r>
      <w:hyperlink w:anchor="SENTENCIA_1997_22" w:history="1">
        <w:r w:rsidRPr="00575662">
          <w:rPr>
            <w:rStyle w:val="TextoNormalCaracter"/>
          </w:rPr>
          <w:t>22/1997</w:t>
        </w:r>
      </w:hyperlink>
      <w:r>
        <w:t>, ff. 7, 8, VP.</w:t>
      </w:r>
    </w:p>
    <w:p w:rsidR="00575662" w:rsidRDefault="00575662" w:rsidP="00575662">
      <w:pPr>
        <w:pStyle w:val="SangriaFrancesaArticulo"/>
      </w:pPr>
    </w:p>
    <w:p w:rsidR="00575662" w:rsidRDefault="00575662" w:rsidP="00575662">
      <w:pPr>
        <w:pStyle w:val="TextoNormalNegritaCursivandice"/>
      </w:pPr>
      <w:r>
        <w:t xml:space="preserve">Ley de 3 de marzo de 1917. Reforma los artículos 159 a 161 del Código de justicia militar estableciendo en las plazas de Ceuta y Melilla Tribunales ordinarios con plenitud de jurisdicción; poniendo en las mismas la justicia municipal a cargo de </w:t>
      </w:r>
      <w:r>
        <w:lastRenderedPageBreak/>
        <w:t>los juzgados y tribunales determinados en la Ley de 5 de agosto de 1907; creando en Melilla un Registro Mercantil, y derogando las Leyes de 21 de febrero y 16 de diciembre de 1914 sobre competencia para conocer de los negocios civiles y de los juicios de faltas en Ceuta</w:t>
      </w:r>
    </w:p>
    <w:p w:rsidR="00575662" w:rsidRDefault="00575662" w:rsidP="00575662">
      <w:pPr>
        <w:pStyle w:val="SangriaFrancesaArticulo"/>
      </w:pPr>
      <w:r w:rsidRPr="00575662">
        <w:rPr>
          <w:rStyle w:val="TextoNormalNegritaCaracter"/>
        </w:rPr>
        <w:t>Artículo 2.</w:t>
      </w:r>
      <w:r w:rsidRPr="00575662">
        <w:rPr>
          <w:rStyle w:val="TextoNormalCaracter"/>
        </w:rPr>
        <w:t>-</w:t>
      </w:r>
      <w:r>
        <w:t xml:space="preserve"> Auto </w:t>
      </w:r>
      <w:hyperlink w:anchor="AUTO_1997_104" w:history="1">
        <w:r w:rsidRPr="00575662">
          <w:rPr>
            <w:rStyle w:val="TextoNormalCaracter"/>
          </w:rPr>
          <w:t>104/1997</w:t>
        </w:r>
      </w:hyperlink>
      <w:r>
        <w:t>.</w:t>
      </w:r>
    </w:p>
    <w:p w:rsidR="00575662" w:rsidRDefault="00575662" w:rsidP="00575662">
      <w:pPr>
        <w:pStyle w:val="SangriaFrancesaArticulo"/>
      </w:pPr>
    </w:p>
    <w:p w:rsidR="00575662" w:rsidRDefault="00575662" w:rsidP="00575662">
      <w:pPr>
        <w:pStyle w:val="TextoNormalNegritaCursivandice"/>
      </w:pPr>
      <w:r>
        <w:t>Ley de 10 de septiembre de 1931. Incorporando a la Ley de enjuiciamiento criminal los artículos 472 y 473 del Código de justicia militar</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56" w:history="1">
        <w:r w:rsidRPr="00575662">
          <w:rPr>
            <w:rStyle w:val="TextoNormalCaracter"/>
          </w:rPr>
          <w:t>56/1997</w:t>
        </w:r>
      </w:hyperlink>
      <w:r>
        <w:t>, VP III.</w:t>
      </w:r>
    </w:p>
    <w:p w:rsidR="00575662" w:rsidRDefault="00575662" w:rsidP="00575662">
      <w:pPr>
        <w:pStyle w:val="SangriaFrancesaArticulo"/>
      </w:pPr>
    </w:p>
    <w:p w:rsidR="00575662" w:rsidRDefault="00575662" w:rsidP="00575662">
      <w:pPr>
        <w:pStyle w:val="TextoNormalNegritaCursivandice"/>
      </w:pPr>
      <w:r>
        <w:t>Orden del Ministerio de Trabajo, Sanidad y Previsión, de 28 de septiembre de 1934. Estatuto de los colegios oficiales de farmacéuticos</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4" w:history="1">
        <w:r w:rsidRPr="00575662">
          <w:rPr>
            <w:rStyle w:val="TextoNormalCaracter"/>
          </w:rPr>
          <w:t>4/1997</w:t>
        </w:r>
      </w:hyperlink>
      <w:r>
        <w:t>, f. 1.</w:t>
      </w:r>
    </w:p>
    <w:p w:rsidR="00575662" w:rsidRDefault="00575662" w:rsidP="00575662">
      <w:pPr>
        <w:pStyle w:val="SangriaFrancesaArticulo"/>
      </w:pPr>
    </w:p>
    <w:p w:rsidR="00575662" w:rsidRDefault="00575662" w:rsidP="00575662">
      <w:pPr>
        <w:pStyle w:val="TextoNormalNegritaCursivandice"/>
      </w:pPr>
      <w:r>
        <w:t>Decreto de 8 de febrero de 1946. Texto refundido de la Ley hipotecaria</w:t>
      </w:r>
    </w:p>
    <w:p w:rsidR="00575662" w:rsidRDefault="00575662" w:rsidP="00575662">
      <w:pPr>
        <w:pStyle w:val="SangriaFrancesaArticulo"/>
      </w:pPr>
      <w:r w:rsidRPr="00575662">
        <w:rPr>
          <w:rStyle w:val="TextoNormalNegritaCaracter"/>
        </w:rPr>
        <w:t>Artículo 131.</w:t>
      </w:r>
      <w:r w:rsidRPr="00575662">
        <w:rPr>
          <w:rStyle w:val="TextoNormalCaracter"/>
        </w:rPr>
        <w:t>-</w:t>
      </w:r>
      <w:r>
        <w:t xml:space="preserve"> Auto </w:t>
      </w:r>
      <w:hyperlink w:anchor="AUTO_1997_71" w:history="1">
        <w:r w:rsidRPr="00575662">
          <w:rPr>
            <w:rStyle w:val="TextoNormalCaracter"/>
          </w:rPr>
          <w:t>71/1997</w:t>
        </w:r>
      </w:hyperlink>
      <w:r>
        <w:t>.</w:t>
      </w:r>
    </w:p>
    <w:p w:rsidR="00575662" w:rsidRDefault="00575662" w:rsidP="00575662">
      <w:pPr>
        <w:pStyle w:val="SangriaFrancesaArticulo"/>
      </w:pPr>
      <w:r w:rsidRPr="00575662">
        <w:rPr>
          <w:rStyle w:val="TextoNormalNegritaCaracter"/>
        </w:rPr>
        <w:t>Artículo 132.1.</w:t>
      </w:r>
      <w:r w:rsidRPr="00575662">
        <w:rPr>
          <w:rStyle w:val="TextoNormalCaracter"/>
        </w:rPr>
        <w:t>-</w:t>
      </w:r>
      <w:r>
        <w:t xml:space="preserve"> Auto </w:t>
      </w:r>
      <w:hyperlink w:anchor="AUTO_1997_71" w:history="1">
        <w:r w:rsidRPr="00575662">
          <w:rPr>
            <w:rStyle w:val="TextoNormalCaracter"/>
          </w:rPr>
          <w:t>71/1997</w:t>
        </w:r>
      </w:hyperlink>
      <w:r>
        <w:t>.</w:t>
      </w:r>
    </w:p>
    <w:p w:rsidR="00575662" w:rsidRDefault="00575662" w:rsidP="00575662">
      <w:pPr>
        <w:pStyle w:val="SangriaFrancesaArticulo"/>
      </w:pPr>
    </w:p>
    <w:p w:rsidR="00575662" w:rsidRDefault="00575662" w:rsidP="00575662">
      <w:pPr>
        <w:pStyle w:val="TextoNormalNegritaCursivandice"/>
      </w:pPr>
      <w:r>
        <w:t>Decreto de 21 de noviembre de 1952. Justicia municipal. Normas procesales</w:t>
      </w:r>
    </w:p>
    <w:p w:rsidR="00575662" w:rsidRDefault="00575662" w:rsidP="00575662">
      <w:pPr>
        <w:pStyle w:val="SangriaFrancesaArticulo"/>
      </w:pPr>
      <w:r w:rsidRPr="00575662">
        <w:rPr>
          <w:rStyle w:val="TextoNormalNegritaCaracter"/>
        </w:rPr>
        <w:t>Artículo 59</w:t>
      </w:r>
      <w:r>
        <w:t xml:space="preserve"> </w:t>
      </w:r>
      <w:r w:rsidRPr="00575662">
        <w:rPr>
          <w:rStyle w:val="TextoNormalCaracter"/>
        </w:rPr>
        <w:t>(redactado por la Ley 34/1984, de 6 de agosto)</w:t>
      </w:r>
      <w:r w:rsidRPr="00575662">
        <w:rPr>
          <w:rStyle w:val="TextoNormalNegritaCaracter"/>
        </w:rPr>
        <w:t>.</w:t>
      </w:r>
      <w:r w:rsidRPr="00575662">
        <w:rPr>
          <w:rStyle w:val="TextoNormalCaracter"/>
        </w:rPr>
        <w:t>-</w:t>
      </w:r>
      <w:r>
        <w:t xml:space="preserve"> Sentencia </w:t>
      </w:r>
      <w:hyperlink w:anchor="SENTENCIA_1997_53" w:history="1">
        <w:r w:rsidRPr="00575662">
          <w:rPr>
            <w:rStyle w:val="TextoNormalCaracter"/>
          </w:rPr>
          <w:t>53/1997</w:t>
        </w:r>
      </w:hyperlink>
      <w:r>
        <w:t>, f. 1.</w:t>
      </w:r>
    </w:p>
    <w:p w:rsidR="00575662" w:rsidRDefault="00575662" w:rsidP="00575662">
      <w:pPr>
        <w:pStyle w:val="SangriaFrancesaArticulo"/>
      </w:pPr>
    </w:p>
    <w:p w:rsidR="00575662" w:rsidRDefault="00575662" w:rsidP="00575662">
      <w:pPr>
        <w:pStyle w:val="TextoNormalNegritaCursivandice"/>
      </w:pPr>
      <w:r>
        <w:t>Concordato entre la Santa Sede y el Estado español de 27 de agosto de 1953. Ratificado por Instrumento de 26 de octubre</w:t>
      </w:r>
    </w:p>
    <w:p w:rsidR="00575662" w:rsidRDefault="00575662" w:rsidP="00575662">
      <w:pPr>
        <w:pStyle w:val="SangriaFrancesaArticulo"/>
      </w:pPr>
      <w:r w:rsidRPr="00575662">
        <w:rPr>
          <w:rStyle w:val="TextoNormalNegritaCaracter"/>
        </w:rPr>
        <w:t>Artículo 24.</w:t>
      </w:r>
      <w:r w:rsidRPr="00575662">
        <w:rPr>
          <w:rStyle w:val="TextoNormalCaracter"/>
        </w:rPr>
        <w:t>-</w:t>
      </w:r>
      <w:r>
        <w:t xml:space="preserve"> Sentencia </w:t>
      </w:r>
      <w:hyperlink w:anchor="SENTENCIA_1997_6" w:history="1">
        <w:r w:rsidRPr="00575662">
          <w:rPr>
            <w:rStyle w:val="TextoNormalCaracter"/>
          </w:rPr>
          <w:t>6/1997</w:t>
        </w:r>
      </w:hyperlink>
      <w:r>
        <w:t>, f. 5.</w:t>
      </w:r>
    </w:p>
    <w:p w:rsidR="00575662" w:rsidRDefault="00575662" w:rsidP="00575662">
      <w:pPr>
        <w:pStyle w:val="SangriaFrancesaArticulo"/>
      </w:pPr>
      <w:r w:rsidRPr="00575662">
        <w:rPr>
          <w:rStyle w:val="TextoNormalNegritaCaracter"/>
        </w:rPr>
        <w:t>Artículo 24.3.</w:t>
      </w:r>
      <w:r w:rsidRPr="00575662">
        <w:rPr>
          <w:rStyle w:val="TextoNormalCaracter"/>
        </w:rPr>
        <w:t>-</w:t>
      </w:r>
      <w:r>
        <w:t xml:space="preserve"> Sentencia </w:t>
      </w:r>
      <w:hyperlink w:anchor="SENTENCIA_1997_6" w:history="1">
        <w:r w:rsidRPr="00575662">
          <w:rPr>
            <w:rStyle w:val="TextoNormalCaracter"/>
          </w:rPr>
          <w:t>6/1997</w:t>
        </w:r>
      </w:hyperlink>
      <w:r>
        <w:t>, f. 1.</w:t>
      </w:r>
    </w:p>
    <w:p w:rsidR="00575662" w:rsidRDefault="00575662" w:rsidP="00575662">
      <w:pPr>
        <w:pStyle w:val="SangriaFrancesaArticulo"/>
      </w:pPr>
    </w:p>
    <w:p w:rsidR="00575662" w:rsidRDefault="00575662" w:rsidP="00575662">
      <w:pPr>
        <w:pStyle w:val="TextoNormalNegritaCursivandice"/>
      </w:pPr>
      <w:r>
        <w:t>Ley de 16 de diciembre de 1954. Expropiación forzosa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61" w:history="1">
        <w:r w:rsidRPr="00575662">
          <w:rPr>
            <w:rStyle w:val="TextoNormalCaracter"/>
          </w:rPr>
          <w:t>61/1997</w:t>
        </w:r>
      </w:hyperlink>
      <w:r>
        <w:t>, ff. 29, 30.</w:t>
      </w:r>
    </w:p>
    <w:p w:rsidR="00575662" w:rsidRDefault="00575662" w:rsidP="00575662">
      <w:pPr>
        <w:pStyle w:val="SangriaFrancesaArticulo"/>
      </w:pPr>
      <w:r w:rsidRPr="00575662">
        <w:rPr>
          <w:rStyle w:val="TextoNormalNegritaCaracter"/>
        </w:rPr>
        <w:t>Artículo 5.1.</w:t>
      </w:r>
      <w:r w:rsidRPr="00575662">
        <w:rPr>
          <w:rStyle w:val="TextoNormalCaracter"/>
        </w:rPr>
        <w:t>-</w:t>
      </w:r>
      <w:r>
        <w:t xml:space="preserve"> Sentencia </w:t>
      </w:r>
      <w:hyperlink w:anchor="SENTENCIA_1997_61" w:history="1">
        <w:r w:rsidRPr="00575662">
          <w:rPr>
            <w:rStyle w:val="TextoNormalCaracter"/>
          </w:rPr>
          <w:t>61/1997</w:t>
        </w:r>
      </w:hyperlink>
      <w:r>
        <w:t>, f. 29.</w:t>
      </w:r>
    </w:p>
    <w:p w:rsidR="00575662" w:rsidRDefault="00575662" w:rsidP="00575662">
      <w:pPr>
        <w:pStyle w:val="SangriaFrancesaArticulo"/>
      </w:pPr>
      <w:r w:rsidRPr="00575662">
        <w:rPr>
          <w:rStyle w:val="TextoNormalNegritaCaracter"/>
        </w:rPr>
        <w:t>Artículo 20.</w:t>
      </w:r>
      <w:r w:rsidRPr="00575662">
        <w:rPr>
          <w:rStyle w:val="TextoNormalCaracter"/>
        </w:rPr>
        <w:t>-</w:t>
      </w:r>
      <w:r>
        <w:t xml:space="preserve"> Sentencia </w:t>
      </w:r>
      <w:hyperlink w:anchor="SENTENCIA_1997_61" w:history="1">
        <w:r w:rsidRPr="00575662">
          <w:rPr>
            <w:rStyle w:val="TextoNormalCaracter"/>
          </w:rPr>
          <w:t>61/1997</w:t>
        </w:r>
      </w:hyperlink>
      <w:r>
        <w:t>, f. 29.</w:t>
      </w:r>
    </w:p>
    <w:p w:rsidR="00575662" w:rsidRDefault="00575662" w:rsidP="00575662">
      <w:pPr>
        <w:pStyle w:val="SangriaFrancesaArticulo"/>
      </w:pPr>
      <w:r w:rsidRPr="00575662">
        <w:rPr>
          <w:rStyle w:val="TextoNormalNegritaCaracter"/>
        </w:rPr>
        <w:t>Artículo 21.2.</w:t>
      </w:r>
      <w:r w:rsidRPr="00575662">
        <w:rPr>
          <w:rStyle w:val="TextoNormalCaracter"/>
        </w:rPr>
        <w:t>-</w:t>
      </w:r>
      <w:r>
        <w:t xml:space="preserve"> Sentencia </w:t>
      </w:r>
      <w:hyperlink w:anchor="SENTENCIA_1997_61" w:history="1">
        <w:r w:rsidRPr="00575662">
          <w:rPr>
            <w:rStyle w:val="TextoNormalCaracter"/>
          </w:rPr>
          <w:t>61/1997</w:t>
        </w:r>
      </w:hyperlink>
      <w:r>
        <w:t>, f. 29.</w:t>
      </w:r>
    </w:p>
    <w:p w:rsidR="00575662" w:rsidRDefault="00575662" w:rsidP="00575662">
      <w:pPr>
        <w:pStyle w:val="SangriaFrancesaArticulo"/>
      </w:pPr>
      <w:r w:rsidRPr="00575662">
        <w:rPr>
          <w:rStyle w:val="TextoNormalNegritaCaracter"/>
        </w:rPr>
        <w:t>Artículo 52.</w:t>
      </w:r>
      <w:r w:rsidRPr="00575662">
        <w:rPr>
          <w:rStyle w:val="TextoNormalCaracter"/>
        </w:rPr>
        <w:t>-</w:t>
      </w:r>
      <w:r>
        <w:t xml:space="preserve"> Sentencia </w:t>
      </w:r>
      <w:hyperlink w:anchor="SENTENCIA_12997_61" w:history="1">
        <w:r w:rsidRPr="00575662">
          <w:rPr>
            <w:rStyle w:val="TextoNormalCaracter"/>
          </w:rPr>
          <w:t>61/1997</w:t>
        </w:r>
      </w:hyperlink>
      <w:r>
        <w:t>, f. 29.</w:t>
      </w:r>
    </w:p>
    <w:p w:rsidR="00575662" w:rsidRDefault="00575662" w:rsidP="00575662">
      <w:pPr>
        <w:pStyle w:val="SangriaFrancesaArticulo"/>
      </w:pPr>
      <w:r w:rsidRPr="00575662">
        <w:rPr>
          <w:rStyle w:val="TextoNormalNegritaCaracter"/>
        </w:rPr>
        <w:t>Artículo 75 a).</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108.1.</w:t>
      </w:r>
      <w:r w:rsidRPr="00575662">
        <w:rPr>
          <w:rStyle w:val="TextoNormalCaracter"/>
        </w:rPr>
        <w:t>-</w:t>
      </w:r>
      <w:r>
        <w:t xml:space="preserve"> Sentencia </w:t>
      </w:r>
      <w:hyperlink w:anchor="SENTENCIA_1997_61" w:history="1">
        <w:r w:rsidRPr="00575662">
          <w:rPr>
            <w:rStyle w:val="TextoNormalCaracter"/>
          </w:rPr>
          <w:t>61/1997</w:t>
        </w:r>
      </w:hyperlink>
      <w:r>
        <w:t>, f. 25.</w:t>
      </w:r>
    </w:p>
    <w:p w:rsidR="00575662" w:rsidRDefault="00575662" w:rsidP="00575662">
      <w:pPr>
        <w:pStyle w:val="SangriaFrancesaArticulo"/>
      </w:pPr>
    </w:p>
    <w:p w:rsidR="00575662" w:rsidRDefault="00575662" w:rsidP="00575662">
      <w:pPr>
        <w:pStyle w:val="TextoNormalNegritaCursivandice"/>
      </w:pPr>
      <w:r>
        <w:t>Ley de 22 de diciembre de 1955. Régimen de las clases de tropa, suboficiales y Escala auxiliar del ejército</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64" w:history="1">
        <w:r w:rsidRPr="00575662">
          <w:rPr>
            <w:rStyle w:val="TextoNormalCaracter"/>
          </w:rPr>
          <w:t>64/1997</w:t>
        </w:r>
      </w:hyperlink>
      <w:r>
        <w:t>, f. 5.</w:t>
      </w:r>
    </w:p>
    <w:p w:rsidR="00575662" w:rsidRDefault="00575662" w:rsidP="00575662">
      <w:pPr>
        <w:pStyle w:val="SangriaFrancesaArticulo"/>
      </w:pPr>
    </w:p>
    <w:p w:rsidR="00575662" w:rsidRDefault="00575662" w:rsidP="00575662">
      <w:pPr>
        <w:pStyle w:val="TextoNormalNegritaCursivandice"/>
      </w:pPr>
      <w:r>
        <w:t>Ley de 12 de mayo de 1956. Régimen del suelo y ordenación urbana</w:t>
      </w:r>
    </w:p>
    <w:p w:rsidR="00575662" w:rsidRDefault="00575662" w:rsidP="00575662">
      <w:pPr>
        <w:pStyle w:val="SangriaFrancesaArticulo"/>
      </w:pPr>
      <w:r w:rsidRPr="00575662">
        <w:rPr>
          <w:rStyle w:val="TextoNormalNegritaCaracter"/>
        </w:rPr>
        <w:t>Artículo 1.</w:t>
      </w:r>
      <w:r w:rsidRPr="00575662">
        <w:rPr>
          <w:rStyle w:val="TextoNormalCaracter"/>
        </w:rPr>
        <w:t>-</w:t>
      </w:r>
      <w:r>
        <w:t xml:space="preserve"> Sentencia </w:t>
      </w:r>
      <w:hyperlink w:anchor="SENTENCIA_1997_61" w:history="1">
        <w:r w:rsidRPr="00575662">
          <w:rPr>
            <w:rStyle w:val="TextoNormalCaracter"/>
          </w:rPr>
          <w:t>61/1997</w:t>
        </w:r>
      </w:hyperlink>
      <w:r>
        <w:t>, f. 6.</w:t>
      </w:r>
    </w:p>
    <w:p w:rsidR="00575662" w:rsidRDefault="00575662" w:rsidP="00575662">
      <w:pPr>
        <w:pStyle w:val="SangriaFrancesaArticulo"/>
      </w:pPr>
    </w:p>
    <w:p w:rsidR="00575662" w:rsidRDefault="00575662" w:rsidP="00575662">
      <w:pPr>
        <w:pStyle w:val="TextoNormalNegritaCursivandice"/>
      </w:pPr>
      <w:r>
        <w:t>Decreto de 14 de diciembre de 1956. Reglamento del Registro Mercantil</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87" w:history="1">
        <w:r w:rsidRPr="00575662">
          <w:rPr>
            <w:rStyle w:val="TextoNormalCaracter"/>
          </w:rPr>
          <w:t>87/1997</w:t>
        </w:r>
      </w:hyperlink>
      <w:r>
        <w:t>, f. 5.</w:t>
      </w:r>
    </w:p>
    <w:p w:rsidR="00575662" w:rsidRDefault="00575662" w:rsidP="00575662">
      <w:pPr>
        <w:pStyle w:val="SangriaFrancesaArticulo"/>
      </w:pPr>
    </w:p>
    <w:p w:rsidR="00575662" w:rsidRDefault="00575662" w:rsidP="00575662">
      <w:pPr>
        <w:pStyle w:val="TextoNormalNegritaCursivandice"/>
      </w:pPr>
      <w:r>
        <w:t>Ley de 27 de diciembre de 1956. Jurisdicción contencioso-administrativa</w:t>
      </w:r>
    </w:p>
    <w:p w:rsidR="00575662" w:rsidRDefault="00575662" w:rsidP="00575662">
      <w:pPr>
        <w:pStyle w:val="SangriaFrancesaArticulo"/>
      </w:pPr>
      <w:r w:rsidRPr="00575662">
        <w:rPr>
          <w:rStyle w:val="TextoNormalNegritaCaracter"/>
        </w:rPr>
        <w:t>Exposición de motivos.</w:t>
      </w:r>
      <w:r w:rsidRPr="00575662">
        <w:rPr>
          <w:rStyle w:val="TextoNormalCaracter"/>
        </w:rPr>
        <w:t>-</w:t>
      </w:r>
      <w:r>
        <w:t xml:space="preserve"> Sentencia </w:t>
      </w:r>
      <w:hyperlink w:anchor="SENTENCIA_1997_14" w:history="1">
        <w:r w:rsidRPr="00575662">
          <w:rPr>
            <w:rStyle w:val="TextoNormalCaracter"/>
          </w:rPr>
          <w:t>14/1997</w:t>
        </w:r>
      </w:hyperlink>
      <w:r>
        <w:t>, f. 9.</w:t>
      </w:r>
    </w:p>
    <w:p w:rsidR="00575662" w:rsidRDefault="00575662" w:rsidP="00575662">
      <w:pPr>
        <w:pStyle w:val="SangriaFrancesaArticulo"/>
      </w:pPr>
      <w:r w:rsidRPr="00575662">
        <w:rPr>
          <w:rStyle w:val="TextoNormalNegritaCaracter"/>
        </w:rPr>
        <w:lastRenderedPageBreak/>
        <w:t>Artículo 1.</w:t>
      </w:r>
      <w:r w:rsidRPr="00575662">
        <w:rPr>
          <w:rStyle w:val="TextoNormalCaracter"/>
        </w:rPr>
        <w:t>-</w:t>
      </w:r>
      <w:r>
        <w:t xml:space="preserve"> Auto </w:t>
      </w:r>
      <w:hyperlink w:anchor="AUTO_1997_95" w:history="1">
        <w:r w:rsidRPr="00575662">
          <w:rPr>
            <w:rStyle w:val="TextoNormalCaracter"/>
          </w:rPr>
          <w:t>95/1997</w:t>
        </w:r>
      </w:hyperlink>
      <w:r>
        <w:t>.</w:t>
      </w:r>
    </w:p>
    <w:p w:rsidR="00575662" w:rsidRDefault="00575662" w:rsidP="00575662">
      <w:pPr>
        <w:pStyle w:val="SangriaFrancesaArticulo"/>
      </w:pPr>
      <w:r w:rsidRPr="00575662">
        <w:rPr>
          <w:rStyle w:val="TextoNormalNegritaCaracter"/>
        </w:rPr>
        <w:t>Artículo 1.2.</w:t>
      </w:r>
      <w:r w:rsidRPr="00575662">
        <w:rPr>
          <w:rStyle w:val="TextoNormalCaracter"/>
        </w:rPr>
        <w:t>-</w:t>
      </w:r>
      <w:r>
        <w:t xml:space="preserve"> Auto </w:t>
      </w:r>
      <w:hyperlink w:anchor="AUTO_1997_95" w:history="1">
        <w:r w:rsidRPr="00575662">
          <w:rPr>
            <w:rStyle w:val="TextoNormalCaracter"/>
          </w:rPr>
          <w:t>95/1997</w:t>
        </w:r>
      </w:hyperlink>
      <w:r>
        <w:t>.</w:t>
      </w:r>
    </w:p>
    <w:p w:rsidR="00575662" w:rsidRDefault="00575662" w:rsidP="00575662">
      <w:pPr>
        <w:pStyle w:val="SangriaFrancesaArticulo"/>
      </w:pPr>
      <w:r w:rsidRPr="00575662">
        <w:rPr>
          <w:rStyle w:val="TextoNormalNegritaCaracter"/>
        </w:rPr>
        <w:t>Artículo 28.1 a).</w:t>
      </w:r>
      <w:r w:rsidRPr="00575662">
        <w:rPr>
          <w:rStyle w:val="TextoNormalCaracter"/>
        </w:rPr>
        <w:t>-</w:t>
      </w:r>
      <w:r>
        <w:t xml:space="preserve"> Sentencias </w:t>
      </w:r>
      <w:hyperlink w:anchor="SENTENCIA_1997_55" w:history="1">
        <w:r w:rsidRPr="00575662">
          <w:rPr>
            <w:rStyle w:val="TextoNormalCaracter"/>
          </w:rPr>
          <w:t>55/1997</w:t>
        </w:r>
      </w:hyperlink>
      <w:r>
        <w:t xml:space="preserve">, f. 3, VP; </w:t>
      </w:r>
      <w:hyperlink w:anchor="SENTENCIA_1997_78" w:history="1">
        <w:r w:rsidRPr="00575662">
          <w:rPr>
            <w:rStyle w:val="TextoNormalCaracter"/>
          </w:rPr>
          <w:t>78/1997</w:t>
        </w:r>
      </w:hyperlink>
      <w:r>
        <w:t>, f. 1.</w:t>
      </w:r>
    </w:p>
    <w:p w:rsidR="00575662" w:rsidRDefault="00575662" w:rsidP="00575662">
      <w:pPr>
        <w:pStyle w:val="SangriaFrancesaArticulo"/>
      </w:pPr>
      <w:r w:rsidRPr="00575662">
        <w:rPr>
          <w:rStyle w:val="TextoNormalNegritaCaracter"/>
        </w:rPr>
        <w:t>Artículo 42.</w:t>
      </w:r>
      <w:r w:rsidRPr="00575662">
        <w:rPr>
          <w:rStyle w:val="TextoNormalCaracter"/>
        </w:rPr>
        <w:t>-</w:t>
      </w:r>
      <w:r>
        <w:t xml:space="preserve"> Auto </w:t>
      </w:r>
      <w:hyperlink w:anchor="AUTO_1997_105" w:history="1">
        <w:r w:rsidRPr="00575662">
          <w:rPr>
            <w:rStyle w:val="TextoNormalCaracter"/>
          </w:rPr>
          <w:t>105/1997</w:t>
        </w:r>
      </w:hyperlink>
      <w:r>
        <w:t>.</w:t>
      </w:r>
    </w:p>
    <w:p w:rsidR="00575662" w:rsidRDefault="00575662" w:rsidP="00575662">
      <w:pPr>
        <w:pStyle w:val="SangriaFrancesaArticulo"/>
      </w:pPr>
      <w:r w:rsidRPr="00575662">
        <w:rPr>
          <w:rStyle w:val="TextoNormalNegritaCaracter"/>
        </w:rPr>
        <w:t>Artículo 43.2.</w:t>
      </w:r>
      <w:r w:rsidRPr="00575662">
        <w:rPr>
          <w:rStyle w:val="TextoNormalCaracter"/>
        </w:rPr>
        <w:t>-</w:t>
      </w:r>
      <w:r>
        <w:t xml:space="preserve"> Sentencia </w:t>
      </w:r>
      <w:hyperlink w:anchor="SENTENCIA_1997_55" w:history="1">
        <w:r w:rsidRPr="00575662">
          <w:rPr>
            <w:rStyle w:val="TextoNormalCaracter"/>
          </w:rPr>
          <w:t>55/1997</w:t>
        </w:r>
      </w:hyperlink>
      <w:r>
        <w:t>, VP.</w:t>
      </w:r>
    </w:p>
    <w:p w:rsidR="00575662" w:rsidRDefault="00575662" w:rsidP="00575662">
      <w:pPr>
        <w:pStyle w:val="SangriaFrancesaArticulo"/>
      </w:pPr>
      <w:r w:rsidRPr="00575662">
        <w:rPr>
          <w:rStyle w:val="TextoNormalNegritaCaracter"/>
        </w:rPr>
        <w:t>Artículo 52.1.</w:t>
      </w:r>
      <w:r w:rsidRPr="00575662">
        <w:rPr>
          <w:rStyle w:val="TextoNormalCaracter"/>
        </w:rPr>
        <w:t>-</w:t>
      </w:r>
      <w:r>
        <w:t xml:space="preserve"> Sentencias </w:t>
      </w:r>
      <w:hyperlink w:anchor="SENTENCIA_1997_55" w:history="1">
        <w:r w:rsidRPr="00575662">
          <w:rPr>
            <w:rStyle w:val="TextoNormalCaracter"/>
          </w:rPr>
          <w:t>55/1997</w:t>
        </w:r>
      </w:hyperlink>
      <w:r>
        <w:t xml:space="preserve">, f. 3, VP; </w:t>
      </w:r>
      <w:hyperlink w:anchor="SENTENCIA_1997_69" w:history="1">
        <w:r w:rsidRPr="00575662">
          <w:rPr>
            <w:rStyle w:val="TextoNormalCaracter"/>
          </w:rPr>
          <w:t>69/1997</w:t>
        </w:r>
      </w:hyperlink>
      <w:r>
        <w:t>, f. 6.</w:t>
      </w:r>
    </w:p>
    <w:p w:rsidR="00575662" w:rsidRDefault="00575662" w:rsidP="00575662">
      <w:pPr>
        <w:pStyle w:val="SangriaFrancesaArticulo"/>
      </w:pPr>
      <w:r w:rsidRPr="00575662">
        <w:rPr>
          <w:rStyle w:val="TextoNormalNegritaCaracter"/>
        </w:rPr>
        <w:t>Artículo 55.</w:t>
      </w:r>
      <w:r w:rsidRPr="00575662">
        <w:rPr>
          <w:rStyle w:val="TextoNormalCaracter"/>
        </w:rPr>
        <w:t>-</w:t>
      </w:r>
      <w:r>
        <w:t xml:space="preserve"> Sentencia </w:t>
      </w:r>
      <w:hyperlink w:anchor="SENTENCIA_1997_55" w:history="1">
        <w:r w:rsidRPr="00575662">
          <w:rPr>
            <w:rStyle w:val="TextoNormalCaracter"/>
          </w:rPr>
          <w:t>55/1997</w:t>
        </w:r>
      </w:hyperlink>
      <w:r>
        <w:t>, f. 3.</w:t>
      </w:r>
    </w:p>
    <w:p w:rsidR="00575662" w:rsidRDefault="00575662" w:rsidP="00575662">
      <w:pPr>
        <w:pStyle w:val="SangriaFrancesaArticulo"/>
      </w:pPr>
      <w:r w:rsidRPr="00575662">
        <w:rPr>
          <w:rStyle w:val="TextoNormalNegritaCaracter"/>
        </w:rPr>
        <w:t>Artículo 57.2 f).</w:t>
      </w:r>
      <w:r w:rsidRPr="00575662">
        <w:rPr>
          <w:rStyle w:val="TextoNormalCaracter"/>
        </w:rPr>
        <w:t>-</w:t>
      </w:r>
      <w:r>
        <w:t xml:space="preserve"> Sentencias </w:t>
      </w:r>
      <w:hyperlink w:anchor="SENTENCIA_1997_19" w:history="1">
        <w:r w:rsidRPr="00575662">
          <w:rPr>
            <w:rStyle w:val="TextoNormalCaracter"/>
          </w:rPr>
          <w:t>19/1997</w:t>
        </w:r>
      </w:hyperlink>
      <w:r>
        <w:t xml:space="preserve">, ff. 1, 3; </w:t>
      </w:r>
      <w:hyperlink w:anchor="SENTENCIA_1997_65" w:history="1">
        <w:r w:rsidRPr="00575662">
          <w:rPr>
            <w:rStyle w:val="TextoNormalCaracter"/>
          </w:rPr>
          <w:t>65/1997</w:t>
        </w:r>
      </w:hyperlink>
      <w:r>
        <w:t xml:space="preserve">, f. 2; </w:t>
      </w:r>
      <w:hyperlink w:anchor="SENTENCIA_1997_69" w:history="1">
        <w:r w:rsidRPr="00575662">
          <w:rPr>
            <w:rStyle w:val="TextoNormalCaracter"/>
          </w:rPr>
          <w:t>69/1997</w:t>
        </w:r>
      </w:hyperlink>
      <w:r>
        <w:t>, f. 6.</w:t>
      </w:r>
    </w:p>
    <w:p w:rsidR="00575662" w:rsidRDefault="00575662" w:rsidP="00575662">
      <w:pPr>
        <w:pStyle w:val="SangriaFrancesaArticulo"/>
      </w:pPr>
      <w:r w:rsidRPr="00575662">
        <w:rPr>
          <w:rStyle w:val="TextoNormalNegritaCaracter"/>
        </w:rPr>
        <w:t>Artículo 74.3.</w:t>
      </w:r>
      <w:r w:rsidRPr="00575662">
        <w:rPr>
          <w:rStyle w:val="TextoNormalCaracter"/>
        </w:rPr>
        <w:t>-</w:t>
      </w:r>
      <w:r>
        <w:t xml:space="preserve"> Sentencia </w:t>
      </w:r>
      <w:hyperlink w:anchor="SENTENCIA_1997_14" w:history="1">
        <w:r w:rsidRPr="00575662">
          <w:rPr>
            <w:rStyle w:val="TextoNormalCaracter"/>
          </w:rPr>
          <w:t>14/1997</w:t>
        </w:r>
      </w:hyperlink>
      <w:r>
        <w:t>, f. 8.</w:t>
      </w:r>
    </w:p>
    <w:p w:rsidR="00575662" w:rsidRDefault="00575662" w:rsidP="00575662">
      <w:pPr>
        <w:pStyle w:val="SangriaFrancesaArticulo"/>
      </w:pPr>
      <w:r w:rsidRPr="00575662">
        <w:rPr>
          <w:rStyle w:val="TextoNormalNegritaCaracter"/>
        </w:rPr>
        <w:t>Artículo 79.1.</w:t>
      </w:r>
      <w:r w:rsidRPr="00575662">
        <w:rPr>
          <w:rStyle w:val="TextoNormalCaracter"/>
        </w:rPr>
        <w:t>-</w:t>
      </w:r>
      <w:r>
        <w:t xml:space="preserve"> Sentencia </w:t>
      </w:r>
      <w:hyperlink w:anchor="SENTENCIA_1997_78" w:history="1">
        <w:r w:rsidRPr="00575662">
          <w:rPr>
            <w:rStyle w:val="TextoNormalCaracter"/>
          </w:rPr>
          <w:t>78/1997</w:t>
        </w:r>
      </w:hyperlink>
      <w:r>
        <w:t>, f. 2.</w:t>
      </w:r>
    </w:p>
    <w:p w:rsidR="00575662" w:rsidRDefault="00575662" w:rsidP="00575662">
      <w:pPr>
        <w:pStyle w:val="SangriaFrancesaArticulo"/>
      </w:pPr>
      <w:r w:rsidRPr="00575662">
        <w:rPr>
          <w:rStyle w:val="TextoNormalNegritaCaracter"/>
        </w:rPr>
        <w:t>Artículo 82 e).</w:t>
      </w:r>
      <w:r w:rsidRPr="00575662">
        <w:rPr>
          <w:rStyle w:val="TextoNormalCaracter"/>
        </w:rPr>
        <w:t>-</w:t>
      </w:r>
      <w:r>
        <w:t xml:space="preserve"> Sentencia </w:t>
      </w:r>
      <w:hyperlink w:anchor="SENTENCIA_1997_69" w:history="1">
        <w:r w:rsidRPr="00575662">
          <w:rPr>
            <w:rStyle w:val="TextoNormalCaracter"/>
          </w:rPr>
          <w:t>69/1997</w:t>
        </w:r>
      </w:hyperlink>
      <w:r>
        <w:t>, f. 6.</w:t>
      </w:r>
    </w:p>
    <w:p w:rsidR="00575662" w:rsidRDefault="00575662" w:rsidP="00575662">
      <w:pPr>
        <w:pStyle w:val="SangriaFrancesaArticulo"/>
      </w:pPr>
      <w:r w:rsidRPr="00575662">
        <w:rPr>
          <w:rStyle w:val="TextoNormalNegritaCaracter"/>
        </w:rPr>
        <w:t>Artículo 84 b).</w:t>
      </w:r>
      <w:r w:rsidRPr="00575662">
        <w:rPr>
          <w:rStyle w:val="TextoNormalCaracter"/>
        </w:rPr>
        <w:t>-</w:t>
      </w:r>
      <w:r>
        <w:t xml:space="preserve"> Auto </w:t>
      </w:r>
      <w:hyperlink w:anchor="AUTO_1997_105" w:history="1">
        <w:r w:rsidRPr="00575662">
          <w:rPr>
            <w:rStyle w:val="TextoNormalCaracter"/>
          </w:rPr>
          <w:t>105/1997</w:t>
        </w:r>
      </w:hyperlink>
      <w:r>
        <w:t>.</w:t>
      </w:r>
    </w:p>
    <w:p w:rsidR="00575662" w:rsidRDefault="00575662" w:rsidP="00575662">
      <w:pPr>
        <w:pStyle w:val="SangriaFrancesaArticulo"/>
      </w:pPr>
      <w:r w:rsidRPr="00575662">
        <w:rPr>
          <w:rStyle w:val="TextoNormalNegritaCaracter"/>
        </w:rPr>
        <w:t>Artículo 90.</w:t>
      </w:r>
      <w:r w:rsidRPr="00575662">
        <w:rPr>
          <w:rStyle w:val="TextoNormalCaracter"/>
        </w:rPr>
        <w:t>-</w:t>
      </w:r>
      <w:r>
        <w:t xml:space="preserve"> Sentencia </w:t>
      </w:r>
      <w:hyperlink w:anchor="SENTENCIA_1997_69" w:history="1">
        <w:r w:rsidRPr="00575662">
          <w:rPr>
            <w:rStyle w:val="TextoNormalCaracter"/>
          </w:rPr>
          <w:t>69/1997</w:t>
        </w:r>
      </w:hyperlink>
      <w:r>
        <w:t>, f. 4.</w:t>
      </w:r>
    </w:p>
    <w:p w:rsidR="00575662" w:rsidRDefault="00575662" w:rsidP="00575662">
      <w:pPr>
        <w:pStyle w:val="SangriaFrancesaArticulo"/>
      </w:pPr>
      <w:r w:rsidRPr="00575662">
        <w:rPr>
          <w:rStyle w:val="TextoNormalNegritaCaracter"/>
        </w:rPr>
        <w:t>Artículo 93.2 a).</w:t>
      </w:r>
      <w:r w:rsidRPr="00575662">
        <w:rPr>
          <w:rStyle w:val="TextoNormalCaracter"/>
        </w:rPr>
        <w:t>-</w:t>
      </w:r>
      <w:r>
        <w:t xml:space="preserve"> Sentencia </w:t>
      </w:r>
      <w:hyperlink w:anchor="SENTENCIA_1997_79" w:history="1">
        <w:r w:rsidRPr="00575662">
          <w:rPr>
            <w:rStyle w:val="TextoNormalCaracter"/>
          </w:rPr>
          <w:t>79/1997</w:t>
        </w:r>
      </w:hyperlink>
      <w:r>
        <w:t>, f. 2.</w:t>
      </w:r>
    </w:p>
    <w:p w:rsidR="00575662" w:rsidRDefault="00575662" w:rsidP="00575662">
      <w:pPr>
        <w:pStyle w:val="SangriaIzquierdaArticulo"/>
      </w:pPr>
      <w:r>
        <w:t xml:space="preserve">Auto </w:t>
      </w:r>
      <w:hyperlink w:anchor="AUTO_1997_30" w:history="1">
        <w:r w:rsidRPr="00575662">
          <w:rPr>
            <w:rStyle w:val="TextoNormalCaracter"/>
          </w:rPr>
          <w:t>30/1997</w:t>
        </w:r>
      </w:hyperlink>
      <w:r>
        <w:t>.</w:t>
      </w:r>
    </w:p>
    <w:p w:rsidR="00575662" w:rsidRDefault="00575662" w:rsidP="00575662">
      <w:pPr>
        <w:pStyle w:val="SangriaFrancesaArticulo"/>
      </w:pPr>
      <w:r w:rsidRPr="00575662">
        <w:rPr>
          <w:rStyle w:val="TextoNormalNegritaCaracter"/>
        </w:rPr>
        <w:t>Artículo 93.2 b).</w:t>
      </w:r>
      <w:r w:rsidRPr="00575662">
        <w:rPr>
          <w:rStyle w:val="TextoNormalCaracter"/>
        </w:rPr>
        <w:t>-</w:t>
      </w:r>
      <w:r>
        <w:t xml:space="preserve"> Sentencia </w:t>
      </w:r>
      <w:hyperlink w:anchor="SENTENCIA_1997_36" w:history="1">
        <w:r w:rsidRPr="00575662">
          <w:rPr>
            <w:rStyle w:val="TextoNormalCaracter"/>
          </w:rPr>
          <w:t>36/1997</w:t>
        </w:r>
      </w:hyperlink>
      <w:r>
        <w:t>, f. 2.</w:t>
      </w:r>
    </w:p>
    <w:p w:rsidR="00575662" w:rsidRDefault="00575662" w:rsidP="00575662">
      <w:pPr>
        <w:pStyle w:val="SangriaFrancesaArticulo"/>
      </w:pPr>
      <w:r w:rsidRPr="00575662">
        <w:rPr>
          <w:rStyle w:val="TextoNormalNegritaCaracter"/>
        </w:rPr>
        <w:t>Artículo 93.2 c).</w:t>
      </w:r>
      <w:r w:rsidRPr="00575662">
        <w:rPr>
          <w:rStyle w:val="TextoNormalCaracter"/>
        </w:rPr>
        <w:t>-</w:t>
      </w:r>
      <w:r>
        <w:t xml:space="preserve"> Sentencia </w:t>
      </w:r>
      <w:hyperlink w:anchor="SENTENCIA_1997_79" w:history="1">
        <w:r w:rsidRPr="00575662">
          <w:rPr>
            <w:rStyle w:val="TextoNormalCaracter"/>
          </w:rPr>
          <w:t>79/1997</w:t>
        </w:r>
      </w:hyperlink>
      <w:r>
        <w:t>, f. 2.</w:t>
      </w:r>
    </w:p>
    <w:p w:rsidR="00575662" w:rsidRDefault="00575662" w:rsidP="00575662">
      <w:pPr>
        <w:pStyle w:val="SangriaFrancesaArticulo"/>
      </w:pPr>
      <w:r w:rsidRPr="00575662">
        <w:rPr>
          <w:rStyle w:val="TextoNormalNegritaCaracter"/>
        </w:rPr>
        <w:t>Artículo 93.2 d).</w:t>
      </w:r>
      <w:r w:rsidRPr="00575662">
        <w:rPr>
          <w:rStyle w:val="TextoNormalCaracter"/>
        </w:rPr>
        <w:t>-</w:t>
      </w:r>
      <w:r>
        <w:t xml:space="preserve"> Sentencia </w:t>
      </w:r>
      <w:hyperlink w:anchor="SENTENCIA_1997_79" w:history="1">
        <w:r w:rsidRPr="00575662">
          <w:rPr>
            <w:rStyle w:val="TextoNormalCaracter"/>
          </w:rPr>
          <w:t>79/1997</w:t>
        </w:r>
      </w:hyperlink>
      <w:r>
        <w:t>, f. 2.</w:t>
      </w:r>
    </w:p>
    <w:p w:rsidR="00575662" w:rsidRDefault="00575662" w:rsidP="00575662">
      <w:pPr>
        <w:pStyle w:val="SangriaFrancesaArticulo"/>
      </w:pPr>
      <w:r w:rsidRPr="00575662">
        <w:rPr>
          <w:rStyle w:val="TextoNormalNegritaCaracter"/>
        </w:rPr>
        <w:t>Artículo 94.1 a).</w:t>
      </w:r>
      <w:r w:rsidRPr="00575662">
        <w:rPr>
          <w:rStyle w:val="TextoNormalCaracter"/>
        </w:rPr>
        <w:t>-</w:t>
      </w:r>
      <w:r>
        <w:t xml:space="preserve"> Sentencia </w:t>
      </w:r>
      <w:hyperlink w:anchor="SENTENCIA_1997_36" w:history="1">
        <w:r w:rsidRPr="00575662">
          <w:rPr>
            <w:rStyle w:val="TextoNormalCaracter"/>
          </w:rPr>
          <w:t>36/1997</w:t>
        </w:r>
      </w:hyperlink>
      <w:r>
        <w:t>, f. 2.</w:t>
      </w:r>
    </w:p>
    <w:p w:rsidR="00575662" w:rsidRDefault="00575662" w:rsidP="00575662">
      <w:pPr>
        <w:pStyle w:val="SangriaFrancesaArticulo"/>
      </w:pPr>
      <w:r w:rsidRPr="00575662">
        <w:rPr>
          <w:rStyle w:val="TextoNormalNegritaCaracter"/>
        </w:rPr>
        <w:t>Artículo 102 a) apartado 2</w:t>
      </w:r>
      <w:r>
        <w:t xml:space="preserve"> </w:t>
      </w:r>
      <w:r w:rsidRPr="00575662">
        <w:rPr>
          <w:rStyle w:val="TextoNormalCaracter"/>
        </w:rPr>
        <w:t>(redactado por la Ley 10/1992, de 30 de abril)</w:t>
      </w:r>
      <w:r w:rsidRPr="00575662">
        <w:rPr>
          <w:rStyle w:val="TextoNormalNegritaCaracter"/>
        </w:rPr>
        <w:t>.</w:t>
      </w:r>
      <w:r w:rsidRPr="00575662">
        <w:rPr>
          <w:rStyle w:val="TextoNormalCaracter"/>
        </w:rPr>
        <w:t>-</w:t>
      </w:r>
      <w:r>
        <w:t xml:space="preserve"> Sentencia </w:t>
      </w:r>
      <w:hyperlink w:anchor="SENTENCIA_1997_79" w:history="1">
        <w:r w:rsidRPr="00575662">
          <w:rPr>
            <w:rStyle w:val="TextoNormalCaracter"/>
          </w:rPr>
          <w:t>79/1997</w:t>
        </w:r>
      </w:hyperlink>
      <w:r>
        <w:t>, f. 2.</w:t>
      </w:r>
    </w:p>
    <w:p w:rsidR="00575662" w:rsidRDefault="00575662" w:rsidP="00575662">
      <w:pPr>
        <w:pStyle w:val="SangriaFrancesaArticulo"/>
      </w:pPr>
      <w:r w:rsidRPr="00575662">
        <w:rPr>
          <w:rStyle w:val="TextoNormalNegritaCaracter"/>
        </w:rPr>
        <w:t>Artículo 129.1.</w:t>
      </w:r>
      <w:r w:rsidRPr="00575662">
        <w:rPr>
          <w:rStyle w:val="TextoNormalCaracter"/>
        </w:rPr>
        <w:t>-</w:t>
      </w:r>
      <w:r>
        <w:t xml:space="preserve"> Sentencia </w:t>
      </w:r>
      <w:hyperlink w:anchor="SENTENCIA_1997_79" w:history="1">
        <w:r w:rsidRPr="00575662">
          <w:rPr>
            <w:rStyle w:val="TextoNormalCaracter"/>
          </w:rPr>
          <w:t>79/1997</w:t>
        </w:r>
      </w:hyperlink>
      <w:r>
        <w:t>, f. 6.</w:t>
      </w:r>
    </w:p>
    <w:p w:rsidR="00575662" w:rsidRDefault="00575662" w:rsidP="00575662">
      <w:pPr>
        <w:pStyle w:val="SangriaFrancesaArticulo"/>
      </w:pPr>
      <w:r w:rsidRPr="00575662">
        <w:rPr>
          <w:rStyle w:val="TextoNormalNegritaCaracter"/>
        </w:rPr>
        <w:t>Artículo 129.2.</w:t>
      </w:r>
      <w:r w:rsidRPr="00575662">
        <w:rPr>
          <w:rStyle w:val="TextoNormalCaracter"/>
        </w:rPr>
        <w:t>-</w:t>
      </w:r>
      <w:r>
        <w:t xml:space="preserve"> Sentencia </w:t>
      </w:r>
      <w:hyperlink w:anchor="SENTENCIA_1997_79" w:history="1">
        <w:r w:rsidRPr="00575662">
          <w:rPr>
            <w:rStyle w:val="TextoNormalCaracter"/>
          </w:rPr>
          <w:t>79/1997</w:t>
        </w:r>
      </w:hyperlink>
      <w:r>
        <w:t>, ff. 5, 6.</w:t>
      </w:r>
    </w:p>
    <w:p w:rsidR="00575662" w:rsidRDefault="00575662" w:rsidP="00575662">
      <w:pPr>
        <w:pStyle w:val="SangriaFrancesaArticulo"/>
      </w:pPr>
      <w:r w:rsidRPr="00575662">
        <w:rPr>
          <w:rStyle w:val="TextoNormalNegritaCaracter"/>
        </w:rPr>
        <w:t>Artículo 129.3.</w:t>
      </w:r>
      <w:r w:rsidRPr="00575662">
        <w:rPr>
          <w:rStyle w:val="TextoNormalCaracter"/>
        </w:rPr>
        <w:t>-</w:t>
      </w:r>
      <w:r>
        <w:t xml:space="preserve"> Sentencias </w:t>
      </w:r>
      <w:hyperlink w:anchor="SENTENCIA_1997_55" w:history="1">
        <w:r w:rsidRPr="00575662">
          <w:rPr>
            <w:rStyle w:val="TextoNormalCaracter"/>
          </w:rPr>
          <w:t>55/1997</w:t>
        </w:r>
      </w:hyperlink>
      <w:r>
        <w:t xml:space="preserve">, f. 3, VP; </w:t>
      </w:r>
      <w:hyperlink w:anchor="SENTENCIA_1997_69" w:history="1">
        <w:r w:rsidRPr="00575662">
          <w:rPr>
            <w:rStyle w:val="TextoNormalCaracter"/>
          </w:rPr>
          <w:t>69/1997</w:t>
        </w:r>
      </w:hyperlink>
      <w:r>
        <w:t>, f. 6.</w:t>
      </w:r>
    </w:p>
    <w:p w:rsidR="00575662" w:rsidRDefault="00575662" w:rsidP="00575662">
      <w:pPr>
        <w:pStyle w:val="SangriaFrancesaArticulo"/>
      </w:pPr>
    </w:p>
    <w:p w:rsidR="00575662" w:rsidRDefault="00575662" w:rsidP="00575662">
      <w:pPr>
        <w:pStyle w:val="TextoNormalNegritaCursivandice"/>
      </w:pPr>
      <w:r>
        <w:t>Decreto de 26 de abril de 1957. Reglamento de expropiación forzosa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61" w:history="1">
        <w:r w:rsidRPr="00575662">
          <w:rPr>
            <w:rStyle w:val="TextoNormalCaracter"/>
          </w:rPr>
          <w:t>61/1997</w:t>
        </w:r>
      </w:hyperlink>
      <w:r>
        <w:t>, f. 29.</w:t>
      </w:r>
    </w:p>
    <w:p w:rsidR="00575662" w:rsidRDefault="00575662" w:rsidP="00575662">
      <w:pPr>
        <w:pStyle w:val="SangriaFrancesaArticulo"/>
      </w:pPr>
    </w:p>
    <w:p w:rsidR="00575662" w:rsidRDefault="00575662" w:rsidP="00575662">
      <w:pPr>
        <w:pStyle w:val="TextoNormalNegritaCursivandice"/>
      </w:pPr>
      <w:r>
        <w:t>Decreto de 26 de julio de 1957. Texto refundido de la Ley de régimen jurídico de la Administración del Estado</w:t>
      </w:r>
    </w:p>
    <w:p w:rsidR="00575662" w:rsidRDefault="00575662" w:rsidP="00575662">
      <w:pPr>
        <w:pStyle w:val="SangriaFrancesaArticulo"/>
      </w:pPr>
      <w:r w:rsidRPr="00575662">
        <w:rPr>
          <w:rStyle w:val="TextoNormalNegritaCaracter"/>
        </w:rPr>
        <w:t>Artículo 40.3.</w:t>
      </w:r>
      <w:r w:rsidRPr="00575662">
        <w:rPr>
          <w:rStyle w:val="TextoNormalCaracter"/>
        </w:rPr>
        <w:t>-</w:t>
      </w:r>
      <w:r>
        <w:t xml:space="preserve"> Sentencia </w:t>
      </w:r>
      <w:hyperlink w:anchor="SENTENCIA_1997_42" w:history="1">
        <w:r w:rsidRPr="00575662">
          <w:rPr>
            <w:rStyle w:val="TextoNormalCaracter"/>
          </w:rPr>
          <w:t>42/1997</w:t>
        </w:r>
      </w:hyperlink>
      <w:r>
        <w:t>, ff. 1, 4.</w:t>
      </w:r>
    </w:p>
    <w:p w:rsidR="00575662" w:rsidRDefault="00575662" w:rsidP="00575662">
      <w:pPr>
        <w:pStyle w:val="SangriaFrancesaArticulo"/>
      </w:pPr>
    </w:p>
    <w:p w:rsidR="00575662" w:rsidRDefault="00575662" w:rsidP="00575662">
      <w:pPr>
        <w:pStyle w:val="TextoNormalNegritaCursivandice"/>
      </w:pPr>
      <w:r>
        <w:t>Ley 230/1963, de 28 de diciembre. General tributaria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38" w:history="1">
        <w:r w:rsidRPr="00575662">
          <w:rPr>
            <w:rStyle w:val="TextoNormalCaracter"/>
          </w:rPr>
          <w:t>38/1997</w:t>
        </w:r>
      </w:hyperlink>
      <w:r>
        <w:t>, ff. 1, 5.</w:t>
      </w:r>
    </w:p>
    <w:p w:rsidR="00575662" w:rsidRDefault="00575662" w:rsidP="00575662">
      <w:pPr>
        <w:pStyle w:val="SangriaFrancesaArticulo"/>
      </w:pPr>
      <w:r w:rsidRPr="00575662">
        <w:rPr>
          <w:rStyle w:val="TextoNormalNegritaCaracter"/>
        </w:rPr>
        <w:t>Artículo 58.2 e).</w:t>
      </w:r>
      <w:r w:rsidRPr="00575662">
        <w:rPr>
          <w:rStyle w:val="TextoNormalCaracter"/>
        </w:rPr>
        <w:t>-</w:t>
      </w:r>
      <w:r>
        <w:t xml:space="preserve"> Auto </w:t>
      </w:r>
      <w:hyperlink w:anchor="AUTO_1997_120" w:history="1">
        <w:r w:rsidRPr="00575662">
          <w:rPr>
            <w:rStyle w:val="TextoNormalCaracter"/>
          </w:rPr>
          <w:t>120/1997</w:t>
        </w:r>
      </w:hyperlink>
      <w:r>
        <w:t>.</w:t>
      </w:r>
    </w:p>
    <w:p w:rsidR="00575662" w:rsidRDefault="00575662" w:rsidP="00575662">
      <w:pPr>
        <w:pStyle w:val="SangriaFrancesaArticulo"/>
      </w:pPr>
      <w:r w:rsidRPr="00575662">
        <w:rPr>
          <w:rStyle w:val="TextoNormalNegritaCaracter"/>
        </w:rPr>
        <w:t>Artículo 79 a)</w:t>
      </w:r>
      <w:r>
        <w:t xml:space="preserve"> </w:t>
      </w:r>
      <w:r w:rsidRPr="00575662">
        <w:rPr>
          <w:rStyle w:val="TextoNormalCaracter"/>
        </w:rPr>
        <w:t>(redactado por la Ley 10/1985, de 26 de abril)</w:t>
      </w:r>
      <w:r w:rsidRPr="00575662">
        <w:rPr>
          <w:rStyle w:val="TextoNormalNegritaCaracter"/>
        </w:rPr>
        <w:t>.</w:t>
      </w:r>
      <w:r w:rsidRPr="00575662">
        <w:rPr>
          <w:rStyle w:val="TextoNormalCaracter"/>
        </w:rPr>
        <w:t>-</w:t>
      </w:r>
      <w:r>
        <w:t xml:space="preserve"> Sentencias </w:t>
      </w:r>
      <w:hyperlink w:anchor="SENTENCIA_1997_38" w:history="1">
        <w:r w:rsidRPr="00575662">
          <w:rPr>
            <w:rStyle w:val="TextoNormalCaracter"/>
          </w:rPr>
          <w:t>38/1997</w:t>
        </w:r>
      </w:hyperlink>
      <w:r>
        <w:t xml:space="preserve">, ff. 1, 5, 6; </w:t>
      </w:r>
      <w:hyperlink w:anchor="SENTENCIA_1997_63" w:history="1">
        <w:r w:rsidRPr="00575662">
          <w:rPr>
            <w:rStyle w:val="TextoNormalCaracter"/>
          </w:rPr>
          <w:t>63/1997</w:t>
        </w:r>
      </w:hyperlink>
      <w:r>
        <w:t>, f. 2.</w:t>
      </w:r>
    </w:p>
    <w:p w:rsidR="00575662" w:rsidRDefault="00575662" w:rsidP="00575662">
      <w:pPr>
        <w:pStyle w:val="SangriaFrancesaArticulo"/>
      </w:pPr>
      <w:r w:rsidRPr="00575662">
        <w:rPr>
          <w:rStyle w:val="TextoNormalNegritaCaracter"/>
        </w:rPr>
        <w:t>Artículo 87</w:t>
      </w:r>
      <w:r>
        <w:t xml:space="preserve"> </w:t>
      </w:r>
      <w:r w:rsidRPr="00575662">
        <w:rPr>
          <w:rStyle w:val="TextoNormalCaracter"/>
        </w:rPr>
        <w:t>(redactado por la Ley 10/1985, de 26 de abril)</w:t>
      </w:r>
      <w:r w:rsidRPr="00575662">
        <w:rPr>
          <w:rStyle w:val="TextoNormalNegritaCaracter"/>
        </w:rPr>
        <w:t>.</w:t>
      </w:r>
      <w:r w:rsidRPr="00575662">
        <w:rPr>
          <w:rStyle w:val="TextoNormalCaracter"/>
        </w:rPr>
        <w:t>-</w:t>
      </w:r>
      <w:r>
        <w:t xml:space="preserve"> Sentencia </w:t>
      </w:r>
      <w:hyperlink w:anchor="SENTENCIA_1997_38" w:history="1">
        <w:r w:rsidRPr="00575662">
          <w:rPr>
            <w:rStyle w:val="TextoNormalCaracter"/>
          </w:rPr>
          <w:t>38/1997</w:t>
        </w:r>
      </w:hyperlink>
      <w:r>
        <w:t>, f. 5.</w:t>
      </w:r>
    </w:p>
    <w:p w:rsidR="00575662" w:rsidRDefault="00575662" w:rsidP="00575662">
      <w:pPr>
        <w:pStyle w:val="SangriaFrancesaArticulo"/>
      </w:pPr>
      <w:r w:rsidRPr="00575662">
        <w:rPr>
          <w:rStyle w:val="TextoNormalNegritaCaracter"/>
        </w:rPr>
        <w:t>Artículo 87.1</w:t>
      </w:r>
      <w:r>
        <w:t xml:space="preserve"> </w:t>
      </w:r>
      <w:r w:rsidRPr="00575662">
        <w:rPr>
          <w:rStyle w:val="TextoNormalCaracter"/>
        </w:rPr>
        <w:t>(redactado por la Ley 10/1985, de 26 de abril)</w:t>
      </w:r>
      <w:r w:rsidRPr="00575662">
        <w:rPr>
          <w:rStyle w:val="TextoNormalNegritaCaracter"/>
        </w:rPr>
        <w:t>.</w:t>
      </w:r>
      <w:r w:rsidRPr="00575662">
        <w:rPr>
          <w:rStyle w:val="TextoNormalCaracter"/>
        </w:rPr>
        <w:t>-</w:t>
      </w:r>
      <w:r>
        <w:t xml:space="preserve"> Sentencia </w:t>
      </w:r>
      <w:hyperlink w:anchor="SENTENCIA_1997_38" w:history="1">
        <w:r w:rsidRPr="00575662">
          <w:rPr>
            <w:rStyle w:val="TextoNormalCaracter"/>
          </w:rPr>
          <w:t>38/1997</w:t>
        </w:r>
      </w:hyperlink>
      <w:r>
        <w:t>, ff. 5, 6.</w:t>
      </w:r>
    </w:p>
    <w:p w:rsidR="00575662" w:rsidRDefault="00575662" w:rsidP="00575662">
      <w:pPr>
        <w:pStyle w:val="SangriaFrancesaArticulo"/>
      </w:pPr>
      <w:r w:rsidRPr="00575662">
        <w:rPr>
          <w:rStyle w:val="TextoNormalNegritaCaracter"/>
        </w:rPr>
        <w:t>Artículo 130.</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Artículo 155.</w:t>
      </w:r>
      <w:r w:rsidRPr="00575662">
        <w:rPr>
          <w:rStyle w:val="TextoNormalCaracter"/>
        </w:rPr>
        <w:t>-</w:t>
      </w:r>
      <w:r>
        <w:t xml:space="preserve"> Sentencia </w:t>
      </w:r>
      <w:hyperlink w:anchor="SENTENCIA_1997_23" w:history="1">
        <w:r w:rsidRPr="00575662">
          <w:rPr>
            <w:rStyle w:val="TextoNormalCaracter"/>
          </w:rPr>
          <w:t>23/1997</w:t>
        </w:r>
      </w:hyperlink>
      <w:r>
        <w:t>, f. 4.</w:t>
      </w:r>
    </w:p>
    <w:p w:rsidR="00575662" w:rsidRDefault="00575662" w:rsidP="00575662">
      <w:pPr>
        <w:pStyle w:val="SangriaFrancesaArticulo"/>
      </w:pPr>
    </w:p>
    <w:p w:rsidR="00575662" w:rsidRDefault="00575662" w:rsidP="00575662">
      <w:pPr>
        <w:pStyle w:val="TextoNormalNegritaCursivandice"/>
      </w:pPr>
      <w:r>
        <w:t>Decreto 315/1964, de 7 de febrero. Ley articulada de funcionarios civiles del Estado</w:t>
      </w:r>
    </w:p>
    <w:p w:rsidR="00575662" w:rsidRDefault="00575662" w:rsidP="00575662">
      <w:pPr>
        <w:pStyle w:val="SangriaFrancesaArticulo"/>
      </w:pPr>
      <w:r w:rsidRPr="00575662">
        <w:rPr>
          <w:rStyle w:val="TextoNormalNegritaCaracter"/>
        </w:rPr>
        <w:t>Artículo 49.1.</w:t>
      </w:r>
      <w:r w:rsidRPr="00575662">
        <w:rPr>
          <w:rStyle w:val="TextoNormalCaracter"/>
        </w:rPr>
        <w:t>-</w:t>
      </w:r>
      <w:r>
        <w:t xml:space="preserve"> Auto </w:t>
      </w:r>
      <w:hyperlink w:anchor="AUTO_1997_30" w:history="1">
        <w:r w:rsidRPr="00575662">
          <w:rPr>
            <w:rStyle w:val="TextoNormalCaracter"/>
          </w:rPr>
          <w:t>30/1997</w:t>
        </w:r>
      </w:hyperlink>
      <w:r>
        <w:t>.</w:t>
      </w:r>
    </w:p>
    <w:p w:rsidR="00575662" w:rsidRDefault="00575662" w:rsidP="00575662">
      <w:pPr>
        <w:pStyle w:val="SangriaFrancesaArticulo"/>
      </w:pPr>
      <w:r w:rsidRPr="00575662">
        <w:rPr>
          <w:rStyle w:val="TextoNormalNegritaCaracter"/>
        </w:rPr>
        <w:t>Artículo 49.3.</w:t>
      </w:r>
      <w:r w:rsidRPr="00575662">
        <w:rPr>
          <w:rStyle w:val="TextoNormalCaracter"/>
        </w:rPr>
        <w:t>-</w:t>
      </w:r>
      <w:r>
        <w:t xml:space="preserve"> Auto </w:t>
      </w:r>
      <w:hyperlink w:anchor="AUTO_1997_30" w:history="1">
        <w:r w:rsidRPr="00575662">
          <w:rPr>
            <w:rStyle w:val="TextoNormalCaracter"/>
          </w:rPr>
          <w:t>30/1997</w:t>
        </w:r>
      </w:hyperlink>
      <w:r>
        <w:t>.</w:t>
      </w:r>
    </w:p>
    <w:p w:rsidR="00575662" w:rsidRDefault="00575662" w:rsidP="00575662">
      <w:pPr>
        <w:pStyle w:val="SangriaFrancesaArticulo"/>
      </w:pPr>
    </w:p>
    <w:p w:rsidR="00575662" w:rsidRDefault="00575662" w:rsidP="00575662">
      <w:pPr>
        <w:pStyle w:val="TextoNormalNegritaCursivandice"/>
      </w:pPr>
      <w:r>
        <w:lastRenderedPageBreak/>
        <w:t>Decreto 4104/1964, de 24 de diciembre. Texto refundido de la Ley de arrendamientos urbanos</w:t>
      </w:r>
    </w:p>
    <w:p w:rsidR="00575662" w:rsidRDefault="00575662" w:rsidP="00575662">
      <w:pPr>
        <w:pStyle w:val="SangriaFrancesaArticulo"/>
      </w:pPr>
      <w:r w:rsidRPr="00575662">
        <w:rPr>
          <w:rStyle w:val="TextoNormalNegritaCaracter"/>
        </w:rPr>
        <w:t>Artículo 79.</w:t>
      </w:r>
      <w:r w:rsidRPr="00575662">
        <w:rPr>
          <w:rStyle w:val="TextoNormalCaracter"/>
        </w:rPr>
        <w:t>-</w:t>
      </w:r>
      <w:r>
        <w:t xml:space="preserve"> Sentencia </w:t>
      </w:r>
      <w:hyperlink w:anchor="SENTENCIA_1997_8" w:history="1">
        <w:r w:rsidRPr="00575662">
          <w:rPr>
            <w:rStyle w:val="TextoNormalCaracter"/>
          </w:rPr>
          <w:t>8/1997</w:t>
        </w:r>
      </w:hyperlink>
      <w:r>
        <w:t>, f. 1.</w:t>
      </w:r>
    </w:p>
    <w:p w:rsidR="00575662" w:rsidRDefault="00575662" w:rsidP="00575662">
      <w:pPr>
        <w:pStyle w:val="SangriaFrancesaArticulo"/>
      </w:pPr>
      <w:r w:rsidRPr="00575662">
        <w:rPr>
          <w:rStyle w:val="TextoNormalNegritaCaracter"/>
        </w:rPr>
        <w:t>Artículo 125</w:t>
      </w:r>
      <w:r>
        <w:t xml:space="preserve"> </w:t>
      </w:r>
      <w:r w:rsidRPr="00575662">
        <w:rPr>
          <w:rStyle w:val="TextoNormalCaracter"/>
        </w:rPr>
        <w:t>(redactado por la Ley 10/1992, de 30 de abril)</w:t>
      </w:r>
      <w:r w:rsidRPr="00575662">
        <w:rPr>
          <w:rStyle w:val="TextoNormalNegritaCaracter"/>
        </w:rPr>
        <w:t>.</w:t>
      </w:r>
      <w:r w:rsidRPr="00575662">
        <w:rPr>
          <w:rStyle w:val="TextoNormalCaracter"/>
        </w:rPr>
        <w:t>-</w:t>
      </w:r>
      <w:r>
        <w:t xml:space="preserve"> Auto </w:t>
      </w:r>
      <w:hyperlink w:anchor="AUTO_1997_80" w:history="1">
        <w:r w:rsidRPr="00575662">
          <w:rPr>
            <w:rStyle w:val="TextoNormalCaracter"/>
          </w:rPr>
          <w:t>80/1997</w:t>
        </w:r>
      </w:hyperlink>
      <w:r>
        <w:t>.</w:t>
      </w:r>
    </w:p>
    <w:p w:rsidR="00575662" w:rsidRDefault="00575662" w:rsidP="00575662">
      <w:pPr>
        <w:pStyle w:val="SangriaFrancesaArticulo"/>
      </w:pPr>
      <w:r w:rsidRPr="00575662">
        <w:rPr>
          <w:rStyle w:val="TextoNormalNegritaCaracter"/>
        </w:rPr>
        <w:t>Artículo 148.2.</w:t>
      </w:r>
      <w:r w:rsidRPr="00575662">
        <w:rPr>
          <w:rStyle w:val="TextoNormalCaracter"/>
        </w:rPr>
        <w:t>-</w:t>
      </w:r>
      <w:r>
        <w:t xml:space="preserve"> Auto </w:t>
      </w:r>
      <w:hyperlink w:anchor="AUTO_1997_80" w:history="1">
        <w:r w:rsidRPr="00575662">
          <w:rPr>
            <w:rStyle w:val="TextoNormalCaracter"/>
          </w:rPr>
          <w:t>80/1997</w:t>
        </w:r>
      </w:hyperlink>
      <w:r>
        <w:t>.</w:t>
      </w:r>
    </w:p>
    <w:p w:rsidR="00575662" w:rsidRDefault="00575662" w:rsidP="00575662">
      <w:pPr>
        <w:pStyle w:val="SangriaFrancesaArticulo"/>
      </w:pPr>
    </w:p>
    <w:p w:rsidR="00575662" w:rsidRDefault="00575662" w:rsidP="00575662">
      <w:pPr>
        <w:pStyle w:val="TextoNormalNegritaCursivandice"/>
      </w:pPr>
      <w:r>
        <w:t>Decreto 632/1968, de 21 de marzo. Texto refundido de la Ley sobre uso y circulación de vehículos de motor</w:t>
      </w:r>
    </w:p>
    <w:p w:rsidR="00575662" w:rsidRDefault="00575662" w:rsidP="00575662">
      <w:pPr>
        <w:pStyle w:val="SangriaFrancesaArticulo"/>
      </w:pPr>
      <w:r w:rsidRPr="00575662">
        <w:rPr>
          <w:rStyle w:val="TextoNormalNegritaCaracter"/>
        </w:rPr>
        <w:t>Artículo 10.</w:t>
      </w:r>
      <w:r w:rsidRPr="00575662">
        <w:rPr>
          <w:rStyle w:val="TextoNormalCaracter"/>
        </w:rPr>
        <w:t>-</w:t>
      </w:r>
      <w:r>
        <w:t xml:space="preserve"> Sentencia </w:t>
      </w:r>
      <w:hyperlink w:anchor="SENTENCIA_1997_50" w:history="1">
        <w:r w:rsidRPr="00575662">
          <w:rPr>
            <w:rStyle w:val="TextoNormalCaracter"/>
          </w:rPr>
          <w:t>50/1997</w:t>
        </w:r>
      </w:hyperlink>
      <w:r>
        <w:t>, ff. 1, 2, 6.</w:t>
      </w:r>
    </w:p>
    <w:p w:rsidR="00575662" w:rsidRDefault="00575662" w:rsidP="00575662">
      <w:pPr>
        <w:pStyle w:val="SangriaFrancesaArticulo"/>
      </w:pPr>
    </w:p>
    <w:p w:rsidR="00575662" w:rsidRDefault="00575662" w:rsidP="00575662">
      <w:pPr>
        <w:pStyle w:val="TextoNormalNegritaCursivandice"/>
      </w:pPr>
      <w:r>
        <w:t>Decreto 3096/1973, de 14 de septiembre. Texto refundido del Código penal conforme a la Ley 44/1971, de 15 de noviembre</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45" w:history="1">
        <w:r w:rsidRPr="00575662">
          <w:rPr>
            <w:rStyle w:val="TextoNormalCaracter"/>
          </w:rPr>
          <w:t>45/1997</w:t>
        </w:r>
      </w:hyperlink>
      <w:r>
        <w:t>, f. 1.</w:t>
      </w:r>
    </w:p>
    <w:p w:rsidR="00575662" w:rsidRDefault="00575662" w:rsidP="00575662">
      <w:pPr>
        <w:pStyle w:val="SangriaIzquierdaArticulo"/>
      </w:pPr>
      <w:r>
        <w:t xml:space="preserve">Auto </w:t>
      </w:r>
      <w:hyperlink w:anchor="AUTO_1997_114" w:history="1">
        <w:r w:rsidRPr="00575662">
          <w:rPr>
            <w:rStyle w:val="TextoNormalCaracter"/>
          </w:rPr>
          <w:t>114/1997</w:t>
        </w:r>
      </w:hyperlink>
      <w:r>
        <w:t>.</w:t>
      </w:r>
    </w:p>
    <w:p w:rsidR="00575662" w:rsidRDefault="00575662" w:rsidP="00575662">
      <w:pPr>
        <w:pStyle w:val="SangriaFrancesaArticulo"/>
      </w:pPr>
      <w:r w:rsidRPr="00575662">
        <w:rPr>
          <w:rStyle w:val="TextoNormalNegritaCaracter"/>
        </w:rPr>
        <w:t>Artículo 2.</w:t>
      </w:r>
      <w:r w:rsidRPr="00575662">
        <w:rPr>
          <w:rStyle w:val="TextoNormalCaracter"/>
        </w:rPr>
        <w:t>-</w:t>
      </w:r>
      <w:r>
        <w:t xml:space="preserve"> Sentencia </w:t>
      </w:r>
      <w:hyperlink w:anchor="SENTENCIA_1997_43" w:history="1">
        <w:r w:rsidRPr="00575662">
          <w:rPr>
            <w:rStyle w:val="TextoNormalCaracter"/>
          </w:rPr>
          <w:t>43/1997</w:t>
        </w:r>
      </w:hyperlink>
      <w:r>
        <w:t>, f. 5.</w:t>
      </w:r>
    </w:p>
    <w:p w:rsidR="00575662" w:rsidRDefault="00575662" w:rsidP="00575662">
      <w:pPr>
        <w:pStyle w:val="SangriaFrancesaArticulo"/>
      </w:pPr>
      <w:r w:rsidRPr="00575662">
        <w:rPr>
          <w:rStyle w:val="TextoNormalNegritaCaracter"/>
        </w:rPr>
        <w:t>Artículo 8.1.</w:t>
      </w:r>
      <w:r w:rsidRPr="00575662">
        <w:rPr>
          <w:rStyle w:val="TextoNormalCaracter"/>
        </w:rPr>
        <w:t>-</w:t>
      </w:r>
      <w:r>
        <w:t xml:space="preserve"> Sentencia </w:t>
      </w:r>
      <w:hyperlink w:anchor="SENTENCIA_1997_43" w:history="1">
        <w:r w:rsidRPr="00575662">
          <w:rPr>
            <w:rStyle w:val="TextoNormalCaracter"/>
          </w:rPr>
          <w:t>43/1997</w:t>
        </w:r>
      </w:hyperlink>
      <w:r>
        <w:t>, f. 1.</w:t>
      </w:r>
    </w:p>
    <w:p w:rsidR="00575662" w:rsidRDefault="00575662" w:rsidP="00575662">
      <w:pPr>
        <w:pStyle w:val="SangriaFrancesaArticulo"/>
      </w:pPr>
      <w:r w:rsidRPr="00575662">
        <w:rPr>
          <w:rStyle w:val="TextoNormalNegritaCaracter"/>
        </w:rPr>
        <w:t>Artículo 8.7.</w:t>
      </w:r>
      <w:r w:rsidRPr="00575662">
        <w:rPr>
          <w:rStyle w:val="TextoNormalCaracter"/>
        </w:rPr>
        <w:t>-</w:t>
      </w:r>
      <w:r>
        <w:t xml:space="preserve"> Sentencia </w:t>
      </w:r>
      <w:hyperlink w:anchor="SENTENCIA_1997_43" w:history="1">
        <w:r w:rsidRPr="00575662">
          <w:rPr>
            <w:rStyle w:val="TextoNormalCaracter"/>
          </w:rPr>
          <w:t>43/1997</w:t>
        </w:r>
      </w:hyperlink>
      <w:r>
        <w:t>, f. 1.</w:t>
      </w:r>
    </w:p>
    <w:p w:rsidR="00575662" w:rsidRDefault="00575662" w:rsidP="00575662">
      <w:pPr>
        <w:pStyle w:val="SangriaFrancesaArticulo"/>
      </w:pPr>
      <w:r w:rsidRPr="00575662">
        <w:rPr>
          <w:rStyle w:val="TextoNormalNegritaCaracter"/>
        </w:rPr>
        <w:t>Artículo 9.1.</w:t>
      </w:r>
      <w:r w:rsidRPr="00575662">
        <w:rPr>
          <w:rStyle w:val="TextoNormalCaracter"/>
        </w:rPr>
        <w:t>-</w:t>
      </w:r>
      <w:r>
        <w:t xml:space="preserve"> Sentencia </w:t>
      </w:r>
      <w:hyperlink w:anchor="SENTENCIA_1997_68" w:history="1">
        <w:r w:rsidRPr="00575662">
          <w:rPr>
            <w:rStyle w:val="TextoNormalCaracter"/>
          </w:rPr>
          <w:t>68/1997</w:t>
        </w:r>
      </w:hyperlink>
      <w:r>
        <w:t>, f. 3.</w:t>
      </w:r>
    </w:p>
    <w:p w:rsidR="00575662" w:rsidRDefault="00575662" w:rsidP="00575662">
      <w:pPr>
        <w:pStyle w:val="SangriaFrancesaArticulo"/>
      </w:pPr>
      <w:r w:rsidRPr="00575662">
        <w:rPr>
          <w:rStyle w:val="TextoNormalNegritaCaracter"/>
        </w:rPr>
        <w:t>Artículo 9.10.</w:t>
      </w:r>
      <w:r w:rsidRPr="00575662">
        <w:rPr>
          <w:rStyle w:val="TextoNormalCaracter"/>
        </w:rPr>
        <w:t>-</w:t>
      </w:r>
      <w:r>
        <w:t xml:space="preserve"> Sentencias </w:t>
      </w:r>
      <w:hyperlink w:anchor="SENTENCIA_1997_43" w:history="1">
        <w:r w:rsidRPr="00575662">
          <w:rPr>
            <w:rStyle w:val="TextoNormalCaracter"/>
          </w:rPr>
          <w:t>43/1997</w:t>
        </w:r>
      </w:hyperlink>
      <w:r>
        <w:t xml:space="preserve">, f. 1; </w:t>
      </w:r>
      <w:hyperlink w:anchor="SENTENCIA_1997_68" w:history="1">
        <w:r w:rsidRPr="00575662">
          <w:rPr>
            <w:rStyle w:val="TextoNormalCaracter"/>
          </w:rPr>
          <w:t>68/1997</w:t>
        </w:r>
      </w:hyperlink>
      <w:r>
        <w:t>, f. 3.</w:t>
      </w:r>
    </w:p>
    <w:p w:rsidR="00575662" w:rsidRDefault="00575662" w:rsidP="00575662">
      <w:pPr>
        <w:pStyle w:val="SangriaFrancesaArticulo"/>
      </w:pPr>
      <w:r w:rsidRPr="00575662">
        <w:rPr>
          <w:rStyle w:val="TextoNormalNegritaCaracter"/>
        </w:rPr>
        <w:t>Artículo 24.</w:t>
      </w:r>
      <w:r w:rsidRPr="00575662">
        <w:rPr>
          <w:rStyle w:val="TextoNormalCaracter"/>
        </w:rPr>
        <w:t>-</w:t>
      </w:r>
      <w:r>
        <w:t xml:space="preserve"> Sentencias </w:t>
      </w:r>
      <w:hyperlink w:anchor="SENTENCIA_1997_38" w:history="1">
        <w:r w:rsidRPr="00575662">
          <w:rPr>
            <w:rStyle w:val="TextoNormalCaracter"/>
          </w:rPr>
          <w:t>38/1997</w:t>
        </w:r>
      </w:hyperlink>
      <w:r>
        <w:t xml:space="preserve">, f. 6; </w:t>
      </w:r>
      <w:hyperlink w:anchor="SENTENCIA_1997_62" w:history="1">
        <w:r w:rsidRPr="00575662">
          <w:rPr>
            <w:rStyle w:val="TextoNormalCaracter"/>
          </w:rPr>
          <w:t>62/1997</w:t>
        </w:r>
      </w:hyperlink>
      <w:r>
        <w:t>, f. 4.</w:t>
      </w:r>
    </w:p>
    <w:p w:rsidR="00575662" w:rsidRDefault="00575662" w:rsidP="00575662">
      <w:pPr>
        <w:pStyle w:val="SangriaFrancesaArticulo"/>
      </w:pPr>
      <w:r w:rsidRPr="00575662">
        <w:rPr>
          <w:rStyle w:val="TextoNormalNegritaCaracter"/>
        </w:rPr>
        <w:t>Artículo 61.4.</w:t>
      </w:r>
      <w:r w:rsidRPr="00575662">
        <w:rPr>
          <w:rStyle w:val="TextoNormalCaracter"/>
        </w:rPr>
        <w:t>-</w:t>
      </w:r>
      <w:r>
        <w:t xml:space="preserve"> Sentencia </w:t>
      </w:r>
      <w:hyperlink w:anchor="SENTENCIA_1997_43" w:history="1">
        <w:r w:rsidRPr="00575662">
          <w:rPr>
            <w:rStyle w:val="TextoNormalCaracter"/>
          </w:rPr>
          <w:t>43/1997</w:t>
        </w:r>
      </w:hyperlink>
      <w:r>
        <w:t>, f. 5.</w:t>
      </w:r>
    </w:p>
    <w:p w:rsidR="00575662" w:rsidRDefault="00575662" w:rsidP="00575662">
      <w:pPr>
        <w:pStyle w:val="SangriaFrancesaArticulo"/>
      </w:pPr>
      <w:r w:rsidRPr="00575662">
        <w:rPr>
          <w:rStyle w:val="TextoNormalNegritaCaracter"/>
        </w:rPr>
        <w:t>Artículo 71.</w:t>
      </w:r>
      <w:r w:rsidRPr="00575662">
        <w:rPr>
          <w:rStyle w:val="TextoNormalCaracter"/>
        </w:rPr>
        <w:t>-</w:t>
      </w:r>
      <w:r>
        <w:t xml:space="preserve"> Auto </w:t>
      </w:r>
      <w:hyperlink w:anchor="AUTO_1997_49" w:history="1">
        <w:r w:rsidRPr="00575662">
          <w:rPr>
            <w:rStyle w:val="TextoNormalCaracter"/>
          </w:rPr>
          <w:t>49/1997</w:t>
        </w:r>
      </w:hyperlink>
      <w:r>
        <w:t>.</w:t>
      </w:r>
    </w:p>
    <w:p w:rsidR="00575662" w:rsidRDefault="00575662" w:rsidP="00575662">
      <w:pPr>
        <w:pStyle w:val="SangriaFrancesaArticulo"/>
      </w:pPr>
      <w:r w:rsidRPr="00575662">
        <w:rPr>
          <w:rStyle w:val="TextoNormalNegritaCaracter"/>
        </w:rPr>
        <w:t>Artículo 93.</w:t>
      </w:r>
      <w:r w:rsidRPr="00575662">
        <w:rPr>
          <w:rStyle w:val="TextoNormalCaracter"/>
        </w:rPr>
        <w:t>-</w:t>
      </w:r>
      <w:r>
        <w:t xml:space="preserve"> Auto </w:t>
      </w:r>
      <w:hyperlink w:anchor="AUTO_1997_33" w:history="1">
        <w:r w:rsidRPr="00575662">
          <w:rPr>
            <w:rStyle w:val="TextoNormalCaracter"/>
          </w:rPr>
          <w:t>33/1997</w:t>
        </w:r>
      </w:hyperlink>
      <w:r>
        <w:t>.</w:t>
      </w:r>
    </w:p>
    <w:p w:rsidR="00575662" w:rsidRDefault="00575662" w:rsidP="00575662">
      <w:pPr>
        <w:pStyle w:val="SangriaFrancesaArticulo"/>
      </w:pPr>
      <w:r w:rsidRPr="00575662">
        <w:rPr>
          <w:rStyle w:val="TextoNormalNegritaCaracter"/>
        </w:rPr>
        <w:t>Artículo 135 bis i).</w:t>
      </w:r>
      <w:r w:rsidRPr="00575662">
        <w:rPr>
          <w:rStyle w:val="TextoNormalCaracter"/>
        </w:rPr>
        <w:t>-</w:t>
      </w:r>
      <w:r>
        <w:t xml:space="preserve"> Sentencia </w:t>
      </w:r>
      <w:hyperlink w:anchor="SENTENCIA_1997_43" w:history="1">
        <w:r w:rsidRPr="00575662">
          <w:rPr>
            <w:rStyle w:val="TextoNormalCaracter"/>
          </w:rPr>
          <w:t>43/1997</w:t>
        </w:r>
      </w:hyperlink>
      <w:r>
        <w:t>, ff. 4, 5.</w:t>
      </w:r>
    </w:p>
    <w:p w:rsidR="00575662" w:rsidRDefault="00575662" w:rsidP="00575662">
      <w:pPr>
        <w:pStyle w:val="SangriaFrancesaArticulo"/>
      </w:pPr>
      <w:r w:rsidRPr="00575662">
        <w:rPr>
          <w:rStyle w:val="TextoNormalNegritaCaracter"/>
        </w:rPr>
        <w:t>Artículo 237.</w:t>
      </w:r>
      <w:r w:rsidRPr="00575662">
        <w:rPr>
          <w:rStyle w:val="TextoNormalCaracter"/>
        </w:rPr>
        <w:t>-</w:t>
      </w:r>
      <w:r>
        <w:t xml:space="preserve"> Sentencia </w:t>
      </w:r>
      <w:hyperlink w:anchor="SENTENCIA_1997_74" w:history="1">
        <w:r w:rsidRPr="00575662">
          <w:rPr>
            <w:rStyle w:val="TextoNormalCaracter"/>
          </w:rPr>
          <w:t>74/1997</w:t>
        </w:r>
      </w:hyperlink>
      <w:r>
        <w:t>, f. 4.</w:t>
      </w:r>
    </w:p>
    <w:p w:rsidR="00575662" w:rsidRDefault="00575662" w:rsidP="00575662">
      <w:pPr>
        <w:pStyle w:val="SangriaFrancesaArticulo"/>
      </w:pPr>
      <w:r w:rsidRPr="00575662">
        <w:rPr>
          <w:rStyle w:val="TextoNormalNegritaCaracter"/>
        </w:rPr>
        <w:t>Artículo 302.</w:t>
      </w:r>
      <w:r w:rsidRPr="00575662">
        <w:rPr>
          <w:rStyle w:val="TextoNormalCaracter"/>
        </w:rPr>
        <w:t>-</w:t>
      </w:r>
      <w:r>
        <w:t xml:space="preserve"> Auto </w:t>
      </w:r>
      <w:hyperlink w:anchor="AUTO_1997_59" w:history="1">
        <w:r w:rsidRPr="00575662">
          <w:rPr>
            <w:rStyle w:val="TextoNormalCaracter"/>
          </w:rPr>
          <w:t>59/1997</w:t>
        </w:r>
      </w:hyperlink>
      <w:r>
        <w:t>.</w:t>
      </w:r>
    </w:p>
    <w:p w:rsidR="00575662" w:rsidRDefault="00575662" w:rsidP="00575662">
      <w:pPr>
        <w:pStyle w:val="SangriaFrancesaArticulo"/>
      </w:pPr>
      <w:r w:rsidRPr="00575662">
        <w:rPr>
          <w:rStyle w:val="TextoNormalNegritaCaracter"/>
        </w:rPr>
        <w:t>Artículo 306.</w:t>
      </w:r>
      <w:r w:rsidRPr="00575662">
        <w:rPr>
          <w:rStyle w:val="TextoNormalCaracter"/>
        </w:rPr>
        <w:t>-</w:t>
      </w:r>
      <w:r>
        <w:t xml:space="preserve"> Auto </w:t>
      </w:r>
      <w:hyperlink w:anchor="AUTO_1997_59" w:history="1">
        <w:r w:rsidRPr="00575662">
          <w:rPr>
            <w:rStyle w:val="TextoNormalCaracter"/>
          </w:rPr>
          <w:t>59/1997</w:t>
        </w:r>
      </w:hyperlink>
      <w:r>
        <w:t>.</w:t>
      </w:r>
    </w:p>
    <w:p w:rsidR="00575662" w:rsidRDefault="00575662" w:rsidP="00575662">
      <w:pPr>
        <w:pStyle w:val="SangriaFrancesaArticulo"/>
      </w:pPr>
      <w:r w:rsidRPr="00575662">
        <w:rPr>
          <w:rStyle w:val="TextoNormalNegritaCaracter"/>
        </w:rPr>
        <w:t>Artículo 319.</w:t>
      </w:r>
      <w:r w:rsidRPr="00575662">
        <w:rPr>
          <w:rStyle w:val="TextoNormalCaracter"/>
        </w:rPr>
        <w:t>-</w:t>
      </w:r>
      <w:r>
        <w:t xml:space="preserve"> Sentencia </w:t>
      </w:r>
      <w:hyperlink w:anchor="SENTENCIA_1997_62" w:history="1">
        <w:r w:rsidRPr="00575662">
          <w:rPr>
            <w:rStyle w:val="TextoNormalCaracter"/>
          </w:rPr>
          <w:t>62/1997</w:t>
        </w:r>
      </w:hyperlink>
      <w:r>
        <w:t>, f. 4.</w:t>
      </w:r>
    </w:p>
    <w:p w:rsidR="00575662" w:rsidRDefault="00575662" w:rsidP="00575662">
      <w:pPr>
        <w:pStyle w:val="SangriaFrancesaArticulo"/>
      </w:pPr>
      <w:r w:rsidRPr="00575662">
        <w:rPr>
          <w:rStyle w:val="TextoNormalNegritaCaracter"/>
        </w:rPr>
        <w:t>Artículo 344.1.</w:t>
      </w:r>
      <w:r w:rsidRPr="00575662">
        <w:rPr>
          <w:rStyle w:val="TextoNormalCaracter"/>
        </w:rPr>
        <w:t>-</w:t>
      </w:r>
      <w:r>
        <w:t xml:space="preserve"> Auto </w:t>
      </w:r>
      <w:hyperlink w:anchor="AUTO_1997_49" w:history="1">
        <w:r w:rsidRPr="00575662">
          <w:rPr>
            <w:rStyle w:val="TextoNormalCaracter"/>
          </w:rPr>
          <w:t>49/1997</w:t>
        </w:r>
      </w:hyperlink>
      <w:r>
        <w:t>.</w:t>
      </w:r>
    </w:p>
    <w:p w:rsidR="00575662" w:rsidRDefault="00575662" w:rsidP="00575662">
      <w:pPr>
        <w:pStyle w:val="SangriaFrancesaArticulo"/>
      </w:pPr>
      <w:r w:rsidRPr="00575662">
        <w:rPr>
          <w:rStyle w:val="TextoNormalNegritaCaracter"/>
        </w:rPr>
        <w:t>Artículo 344.2.</w:t>
      </w:r>
      <w:r w:rsidRPr="00575662">
        <w:rPr>
          <w:rStyle w:val="TextoNormalCaracter"/>
        </w:rPr>
        <w:t>-</w:t>
      </w:r>
      <w:r>
        <w:t xml:space="preserve"> Auto </w:t>
      </w:r>
      <w:hyperlink w:anchor="AUTO_1997_49" w:history="1">
        <w:r w:rsidRPr="00575662">
          <w:rPr>
            <w:rStyle w:val="TextoNormalCaracter"/>
          </w:rPr>
          <w:t>49/1997</w:t>
        </w:r>
      </w:hyperlink>
      <w:r>
        <w:t>.</w:t>
      </w:r>
    </w:p>
    <w:p w:rsidR="00575662" w:rsidRDefault="00575662" w:rsidP="00575662">
      <w:pPr>
        <w:pStyle w:val="SangriaFrancesaArticulo"/>
      </w:pPr>
      <w:r w:rsidRPr="00575662">
        <w:rPr>
          <w:rStyle w:val="TextoNormalNegritaCaracter"/>
        </w:rPr>
        <w:t>Artículo 349.</w:t>
      </w:r>
      <w:r w:rsidRPr="00575662">
        <w:rPr>
          <w:rStyle w:val="TextoNormalCaracter"/>
        </w:rPr>
        <w:t>-</w:t>
      </w:r>
      <w:r>
        <w:t xml:space="preserve"> Sentencia </w:t>
      </w:r>
      <w:hyperlink w:anchor="SENTENCIA_1997_62" w:history="1">
        <w:r w:rsidRPr="00575662">
          <w:rPr>
            <w:rStyle w:val="TextoNormalCaracter"/>
          </w:rPr>
          <w:t>62/1997</w:t>
        </w:r>
      </w:hyperlink>
      <w:r>
        <w:t>, f. 4.</w:t>
      </w:r>
    </w:p>
    <w:p w:rsidR="00575662" w:rsidRDefault="00575662" w:rsidP="00575662">
      <w:pPr>
        <w:pStyle w:val="SangriaFrancesaArticulo"/>
      </w:pPr>
      <w:r w:rsidRPr="00575662">
        <w:rPr>
          <w:rStyle w:val="TextoNormalNegritaCaracter"/>
        </w:rPr>
        <w:t>Artículo 410.</w:t>
      </w:r>
      <w:r w:rsidRPr="00575662">
        <w:rPr>
          <w:rStyle w:val="TextoNormalCaracter"/>
        </w:rPr>
        <w:t>-</w:t>
      </w:r>
      <w:r>
        <w:t xml:space="preserve"> Sentencia </w:t>
      </w:r>
      <w:hyperlink w:anchor="SENTENCIA_1997_18" w:history="1">
        <w:r w:rsidRPr="00575662">
          <w:rPr>
            <w:rStyle w:val="TextoNormalCaracter"/>
          </w:rPr>
          <w:t>18/1997</w:t>
        </w:r>
      </w:hyperlink>
      <w:r>
        <w:t>, f. 8.</w:t>
      </w:r>
    </w:p>
    <w:p w:rsidR="00575662" w:rsidRDefault="00575662" w:rsidP="00575662">
      <w:pPr>
        <w:pStyle w:val="SangriaFrancesaArticulo"/>
      </w:pPr>
      <w:r w:rsidRPr="00575662">
        <w:rPr>
          <w:rStyle w:val="TextoNormalNegritaCaracter"/>
        </w:rPr>
        <w:t>Artículo 487.</w:t>
      </w:r>
      <w:r w:rsidRPr="00575662">
        <w:rPr>
          <w:rStyle w:val="TextoNormalCaracter"/>
        </w:rPr>
        <w:t>-</w:t>
      </w:r>
      <w:r>
        <w:t xml:space="preserve"> Sentencia </w:t>
      </w:r>
      <w:hyperlink w:anchor="SENTENCIA_1997_74" w:history="1">
        <w:r w:rsidRPr="00575662">
          <w:rPr>
            <w:rStyle w:val="TextoNormalCaracter"/>
          </w:rPr>
          <w:t>74/1997</w:t>
        </w:r>
      </w:hyperlink>
      <w:r>
        <w:t>, f. 4.</w:t>
      </w:r>
    </w:p>
    <w:p w:rsidR="00575662" w:rsidRDefault="00575662" w:rsidP="00575662">
      <w:pPr>
        <w:pStyle w:val="SangriaFrancesaArticulo"/>
      </w:pPr>
      <w:r w:rsidRPr="00575662">
        <w:rPr>
          <w:rStyle w:val="TextoNormalNegritaCaracter"/>
        </w:rPr>
        <w:t>Artículo 487 bis.</w:t>
      </w:r>
      <w:r w:rsidRPr="00575662">
        <w:rPr>
          <w:rStyle w:val="TextoNormalCaracter"/>
        </w:rPr>
        <w:t>-</w:t>
      </w:r>
      <w:r>
        <w:t xml:space="preserve"> Sentencia </w:t>
      </w:r>
      <w:hyperlink w:anchor="SENTENCIA_1997_74" w:history="1">
        <w:r w:rsidRPr="00575662">
          <w:rPr>
            <w:rStyle w:val="TextoNormalCaracter"/>
          </w:rPr>
          <w:t>74/1997</w:t>
        </w:r>
      </w:hyperlink>
      <w:r>
        <w:t>, ff. 1 a 5, VP.</w:t>
      </w:r>
    </w:p>
    <w:p w:rsidR="00575662" w:rsidRDefault="00575662" w:rsidP="00575662">
      <w:pPr>
        <w:pStyle w:val="SangriaFrancesaArticulo"/>
      </w:pPr>
      <w:r w:rsidRPr="00575662">
        <w:rPr>
          <w:rStyle w:val="TextoNormalNegritaCaracter"/>
        </w:rPr>
        <w:t>Artículo 519.</w:t>
      </w:r>
      <w:r w:rsidRPr="00575662">
        <w:rPr>
          <w:rStyle w:val="TextoNormalCaracter"/>
        </w:rPr>
        <w:t>-</w:t>
      </w:r>
      <w:r>
        <w:t xml:space="preserve"> Sentencia </w:t>
      </w:r>
      <w:hyperlink w:anchor="SENTENCIA_1997_74" w:history="1">
        <w:r w:rsidRPr="00575662">
          <w:rPr>
            <w:rStyle w:val="TextoNormalCaracter"/>
          </w:rPr>
          <w:t>74/1997</w:t>
        </w:r>
      </w:hyperlink>
      <w:r>
        <w:t>, f. 4.</w:t>
      </w:r>
    </w:p>
    <w:p w:rsidR="00575662" w:rsidRDefault="00575662" w:rsidP="00575662">
      <w:pPr>
        <w:pStyle w:val="SangriaFrancesaArticulo"/>
      </w:pPr>
      <w:r w:rsidRPr="00575662">
        <w:rPr>
          <w:rStyle w:val="TextoNormalNegritaCaracter"/>
        </w:rPr>
        <w:t>Artículo 528.</w:t>
      </w:r>
      <w:r w:rsidRPr="00575662">
        <w:rPr>
          <w:rStyle w:val="TextoNormalCaracter"/>
        </w:rPr>
        <w:t>-</w:t>
      </w:r>
      <w:r>
        <w:t xml:space="preserve"> Auto </w:t>
      </w:r>
      <w:hyperlink w:anchor="AUTO_1997_59" w:history="1">
        <w:r w:rsidRPr="00575662">
          <w:rPr>
            <w:rStyle w:val="TextoNormalCaracter"/>
          </w:rPr>
          <w:t>59/1997</w:t>
        </w:r>
      </w:hyperlink>
      <w:r>
        <w:t>.</w:t>
      </w:r>
    </w:p>
    <w:p w:rsidR="00575662" w:rsidRDefault="00575662" w:rsidP="00575662">
      <w:pPr>
        <w:pStyle w:val="SangriaFrancesaArticulo"/>
      </w:pPr>
      <w:r w:rsidRPr="00575662">
        <w:rPr>
          <w:rStyle w:val="TextoNormalNegritaCaracter"/>
        </w:rPr>
        <w:t>Artículo 586 bis.</w:t>
      </w:r>
      <w:r w:rsidRPr="00575662">
        <w:rPr>
          <w:rStyle w:val="TextoNormalCaracter"/>
        </w:rPr>
        <w:t>-</w:t>
      </w:r>
      <w:r>
        <w:t xml:space="preserve"> Sentencia </w:t>
      </w:r>
      <w:hyperlink w:anchor="SENTENCIA_1997_26" w:history="1">
        <w:r w:rsidRPr="00575662">
          <w:rPr>
            <w:rStyle w:val="TextoNormalCaracter"/>
          </w:rPr>
          <w:t>26/1997</w:t>
        </w:r>
      </w:hyperlink>
      <w:r>
        <w:t>, ff. 1, 4.</w:t>
      </w:r>
    </w:p>
    <w:p w:rsidR="00575662" w:rsidRDefault="00575662" w:rsidP="00575662">
      <w:pPr>
        <w:pStyle w:val="SangriaFrancesaArticulo"/>
      </w:pPr>
      <w:r w:rsidRPr="00575662">
        <w:rPr>
          <w:rStyle w:val="TextoNormalNegritaCaracter"/>
        </w:rPr>
        <w:t>Artículo 586.3.</w:t>
      </w:r>
      <w:r w:rsidRPr="00575662">
        <w:rPr>
          <w:rStyle w:val="TextoNormalCaracter"/>
        </w:rPr>
        <w:t>-</w:t>
      </w:r>
      <w:r>
        <w:t xml:space="preserve"> Sentencia </w:t>
      </w:r>
      <w:hyperlink w:anchor="SENTENCIA_1997_26" w:history="1">
        <w:r w:rsidRPr="00575662">
          <w:rPr>
            <w:rStyle w:val="TextoNormalCaracter"/>
          </w:rPr>
          <w:t>26/1997</w:t>
        </w:r>
      </w:hyperlink>
      <w:r>
        <w:t>, ff. 1, 4.</w:t>
      </w:r>
    </w:p>
    <w:p w:rsidR="00575662" w:rsidRDefault="00575662" w:rsidP="00575662">
      <w:pPr>
        <w:pStyle w:val="SangriaFrancesaArticulo"/>
      </w:pPr>
      <w:r w:rsidRPr="00575662">
        <w:rPr>
          <w:rStyle w:val="TextoNormalNegritaCaracter"/>
        </w:rPr>
        <w:t>Artículo 587.2.</w:t>
      </w:r>
      <w:r w:rsidRPr="00575662">
        <w:rPr>
          <w:rStyle w:val="TextoNormalCaracter"/>
        </w:rPr>
        <w:t>-</w:t>
      </w:r>
      <w:r>
        <w:t xml:space="preserve"> Auto </w:t>
      </w:r>
      <w:hyperlink w:anchor="AUTO_1997_59" w:history="1">
        <w:r w:rsidRPr="00575662">
          <w:rPr>
            <w:rStyle w:val="TextoNormalCaracter"/>
          </w:rPr>
          <w:t>59/1997</w:t>
        </w:r>
      </w:hyperlink>
      <w:r>
        <w:t>.</w:t>
      </w:r>
    </w:p>
    <w:p w:rsidR="00575662" w:rsidRDefault="00575662" w:rsidP="00575662">
      <w:pPr>
        <w:pStyle w:val="SangriaFrancesaArticulo"/>
      </w:pPr>
    </w:p>
    <w:p w:rsidR="00575662" w:rsidRDefault="00575662" w:rsidP="00575662">
      <w:pPr>
        <w:pStyle w:val="TextoNormalNegritaCursivandice"/>
      </w:pPr>
      <w:r>
        <w:t>Ley 15/1975, de 2 de mayo. Espacios naturales protegidos</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28" w:history="1">
        <w:r w:rsidRPr="00575662">
          <w:rPr>
            <w:rStyle w:val="TextoNormalCaracter"/>
          </w:rPr>
          <w:t>28/1997</w:t>
        </w:r>
      </w:hyperlink>
      <w:r>
        <w:t>, ff. 1, 2, 6.</w:t>
      </w:r>
    </w:p>
    <w:p w:rsidR="00575662" w:rsidRDefault="00575662" w:rsidP="00575662">
      <w:pPr>
        <w:pStyle w:val="SangriaFrancesaArticulo"/>
      </w:pPr>
    </w:p>
    <w:p w:rsidR="00575662" w:rsidRDefault="00575662" w:rsidP="00575662">
      <w:pPr>
        <w:pStyle w:val="TextoNormalNegritaCursivandice"/>
      </w:pPr>
      <w:r>
        <w:t>Real Decreto 1346/1976, de 9 de abril. Texto refundido de la Ley del suelo y ordenación urbana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61" w:history="1">
        <w:r w:rsidRPr="00575662">
          <w:rPr>
            <w:rStyle w:val="TextoNormalCaracter"/>
          </w:rPr>
          <w:t>61/1997</w:t>
        </w:r>
      </w:hyperlink>
      <w:r>
        <w:t>, ff. 2, 17.</w:t>
      </w:r>
    </w:p>
    <w:p w:rsidR="00575662" w:rsidRDefault="00575662" w:rsidP="00575662">
      <w:pPr>
        <w:pStyle w:val="SangriaFrancesaArticulo"/>
      </w:pPr>
      <w:r w:rsidRPr="00575662">
        <w:rPr>
          <w:rStyle w:val="TextoNormalNegritaCaracter"/>
        </w:rPr>
        <w:t>Artículo 6.</w:t>
      </w:r>
      <w:r w:rsidRPr="00575662">
        <w:rPr>
          <w:rStyle w:val="TextoNormalCaracter"/>
        </w:rPr>
        <w:t>-</w:t>
      </w:r>
      <w:r>
        <w:t xml:space="preserve"> Sentencia </w:t>
      </w:r>
      <w:hyperlink w:anchor="SENTENCIA_1997_61" w:history="1">
        <w:r w:rsidRPr="00575662">
          <w:rPr>
            <w:rStyle w:val="TextoNormalCaracter"/>
          </w:rPr>
          <w:t>61/1997</w:t>
        </w:r>
      </w:hyperlink>
      <w:r>
        <w:t>, f. 22.</w:t>
      </w:r>
    </w:p>
    <w:p w:rsidR="00575662" w:rsidRDefault="00575662" w:rsidP="00575662">
      <w:pPr>
        <w:pStyle w:val="SangriaFrancesaArticulo"/>
      </w:pPr>
      <w:r w:rsidRPr="00575662">
        <w:rPr>
          <w:rStyle w:val="TextoNormalNegritaCaracter"/>
        </w:rPr>
        <w:lastRenderedPageBreak/>
        <w:t>Artículo 7.</w:t>
      </w:r>
      <w:r w:rsidRPr="00575662">
        <w:rPr>
          <w:rStyle w:val="TextoNormalCaracter"/>
        </w:rPr>
        <w:t>-</w:t>
      </w:r>
      <w:r>
        <w:t xml:space="preserve"> Sentencia </w:t>
      </w:r>
      <w:hyperlink w:anchor="SENTENCIA_1997_61" w:history="1">
        <w:r w:rsidRPr="00575662">
          <w:rPr>
            <w:rStyle w:val="TextoNormalCaracter"/>
          </w:rPr>
          <w:t>61/1997</w:t>
        </w:r>
      </w:hyperlink>
      <w:r>
        <w:t>, f. 22.</w:t>
      </w:r>
    </w:p>
    <w:p w:rsidR="00575662" w:rsidRDefault="00575662" w:rsidP="00575662">
      <w:pPr>
        <w:pStyle w:val="SangriaFrancesaArticulo"/>
      </w:pPr>
      <w:r w:rsidRPr="00575662">
        <w:rPr>
          <w:rStyle w:val="TextoNormalNegritaCaracter"/>
        </w:rPr>
        <w:t>Artículo 18.</w:t>
      </w:r>
      <w:r w:rsidRPr="00575662">
        <w:rPr>
          <w:rStyle w:val="TextoNormalCaracter"/>
        </w:rPr>
        <w:t>-</w:t>
      </w:r>
      <w:r>
        <w:t xml:space="preserve"> Sentencia </w:t>
      </w:r>
      <w:hyperlink w:anchor="SENTENCIA_1997_28" w:history="1">
        <w:r w:rsidRPr="00575662">
          <w:rPr>
            <w:rStyle w:val="TextoNormalCaracter"/>
          </w:rPr>
          <w:t>28/1997</w:t>
        </w:r>
      </w:hyperlink>
      <w:r>
        <w:t>, f. 6.</w:t>
      </w:r>
    </w:p>
    <w:p w:rsidR="00575662" w:rsidRDefault="00575662" w:rsidP="00575662">
      <w:pPr>
        <w:pStyle w:val="SangriaFrancesaArticulo"/>
      </w:pPr>
      <w:r w:rsidRPr="00575662">
        <w:rPr>
          <w:rStyle w:val="TextoNormalNegritaCaracter"/>
        </w:rPr>
        <w:t>Artículo 19.</w:t>
      </w:r>
      <w:r w:rsidRPr="00575662">
        <w:rPr>
          <w:rStyle w:val="TextoNormalCaracter"/>
        </w:rPr>
        <w:t>-</w:t>
      </w:r>
      <w:r>
        <w:t xml:space="preserve"> Sentencia </w:t>
      </w:r>
      <w:hyperlink w:anchor="SENTENCIA_1997_28" w:history="1">
        <w:r w:rsidRPr="00575662">
          <w:rPr>
            <w:rStyle w:val="TextoNormalCaracter"/>
          </w:rPr>
          <w:t>28/1997</w:t>
        </w:r>
      </w:hyperlink>
      <w:r>
        <w:t>, f. 6.</w:t>
      </w:r>
    </w:p>
    <w:p w:rsidR="00575662" w:rsidRDefault="00575662" w:rsidP="00575662">
      <w:pPr>
        <w:pStyle w:val="SangriaFrancesaArticulo"/>
      </w:pPr>
      <w:r w:rsidRPr="00575662">
        <w:rPr>
          <w:rStyle w:val="TextoNormalNegritaCaracter"/>
        </w:rPr>
        <w:t>Artículo 21.</w:t>
      </w:r>
      <w:r w:rsidRPr="00575662">
        <w:rPr>
          <w:rStyle w:val="TextoNormalCaracter"/>
        </w:rPr>
        <w:t>-</w:t>
      </w:r>
      <w:r>
        <w:t xml:space="preserve"> Sentencia </w:t>
      </w:r>
      <w:hyperlink w:anchor="SENTENCIA_1997_28" w:history="1">
        <w:r w:rsidRPr="00575662">
          <w:rPr>
            <w:rStyle w:val="TextoNormalCaracter"/>
          </w:rPr>
          <w:t>28/1997</w:t>
        </w:r>
      </w:hyperlink>
      <w:r>
        <w:t>, f. 6.</w:t>
      </w:r>
    </w:p>
    <w:p w:rsidR="00575662" w:rsidRDefault="00575662" w:rsidP="00575662">
      <w:pPr>
        <w:pStyle w:val="SangriaFrancesaArticulo"/>
      </w:pPr>
      <w:r w:rsidRPr="00575662">
        <w:rPr>
          <w:rStyle w:val="TextoNormalNegritaCaracter"/>
        </w:rPr>
        <w:t>Artículo 76.</w:t>
      </w:r>
      <w:r w:rsidRPr="00575662">
        <w:rPr>
          <w:rStyle w:val="TextoNormalCaracter"/>
        </w:rPr>
        <w:t>-</w:t>
      </w:r>
      <w:r>
        <w:t xml:space="preserve"> Sentencia </w:t>
      </w:r>
      <w:hyperlink w:anchor="SENTENCIA_1997_61" w:history="1">
        <w:r w:rsidRPr="00575662">
          <w:rPr>
            <w:rStyle w:val="TextoNormalCaracter"/>
          </w:rPr>
          <w:t>61/1997</w:t>
        </w:r>
      </w:hyperlink>
      <w:r>
        <w:t>, VP.</w:t>
      </w:r>
    </w:p>
    <w:p w:rsidR="00575662" w:rsidRDefault="00575662" w:rsidP="00575662">
      <w:pPr>
        <w:pStyle w:val="SangriaFrancesaArticulo"/>
      </w:pPr>
      <w:r w:rsidRPr="00575662">
        <w:rPr>
          <w:rStyle w:val="TextoNormalNegritaCaracter"/>
        </w:rPr>
        <w:t>Artículo 105.</w:t>
      </w:r>
      <w:r w:rsidRPr="00575662">
        <w:rPr>
          <w:rStyle w:val="TextoNormalCaracter"/>
        </w:rPr>
        <w:t>-</w:t>
      </w:r>
      <w:r>
        <w:t xml:space="preserve"> Sentencia </w:t>
      </w:r>
      <w:hyperlink w:anchor="SENTENCIA_1997_61" w:history="1">
        <w:r w:rsidRPr="00575662">
          <w:rPr>
            <w:rStyle w:val="TextoNormalCaracter"/>
          </w:rPr>
          <w:t>61/1997</w:t>
        </w:r>
      </w:hyperlink>
      <w:r>
        <w:t>, f. 20.</w:t>
      </w:r>
    </w:p>
    <w:p w:rsidR="00575662" w:rsidRDefault="00575662" w:rsidP="00575662">
      <w:pPr>
        <w:pStyle w:val="SangriaFrancesaArticulo"/>
      </w:pPr>
      <w:r w:rsidRPr="00575662">
        <w:rPr>
          <w:rStyle w:val="TextoNormalNegritaCaracter"/>
        </w:rPr>
        <w:t>Artículo 131.</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132.</w:t>
      </w:r>
      <w:r w:rsidRPr="00575662">
        <w:rPr>
          <w:rStyle w:val="TextoNormalCaracter"/>
        </w:rPr>
        <w:t>-</w:t>
      </w:r>
      <w:r>
        <w:t xml:space="preserve"> Sentencia </w:t>
      </w:r>
      <w:hyperlink w:anchor="SENTENCIA_1997_61" w:history="1">
        <w:r w:rsidRPr="00575662">
          <w:rPr>
            <w:rStyle w:val="TextoNormalCaracter"/>
          </w:rPr>
          <w:t>61/1997</w:t>
        </w:r>
      </w:hyperlink>
      <w:r>
        <w:t>, f. 17.</w:t>
      </w:r>
    </w:p>
    <w:p w:rsidR="00575662" w:rsidRDefault="00575662" w:rsidP="00575662">
      <w:pPr>
        <w:pStyle w:val="SangriaFrancesaArticulo"/>
      </w:pPr>
      <w:r w:rsidRPr="00575662">
        <w:rPr>
          <w:rStyle w:val="TextoNormalNegritaCaracter"/>
        </w:rPr>
        <w:t>Artículo 210.</w:t>
      </w:r>
      <w:r w:rsidRPr="00575662">
        <w:rPr>
          <w:rStyle w:val="TextoNormalCaracter"/>
        </w:rPr>
        <w:t>-</w:t>
      </w:r>
      <w:r>
        <w:t xml:space="preserve"> Sentencia </w:t>
      </w:r>
      <w:hyperlink w:anchor="SENTENCIA_1997_61" w:history="1">
        <w:r w:rsidRPr="00575662">
          <w:rPr>
            <w:rStyle w:val="TextoNormalCaracter"/>
          </w:rPr>
          <w:t>61/1997</w:t>
        </w:r>
      </w:hyperlink>
      <w:r>
        <w:t>, f. 41.</w:t>
      </w:r>
    </w:p>
    <w:p w:rsidR="00575662" w:rsidRDefault="00575662" w:rsidP="00575662">
      <w:pPr>
        <w:pStyle w:val="SangriaFrancesaArticulo"/>
      </w:pPr>
      <w:r w:rsidRPr="00575662">
        <w:rPr>
          <w:rStyle w:val="TextoNormalNegritaCaracter"/>
        </w:rPr>
        <w:t>Artículo 211.</w:t>
      </w:r>
      <w:r w:rsidRPr="00575662">
        <w:rPr>
          <w:rStyle w:val="TextoNormalCaracter"/>
        </w:rPr>
        <w:t>-</w:t>
      </w:r>
      <w:r>
        <w:t xml:space="preserve"> Sentencia </w:t>
      </w:r>
      <w:hyperlink w:anchor="SENTENCIA_1997_61" w:history="1">
        <w:r w:rsidRPr="00575662">
          <w:rPr>
            <w:rStyle w:val="TextoNormalCaracter"/>
          </w:rPr>
          <w:t>61/1997</w:t>
        </w:r>
      </w:hyperlink>
      <w:r>
        <w:t>, f. 41.</w:t>
      </w:r>
    </w:p>
    <w:p w:rsidR="00575662" w:rsidRDefault="00575662" w:rsidP="00575662">
      <w:pPr>
        <w:pStyle w:val="SangriaFrancesaArticulo"/>
      </w:pPr>
    </w:p>
    <w:p w:rsidR="00575662" w:rsidRDefault="00575662" w:rsidP="00575662">
      <w:pPr>
        <w:pStyle w:val="TextoNormalNegritaCursivandice"/>
      </w:pPr>
      <w:r>
        <w:t>Real Decreto 2676/1977, de 4 de marzo. Reglamento de la Ley de Espacios Naturales Protegidos</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28" w:history="1">
        <w:r w:rsidRPr="00575662">
          <w:rPr>
            <w:rStyle w:val="TextoNormalCaracter"/>
          </w:rPr>
          <w:t>28/1997</w:t>
        </w:r>
      </w:hyperlink>
      <w:r>
        <w:t>, ff. 1, 2.</w:t>
      </w:r>
    </w:p>
    <w:p w:rsidR="00575662" w:rsidRDefault="00575662" w:rsidP="00575662">
      <w:pPr>
        <w:pStyle w:val="SangriaFrancesaArticulo"/>
      </w:pPr>
    </w:p>
    <w:p w:rsidR="00575662" w:rsidRDefault="00575662" w:rsidP="00575662">
      <w:pPr>
        <w:pStyle w:val="TextoNormalNegritaCursivandice"/>
      </w:pPr>
      <w:r>
        <w:t>Ley 44/1978, de 8 de septiembre. Normas reguladoras del impuesto sobre la renta de las personas físicas</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Sentencias </w:t>
      </w:r>
      <w:hyperlink w:anchor="SENTENCIA_1997_38" w:history="1">
        <w:r w:rsidRPr="00575662">
          <w:rPr>
            <w:rStyle w:val="TextoNormalCaracter"/>
          </w:rPr>
          <w:t>38/1997</w:t>
        </w:r>
      </w:hyperlink>
      <w:r>
        <w:t xml:space="preserve">, f. 3; </w:t>
      </w:r>
      <w:hyperlink w:anchor="SENTENCIA_1997_62" w:history="1">
        <w:r w:rsidRPr="00575662">
          <w:rPr>
            <w:rStyle w:val="TextoNormalCaracter"/>
          </w:rPr>
          <w:t>62/1997</w:t>
        </w:r>
      </w:hyperlink>
      <w:r>
        <w:t xml:space="preserve">, f. 4; </w:t>
      </w:r>
      <w:hyperlink w:anchor="SENTENCIA_1997_63" w:history="1">
        <w:r w:rsidRPr="00575662">
          <w:rPr>
            <w:rStyle w:val="TextoNormalCaracter"/>
          </w:rPr>
          <w:t>63/1997</w:t>
        </w:r>
      </w:hyperlink>
      <w:r>
        <w:t>, ff. 1, 2.</w:t>
      </w:r>
    </w:p>
    <w:p w:rsidR="00575662" w:rsidRDefault="00575662" w:rsidP="00575662">
      <w:pPr>
        <w:pStyle w:val="SangriaFrancesaArticulo"/>
      </w:pPr>
      <w:r w:rsidRPr="00575662">
        <w:rPr>
          <w:rStyle w:val="TextoNormalNegritaCaracter"/>
        </w:rPr>
        <w:t>Artículo 4.2.</w:t>
      </w:r>
      <w:r w:rsidRPr="00575662">
        <w:rPr>
          <w:rStyle w:val="TextoNormalCaracter"/>
        </w:rPr>
        <w:t>-</w:t>
      </w:r>
      <w:r>
        <w:t xml:space="preserve"> Sentencia </w:t>
      </w:r>
      <w:hyperlink w:anchor="SENTENCIA_1997_38" w:history="1">
        <w:r w:rsidRPr="00575662">
          <w:rPr>
            <w:rStyle w:val="TextoNormalCaracter"/>
          </w:rPr>
          <w:t>38/1997</w:t>
        </w:r>
      </w:hyperlink>
      <w:r>
        <w:t>, f. 3.</w:t>
      </w:r>
    </w:p>
    <w:p w:rsidR="00575662" w:rsidRDefault="00575662" w:rsidP="00575662">
      <w:pPr>
        <w:pStyle w:val="SangriaFrancesaArticulo"/>
      </w:pPr>
      <w:r w:rsidRPr="00575662">
        <w:rPr>
          <w:rStyle w:val="TextoNormalNegritaCaracter"/>
        </w:rPr>
        <w:t>Artículo 7.3.</w:t>
      </w:r>
      <w:r w:rsidRPr="00575662">
        <w:rPr>
          <w:rStyle w:val="TextoNormalCaracter"/>
        </w:rPr>
        <w:t>-</w:t>
      </w:r>
      <w:r>
        <w:t xml:space="preserve"> Sentencia </w:t>
      </w:r>
      <w:hyperlink w:anchor="SENTENCIA_1997_38" w:history="1">
        <w:r w:rsidRPr="00575662">
          <w:rPr>
            <w:rStyle w:val="TextoNormalCaracter"/>
          </w:rPr>
          <w:t>38/1997</w:t>
        </w:r>
      </w:hyperlink>
      <w:r>
        <w:t>, f. 3.</w:t>
      </w:r>
    </w:p>
    <w:p w:rsidR="00575662" w:rsidRDefault="00575662" w:rsidP="00575662">
      <w:pPr>
        <w:pStyle w:val="SangriaFrancesaArticulo"/>
      </w:pPr>
      <w:r w:rsidRPr="00575662">
        <w:rPr>
          <w:rStyle w:val="TextoNormalNegritaCaracter"/>
        </w:rPr>
        <w:t>Artículo 24 b).</w:t>
      </w:r>
      <w:r w:rsidRPr="00575662">
        <w:rPr>
          <w:rStyle w:val="TextoNormalCaracter"/>
        </w:rPr>
        <w:t>-</w:t>
      </w:r>
      <w:r>
        <w:t xml:space="preserve"> Sentencia </w:t>
      </w:r>
      <w:hyperlink w:anchor="SENTENCIA_1997_38" w:history="1">
        <w:r w:rsidRPr="00575662">
          <w:rPr>
            <w:rStyle w:val="TextoNormalCaracter"/>
          </w:rPr>
          <w:t>38/1997</w:t>
        </w:r>
      </w:hyperlink>
      <w:r>
        <w:t>, f. 3.</w:t>
      </w:r>
    </w:p>
    <w:p w:rsidR="00575662" w:rsidRDefault="00575662" w:rsidP="00575662">
      <w:pPr>
        <w:pStyle w:val="SangriaFrancesaArticulo"/>
      </w:pPr>
      <w:r w:rsidRPr="00575662">
        <w:rPr>
          <w:rStyle w:val="TextoNormalNegritaCaracter"/>
        </w:rPr>
        <w:t>Artículo 31.2.</w:t>
      </w:r>
      <w:r w:rsidRPr="00575662">
        <w:rPr>
          <w:rStyle w:val="TextoNormalCaracter"/>
        </w:rPr>
        <w:t>-</w:t>
      </w:r>
      <w:r>
        <w:t xml:space="preserve"> Sentencia </w:t>
      </w:r>
      <w:hyperlink w:anchor="SENTENCIA_1997_38" w:history="1">
        <w:r w:rsidRPr="00575662">
          <w:rPr>
            <w:rStyle w:val="TextoNormalCaracter"/>
          </w:rPr>
          <w:t>38/1997</w:t>
        </w:r>
      </w:hyperlink>
      <w:r>
        <w:t>, f. 3.</w:t>
      </w:r>
    </w:p>
    <w:p w:rsidR="00575662" w:rsidRDefault="00575662" w:rsidP="00575662">
      <w:pPr>
        <w:pStyle w:val="SangriaFrancesaArticulo"/>
      </w:pPr>
      <w:r w:rsidRPr="00575662">
        <w:rPr>
          <w:rStyle w:val="TextoNormalNegritaCaracter"/>
        </w:rPr>
        <w:t>Artículo 34.6.</w:t>
      </w:r>
      <w:r w:rsidRPr="00575662">
        <w:rPr>
          <w:rStyle w:val="TextoNormalCaracter"/>
        </w:rPr>
        <w:t>-</w:t>
      </w:r>
      <w:r>
        <w:t xml:space="preserve"> Sentencia </w:t>
      </w:r>
      <w:hyperlink w:anchor="SENTENCIA_1997_38" w:history="1">
        <w:r w:rsidRPr="00575662">
          <w:rPr>
            <w:rStyle w:val="TextoNormalCaracter"/>
          </w:rPr>
          <w:t>38/1997</w:t>
        </w:r>
      </w:hyperlink>
      <w:r>
        <w:t>, f. 3.</w:t>
      </w:r>
    </w:p>
    <w:p w:rsidR="00575662" w:rsidRDefault="00575662" w:rsidP="00575662">
      <w:pPr>
        <w:pStyle w:val="SangriaFrancesaArticulo"/>
      </w:pPr>
    </w:p>
    <w:p w:rsidR="00575662" w:rsidRDefault="00575662" w:rsidP="00575662">
      <w:pPr>
        <w:pStyle w:val="TextoNormalNegritaCursivandice"/>
      </w:pPr>
      <w:r>
        <w:t>Ley 62/1978, de 26 de diciembre. Protección jurisdiccional de los derechos fundamentales de la persona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Auto </w:t>
      </w:r>
      <w:hyperlink w:anchor="AUTO_1997_13" w:history="1">
        <w:r w:rsidRPr="00575662">
          <w:rPr>
            <w:rStyle w:val="TextoNormalCaracter"/>
          </w:rPr>
          <w:t>13/1997</w:t>
        </w:r>
      </w:hyperlink>
      <w:r>
        <w:t>.</w:t>
      </w:r>
    </w:p>
    <w:p w:rsidR="00575662" w:rsidRDefault="00575662" w:rsidP="00575662">
      <w:pPr>
        <w:pStyle w:val="SangriaFrancesaArticulo"/>
      </w:pPr>
    </w:p>
    <w:p w:rsidR="00575662" w:rsidRDefault="00575662" w:rsidP="00575662">
      <w:pPr>
        <w:pStyle w:val="TextoNormalNegritaCursivandice"/>
      </w:pPr>
      <w:r>
        <w:t>Ley 85/1978, de 28 de diciembre. Reales Ordenanzas de las fuerzas armadas</w:t>
      </w:r>
    </w:p>
    <w:p w:rsidR="00575662" w:rsidRDefault="00575662" w:rsidP="00575662">
      <w:pPr>
        <w:pStyle w:val="SangriaFrancesaArticulo"/>
      </w:pPr>
      <w:r w:rsidRPr="00575662">
        <w:rPr>
          <w:rStyle w:val="TextoNormalNegritaCaracter"/>
        </w:rPr>
        <w:t>Artículo 1.</w:t>
      </w:r>
      <w:r w:rsidRPr="00575662">
        <w:rPr>
          <w:rStyle w:val="TextoNormalCaracter"/>
        </w:rPr>
        <w:t>-</w:t>
      </w:r>
      <w:r>
        <w:t xml:space="preserve"> Sentencia </w:t>
      </w:r>
      <w:hyperlink w:anchor="SENTENCIA_1997_56" w:history="1">
        <w:r w:rsidRPr="00575662">
          <w:rPr>
            <w:rStyle w:val="TextoNormalCaracter"/>
          </w:rPr>
          <w:t>56/1997</w:t>
        </w:r>
      </w:hyperlink>
      <w:r>
        <w:t>, VP II.</w:t>
      </w:r>
    </w:p>
    <w:p w:rsidR="00575662" w:rsidRDefault="00575662" w:rsidP="00575662">
      <w:pPr>
        <w:pStyle w:val="SangriaFrancesaArticulo"/>
      </w:pPr>
      <w:r w:rsidRPr="00575662">
        <w:rPr>
          <w:rStyle w:val="TextoNormalNegritaCaracter"/>
        </w:rPr>
        <w:t>Artículo 29.</w:t>
      </w:r>
      <w:r w:rsidRPr="00575662">
        <w:rPr>
          <w:rStyle w:val="TextoNormalCaracter"/>
        </w:rPr>
        <w:t>-</w:t>
      </w:r>
      <w:r>
        <w:t xml:space="preserve"> Sentencia </w:t>
      </w:r>
      <w:hyperlink w:anchor="SENTENCIA_1997_56" w:history="1">
        <w:r w:rsidRPr="00575662">
          <w:rPr>
            <w:rStyle w:val="TextoNormalCaracter"/>
          </w:rPr>
          <w:t>56/1997</w:t>
        </w:r>
      </w:hyperlink>
      <w:r>
        <w:t>, VP II.</w:t>
      </w:r>
    </w:p>
    <w:p w:rsidR="00575662" w:rsidRDefault="00575662" w:rsidP="00575662">
      <w:pPr>
        <w:pStyle w:val="TextoNormal"/>
      </w:pPr>
    </w:p>
    <w:p w:rsidR="00575662" w:rsidRDefault="00575662" w:rsidP="00575662">
      <w:pPr>
        <w:pStyle w:val="SangriaFrancesaArticulo"/>
      </w:pPr>
      <w:bookmarkStart w:id="227" w:name="INDICE22851"/>
    </w:p>
    <w:bookmarkEnd w:id="227"/>
    <w:p w:rsidR="00575662" w:rsidRDefault="00575662" w:rsidP="00575662">
      <w:pPr>
        <w:pStyle w:val="TextoIndiceNivel2"/>
        <w:suppressAutoHyphens/>
      </w:pPr>
      <w:r>
        <w:t>J) Comunidades y Ciudades Autónomas</w:t>
      </w:r>
    </w:p>
    <w:p w:rsidR="00575662" w:rsidRDefault="00575662" w:rsidP="00575662">
      <w:pPr>
        <w:pStyle w:val="TextoNormal"/>
      </w:pPr>
    </w:p>
    <w:p w:rsidR="00575662" w:rsidRDefault="00575662" w:rsidP="00575662">
      <w:pPr>
        <w:pStyle w:val="TextoNormalNegritaCentrado"/>
        <w:suppressAutoHyphens/>
      </w:pPr>
      <w:r w:rsidRPr="00575662">
        <w:rPr>
          <w:rStyle w:val="TextoNormalNegritaCentradoSombreado"/>
        </w:rPr>
        <w:t>J.1) Andalucía</w:t>
      </w:r>
    </w:p>
    <w:p w:rsidR="00575662" w:rsidRDefault="00575662" w:rsidP="00575662">
      <w:pPr>
        <w:pStyle w:val="TextoNormal"/>
      </w:pPr>
    </w:p>
    <w:p w:rsidR="00575662" w:rsidRDefault="00575662" w:rsidP="00575662">
      <w:pPr>
        <w:pStyle w:val="TextoNormalNegritaCentradoSubrayado"/>
        <w:suppressAutoHyphens/>
      </w:pPr>
      <w:r>
        <w:t>J.1.a) Estatuto de Autonomía</w:t>
      </w:r>
    </w:p>
    <w:p w:rsidR="00575662" w:rsidRDefault="00575662" w:rsidP="00575662">
      <w:pPr>
        <w:pStyle w:val="TextoNormalNegritaCentradoSubrayado"/>
      </w:pPr>
    </w:p>
    <w:p w:rsidR="00575662" w:rsidRDefault="00575662" w:rsidP="00575662">
      <w:pPr>
        <w:pStyle w:val="TextoNormalNegritaCursivandice"/>
      </w:pPr>
      <w:r>
        <w:t>Ley Orgánica 6/1981, de 30 de diciembre. Estatuto de Autonomía de Andalucía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Auto </w:t>
      </w:r>
      <w:hyperlink w:anchor="AUTO_1997_104" w:history="1">
        <w:r w:rsidRPr="00575662">
          <w:rPr>
            <w:rStyle w:val="TextoNormalCaracter"/>
          </w:rPr>
          <w:t>104/1997</w:t>
        </w:r>
      </w:hyperlink>
      <w:r>
        <w:t>.</w:t>
      </w:r>
    </w:p>
    <w:p w:rsidR="00575662" w:rsidRDefault="00575662" w:rsidP="00575662">
      <w:pPr>
        <w:pStyle w:val="TextoNormal"/>
      </w:pPr>
    </w:p>
    <w:p w:rsidR="00575662" w:rsidRDefault="00575662" w:rsidP="00575662">
      <w:pPr>
        <w:pStyle w:val="TextoNormalNegritaCentrado"/>
        <w:suppressAutoHyphens/>
      </w:pPr>
      <w:r w:rsidRPr="00575662">
        <w:rPr>
          <w:rStyle w:val="TextoNormalNegritaCentradoSombreado"/>
        </w:rPr>
        <w:t>J.2) Aragón</w:t>
      </w:r>
    </w:p>
    <w:p w:rsidR="00575662" w:rsidRDefault="00575662" w:rsidP="00575662">
      <w:pPr>
        <w:pStyle w:val="TextoNormal"/>
      </w:pPr>
    </w:p>
    <w:p w:rsidR="00575662" w:rsidRDefault="00575662" w:rsidP="00575662">
      <w:pPr>
        <w:pStyle w:val="TextoNormalNegritaCentradoSubrayado"/>
        <w:suppressAutoHyphens/>
      </w:pPr>
      <w:r>
        <w:lastRenderedPageBreak/>
        <w:t>J.2.a) Estatuto de Autonomía</w:t>
      </w:r>
    </w:p>
    <w:p w:rsidR="00575662" w:rsidRDefault="00575662" w:rsidP="00575662">
      <w:pPr>
        <w:pStyle w:val="TextoNormalNegritaCentradoSubrayado"/>
      </w:pPr>
    </w:p>
    <w:p w:rsidR="00575662" w:rsidRDefault="00575662" w:rsidP="00575662">
      <w:pPr>
        <w:pStyle w:val="TextoNormalNegritaCursivandice"/>
      </w:pPr>
      <w:r>
        <w:t>Ley Orgánica 8/1982, de 10 de agosto. Estatuto de Autonomía de Aragón</w:t>
      </w:r>
    </w:p>
    <w:p w:rsidR="00575662" w:rsidRDefault="00575662" w:rsidP="00575662">
      <w:pPr>
        <w:pStyle w:val="SangriaFrancesaArticulo"/>
      </w:pPr>
      <w:r w:rsidRPr="00575662">
        <w:rPr>
          <w:rStyle w:val="TextoNormalNegritaCaracter"/>
        </w:rPr>
        <w:t>Artículo 35.1.3.</w:t>
      </w:r>
      <w:r w:rsidRPr="00575662">
        <w:rPr>
          <w:rStyle w:val="TextoNormalCaracter"/>
        </w:rPr>
        <w:t>-</w:t>
      </w:r>
      <w:r>
        <w:t xml:space="preserve"> Sentencia </w:t>
      </w:r>
      <w:hyperlink w:anchor="SENTENCIA_1997_61" w:history="1">
        <w:r w:rsidRPr="00575662">
          <w:rPr>
            <w:rStyle w:val="TextoNormalCaracter"/>
          </w:rPr>
          <w:t>61/1997</w:t>
        </w:r>
      </w:hyperlink>
      <w:r>
        <w:t>, f. 5.</w:t>
      </w:r>
    </w:p>
    <w:p w:rsidR="00575662" w:rsidRDefault="00575662" w:rsidP="00575662">
      <w:pPr>
        <w:pStyle w:val="TextoNormal"/>
      </w:pPr>
    </w:p>
    <w:p w:rsidR="00575662" w:rsidRDefault="00575662" w:rsidP="00575662">
      <w:pPr>
        <w:pStyle w:val="TextoNormalNegritaCentrado"/>
        <w:suppressAutoHyphens/>
      </w:pPr>
      <w:r w:rsidRPr="00575662">
        <w:rPr>
          <w:rStyle w:val="TextoNormalNegritaCentradoSombreado"/>
        </w:rPr>
        <w:t>J.3) Asturias</w:t>
      </w:r>
    </w:p>
    <w:p w:rsidR="00575662" w:rsidRDefault="00575662" w:rsidP="00575662">
      <w:pPr>
        <w:pStyle w:val="TextoNormal"/>
      </w:pPr>
    </w:p>
    <w:p w:rsidR="00575662" w:rsidRDefault="00575662" w:rsidP="00575662">
      <w:pPr>
        <w:pStyle w:val="TextoNormalNegritaCentradoSubrayado"/>
        <w:suppressAutoHyphens/>
      </w:pPr>
      <w:r>
        <w:t>J.3.a) Estatuto de Autonomía</w:t>
      </w:r>
    </w:p>
    <w:p w:rsidR="00575662" w:rsidRDefault="00575662" w:rsidP="00575662">
      <w:pPr>
        <w:pStyle w:val="TextoNormalNegritaCentradoSubrayado"/>
      </w:pPr>
    </w:p>
    <w:p w:rsidR="00575662" w:rsidRDefault="00575662" w:rsidP="00575662">
      <w:pPr>
        <w:pStyle w:val="TextoNormalNegritaCursivandice"/>
      </w:pPr>
      <w:r>
        <w:t>Ley Orgánica 7/1981, de 30 de diciembre. Estatuto de Autonomía de Asturias</w:t>
      </w:r>
    </w:p>
    <w:p w:rsidR="00575662" w:rsidRDefault="00575662" w:rsidP="00575662">
      <w:pPr>
        <w:pStyle w:val="SangriaFrancesaArticulo"/>
      </w:pPr>
      <w:r w:rsidRPr="00575662">
        <w:rPr>
          <w:rStyle w:val="TextoNormalNegritaCaracter"/>
        </w:rPr>
        <w:t>Artículo 10.1 h).</w:t>
      </w:r>
      <w:r w:rsidRPr="00575662">
        <w:rPr>
          <w:rStyle w:val="TextoNormalCaracter"/>
        </w:rPr>
        <w:t>-</w:t>
      </w:r>
      <w:r>
        <w:t xml:space="preserve"> Sentencia </w:t>
      </w:r>
      <w:hyperlink w:anchor="SENTENCIA_1997_16" w:history="1">
        <w:r w:rsidRPr="00575662">
          <w:rPr>
            <w:rStyle w:val="TextoNormalCaracter"/>
          </w:rPr>
          <w:t>16/1997</w:t>
        </w:r>
      </w:hyperlink>
      <w:r>
        <w:t>, f. 1.</w:t>
      </w:r>
    </w:p>
    <w:p w:rsidR="00575662" w:rsidRDefault="00575662" w:rsidP="00575662">
      <w:pPr>
        <w:pStyle w:val="TextoNormal"/>
      </w:pPr>
    </w:p>
    <w:p w:rsidR="00575662" w:rsidRDefault="00575662" w:rsidP="00575662">
      <w:pPr>
        <w:pStyle w:val="TextoNormalNegritaCentradoSubrayado"/>
        <w:suppressAutoHyphens/>
      </w:pPr>
      <w:r>
        <w:t>J.3.b) Leyes y disposiciones con fuerza de Ley</w:t>
      </w:r>
    </w:p>
    <w:p w:rsidR="00575662" w:rsidRDefault="00575662" w:rsidP="00575662">
      <w:pPr>
        <w:pStyle w:val="TextoNormalNegritaCentradoSubrayado"/>
      </w:pPr>
    </w:p>
    <w:p w:rsidR="00575662" w:rsidRDefault="00575662" w:rsidP="00575662">
      <w:pPr>
        <w:pStyle w:val="TextoNormalNegritaCursivandice"/>
      </w:pPr>
      <w:r>
        <w:t>Ley de la Junta General del Principado de Asturias 2/1989, de 6 de junio. Caza</w:t>
      </w:r>
    </w:p>
    <w:p w:rsidR="00575662" w:rsidRDefault="00575662" w:rsidP="00575662">
      <w:pPr>
        <w:pStyle w:val="SangriaFrancesaArticulo"/>
      </w:pPr>
      <w:r w:rsidRPr="00575662">
        <w:rPr>
          <w:rStyle w:val="TextoNormalNegritaCaracter"/>
        </w:rPr>
        <w:t>Artículo 46.2.</w:t>
      </w:r>
      <w:r w:rsidRPr="00575662">
        <w:rPr>
          <w:rStyle w:val="TextoNormalCaracter"/>
        </w:rPr>
        <w:t>-</w:t>
      </w:r>
      <w:r>
        <w:t xml:space="preserve"> Sentencia </w:t>
      </w:r>
      <w:hyperlink w:anchor="SENTENCIA_1997_16" w:history="1">
        <w:r w:rsidRPr="00575662">
          <w:rPr>
            <w:rStyle w:val="TextoNormalCaracter"/>
          </w:rPr>
          <w:t>16/1997</w:t>
        </w:r>
      </w:hyperlink>
      <w:r>
        <w:t>, ff. 1, 3, 4.</w:t>
      </w:r>
    </w:p>
    <w:p w:rsidR="00575662" w:rsidRDefault="00575662" w:rsidP="00575662">
      <w:pPr>
        <w:pStyle w:val="TextoNormal"/>
      </w:pPr>
    </w:p>
    <w:p w:rsidR="00575662" w:rsidRDefault="00575662" w:rsidP="00575662">
      <w:pPr>
        <w:pStyle w:val="TextoNormalNegritaCentrado"/>
        <w:suppressAutoHyphens/>
      </w:pPr>
      <w:r w:rsidRPr="00575662">
        <w:rPr>
          <w:rStyle w:val="TextoNormalNegritaCentradoSombreado"/>
        </w:rPr>
        <w:t>J.4) Baleares</w:t>
      </w:r>
    </w:p>
    <w:p w:rsidR="00575662" w:rsidRDefault="00575662" w:rsidP="00575662">
      <w:pPr>
        <w:pStyle w:val="TextoNormal"/>
      </w:pPr>
    </w:p>
    <w:p w:rsidR="00575662" w:rsidRDefault="00575662" w:rsidP="00575662">
      <w:pPr>
        <w:pStyle w:val="TextoNormalNegritaCentradoSubrayado"/>
        <w:suppressAutoHyphens/>
      </w:pPr>
      <w:r>
        <w:t>J.4.a) Estatuto de Autonomía</w:t>
      </w:r>
    </w:p>
    <w:p w:rsidR="00575662" w:rsidRDefault="00575662" w:rsidP="00575662">
      <w:pPr>
        <w:pStyle w:val="TextoNormalNegritaCentradoSubrayado"/>
      </w:pPr>
    </w:p>
    <w:p w:rsidR="00575662" w:rsidRDefault="00575662" w:rsidP="00575662">
      <w:pPr>
        <w:pStyle w:val="TextoNormalNegritaCursivandice"/>
      </w:pPr>
      <w:r>
        <w:t>Ley Orgánica 2/1983, de 25 de febrero. Estatuto de Autonomía de las Illes Balears</w:t>
      </w:r>
    </w:p>
    <w:p w:rsidR="00575662" w:rsidRDefault="00575662" w:rsidP="00575662">
      <w:pPr>
        <w:pStyle w:val="SangriaFrancesaArticulo"/>
      </w:pPr>
      <w:r w:rsidRPr="00575662">
        <w:rPr>
          <w:rStyle w:val="TextoNormalNegritaCaracter"/>
        </w:rPr>
        <w:t>Artículo 10.3.</w:t>
      </w:r>
      <w:r w:rsidRPr="00575662">
        <w:rPr>
          <w:rStyle w:val="TextoNormalCaracter"/>
        </w:rPr>
        <w:t>-</w:t>
      </w:r>
      <w:r>
        <w:t xml:space="preserve"> Sentencias </w:t>
      </w:r>
      <w:hyperlink w:anchor="SENTENCIA_1997_28" w:history="1">
        <w:r w:rsidRPr="00575662">
          <w:rPr>
            <w:rStyle w:val="TextoNormalCaracter"/>
          </w:rPr>
          <w:t>28/1997</w:t>
        </w:r>
      </w:hyperlink>
      <w:r>
        <w:t xml:space="preserve">, ff. 1, 4, 6; </w:t>
      </w:r>
      <w:hyperlink w:anchor="SENTENCIA_1997_61" w:history="1">
        <w:r w:rsidRPr="00575662">
          <w:rPr>
            <w:rStyle w:val="TextoNormalCaracter"/>
          </w:rPr>
          <w:t>61/1997</w:t>
        </w:r>
      </w:hyperlink>
      <w:r>
        <w:t>, f. 5.</w:t>
      </w:r>
    </w:p>
    <w:p w:rsidR="00575662" w:rsidRDefault="00575662" w:rsidP="00575662">
      <w:pPr>
        <w:pStyle w:val="SangriaFrancesaArticulo"/>
      </w:pPr>
      <w:r w:rsidRPr="00575662">
        <w:rPr>
          <w:rStyle w:val="TextoNormalNegritaCaracter"/>
        </w:rPr>
        <w:t>Artículo 10.20.</w:t>
      </w:r>
      <w:r w:rsidRPr="00575662">
        <w:rPr>
          <w:rStyle w:val="TextoNormalCaracter"/>
        </w:rPr>
        <w:t>-</w:t>
      </w:r>
      <w:r>
        <w:t xml:space="preserve"> Sentencia </w:t>
      </w:r>
      <w:hyperlink w:anchor="SENTENCIA_1997_28" w:history="1">
        <w:r w:rsidRPr="00575662">
          <w:rPr>
            <w:rStyle w:val="TextoNormalCaracter"/>
          </w:rPr>
          <w:t>28/1997</w:t>
        </w:r>
      </w:hyperlink>
      <w:r>
        <w:t>, f. 1.</w:t>
      </w:r>
    </w:p>
    <w:p w:rsidR="00575662" w:rsidRDefault="00575662" w:rsidP="00575662">
      <w:pPr>
        <w:pStyle w:val="SangriaFrancesaArticulo"/>
      </w:pPr>
      <w:r w:rsidRPr="00575662">
        <w:rPr>
          <w:rStyle w:val="TextoNormalNegritaCaracter"/>
        </w:rPr>
        <w:t>Artículo 11.5.</w:t>
      </w:r>
      <w:r w:rsidRPr="00575662">
        <w:rPr>
          <w:rStyle w:val="TextoNormalCaracter"/>
        </w:rPr>
        <w:t>-</w:t>
      </w:r>
      <w:r>
        <w:t xml:space="preserve"> Sentencia </w:t>
      </w:r>
      <w:hyperlink w:anchor="SENTENCIA_1997_28" w:history="1">
        <w:r w:rsidRPr="00575662">
          <w:rPr>
            <w:rStyle w:val="TextoNormalCaracter"/>
          </w:rPr>
          <w:t>28/1997</w:t>
        </w:r>
      </w:hyperlink>
      <w:r>
        <w:t>, ff. 1, 4, 6.</w:t>
      </w:r>
    </w:p>
    <w:p w:rsidR="00575662" w:rsidRDefault="00575662" w:rsidP="00575662">
      <w:pPr>
        <w:pStyle w:val="TextoNormal"/>
      </w:pPr>
    </w:p>
    <w:p w:rsidR="00575662" w:rsidRDefault="00575662" w:rsidP="00575662">
      <w:pPr>
        <w:pStyle w:val="TextoNormalNegritaCentradoSubrayado"/>
        <w:suppressAutoHyphens/>
      </w:pPr>
      <w:r>
        <w:t>J.4.b) Leyes y disposiciones con fuerza de Ley</w:t>
      </w:r>
    </w:p>
    <w:p w:rsidR="00575662" w:rsidRDefault="00575662" w:rsidP="00575662">
      <w:pPr>
        <w:pStyle w:val="TextoNormalNegritaCentradoSubrayado"/>
      </w:pPr>
    </w:p>
    <w:p w:rsidR="00575662" w:rsidRDefault="00575662" w:rsidP="00575662">
      <w:pPr>
        <w:pStyle w:val="TextoNormalNegritaCursivandice"/>
      </w:pPr>
      <w:r>
        <w:t>Ley del Parlamento de las Illes Balears 1/1984, de 14 de marzo. Ordenación y protección de áreas naturales de interés especial</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28" w:history="1">
        <w:r w:rsidRPr="00575662">
          <w:rPr>
            <w:rStyle w:val="TextoNormalCaracter"/>
          </w:rPr>
          <w:t>28/1997</w:t>
        </w:r>
      </w:hyperlink>
      <w:r>
        <w:t>, ff. 1 a 3, 6.</w:t>
      </w:r>
    </w:p>
    <w:p w:rsidR="00575662" w:rsidRDefault="00575662" w:rsidP="00575662">
      <w:pPr>
        <w:pStyle w:val="SangriaFrancesaArticulo"/>
      </w:pPr>
      <w:r w:rsidRPr="00575662">
        <w:rPr>
          <w:rStyle w:val="TextoNormalNegritaCaracter"/>
        </w:rPr>
        <w:t>Exposición de motivos.</w:t>
      </w:r>
      <w:r w:rsidRPr="00575662">
        <w:rPr>
          <w:rStyle w:val="TextoNormalCaracter"/>
        </w:rPr>
        <w:t>-</w:t>
      </w:r>
      <w:r>
        <w:t xml:space="preserve"> Sentencia </w:t>
      </w:r>
      <w:hyperlink w:anchor="SENTENCIA_1997_28" w:history="1">
        <w:r w:rsidRPr="00575662">
          <w:rPr>
            <w:rStyle w:val="TextoNormalCaracter"/>
          </w:rPr>
          <w:t>28/1997</w:t>
        </w:r>
      </w:hyperlink>
      <w:r>
        <w:t>, ff. 1, 6.</w:t>
      </w:r>
    </w:p>
    <w:p w:rsidR="00575662" w:rsidRDefault="00575662" w:rsidP="00575662">
      <w:pPr>
        <w:pStyle w:val="SangriaFrancesaArticulo"/>
      </w:pPr>
      <w:r w:rsidRPr="00575662">
        <w:rPr>
          <w:rStyle w:val="TextoNormalNegritaCaracter"/>
        </w:rPr>
        <w:t>Artículo 3.</w:t>
      </w:r>
      <w:r w:rsidRPr="00575662">
        <w:rPr>
          <w:rStyle w:val="TextoNormalCaracter"/>
        </w:rPr>
        <w:t>-</w:t>
      </w:r>
      <w:r>
        <w:t xml:space="preserve"> Sentencia </w:t>
      </w:r>
      <w:hyperlink w:anchor="SENTENCIA_1997_28" w:history="1">
        <w:r w:rsidRPr="00575662">
          <w:rPr>
            <w:rStyle w:val="TextoNormalCaracter"/>
          </w:rPr>
          <w:t>28/1997</w:t>
        </w:r>
      </w:hyperlink>
      <w:r>
        <w:t>, f. 6.</w:t>
      </w:r>
    </w:p>
    <w:p w:rsidR="00575662" w:rsidRDefault="00575662" w:rsidP="00575662">
      <w:pPr>
        <w:pStyle w:val="SangriaFrancesaArticulo"/>
      </w:pPr>
      <w:r w:rsidRPr="00575662">
        <w:rPr>
          <w:rStyle w:val="TextoNormalNegritaCaracter"/>
        </w:rPr>
        <w:t>Artículo 4.</w:t>
      </w:r>
      <w:r w:rsidRPr="00575662">
        <w:rPr>
          <w:rStyle w:val="TextoNormalCaracter"/>
        </w:rPr>
        <w:t>-</w:t>
      </w:r>
      <w:r>
        <w:t xml:space="preserve"> Sentencia </w:t>
      </w:r>
      <w:hyperlink w:anchor="SENTENCIA_1997_28" w:history="1">
        <w:r w:rsidRPr="00575662">
          <w:rPr>
            <w:rStyle w:val="TextoNormalCaracter"/>
          </w:rPr>
          <w:t>28/1997</w:t>
        </w:r>
      </w:hyperlink>
      <w:r>
        <w:t>, f. 6.</w:t>
      </w:r>
    </w:p>
    <w:p w:rsidR="00575662" w:rsidRDefault="00575662" w:rsidP="00575662">
      <w:pPr>
        <w:pStyle w:val="SangriaFrancesaArticulo"/>
      </w:pPr>
      <w:r w:rsidRPr="00575662">
        <w:rPr>
          <w:rStyle w:val="TextoNormalNegritaCaracter"/>
        </w:rPr>
        <w:t>Artículo 5.</w:t>
      </w:r>
      <w:r w:rsidRPr="00575662">
        <w:rPr>
          <w:rStyle w:val="TextoNormalCaracter"/>
        </w:rPr>
        <w:t>-</w:t>
      </w:r>
      <w:r>
        <w:t xml:space="preserve"> Sentencia </w:t>
      </w:r>
      <w:hyperlink w:anchor="SENTENCIA_1997_28" w:history="1">
        <w:r w:rsidRPr="00575662">
          <w:rPr>
            <w:rStyle w:val="TextoNormalCaracter"/>
          </w:rPr>
          <w:t>28/1997</w:t>
        </w:r>
      </w:hyperlink>
      <w:r>
        <w:t>, f. 6.</w:t>
      </w:r>
    </w:p>
    <w:p w:rsidR="00575662" w:rsidRDefault="00575662" w:rsidP="00575662">
      <w:pPr>
        <w:pStyle w:val="SangriaFrancesaArticulo"/>
      </w:pPr>
      <w:r w:rsidRPr="00575662">
        <w:rPr>
          <w:rStyle w:val="TextoNormalNegritaCaracter"/>
        </w:rPr>
        <w:t>Artículo 6.</w:t>
      </w:r>
      <w:r w:rsidRPr="00575662">
        <w:rPr>
          <w:rStyle w:val="TextoNormalCaracter"/>
        </w:rPr>
        <w:t>-</w:t>
      </w:r>
      <w:r>
        <w:t xml:space="preserve"> Sentencia </w:t>
      </w:r>
      <w:hyperlink w:anchor="SENTENCIA_1997_28" w:history="1">
        <w:r w:rsidRPr="00575662">
          <w:rPr>
            <w:rStyle w:val="TextoNormalCaracter"/>
          </w:rPr>
          <w:t>28/1997</w:t>
        </w:r>
      </w:hyperlink>
      <w:r>
        <w:t>, f. 6.</w:t>
      </w:r>
    </w:p>
    <w:p w:rsidR="00575662" w:rsidRDefault="00575662" w:rsidP="00575662">
      <w:pPr>
        <w:pStyle w:val="SangriaFrancesaArticulo"/>
      </w:pPr>
    </w:p>
    <w:p w:rsidR="00575662" w:rsidRDefault="00575662" w:rsidP="00575662">
      <w:pPr>
        <w:pStyle w:val="TextoNormalNegritaCursivandice"/>
      </w:pPr>
      <w:r>
        <w:t>Ley del Parlamento de las Illes Balears 3/1984, de 31 de mayo. Declaración de «Es Trenc-Salobrar de Campos» como área natural de especial interés</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28" w:history="1">
        <w:r w:rsidRPr="00575662">
          <w:rPr>
            <w:rStyle w:val="TextoNormalCaracter"/>
          </w:rPr>
          <w:t>28/1997</w:t>
        </w:r>
      </w:hyperlink>
      <w:r>
        <w:t>, ff. 1 a 4, 6, 7.</w:t>
      </w:r>
    </w:p>
    <w:p w:rsidR="00575662" w:rsidRDefault="00575662" w:rsidP="00575662">
      <w:pPr>
        <w:pStyle w:val="SangriaFrancesaArticulo"/>
      </w:pPr>
      <w:r w:rsidRPr="00575662">
        <w:rPr>
          <w:rStyle w:val="TextoNormalNegritaCaracter"/>
        </w:rPr>
        <w:t>Exposición de motivos.</w:t>
      </w:r>
      <w:r w:rsidRPr="00575662">
        <w:rPr>
          <w:rStyle w:val="TextoNormalCaracter"/>
        </w:rPr>
        <w:t>-</w:t>
      </w:r>
      <w:r>
        <w:t xml:space="preserve"> Sentencia </w:t>
      </w:r>
      <w:hyperlink w:anchor="SENTENCIA_1997_28" w:history="1">
        <w:r w:rsidRPr="00575662">
          <w:rPr>
            <w:rStyle w:val="TextoNormalCaracter"/>
          </w:rPr>
          <w:t>28/1997</w:t>
        </w:r>
      </w:hyperlink>
      <w:r>
        <w:t>, f. 6.</w:t>
      </w:r>
    </w:p>
    <w:p w:rsidR="00575662" w:rsidRDefault="00575662" w:rsidP="00575662">
      <w:pPr>
        <w:pStyle w:val="SangriaFrancesaArticulo"/>
      </w:pPr>
      <w:r w:rsidRPr="00575662">
        <w:rPr>
          <w:rStyle w:val="TextoNormalNegritaCaracter"/>
        </w:rPr>
        <w:t>Artículo 1.</w:t>
      </w:r>
      <w:r w:rsidRPr="00575662">
        <w:rPr>
          <w:rStyle w:val="TextoNormalCaracter"/>
        </w:rPr>
        <w:t>-</w:t>
      </w:r>
      <w:r>
        <w:t xml:space="preserve"> Sentencia </w:t>
      </w:r>
      <w:hyperlink w:anchor="SENTENCIA_1997_28" w:history="1">
        <w:r w:rsidRPr="00575662">
          <w:rPr>
            <w:rStyle w:val="TextoNormalCaracter"/>
          </w:rPr>
          <w:t>28/1997</w:t>
        </w:r>
      </w:hyperlink>
      <w:r>
        <w:t>, f. 6.</w:t>
      </w:r>
    </w:p>
    <w:p w:rsidR="00575662" w:rsidRDefault="00575662" w:rsidP="00575662">
      <w:pPr>
        <w:pStyle w:val="SangriaFrancesaArticulo"/>
      </w:pPr>
      <w:r w:rsidRPr="00575662">
        <w:rPr>
          <w:rStyle w:val="TextoNormalNegritaCaracter"/>
        </w:rPr>
        <w:t>Artículo 2.</w:t>
      </w:r>
      <w:r w:rsidRPr="00575662">
        <w:rPr>
          <w:rStyle w:val="TextoNormalCaracter"/>
        </w:rPr>
        <w:t>-</w:t>
      </w:r>
      <w:r>
        <w:t xml:space="preserve"> Sentencia </w:t>
      </w:r>
      <w:hyperlink w:anchor="SENTENCIA_1997_28" w:history="1">
        <w:r w:rsidRPr="00575662">
          <w:rPr>
            <w:rStyle w:val="TextoNormalCaracter"/>
          </w:rPr>
          <w:t>28/1997</w:t>
        </w:r>
      </w:hyperlink>
      <w:r>
        <w:t>, f. 6.</w:t>
      </w:r>
    </w:p>
    <w:p w:rsidR="00575662" w:rsidRDefault="00575662" w:rsidP="00575662">
      <w:pPr>
        <w:pStyle w:val="SangriaFrancesaArticulo"/>
      </w:pPr>
      <w:r w:rsidRPr="00575662">
        <w:rPr>
          <w:rStyle w:val="TextoNormalNegritaCaracter"/>
        </w:rPr>
        <w:lastRenderedPageBreak/>
        <w:t>Disposición transitoria.</w:t>
      </w:r>
      <w:r w:rsidRPr="00575662">
        <w:rPr>
          <w:rStyle w:val="TextoNormalCaracter"/>
        </w:rPr>
        <w:t>-</w:t>
      </w:r>
      <w:r>
        <w:t xml:space="preserve"> Sentencia </w:t>
      </w:r>
      <w:hyperlink w:anchor="SENTENCIA_1997_28" w:history="1">
        <w:r w:rsidRPr="00575662">
          <w:rPr>
            <w:rStyle w:val="TextoNormalCaracter"/>
          </w:rPr>
          <w:t>28/1997</w:t>
        </w:r>
      </w:hyperlink>
      <w:r>
        <w:t>, f. 6.</w:t>
      </w:r>
    </w:p>
    <w:p w:rsidR="00575662" w:rsidRDefault="00575662" w:rsidP="00575662">
      <w:pPr>
        <w:pStyle w:val="SangriaFrancesaArticulo"/>
      </w:pPr>
    </w:p>
    <w:p w:rsidR="00575662" w:rsidRDefault="00575662" w:rsidP="00575662">
      <w:pPr>
        <w:pStyle w:val="TextoNormalNegritaCursivandice"/>
      </w:pPr>
      <w:r>
        <w:t>Ley del Parlamento de las Illes Balears 1/1991, de 30 de enero. Espacios naturales y régimen urbanístico de las áreas de especial protección de las Illes Balears</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28" w:history="1">
        <w:r w:rsidRPr="00575662">
          <w:rPr>
            <w:rStyle w:val="TextoNormalCaracter"/>
          </w:rPr>
          <w:t>28/1997</w:t>
        </w:r>
      </w:hyperlink>
      <w:r>
        <w:t>, f. 2.</w:t>
      </w:r>
    </w:p>
    <w:p w:rsidR="00575662" w:rsidRDefault="00575662" w:rsidP="00575662">
      <w:pPr>
        <w:pStyle w:val="SangriaFrancesaArticulo"/>
      </w:pPr>
      <w:r w:rsidRPr="00575662">
        <w:rPr>
          <w:rStyle w:val="TextoNormalNegritaCaracter"/>
        </w:rPr>
        <w:t>Disposición adicional sexta.</w:t>
      </w:r>
      <w:r w:rsidRPr="00575662">
        <w:rPr>
          <w:rStyle w:val="TextoNormalCaracter"/>
        </w:rPr>
        <w:t>-</w:t>
      </w:r>
      <w:r>
        <w:t xml:space="preserve"> Sentencia </w:t>
      </w:r>
      <w:hyperlink w:anchor="SENTENCIA_1997_28" w:history="1">
        <w:r w:rsidRPr="00575662">
          <w:rPr>
            <w:rStyle w:val="TextoNormalCaracter"/>
          </w:rPr>
          <w:t>28/1997</w:t>
        </w:r>
      </w:hyperlink>
      <w:r>
        <w:t>, f. 7.</w:t>
      </w:r>
    </w:p>
    <w:p w:rsidR="00575662" w:rsidRDefault="00575662" w:rsidP="00575662">
      <w:pPr>
        <w:pStyle w:val="TextoNormal"/>
      </w:pPr>
    </w:p>
    <w:p w:rsidR="00575662" w:rsidRDefault="00575662" w:rsidP="00575662">
      <w:pPr>
        <w:pStyle w:val="TextoNormalNegritaCentrado"/>
        <w:suppressAutoHyphens/>
      </w:pPr>
      <w:r w:rsidRPr="00575662">
        <w:rPr>
          <w:rStyle w:val="TextoNormalNegritaCentradoSombreado"/>
        </w:rPr>
        <w:t>J.5) Cantabria</w:t>
      </w:r>
    </w:p>
    <w:p w:rsidR="00575662" w:rsidRDefault="00575662" w:rsidP="00575662">
      <w:pPr>
        <w:pStyle w:val="TextoNormal"/>
      </w:pPr>
    </w:p>
    <w:p w:rsidR="00575662" w:rsidRDefault="00575662" w:rsidP="00575662">
      <w:pPr>
        <w:pStyle w:val="TextoNormalNegritaCentradoSubrayado"/>
        <w:suppressAutoHyphens/>
      </w:pPr>
      <w:r>
        <w:t>J.5.b) Leyes y disposiciones con fuerza de Ley</w:t>
      </w:r>
    </w:p>
    <w:p w:rsidR="00575662" w:rsidRDefault="00575662" w:rsidP="00575662">
      <w:pPr>
        <w:pStyle w:val="TextoNormalNegritaCentradoSubrayado"/>
      </w:pPr>
    </w:p>
    <w:p w:rsidR="00575662" w:rsidRDefault="00575662" w:rsidP="00575662">
      <w:pPr>
        <w:pStyle w:val="TextoNormalNegritaCursivandice"/>
      </w:pPr>
      <w:r>
        <w:t>Ley de la Asamblea Regional de Cantabria 4/1993, de 10 de marzo. Regulación de la función pública de la Administración de la Diputación Regional</w:t>
      </w:r>
    </w:p>
    <w:p w:rsidR="00575662" w:rsidRDefault="00575662" w:rsidP="00575662">
      <w:pPr>
        <w:pStyle w:val="SangriaFrancesaArticulo"/>
      </w:pPr>
      <w:r w:rsidRPr="00575662">
        <w:rPr>
          <w:rStyle w:val="TextoNormalNegritaCaracter"/>
        </w:rPr>
        <w:t>Disposición transitoria sexta, apartado 1.</w:t>
      </w:r>
      <w:r w:rsidRPr="00575662">
        <w:rPr>
          <w:rStyle w:val="TextoNormalCaracter"/>
        </w:rPr>
        <w:t>-</w:t>
      </w:r>
      <w:r>
        <w:t xml:space="preserve"> Auto </w:t>
      </w:r>
      <w:hyperlink w:anchor="AUTO_1997_36" w:history="1">
        <w:r w:rsidRPr="00575662">
          <w:rPr>
            <w:rStyle w:val="TextoNormalCaracter"/>
          </w:rPr>
          <w:t>36/1997</w:t>
        </w:r>
      </w:hyperlink>
      <w:r>
        <w:t>.</w:t>
      </w:r>
    </w:p>
    <w:p w:rsidR="00575662" w:rsidRDefault="00575662" w:rsidP="00575662">
      <w:pPr>
        <w:pStyle w:val="TextoNormal"/>
      </w:pPr>
    </w:p>
    <w:p w:rsidR="00575662" w:rsidRDefault="00575662" w:rsidP="00575662">
      <w:pPr>
        <w:pStyle w:val="TextoNormalNegritaCentrado"/>
        <w:suppressAutoHyphens/>
      </w:pPr>
      <w:r w:rsidRPr="00575662">
        <w:rPr>
          <w:rStyle w:val="TextoNormalNegritaCentradoSombreado"/>
        </w:rPr>
        <w:t>J.6) Cataluña</w:t>
      </w:r>
    </w:p>
    <w:p w:rsidR="00575662" w:rsidRDefault="00575662" w:rsidP="00575662">
      <w:pPr>
        <w:pStyle w:val="TextoNormal"/>
      </w:pPr>
    </w:p>
    <w:p w:rsidR="00575662" w:rsidRDefault="00575662" w:rsidP="00575662">
      <w:pPr>
        <w:pStyle w:val="TextoNormalNegritaCentradoSubrayado"/>
        <w:suppressAutoHyphens/>
      </w:pPr>
      <w:r>
        <w:t>J.6.a) Estatuto de Autonomía</w:t>
      </w:r>
    </w:p>
    <w:p w:rsidR="00575662" w:rsidRDefault="00575662" w:rsidP="00575662">
      <w:pPr>
        <w:pStyle w:val="TextoNormalNegritaCentradoSubrayado"/>
      </w:pPr>
    </w:p>
    <w:p w:rsidR="00575662" w:rsidRDefault="00575662" w:rsidP="00575662">
      <w:pPr>
        <w:pStyle w:val="TextoNormalNegritaCursivandice"/>
      </w:pPr>
      <w:r>
        <w:t>Ley Orgánica 4/1979, de 18 de diciembre. Estatuto de Autonomía de Cataluña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87" w:history="1">
        <w:r w:rsidRPr="00575662">
          <w:rPr>
            <w:rStyle w:val="TextoNormalCaracter"/>
          </w:rPr>
          <w:t>87/1997</w:t>
        </w:r>
      </w:hyperlink>
      <w:r>
        <w:t>, f. 6.</w:t>
      </w:r>
    </w:p>
    <w:p w:rsidR="00575662" w:rsidRDefault="00575662" w:rsidP="00575662">
      <w:pPr>
        <w:pStyle w:val="SangriaFrancesaArticulo"/>
      </w:pPr>
      <w:r w:rsidRPr="00575662">
        <w:rPr>
          <w:rStyle w:val="TextoNormalNegritaCaracter"/>
        </w:rPr>
        <w:t>Artículo 3.</w:t>
      </w:r>
      <w:r w:rsidRPr="00575662">
        <w:rPr>
          <w:rStyle w:val="TextoNormalCaracter"/>
        </w:rPr>
        <w:t>-</w:t>
      </w:r>
      <w:r>
        <w:t xml:space="preserve"> Sentencia </w:t>
      </w:r>
      <w:hyperlink w:anchor="SENTENCIA_1997_87" w:history="1">
        <w:r w:rsidRPr="00575662">
          <w:rPr>
            <w:rStyle w:val="TextoNormalCaracter"/>
          </w:rPr>
          <w:t>87/1997</w:t>
        </w:r>
      </w:hyperlink>
      <w:r>
        <w:t>, ff. 2, 3.</w:t>
      </w:r>
    </w:p>
    <w:p w:rsidR="00575662" w:rsidRDefault="00575662" w:rsidP="00575662">
      <w:pPr>
        <w:pStyle w:val="SangriaFrancesaArticulo"/>
      </w:pPr>
      <w:r w:rsidRPr="00575662">
        <w:rPr>
          <w:rStyle w:val="TextoNormalNegritaCaracter"/>
        </w:rPr>
        <w:t>Artículo 9.</w:t>
      </w:r>
      <w:r w:rsidRPr="00575662">
        <w:rPr>
          <w:rStyle w:val="TextoNormalCaracter"/>
        </w:rPr>
        <w:t>-</w:t>
      </w:r>
      <w:r>
        <w:t xml:space="preserve"> Sentencia </w:t>
      </w:r>
      <w:hyperlink w:anchor="SENTENCIA_1997_71" w:history="1">
        <w:r w:rsidRPr="00575662">
          <w:rPr>
            <w:rStyle w:val="TextoNormalCaracter"/>
          </w:rPr>
          <w:t>71/1997</w:t>
        </w:r>
      </w:hyperlink>
      <w:r>
        <w:t>, f. 3.</w:t>
      </w:r>
    </w:p>
    <w:p w:rsidR="00575662" w:rsidRDefault="00575662" w:rsidP="00575662">
      <w:pPr>
        <w:pStyle w:val="SangriaFrancesaArticulo"/>
      </w:pPr>
      <w:r w:rsidRPr="00575662">
        <w:rPr>
          <w:rStyle w:val="TextoNormalNegritaCaracter"/>
        </w:rPr>
        <w:t>Artículo 9.4.</w:t>
      </w:r>
      <w:r w:rsidRPr="00575662">
        <w:rPr>
          <w:rStyle w:val="TextoNormalCaracter"/>
        </w:rPr>
        <w:t>-</w:t>
      </w:r>
      <w:r>
        <w:t xml:space="preserve"> Sentencia </w:t>
      </w:r>
      <w:hyperlink w:anchor="SENTENCIA_1997_71" w:history="1">
        <w:r w:rsidRPr="00575662">
          <w:rPr>
            <w:rStyle w:val="TextoNormalCaracter"/>
          </w:rPr>
          <w:t>71/1997</w:t>
        </w:r>
      </w:hyperlink>
      <w:r>
        <w:t>, f. 4.</w:t>
      </w:r>
    </w:p>
    <w:p w:rsidR="00575662" w:rsidRDefault="00575662" w:rsidP="00575662">
      <w:pPr>
        <w:pStyle w:val="SangriaFrancesaArticulo"/>
      </w:pPr>
      <w:r w:rsidRPr="00575662">
        <w:rPr>
          <w:rStyle w:val="TextoNormalNegritaCaracter"/>
        </w:rPr>
        <w:t>Artículo 9.9.</w:t>
      </w:r>
      <w:r w:rsidRPr="00575662">
        <w:rPr>
          <w:rStyle w:val="TextoNormalCaracter"/>
        </w:rPr>
        <w:t>-</w:t>
      </w:r>
      <w:r>
        <w:t xml:space="preserve"> Sentencia </w:t>
      </w:r>
      <w:hyperlink w:anchor="SENTENCIA_1997_61" w:history="1">
        <w:r w:rsidRPr="00575662">
          <w:rPr>
            <w:rStyle w:val="TextoNormalCaracter"/>
          </w:rPr>
          <w:t>61/1997</w:t>
        </w:r>
      </w:hyperlink>
      <w:r>
        <w:t>, ff. 5, 14.</w:t>
      </w:r>
    </w:p>
    <w:p w:rsidR="00575662" w:rsidRDefault="00575662" w:rsidP="00575662">
      <w:pPr>
        <w:pStyle w:val="SangriaFrancesaArticulo"/>
      </w:pPr>
      <w:r w:rsidRPr="00575662">
        <w:rPr>
          <w:rStyle w:val="TextoNormalNegritaCaracter"/>
        </w:rPr>
        <w:t>Artículo 10.1.1.</w:t>
      </w:r>
      <w:r w:rsidRPr="00575662">
        <w:rPr>
          <w:rStyle w:val="TextoNormalCaracter"/>
        </w:rPr>
        <w:t>-</w:t>
      </w:r>
      <w:r>
        <w:t xml:space="preserve"> Sentencia </w:t>
      </w:r>
      <w:hyperlink w:anchor="SENTENCIA_1997_61" w:history="1">
        <w:r w:rsidRPr="00575662">
          <w:rPr>
            <w:rStyle w:val="TextoNormalCaracter"/>
          </w:rPr>
          <w:t>61/1997</w:t>
        </w:r>
      </w:hyperlink>
      <w:r>
        <w:t>, f. 31.</w:t>
      </w:r>
    </w:p>
    <w:p w:rsidR="00575662" w:rsidRDefault="00575662" w:rsidP="00575662">
      <w:pPr>
        <w:pStyle w:val="SangriaFrancesaArticulo"/>
      </w:pPr>
      <w:r w:rsidRPr="00575662">
        <w:rPr>
          <w:rStyle w:val="TextoNormalNegritaCaracter"/>
        </w:rPr>
        <w:t>Artículo 10.1.4.</w:t>
      </w:r>
      <w:r w:rsidRPr="00575662">
        <w:rPr>
          <w:rStyle w:val="TextoNormalCaracter"/>
        </w:rPr>
        <w:t>-</w:t>
      </w:r>
      <w:r>
        <w:t xml:space="preserve"> Sentencia </w:t>
      </w:r>
      <w:hyperlink w:anchor="SENTENCIA_1997_37" w:history="1">
        <w:r w:rsidRPr="00575662">
          <w:rPr>
            <w:rStyle w:val="TextoNormalCaracter"/>
          </w:rPr>
          <w:t>37/1997</w:t>
        </w:r>
      </w:hyperlink>
      <w:r>
        <w:t>, f. 3.</w:t>
      </w:r>
    </w:p>
    <w:p w:rsidR="00575662" w:rsidRDefault="00575662" w:rsidP="00575662">
      <w:pPr>
        <w:pStyle w:val="TextoNormal"/>
      </w:pPr>
    </w:p>
    <w:p w:rsidR="00575662" w:rsidRDefault="00575662" w:rsidP="00575662">
      <w:pPr>
        <w:pStyle w:val="TextoNormalNegritaCentradoSubrayado"/>
        <w:suppressAutoHyphens/>
      </w:pPr>
      <w:r>
        <w:t>J.6.b) Leyes y disposiciones con fuerza de Ley</w:t>
      </w:r>
    </w:p>
    <w:p w:rsidR="00575662" w:rsidRDefault="00575662" w:rsidP="00575662">
      <w:pPr>
        <w:pStyle w:val="TextoNormalNegritaCentradoSubrayado"/>
      </w:pPr>
    </w:p>
    <w:p w:rsidR="00575662" w:rsidRDefault="00575662" w:rsidP="00575662">
      <w:pPr>
        <w:pStyle w:val="TextoNormalNegritaCursivandice"/>
      </w:pPr>
      <w:r>
        <w:t>Ley del Parlamento de Cataluña 7/1983, de 18 de abril. Normalización lingüística en Cataluña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87" w:history="1">
        <w:r w:rsidRPr="00575662">
          <w:rPr>
            <w:rStyle w:val="TextoNormalCaracter"/>
          </w:rPr>
          <w:t>87/1997</w:t>
        </w:r>
      </w:hyperlink>
      <w:r>
        <w:t>, ff. 1, 6.</w:t>
      </w:r>
    </w:p>
    <w:p w:rsidR="00575662" w:rsidRDefault="00575662" w:rsidP="00575662">
      <w:pPr>
        <w:pStyle w:val="SangriaFrancesaArticulo"/>
      </w:pPr>
      <w:r w:rsidRPr="00575662">
        <w:rPr>
          <w:rStyle w:val="TextoNormalNegritaCaracter"/>
        </w:rPr>
        <w:t>Artículo 2.2.</w:t>
      </w:r>
      <w:r w:rsidRPr="00575662">
        <w:rPr>
          <w:rStyle w:val="TextoNormalCaracter"/>
        </w:rPr>
        <w:t>-</w:t>
      </w:r>
      <w:r>
        <w:t xml:space="preserve"> Sentencia </w:t>
      </w:r>
      <w:hyperlink w:anchor="SENTENCIA_1997_87" w:history="1">
        <w:r w:rsidRPr="00575662">
          <w:rPr>
            <w:rStyle w:val="TextoNormalCaracter"/>
          </w:rPr>
          <w:t>87/1997</w:t>
        </w:r>
      </w:hyperlink>
      <w:r>
        <w:t>, f. 4.</w:t>
      </w:r>
    </w:p>
    <w:p w:rsidR="00575662" w:rsidRDefault="00575662" w:rsidP="00575662">
      <w:pPr>
        <w:pStyle w:val="SangriaFrancesaArticulo"/>
      </w:pPr>
      <w:r w:rsidRPr="00575662">
        <w:rPr>
          <w:rStyle w:val="TextoNormalNegritaCaracter"/>
        </w:rPr>
        <w:t>Artículo 8.2.</w:t>
      </w:r>
      <w:r w:rsidRPr="00575662">
        <w:rPr>
          <w:rStyle w:val="TextoNormalCaracter"/>
        </w:rPr>
        <w:t>-</w:t>
      </w:r>
      <w:r>
        <w:t xml:space="preserve"> Sentencia </w:t>
      </w:r>
      <w:hyperlink w:anchor="SENTENCIA_1997_87" w:history="1">
        <w:r w:rsidRPr="00575662">
          <w:rPr>
            <w:rStyle w:val="TextoNormalCaracter"/>
          </w:rPr>
          <w:t>87/1997</w:t>
        </w:r>
      </w:hyperlink>
      <w:r>
        <w:t>, f. 4.</w:t>
      </w:r>
    </w:p>
    <w:p w:rsidR="00575662" w:rsidRDefault="00575662" w:rsidP="00575662">
      <w:pPr>
        <w:pStyle w:val="SangriaFrancesaArticulo"/>
      </w:pPr>
      <w:r w:rsidRPr="00575662">
        <w:rPr>
          <w:rStyle w:val="TextoNormalNegritaCaracter"/>
        </w:rPr>
        <w:t>Artículo 8.3.</w:t>
      </w:r>
      <w:r w:rsidRPr="00575662">
        <w:rPr>
          <w:rStyle w:val="TextoNormalCaracter"/>
        </w:rPr>
        <w:t>-</w:t>
      </w:r>
      <w:r>
        <w:t xml:space="preserve"> Sentencia </w:t>
      </w:r>
      <w:hyperlink w:anchor="SENTENCIA_1997_87" w:history="1">
        <w:r w:rsidRPr="00575662">
          <w:rPr>
            <w:rStyle w:val="TextoNormalCaracter"/>
          </w:rPr>
          <w:t>87/1997</w:t>
        </w:r>
      </w:hyperlink>
      <w:r>
        <w:t>, f. 4.</w:t>
      </w:r>
    </w:p>
    <w:p w:rsidR="00575662" w:rsidRDefault="00575662" w:rsidP="00575662">
      <w:pPr>
        <w:pStyle w:val="SangriaFrancesaArticulo"/>
      </w:pPr>
      <w:r w:rsidRPr="00575662">
        <w:rPr>
          <w:rStyle w:val="TextoNormalNegritaCaracter"/>
        </w:rPr>
        <w:t>Artículo 11.</w:t>
      </w:r>
      <w:r w:rsidRPr="00575662">
        <w:rPr>
          <w:rStyle w:val="TextoNormalCaracter"/>
        </w:rPr>
        <w:t>-</w:t>
      </w:r>
      <w:r>
        <w:t xml:space="preserve"> Sentencia </w:t>
      </w:r>
      <w:hyperlink w:anchor="SENTENCIA_1997_87" w:history="1">
        <w:r w:rsidRPr="00575662">
          <w:rPr>
            <w:rStyle w:val="TextoNormalCaracter"/>
          </w:rPr>
          <w:t>87/1997</w:t>
        </w:r>
      </w:hyperlink>
      <w:r>
        <w:t>, f. 4.</w:t>
      </w:r>
    </w:p>
    <w:p w:rsidR="00575662" w:rsidRDefault="00575662" w:rsidP="00575662">
      <w:pPr>
        <w:pStyle w:val="SangriaFrancesaArticulo"/>
      </w:pPr>
      <w:r w:rsidRPr="00575662">
        <w:rPr>
          <w:rStyle w:val="TextoNormalNegritaCaracter"/>
        </w:rPr>
        <w:t>Disposición adicional.</w:t>
      </w:r>
      <w:r w:rsidRPr="00575662">
        <w:rPr>
          <w:rStyle w:val="TextoNormalCaracter"/>
        </w:rPr>
        <w:t>-</w:t>
      </w:r>
      <w:r>
        <w:t xml:space="preserve"> Sentencia </w:t>
      </w:r>
      <w:hyperlink w:anchor="SENTENCIA_1997_87" w:history="1">
        <w:r w:rsidRPr="00575662">
          <w:rPr>
            <w:rStyle w:val="TextoNormalCaracter"/>
          </w:rPr>
          <w:t>87/1997</w:t>
        </w:r>
      </w:hyperlink>
      <w:r>
        <w:t>, f. 4.</w:t>
      </w:r>
    </w:p>
    <w:p w:rsidR="00575662" w:rsidRDefault="00575662" w:rsidP="00575662">
      <w:pPr>
        <w:pStyle w:val="SangriaFrancesaArticulo"/>
      </w:pPr>
    </w:p>
    <w:p w:rsidR="00575662" w:rsidRDefault="00575662" w:rsidP="00575662">
      <w:pPr>
        <w:pStyle w:val="TextoNormalNegritaCursivandice"/>
      </w:pPr>
      <w:r>
        <w:t>Ley del Parlamento de Cataluña 21/1987, de 26 de noviembre. Incompatibilidades del personal al servicio de la Administración de la Generalidad</w:t>
      </w:r>
    </w:p>
    <w:p w:rsidR="00575662" w:rsidRDefault="00575662" w:rsidP="00575662">
      <w:pPr>
        <w:pStyle w:val="SangriaFrancesaArticulo"/>
      </w:pPr>
      <w:r w:rsidRPr="00575662">
        <w:rPr>
          <w:rStyle w:val="TextoNormalNegritaCaracter"/>
        </w:rPr>
        <w:t>Artículo 3.</w:t>
      </w:r>
      <w:r w:rsidRPr="00575662">
        <w:rPr>
          <w:rStyle w:val="TextoNormalCaracter"/>
        </w:rPr>
        <w:t>-</w:t>
      </w:r>
      <w:r>
        <w:t xml:space="preserve"> Sentencia </w:t>
      </w:r>
      <w:hyperlink w:anchor="SENTENCIA_1997_73" w:history="1">
        <w:r w:rsidRPr="00575662">
          <w:rPr>
            <w:rStyle w:val="TextoNormalCaracter"/>
          </w:rPr>
          <w:t>73/1997</w:t>
        </w:r>
      </w:hyperlink>
      <w:r>
        <w:t>, f. 2.</w:t>
      </w:r>
    </w:p>
    <w:p w:rsidR="00575662" w:rsidRDefault="00575662" w:rsidP="00575662">
      <w:pPr>
        <w:pStyle w:val="SangriaFrancesaArticulo"/>
      </w:pPr>
      <w:r w:rsidRPr="00575662">
        <w:rPr>
          <w:rStyle w:val="TextoNormalNegritaCaracter"/>
        </w:rPr>
        <w:t>Artículo 3.1 a).</w:t>
      </w:r>
      <w:r w:rsidRPr="00575662">
        <w:rPr>
          <w:rStyle w:val="TextoNormalCaracter"/>
        </w:rPr>
        <w:t>-</w:t>
      </w:r>
      <w:r>
        <w:t xml:space="preserve"> Sentencia </w:t>
      </w:r>
      <w:hyperlink w:anchor="SENTENCIA_1997_73" w:history="1">
        <w:r w:rsidRPr="00575662">
          <w:rPr>
            <w:rStyle w:val="TextoNormalCaracter"/>
          </w:rPr>
          <w:t>73/1997</w:t>
        </w:r>
      </w:hyperlink>
      <w:r>
        <w:t>, ff. 1 a 4.</w:t>
      </w:r>
    </w:p>
    <w:p w:rsidR="00575662" w:rsidRDefault="00575662" w:rsidP="00575662">
      <w:pPr>
        <w:pStyle w:val="SangriaFrancesaArticulo"/>
      </w:pPr>
      <w:r w:rsidRPr="00575662">
        <w:rPr>
          <w:rStyle w:val="TextoNormalNegritaCaracter"/>
        </w:rPr>
        <w:t>Artículo 3.2.</w:t>
      </w:r>
      <w:r w:rsidRPr="00575662">
        <w:rPr>
          <w:rStyle w:val="TextoNormalCaracter"/>
        </w:rPr>
        <w:t>-</w:t>
      </w:r>
      <w:r>
        <w:t xml:space="preserve"> Sentencia </w:t>
      </w:r>
      <w:hyperlink w:anchor="SENTENCIA_1997_73" w:history="1">
        <w:r w:rsidRPr="00575662">
          <w:rPr>
            <w:rStyle w:val="TextoNormalCaracter"/>
          </w:rPr>
          <w:t>73/1997</w:t>
        </w:r>
      </w:hyperlink>
      <w:r>
        <w:t>, f. 2.</w:t>
      </w:r>
    </w:p>
    <w:p w:rsidR="00575662" w:rsidRDefault="00575662" w:rsidP="00575662">
      <w:pPr>
        <w:pStyle w:val="SangriaFrancesaArticulo"/>
      </w:pPr>
      <w:r w:rsidRPr="00575662">
        <w:rPr>
          <w:rStyle w:val="TextoNormalNegritaCaracter"/>
        </w:rPr>
        <w:lastRenderedPageBreak/>
        <w:t>Artículo 14.</w:t>
      </w:r>
      <w:r w:rsidRPr="00575662">
        <w:rPr>
          <w:rStyle w:val="TextoNormalCaracter"/>
        </w:rPr>
        <w:t>-</w:t>
      </w:r>
      <w:r>
        <w:t xml:space="preserve"> Sentencia </w:t>
      </w:r>
      <w:hyperlink w:anchor="SENTENCIA_1997_73" w:history="1">
        <w:r w:rsidRPr="00575662">
          <w:rPr>
            <w:rStyle w:val="TextoNormalCaracter"/>
          </w:rPr>
          <w:t>73/1997</w:t>
        </w:r>
      </w:hyperlink>
      <w:r>
        <w:t>, ff. 1, 5.</w:t>
      </w:r>
    </w:p>
    <w:p w:rsidR="00575662" w:rsidRDefault="00575662" w:rsidP="00575662">
      <w:pPr>
        <w:pStyle w:val="SangriaFrancesaArticulo"/>
      </w:pPr>
    </w:p>
    <w:p w:rsidR="00575662" w:rsidRDefault="00575662" w:rsidP="00575662">
      <w:pPr>
        <w:pStyle w:val="TextoNormalNegritaCursivandice"/>
      </w:pPr>
      <w:r>
        <w:t>Decreto Legislativo de la Generalidad de Cataluña 1/1990, de 12 de julio. Texto refundido de los textos legales vigentes en Cataluña en materia urbanística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61" w:history="1">
        <w:r w:rsidRPr="00575662">
          <w:rPr>
            <w:rStyle w:val="TextoNormalCaracter"/>
          </w:rPr>
          <w:t>61/1997</w:t>
        </w:r>
      </w:hyperlink>
      <w:r>
        <w:t>, f. 29.</w:t>
      </w:r>
    </w:p>
    <w:p w:rsidR="00575662" w:rsidRDefault="00575662" w:rsidP="00575662">
      <w:pPr>
        <w:pStyle w:val="TextoNormal"/>
      </w:pPr>
    </w:p>
    <w:p w:rsidR="00575662" w:rsidRDefault="00575662" w:rsidP="00575662">
      <w:pPr>
        <w:pStyle w:val="TextoNormalNegritaCentradoSubrayado"/>
        <w:suppressAutoHyphens/>
      </w:pPr>
      <w:r>
        <w:t>J.6.c) Decretos y otras disposiciones reglamentarias</w:t>
      </w:r>
    </w:p>
    <w:p w:rsidR="00575662" w:rsidRDefault="00575662" w:rsidP="00575662">
      <w:pPr>
        <w:pStyle w:val="TextoNormalNegritaCentradoSubrayado"/>
      </w:pPr>
    </w:p>
    <w:p w:rsidR="00575662" w:rsidRDefault="00575662" w:rsidP="00575662">
      <w:pPr>
        <w:pStyle w:val="TextoNormalNegritaCursivandice"/>
      </w:pPr>
      <w:r>
        <w:t>Decreto de la Generalidad de Cataluña 411/1987, de 22 de diciembre. Reestructuración del Departamento de Comercio, Consumo y Turismo</w:t>
      </w:r>
    </w:p>
    <w:p w:rsidR="00575662" w:rsidRDefault="00575662" w:rsidP="00575662">
      <w:pPr>
        <w:pStyle w:val="SangriaFrancesaArticulo"/>
      </w:pPr>
      <w:r w:rsidRPr="00575662">
        <w:rPr>
          <w:rStyle w:val="TextoNormalNegritaCaracter"/>
        </w:rPr>
        <w:t>Artículo 11.5.</w:t>
      </w:r>
      <w:r w:rsidRPr="00575662">
        <w:rPr>
          <w:rStyle w:val="TextoNormalCaracter"/>
        </w:rPr>
        <w:t>-</w:t>
      </w:r>
      <w:r>
        <w:t xml:space="preserve"> Sentencia </w:t>
      </w:r>
      <w:hyperlink w:anchor="SENTENCIA_1997_15" w:history="1">
        <w:r w:rsidRPr="00575662">
          <w:rPr>
            <w:rStyle w:val="TextoNormalCaracter"/>
          </w:rPr>
          <w:t>15/1997</w:t>
        </w:r>
      </w:hyperlink>
      <w:r>
        <w:t>, f. 1.</w:t>
      </w:r>
    </w:p>
    <w:p w:rsidR="00575662" w:rsidRDefault="00575662" w:rsidP="00575662">
      <w:pPr>
        <w:pStyle w:val="SangriaFrancesaArticulo"/>
      </w:pPr>
      <w:r w:rsidRPr="00575662">
        <w:rPr>
          <w:rStyle w:val="TextoNormalNegritaCaracter"/>
        </w:rPr>
        <w:t>Artículo 14.1.</w:t>
      </w:r>
      <w:r w:rsidRPr="00575662">
        <w:rPr>
          <w:rStyle w:val="TextoNormalCaracter"/>
        </w:rPr>
        <w:t>-</w:t>
      </w:r>
      <w:r>
        <w:t xml:space="preserve"> Sentencia </w:t>
      </w:r>
      <w:hyperlink w:anchor="SENTENCIA_1997_15" w:history="1">
        <w:r w:rsidRPr="00575662">
          <w:rPr>
            <w:rStyle w:val="TextoNormalCaracter"/>
          </w:rPr>
          <w:t>15/1997</w:t>
        </w:r>
      </w:hyperlink>
      <w:r>
        <w:t>, f. 1.</w:t>
      </w:r>
    </w:p>
    <w:p w:rsidR="00575662" w:rsidRDefault="00575662" w:rsidP="00575662">
      <w:pPr>
        <w:pStyle w:val="SangriaFrancesaArticulo"/>
      </w:pPr>
    </w:p>
    <w:p w:rsidR="00575662" w:rsidRDefault="00575662" w:rsidP="00575662">
      <w:pPr>
        <w:pStyle w:val="TextoNormalNegritaCursivandice"/>
      </w:pPr>
      <w:r>
        <w:t>Decreto de la Generalidad de Cataluña 155/1988, de 11 de julio. Reorganización parcial del Departamento de Industria y Energía</w:t>
      </w:r>
    </w:p>
    <w:p w:rsidR="00575662" w:rsidRDefault="00575662" w:rsidP="00575662">
      <w:pPr>
        <w:pStyle w:val="SangriaFrancesaArticulo"/>
      </w:pPr>
      <w:r w:rsidRPr="00575662">
        <w:rPr>
          <w:rStyle w:val="TextoNormalNegritaCaracter"/>
        </w:rPr>
        <w:t>Artículo 5.5.</w:t>
      </w:r>
      <w:r w:rsidRPr="00575662">
        <w:rPr>
          <w:rStyle w:val="TextoNormalCaracter"/>
        </w:rPr>
        <w:t>-</w:t>
      </w:r>
      <w:r>
        <w:t xml:space="preserve"> Sentencia </w:t>
      </w:r>
      <w:hyperlink w:anchor="SENTENCIA_1997_15" w:history="1">
        <w:r w:rsidRPr="00575662">
          <w:rPr>
            <w:rStyle w:val="TextoNormalCaracter"/>
          </w:rPr>
          <w:t>15/1997</w:t>
        </w:r>
      </w:hyperlink>
      <w:r>
        <w:t>, f. 1.</w:t>
      </w:r>
    </w:p>
    <w:p w:rsidR="00575662" w:rsidRDefault="00575662" w:rsidP="00575662">
      <w:pPr>
        <w:pStyle w:val="SangriaFrancesaArticulo"/>
      </w:pPr>
      <w:r w:rsidRPr="00575662">
        <w:rPr>
          <w:rStyle w:val="TextoNormalNegritaCaracter"/>
        </w:rPr>
        <w:t>Artículo 8.1.1.</w:t>
      </w:r>
      <w:r w:rsidRPr="00575662">
        <w:rPr>
          <w:rStyle w:val="TextoNormalCaracter"/>
        </w:rPr>
        <w:t>-</w:t>
      </w:r>
      <w:r>
        <w:t xml:space="preserve"> Sentencia </w:t>
      </w:r>
      <w:hyperlink w:anchor="SENTENCIA_1997_15" w:history="1">
        <w:r w:rsidRPr="00575662">
          <w:rPr>
            <w:rStyle w:val="TextoNormalCaracter"/>
          </w:rPr>
          <w:t>15/1997</w:t>
        </w:r>
      </w:hyperlink>
      <w:r>
        <w:t>, f. 1.</w:t>
      </w:r>
    </w:p>
    <w:p w:rsidR="00575662" w:rsidRDefault="00575662" w:rsidP="00575662">
      <w:pPr>
        <w:pStyle w:val="TextoNormal"/>
      </w:pPr>
    </w:p>
    <w:p w:rsidR="00575662" w:rsidRDefault="00575662" w:rsidP="00575662">
      <w:pPr>
        <w:pStyle w:val="TextoNormalNegritaCentrado"/>
        <w:suppressAutoHyphens/>
      </w:pPr>
      <w:r w:rsidRPr="00575662">
        <w:rPr>
          <w:rStyle w:val="TextoNormalNegritaCentradoSombreado"/>
        </w:rPr>
        <w:t>J.7) Extremadura</w:t>
      </w:r>
    </w:p>
    <w:p w:rsidR="00575662" w:rsidRDefault="00575662" w:rsidP="00575662">
      <w:pPr>
        <w:pStyle w:val="TextoNormal"/>
      </w:pPr>
    </w:p>
    <w:p w:rsidR="00575662" w:rsidRDefault="00575662" w:rsidP="00575662">
      <w:pPr>
        <w:pStyle w:val="TextoNormalNegritaCentradoSubrayado"/>
        <w:suppressAutoHyphens/>
      </w:pPr>
      <w:r>
        <w:t>J.7.a) Estatuto de Autonomía</w:t>
      </w:r>
    </w:p>
    <w:p w:rsidR="00575662" w:rsidRDefault="00575662" w:rsidP="00575662">
      <w:pPr>
        <w:pStyle w:val="TextoNormalNegritaCentradoSubrayado"/>
      </w:pPr>
    </w:p>
    <w:p w:rsidR="00575662" w:rsidRDefault="00575662" w:rsidP="00575662">
      <w:pPr>
        <w:pStyle w:val="TextoNormalNegritaCursivandice"/>
      </w:pPr>
      <w:r>
        <w:t>Ley Orgánica 1/1983, de 25 de febrero. Estatuto de Autonomía de Extremadura</w:t>
      </w:r>
    </w:p>
    <w:p w:rsidR="00575662" w:rsidRDefault="00575662" w:rsidP="00575662">
      <w:pPr>
        <w:pStyle w:val="SangriaFrancesaArticulo"/>
      </w:pPr>
      <w:r w:rsidRPr="00575662">
        <w:rPr>
          <w:rStyle w:val="TextoNormalNegritaCaracter"/>
        </w:rPr>
        <w:t>Artículo 26.</w:t>
      </w:r>
      <w:r w:rsidRPr="00575662">
        <w:rPr>
          <w:rStyle w:val="TextoNormalCaracter"/>
        </w:rPr>
        <w:t>-</w:t>
      </w:r>
      <w:r>
        <w:t xml:space="preserve"> Sentencia </w:t>
      </w:r>
      <w:hyperlink w:anchor="SENTENCIA_1997_30" w:history="1">
        <w:r w:rsidRPr="00575662">
          <w:rPr>
            <w:rStyle w:val="TextoNormalCaracter"/>
          </w:rPr>
          <w:t>30/1997</w:t>
        </w:r>
      </w:hyperlink>
      <w:r>
        <w:t>, f. 5.</w:t>
      </w:r>
    </w:p>
    <w:p w:rsidR="00575662" w:rsidRDefault="00575662" w:rsidP="00575662">
      <w:pPr>
        <w:pStyle w:val="SangriaFrancesaArticulo"/>
      </w:pPr>
      <w:r w:rsidRPr="00575662">
        <w:rPr>
          <w:rStyle w:val="TextoNormalNegritaCaracter"/>
        </w:rPr>
        <w:t>Artículo 26.1.</w:t>
      </w:r>
      <w:r w:rsidRPr="00575662">
        <w:rPr>
          <w:rStyle w:val="TextoNormalCaracter"/>
        </w:rPr>
        <w:t>-</w:t>
      </w:r>
      <w:r>
        <w:t xml:space="preserve"> Sentencia </w:t>
      </w:r>
      <w:hyperlink w:anchor="SENTENCIA_1997_30" w:history="1">
        <w:r w:rsidRPr="00575662">
          <w:rPr>
            <w:rStyle w:val="TextoNormalCaracter"/>
          </w:rPr>
          <w:t>30/1997</w:t>
        </w:r>
      </w:hyperlink>
      <w:r>
        <w:t>, f. 5.</w:t>
      </w:r>
    </w:p>
    <w:p w:rsidR="00575662" w:rsidRDefault="00575662" w:rsidP="00575662">
      <w:pPr>
        <w:pStyle w:val="TextoNormal"/>
      </w:pPr>
    </w:p>
    <w:p w:rsidR="00575662" w:rsidRDefault="00575662" w:rsidP="00575662">
      <w:pPr>
        <w:pStyle w:val="TextoNormalNegritaCentradoSubrayado"/>
        <w:suppressAutoHyphens/>
      </w:pPr>
      <w:r>
        <w:t>J.7.b) Leyes y disposiciones con fuerza de Ley</w:t>
      </w:r>
    </w:p>
    <w:p w:rsidR="00575662" w:rsidRDefault="00575662" w:rsidP="00575662">
      <w:pPr>
        <w:pStyle w:val="TextoNormalNegritaCentradoSubrayado"/>
      </w:pPr>
    </w:p>
    <w:p w:rsidR="00575662" w:rsidRDefault="00575662" w:rsidP="00575662">
      <w:pPr>
        <w:pStyle w:val="TextoNormalNegritaCursivandice"/>
      </w:pPr>
      <w:r>
        <w:t>Ley de la Asamblea de Extremadura 4/1995, de 20 de abril. Crédito cooperativo</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Auto </w:t>
      </w:r>
      <w:hyperlink w:anchor="AUTO_1997_103" w:history="1">
        <w:r w:rsidRPr="00575662">
          <w:rPr>
            <w:rStyle w:val="TextoNormalCaracter"/>
          </w:rPr>
          <w:t>103/1997</w:t>
        </w:r>
      </w:hyperlink>
      <w:r>
        <w:t>.</w:t>
      </w:r>
    </w:p>
    <w:p w:rsidR="00575662" w:rsidRDefault="00575662" w:rsidP="00575662">
      <w:pPr>
        <w:pStyle w:val="SangriaFrancesaArticulo"/>
      </w:pPr>
    </w:p>
    <w:p w:rsidR="00575662" w:rsidRDefault="00575662" w:rsidP="00575662">
      <w:pPr>
        <w:pStyle w:val="TextoNormalNegritaCursivandice"/>
      </w:pPr>
      <w:r>
        <w:t>Ley de la Asamblea de Extremadura 2/1996, de 30 de mayo. Derogación de la Ley 4/1995, de 5 de abril, de crédito cooperativo</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Auto </w:t>
      </w:r>
      <w:hyperlink w:anchor="AUTO_1997_103" w:history="1">
        <w:r w:rsidRPr="00575662">
          <w:rPr>
            <w:rStyle w:val="TextoNormalCaracter"/>
          </w:rPr>
          <w:t>103/1997</w:t>
        </w:r>
      </w:hyperlink>
      <w:r>
        <w:t>.</w:t>
      </w:r>
    </w:p>
    <w:p w:rsidR="00575662" w:rsidRDefault="00575662" w:rsidP="00575662">
      <w:pPr>
        <w:pStyle w:val="SangriaFrancesaArticulo"/>
      </w:pPr>
      <w:r w:rsidRPr="00575662">
        <w:rPr>
          <w:rStyle w:val="TextoNormalNegritaCaracter"/>
        </w:rPr>
        <w:t>Exposición de motivos.</w:t>
      </w:r>
      <w:r w:rsidRPr="00575662">
        <w:rPr>
          <w:rStyle w:val="TextoNormalCaracter"/>
        </w:rPr>
        <w:t>-</w:t>
      </w:r>
      <w:r>
        <w:t xml:space="preserve"> Auto </w:t>
      </w:r>
      <w:hyperlink w:anchor="AUTO_1997_103" w:history="1">
        <w:r w:rsidRPr="00575662">
          <w:rPr>
            <w:rStyle w:val="TextoNormalCaracter"/>
          </w:rPr>
          <w:t>103/1997</w:t>
        </w:r>
      </w:hyperlink>
      <w:r>
        <w:t>.</w:t>
      </w:r>
    </w:p>
    <w:p w:rsidR="00575662" w:rsidRDefault="00575662" w:rsidP="00575662">
      <w:pPr>
        <w:pStyle w:val="SangriaFrancesaArticulo"/>
      </w:pPr>
    </w:p>
    <w:p w:rsidR="00575662" w:rsidRDefault="00575662" w:rsidP="00575662">
      <w:pPr>
        <w:pStyle w:val="TextoNormalNegritaCursivandice"/>
      </w:pPr>
      <w:r>
        <w:t>Ley de la Asamblea de Extremadura 3/1996, de 25 de junio. Atención farmacéutica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Auto </w:t>
      </w:r>
      <w:hyperlink w:anchor="AUTO_1997_78" w:history="1">
        <w:r w:rsidRPr="00575662">
          <w:rPr>
            <w:rStyle w:val="TextoNormalCaracter"/>
          </w:rPr>
          <w:t>78/1997</w:t>
        </w:r>
      </w:hyperlink>
      <w:r>
        <w:t>.</w:t>
      </w:r>
    </w:p>
    <w:p w:rsidR="00575662" w:rsidRDefault="00575662" w:rsidP="00575662">
      <w:pPr>
        <w:pStyle w:val="SangriaFrancesaArticulo"/>
      </w:pPr>
      <w:r w:rsidRPr="00575662">
        <w:rPr>
          <w:rStyle w:val="TextoNormalNegritaCaracter"/>
        </w:rPr>
        <w:t>Artículo 6.</w:t>
      </w:r>
      <w:r w:rsidRPr="00575662">
        <w:rPr>
          <w:rStyle w:val="TextoNormalCaracter"/>
        </w:rPr>
        <w:t>-</w:t>
      </w:r>
      <w:r>
        <w:t xml:space="preserve"> Auto </w:t>
      </w:r>
      <w:hyperlink w:anchor="AUTO_1997_78" w:history="1">
        <w:r w:rsidRPr="00575662">
          <w:rPr>
            <w:rStyle w:val="TextoNormalCaracter"/>
          </w:rPr>
          <w:t>78/1997</w:t>
        </w:r>
      </w:hyperlink>
      <w:r>
        <w:t>.</w:t>
      </w:r>
    </w:p>
    <w:p w:rsidR="00575662" w:rsidRDefault="00575662" w:rsidP="00575662">
      <w:pPr>
        <w:pStyle w:val="SangriaFrancesaArticulo"/>
      </w:pPr>
      <w:r w:rsidRPr="00575662">
        <w:rPr>
          <w:rStyle w:val="TextoNormalNegritaCaracter"/>
        </w:rPr>
        <w:t>Artículo 14.</w:t>
      </w:r>
      <w:r w:rsidRPr="00575662">
        <w:rPr>
          <w:rStyle w:val="TextoNormalCaracter"/>
        </w:rPr>
        <w:t>-</w:t>
      </w:r>
      <w:r>
        <w:t xml:space="preserve"> Auto </w:t>
      </w:r>
      <w:hyperlink w:anchor="AUTO_1997_78" w:history="1">
        <w:r w:rsidRPr="00575662">
          <w:rPr>
            <w:rStyle w:val="TextoNormalCaracter"/>
          </w:rPr>
          <w:t>78/1997</w:t>
        </w:r>
      </w:hyperlink>
      <w:r>
        <w:t>.</w:t>
      </w:r>
    </w:p>
    <w:p w:rsidR="00575662" w:rsidRDefault="00575662" w:rsidP="00575662">
      <w:pPr>
        <w:pStyle w:val="SangriaFrancesaArticulo"/>
      </w:pPr>
      <w:r w:rsidRPr="00575662">
        <w:rPr>
          <w:rStyle w:val="TextoNormalNegritaCaracter"/>
        </w:rPr>
        <w:t>Disposición Transitoria Tercera.</w:t>
      </w:r>
      <w:r w:rsidRPr="00575662">
        <w:rPr>
          <w:rStyle w:val="TextoNormalCaracter"/>
        </w:rPr>
        <w:t>-</w:t>
      </w:r>
      <w:r>
        <w:t xml:space="preserve"> Auto </w:t>
      </w:r>
      <w:hyperlink w:anchor="AUTO_1997_78" w:history="1">
        <w:r w:rsidRPr="00575662">
          <w:rPr>
            <w:rStyle w:val="TextoNormalCaracter"/>
          </w:rPr>
          <w:t>78/1997</w:t>
        </w:r>
      </w:hyperlink>
      <w:r>
        <w:t>.</w:t>
      </w:r>
    </w:p>
    <w:p w:rsidR="00575662" w:rsidRDefault="00575662" w:rsidP="00575662">
      <w:pPr>
        <w:pStyle w:val="SangriaFrancesaArticulo"/>
      </w:pPr>
      <w:r w:rsidRPr="00575662">
        <w:rPr>
          <w:rStyle w:val="TextoNormalNegritaCaracter"/>
        </w:rPr>
        <w:t>Disposición Transitoria Cuarta.</w:t>
      </w:r>
      <w:r w:rsidRPr="00575662">
        <w:rPr>
          <w:rStyle w:val="TextoNormalCaracter"/>
        </w:rPr>
        <w:t>-</w:t>
      </w:r>
      <w:r>
        <w:t xml:space="preserve"> Auto </w:t>
      </w:r>
      <w:hyperlink w:anchor="AUTO_1997_78" w:history="1">
        <w:r w:rsidRPr="00575662">
          <w:rPr>
            <w:rStyle w:val="TextoNormalCaracter"/>
          </w:rPr>
          <w:t>78/1997</w:t>
        </w:r>
      </w:hyperlink>
      <w:r>
        <w:t>.</w:t>
      </w:r>
    </w:p>
    <w:p w:rsidR="00575662" w:rsidRDefault="00575662" w:rsidP="00575662">
      <w:pPr>
        <w:pStyle w:val="TextoNormal"/>
      </w:pPr>
    </w:p>
    <w:p w:rsidR="00575662" w:rsidRDefault="00575662" w:rsidP="00575662">
      <w:pPr>
        <w:pStyle w:val="TextoNormalNegritaCentrado"/>
        <w:suppressAutoHyphens/>
      </w:pPr>
      <w:r w:rsidRPr="00575662">
        <w:rPr>
          <w:rStyle w:val="TextoNormalNegritaCentradoSombreado"/>
        </w:rPr>
        <w:lastRenderedPageBreak/>
        <w:t>J.8) Galicia</w:t>
      </w:r>
    </w:p>
    <w:p w:rsidR="00575662" w:rsidRDefault="00575662" w:rsidP="00575662">
      <w:pPr>
        <w:pStyle w:val="TextoNormal"/>
      </w:pPr>
    </w:p>
    <w:p w:rsidR="00575662" w:rsidRDefault="00575662" w:rsidP="00575662">
      <w:pPr>
        <w:pStyle w:val="TextoNormalNegritaCentradoSubrayado"/>
        <w:suppressAutoHyphens/>
      </w:pPr>
      <w:r>
        <w:t>J.8.a) Estatuto de Autonomía</w:t>
      </w:r>
    </w:p>
    <w:p w:rsidR="00575662" w:rsidRDefault="00575662" w:rsidP="00575662">
      <w:pPr>
        <w:pStyle w:val="TextoNormalNegritaCentradoSubrayado"/>
      </w:pPr>
    </w:p>
    <w:p w:rsidR="00575662" w:rsidRDefault="00575662" w:rsidP="00575662">
      <w:pPr>
        <w:pStyle w:val="TextoNormalNegritaCursivandice"/>
      </w:pPr>
      <w:r>
        <w:t>Ley Orgánica 1/1981, de 6 de abril. Estatuto de Autonomía de Galicia</w:t>
      </w:r>
    </w:p>
    <w:p w:rsidR="00575662" w:rsidRDefault="00575662" w:rsidP="00575662">
      <w:pPr>
        <w:pStyle w:val="SangriaFrancesaArticulo"/>
      </w:pPr>
      <w:r w:rsidRPr="00575662">
        <w:rPr>
          <w:rStyle w:val="TextoNormalNegritaCaracter"/>
        </w:rPr>
        <w:t>Artículo 5.</w:t>
      </w:r>
      <w:r w:rsidRPr="00575662">
        <w:rPr>
          <w:rStyle w:val="TextoNormalCaracter"/>
        </w:rPr>
        <w:t>-</w:t>
      </w:r>
      <w:r>
        <w:t xml:space="preserve"> Sentencia </w:t>
      </w:r>
      <w:hyperlink w:anchor="SENTENCIA_1997_87" w:history="1">
        <w:r w:rsidRPr="00575662">
          <w:rPr>
            <w:rStyle w:val="TextoNormalCaracter"/>
          </w:rPr>
          <w:t>87/1997</w:t>
        </w:r>
      </w:hyperlink>
      <w:r>
        <w:t>, ff. 3, 4.</w:t>
      </w:r>
    </w:p>
    <w:p w:rsidR="00575662" w:rsidRDefault="00575662" w:rsidP="00575662">
      <w:pPr>
        <w:pStyle w:val="TextoNormal"/>
      </w:pPr>
    </w:p>
    <w:p w:rsidR="00575662" w:rsidRDefault="00575662" w:rsidP="00575662">
      <w:pPr>
        <w:pStyle w:val="TextoNormalNegritaCentradoSubrayado"/>
        <w:suppressAutoHyphens/>
      </w:pPr>
      <w:r>
        <w:t>J.8.b) Leyes y disposiciones con fuerza de Ley</w:t>
      </w:r>
    </w:p>
    <w:p w:rsidR="00575662" w:rsidRDefault="00575662" w:rsidP="00575662">
      <w:pPr>
        <w:pStyle w:val="TextoNormalNegritaCentradoSubrayado"/>
      </w:pPr>
    </w:p>
    <w:p w:rsidR="00575662" w:rsidRDefault="00575662" w:rsidP="00575662">
      <w:pPr>
        <w:pStyle w:val="TextoNormalNegritaCursivandice"/>
      </w:pPr>
      <w:r>
        <w:t>Ley del Parlamento de Galicia 3/1983, de 15 de junio. Normalización lingüística</w:t>
      </w:r>
    </w:p>
    <w:p w:rsidR="00575662" w:rsidRDefault="00575662" w:rsidP="00575662">
      <w:pPr>
        <w:pStyle w:val="SangriaFrancesaArticulo"/>
      </w:pPr>
      <w:r w:rsidRPr="00575662">
        <w:rPr>
          <w:rStyle w:val="TextoNormalNegritaCaracter"/>
        </w:rPr>
        <w:t>Artículo 7.</w:t>
      </w:r>
      <w:r w:rsidRPr="00575662">
        <w:rPr>
          <w:rStyle w:val="TextoNormalCaracter"/>
        </w:rPr>
        <w:t>-</w:t>
      </w:r>
      <w:r>
        <w:t xml:space="preserve"> Sentencia </w:t>
      </w:r>
      <w:hyperlink w:anchor="SENTENCIA_1997_87" w:history="1">
        <w:r w:rsidRPr="00575662">
          <w:rPr>
            <w:rStyle w:val="TextoNormalCaracter"/>
          </w:rPr>
          <w:t>87/1997</w:t>
        </w:r>
      </w:hyperlink>
      <w:r>
        <w:t>, f. 4.</w:t>
      </w:r>
    </w:p>
    <w:p w:rsidR="00575662" w:rsidRDefault="00575662" w:rsidP="00575662">
      <w:pPr>
        <w:pStyle w:val="SangriaFrancesaArticulo"/>
      </w:pPr>
    </w:p>
    <w:p w:rsidR="00575662" w:rsidRDefault="00575662" w:rsidP="00575662">
      <w:pPr>
        <w:pStyle w:val="TextoNormalNegritaCursivandice"/>
      </w:pPr>
      <w:r>
        <w:t>Ley del Parlamento de Galicia 5/1985, de 11 de junio. Sanciones en materia pesquera, marisquera y cultivos marinos</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45" w:history="1">
        <w:r w:rsidRPr="00575662">
          <w:rPr>
            <w:rStyle w:val="TextoNormalCaracter"/>
          </w:rPr>
          <w:t>45/1997</w:t>
        </w:r>
      </w:hyperlink>
      <w:r>
        <w:t>, f. 1.</w:t>
      </w:r>
    </w:p>
    <w:p w:rsidR="00575662" w:rsidRDefault="00575662" w:rsidP="00575662">
      <w:pPr>
        <w:pStyle w:val="SangriaFrancesaArticulo"/>
      </w:pPr>
    </w:p>
    <w:p w:rsidR="00575662" w:rsidRDefault="00575662" w:rsidP="00575662">
      <w:pPr>
        <w:pStyle w:val="TextoNormalNegritaCursivandice"/>
      </w:pPr>
      <w:r>
        <w:t>Ley del Parlamento de Galicia 6/1991, de 15 de mayo. Infracciones en materia de protección de recursos marítimo-pesqueros</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45" w:history="1">
        <w:r w:rsidRPr="00575662">
          <w:rPr>
            <w:rStyle w:val="TextoNormalCaracter"/>
          </w:rPr>
          <w:t>45/1997</w:t>
        </w:r>
      </w:hyperlink>
      <w:r>
        <w:t>, f. 5.</w:t>
      </w:r>
    </w:p>
    <w:p w:rsidR="00575662" w:rsidRDefault="00575662" w:rsidP="00575662">
      <w:pPr>
        <w:pStyle w:val="SangriaFrancesaArticulo"/>
      </w:pPr>
      <w:r w:rsidRPr="00575662">
        <w:rPr>
          <w:rStyle w:val="TextoNormalNegritaCaracter"/>
        </w:rPr>
        <w:t>Artículo 6.5.</w:t>
      </w:r>
      <w:r w:rsidRPr="00575662">
        <w:rPr>
          <w:rStyle w:val="TextoNormalCaracter"/>
        </w:rPr>
        <w:t>-</w:t>
      </w:r>
      <w:r>
        <w:t xml:space="preserve"> Sentencia </w:t>
      </w:r>
      <w:hyperlink w:anchor="SENTENCIA_1997_45" w:history="1">
        <w:r w:rsidRPr="00575662">
          <w:rPr>
            <w:rStyle w:val="TextoNormalCaracter"/>
          </w:rPr>
          <w:t>45/1997</w:t>
        </w:r>
      </w:hyperlink>
      <w:r>
        <w:t>, f. 1.</w:t>
      </w:r>
    </w:p>
    <w:p w:rsidR="00575662" w:rsidRDefault="00575662" w:rsidP="00575662">
      <w:pPr>
        <w:pStyle w:val="SangriaFrancesaArticulo"/>
      </w:pPr>
      <w:r w:rsidRPr="00575662">
        <w:rPr>
          <w:rStyle w:val="TextoNormalNegritaCaracter"/>
        </w:rPr>
        <w:t>Artículo 6.10.</w:t>
      </w:r>
      <w:r w:rsidRPr="00575662">
        <w:rPr>
          <w:rStyle w:val="TextoNormalCaracter"/>
        </w:rPr>
        <w:t>-</w:t>
      </w:r>
      <w:r>
        <w:t xml:space="preserve"> Sentencia </w:t>
      </w:r>
      <w:hyperlink w:anchor="SENTENCIA_1997_45" w:history="1">
        <w:r w:rsidRPr="00575662">
          <w:rPr>
            <w:rStyle w:val="TextoNormalCaracter"/>
          </w:rPr>
          <w:t>45/1997</w:t>
        </w:r>
      </w:hyperlink>
      <w:r>
        <w:t>, f. 1.</w:t>
      </w:r>
    </w:p>
    <w:p w:rsidR="00575662" w:rsidRDefault="00575662" w:rsidP="00575662">
      <w:pPr>
        <w:pStyle w:val="SangriaFrancesaArticulo"/>
      </w:pPr>
      <w:r w:rsidRPr="00575662">
        <w:rPr>
          <w:rStyle w:val="TextoNormalNegritaCaracter"/>
        </w:rPr>
        <w:t>Artículo 18.1.</w:t>
      </w:r>
      <w:r w:rsidRPr="00575662">
        <w:rPr>
          <w:rStyle w:val="TextoNormalCaracter"/>
        </w:rPr>
        <w:t>-</w:t>
      </w:r>
      <w:r>
        <w:t xml:space="preserve"> Sentencia </w:t>
      </w:r>
      <w:hyperlink w:anchor="SENTENCIA_1997_45" w:history="1">
        <w:r w:rsidRPr="00575662">
          <w:rPr>
            <w:rStyle w:val="TextoNormalCaracter"/>
          </w:rPr>
          <w:t>45/1997</w:t>
        </w:r>
      </w:hyperlink>
      <w:r>
        <w:t>, f. 1.</w:t>
      </w:r>
    </w:p>
    <w:p w:rsidR="00575662" w:rsidRDefault="00575662" w:rsidP="00575662">
      <w:pPr>
        <w:pStyle w:val="TextoNormal"/>
      </w:pPr>
    </w:p>
    <w:p w:rsidR="00575662" w:rsidRDefault="00575662" w:rsidP="00575662">
      <w:pPr>
        <w:pStyle w:val="TextoNormalNegritaCentradoSubrayado"/>
        <w:suppressAutoHyphens/>
      </w:pPr>
      <w:r>
        <w:t>J.8.d) Normas parlamentarias autonómicas</w:t>
      </w:r>
    </w:p>
    <w:p w:rsidR="00575662" w:rsidRDefault="00575662" w:rsidP="00575662">
      <w:pPr>
        <w:pStyle w:val="TextoNormalNegritaCentradoSubrayado"/>
      </w:pPr>
    </w:p>
    <w:p w:rsidR="00575662" w:rsidRDefault="00575662" w:rsidP="00575662">
      <w:pPr>
        <w:pStyle w:val="TextoNormalNegritaCursivandice"/>
      </w:pPr>
      <w:r>
        <w:t>Reglamento del Parlamento de Galicia, de 23 de diciembre de 1983</w:t>
      </w:r>
    </w:p>
    <w:p w:rsidR="00575662" w:rsidRDefault="00575662" w:rsidP="00575662">
      <w:pPr>
        <w:pStyle w:val="SangriaFrancesaArticulo"/>
      </w:pPr>
      <w:r w:rsidRPr="00575662">
        <w:rPr>
          <w:rStyle w:val="TextoNormalNegritaCaracter"/>
        </w:rPr>
        <w:t>Artículo 53.</w:t>
      </w:r>
      <w:r w:rsidRPr="00575662">
        <w:rPr>
          <w:rStyle w:val="TextoNormalCaracter"/>
        </w:rPr>
        <w:t>-</w:t>
      </w:r>
      <w:r>
        <w:t xml:space="preserve"> Auto </w:t>
      </w:r>
      <w:hyperlink w:anchor="AUTO_1997_42" w:history="1">
        <w:r w:rsidRPr="00575662">
          <w:rPr>
            <w:rStyle w:val="TextoNormalCaracter"/>
          </w:rPr>
          <w:t>42/1997</w:t>
        </w:r>
      </w:hyperlink>
      <w:r>
        <w:t>.</w:t>
      </w:r>
    </w:p>
    <w:p w:rsidR="00575662" w:rsidRDefault="00575662" w:rsidP="00575662">
      <w:pPr>
        <w:pStyle w:val="SangriaFrancesaArticulo"/>
      </w:pPr>
      <w:r w:rsidRPr="00575662">
        <w:rPr>
          <w:rStyle w:val="TextoNormalNegritaCaracter"/>
        </w:rPr>
        <w:t>Artículo 72.</w:t>
      </w:r>
      <w:r w:rsidRPr="00575662">
        <w:rPr>
          <w:rStyle w:val="TextoNormalCaracter"/>
        </w:rPr>
        <w:t>-</w:t>
      </w:r>
      <w:r>
        <w:t xml:space="preserve"> Auto </w:t>
      </w:r>
      <w:hyperlink w:anchor="AUTO_1997_42" w:history="1">
        <w:r w:rsidRPr="00575662">
          <w:rPr>
            <w:rStyle w:val="TextoNormalCaracter"/>
          </w:rPr>
          <w:t>42/1997</w:t>
        </w:r>
      </w:hyperlink>
      <w:r>
        <w:t>.</w:t>
      </w:r>
    </w:p>
    <w:p w:rsidR="00575662" w:rsidRDefault="00575662" w:rsidP="00575662">
      <w:pPr>
        <w:pStyle w:val="TextoNormal"/>
      </w:pPr>
    </w:p>
    <w:p w:rsidR="00575662" w:rsidRDefault="00575662" w:rsidP="00575662">
      <w:pPr>
        <w:pStyle w:val="TextoNormalNegritaCentrado"/>
        <w:suppressAutoHyphens/>
      </w:pPr>
      <w:r w:rsidRPr="00575662">
        <w:rPr>
          <w:rStyle w:val="TextoNormalNegritaCentradoSombreado"/>
        </w:rPr>
        <w:t>J.9) Madrid</w:t>
      </w:r>
    </w:p>
    <w:p w:rsidR="00575662" w:rsidRDefault="00575662" w:rsidP="00575662">
      <w:pPr>
        <w:pStyle w:val="TextoNormal"/>
      </w:pPr>
    </w:p>
    <w:p w:rsidR="00575662" w:rsidRDefault="00575662" w:rsidP="00575662">
      <w:pPr>
        <w:pStyle w:val="TextoNormalNegritaCentradoSubrayado"/>
        <w:suppressAutoHyphens/>
      </w:pPr>
      <w:r>
        <w:t>J.9.a) Estatuto de Autonomía</w:t>
      </w:r>
    </w:p>
    <w:p w:rsidR="00575662" w:rsidRDefault="00575662" w:rsidP="00575662">
      <w:pPr>
        <w:pStyle w:val="TextoNormalNegritaCentradoSubrayado"/>
      </w:pPr>
    </w:p>
    <w:p w:rsidR="00575662" w:rsidRDefault="00575662" w:rsidP="00575662">
      <w:pPr>
        <w:pStyle w:val="TextoNormalNegritaCursivandice"/>
      </w:pPr>
      <w:r>
        <w:t>Ley Orgánica 3/1983, de 25 de febrero. Estatuto de Autonomía de la Comunidad de Madrid</w:t>
      </w:r>
    </w:p>
    <w:p w:rsidR="00575662" w:rsidRDefault="00575662" w:rsidP="00575662">
      <w:pPr>
        <w:pStyle w:val="SangriaFrancesaArticulo"/>
      </w:pPr>
      <w:r w:rsidRPr="00575662">
        <w:rPr>
          <w:rStyle w:val="TextoNormalNegritaCaracter"/>
        </w:rPr>
        <w:t>Artículo 26.3.</w:t>
      </w:r>
      <w:r w:rsidRPr="00575662">
        <w:rPr>
          <w:rStyle w:val="TextoNormalCaracter"/>
        </w:rPr>
        <w:t>-</w:t>
      </w:r>
      <w:r>
        <w:t xml:space="preserve"> Sentencia </w:t>
      </w:r>
      <w:hyperlink w:anchor="SENTENCIA_1997_61" w:history="1">
        <w:r w:rsidRPr="00575662">
          <w:rPr>
            <w:rStyle w:val="TextoNormalCaracter"/>
          </w:rPr>
          <w:t>61/1997</w:t>
        </w:r>
      </w:hyperlink>
      <w:r>
        <w:t>, f. 5.</w:t>
      </w:r>
    </w:p>
    <w:p w:rsidR="00575662" w:rsidRDefault="00575662" w:rsidP="00575662">
      <w:pPr>
        <w:pStyle w:val="TextoNormal"/>
      </w:pPr>
    </w:p>
    <w:p w:rsidR="00575662" w:rsidRDefault="00575662" w:rsidP="00575662">
      <w:pPr>
        <w:pStyle w:val="TextoNormalNegritaCentrado"/>
        <w:suppressAutoHyphens/>
      </w:pPr>
      <w:r w:rsidRPr="00575662">
        <w:rPr>
          <w:rStyle w:val="TextoNormalNegritaCentradoSombreado"/>
        </w:rPr>
        <w:t>J.10) Murcia</w:t>
      </w:r>
    </w:p>
    <w:p w:rsidR="00575662" w:rsidRDefault="00575662" w:rsidP="00575662">
      <w:pPr>
        <w:pStyle w:val="TextoNormal"/>
      </w:pPr>
    </w:p>
    <w:p w:rsidR="00575662" w:rsidRDefault="00575662" w:rsidP="00575662">
      <w:pPr>
        <w:pStyle w:val="TextoNormalNegritaCentradoSubrayado"/>
        <w:suppressAutoHyphens/>
      </w:pPr>
      <w:r>
        <w:t>J.10.b) Leyes y disposiciones con fuerza de Ley</w:t>
      </w:r>
    </w:p>
    <w:p w:rsidR="00575662" w:rsidRDefault="00575662" w:rsidP="00575662">
      <w:pPr>
        <w:pStyle w:val="TextoNormalNegritaCentradoSubrayado"/>
      </w:pPr>
    </w:p>
    <w:p w:rsidR="00575662" w:rsidRDefault="00575662" w:rsidP="00575662">
      <w:pPr>
        <w:pStyle w:val="TextoNormalNegritaCursivandice"/>
      </w:pPr>
      <w:r>
        <w:lastRenderedPageBreak/>
        <w:t>Ley de la Asamblea Regional de Murcia 9/1988, de 11 de noviembre. Creación, organización y control parlamentario de la Radio Televisión Murciana</w:t>
      </w:r>
    </w:p>
    <w:p w:rsidR="00575662" w:rsidRDefault="00575662" w:rsidP="00575662">
      <w:pPr>
        <w:pStyle w:val="SangriaFrancesaArticulo"/>
      </w:pPr>
      <w:r w:rsidRPr="00575662">
        <w:rPr>
          <w:rStyle w:val="TextoNormalNegritaCaracter"/>
        </w:rPr>
        <w:t>Artículo 10.1.</w:t>
      </w:r>
      <w:r w:rsidRPr="00575662">
        <w:rPr>
          <w:rStyle w:val="TextoNormalCaracter"/>
        </w:rPr>
        <w:t>-</w:t>
      </w:r>
      <w:r>
        <w:t xml:space="preserve"> Auto </w:t>
      </w:r>
      <w:hyperlink w:anchor="AUTO_1997_30" w:history="1">
        <w:r w:rsidRPr="00575662">
          <w:rPr>
            <w:rStyle w:val="TextoNormalCaracter"/>
          </w:rPr>
          <w:t>30/1997</w:t>
        </w:r>
      </w:hyperlink>
      <w:r>
        <w:t>.</w:t>
      </w:r>
    </w:p>
    <w:p w:rsidR="00575662" w:rsidRDefault="00575662" w:rsidP="00575662">
      <w:pPr>
        <w:pStyle w:val="TextoNormal"/>
      </w:pPr>
    </w:p>
    <w:p w:rsidR="00575662" w:rsidRDefault="00575662" w:rsidP="00575662">
      <w:pPr>
        <w:pStyle w:val="TextoNormalNegritaCentradoSubrayado"/>
        <w:suppressAutoHyphens/>
      </w:pPr>
      <w:r>
        <w:t>J.10.c) Decretos y otras disposiciones reglamentarias</w:t>
      </w:r>
    </w:p>
    <w:p w:rsidR="00575662" w:rsidRDefault="00575662" w:rsidP="00575662">
      <w:pPr>
        <w:pStyle w:val="TextoNormalNegritaCentradoSubrayado"/>
      </w:pPr>
    </w:p>
    <w:p w:rsidR="00575662" w:rsidRDefault="00575662" w:rsidP="00575662">
      <w:pPr>
        <w:pStyle w:val="TextoNormalNegritaCursivandice"/>
      </w:pPr>
      <w:r>
        <w:t>Decreto del Gobierno de la Región de Murcia 86/1992, de 26 de noviembre. Desarrolla el artículo 10.3 de la Ley 9/1988, de 11 de noviembre, de creación y control parlamentario de la Radio Televisión Murciana en relación con las condiciones de desempeño del cargo de Director general</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Auto </w:t>
      </w:r>
      <w:hyperlink w:anchor="AUTO_1997_30" w:history="1">
        <w:r w:rsidRPr="00575662">
          <w:rPr>
            <w:rStyle w:val="TextoNormalCaracter"/>
          </w:rPr>
          <w:t>30/1997</w:t>
        </w:r>
      </w:hyperlink>
      <w:r>
        <w:t>.</w:t>
      </w:r>
    </w:p>
    <w:p w:rsidR="00575662" w:rsidRDefault="00575662" w:rsidP="00575662">
      <w:pPr>
        <w:pStyle w:val="TextoNormal"/>
      </w:pPr>
    </w:p>
    <w:p w:rsidR="00575662" w:rsidRDefault="00575662" w:rsidP="00575662">
      <w:pPr>
        <w:pStyle w:val="TextoNormalNegritaCentrado"/>
        <w:suppressAutoHyphens/>
      </w:pPr>
      <w:r w:rsidRPr="00575662">
        <w:rPr>
          <w:rStyle w:val="TextoNormalNegritaCentradoSombreado"/>
        </w:rPr>
        <w:t>J.11) País Vasco</w:t>
      </w:r>
    </w:p>
    <w:p w:rsidR="00575662" w:rsidRDefault="00575662" w:rsidP="00575662">
      <w:pPr>
        <w:pStyle w:val="TextoNormal"/>
      </w:pPr>
    </w:p>
    <w:p w:rsidR="00575662" w:rsidRDefault="00575662" w:rsidP="00575662">
      <w:pPr>
        <w:pStyle w:val="TextoNormalNegritaCentradoSubrayado"/>
        <w:suppressAutoHyphens/>
      </w:pPr>
      <w:r>
        <w:t>J.11.a) Estatuto de Autonomía</w:t>
      </w:r>
    </w:p>
    <w:p w:rsidR="00575662" w:rsidRDefault="00575662" w:rsidP="00575662">
      <w:pPr>
        <w:pStyle w:val="TextoNormalNegritaCentradoSubrayado"/>
      </w:pPr>
    </w:p>
    <w:p w:rsidR="00575662" w:rsidRDefault="00575662" w:rsidP="00575662">
      <w:pPr>
        <w:pStyle w:val="TextoNormalNegritaCursivandice"/>
      </w:pPr>
      <w:r>
        <w:t>Ley Orgánica 3/1979, de 18 de diciembre. Estatuto de Autonomía del País Vasco</w:t>
      </w:r>
    </w:p>
    <w:p w:rsidR="00575662" w:rsidRDefault="00575662" w:rsidP="00575662">
      <w:pPr>
        <w:pStyle w:val="SangriaFrancesaArticulo"/>
      </w:pPr>
      <w:r w:rsidRPr="00575662">
        <w:rPr>
          <w:rStyle w:val="TextoNormalNegritaCaracter"/>
        </w:rPr>
        <w:t>Artículo 6.</w:t>
      </w:r>
      <w:r w:rsidRPr="00575662">
        <w:rPr>
          <w:rStyle w:val="TextoNormalCaracter"/>
        </w:rPr>
        <w:t>-</w:t>
      </w:r>
      <w:r>
        <w:t xml:space="preserve"> Sentencia </w:t>
      </w:r>
      <w:hyperlink w:anchor="SENTENCIA_1997_87" w:history="1">
        <w:r w:rsidRPr="00575662">
          <w:rPr>
            <w:rStyle w:val="TextoNormalCaracter"/>
          </w:rPr>
          <w:t>87/1997</w:t>
        </w:r>
      </w:hyperlink>
      <w:r>
        <w:t>, f. 3.</w:t>
      </w:r>
    </w:p>
    <w:p w:rsidR="00575662" w:rsidRDefault="00575662" w:rsidP="00575662">
      <w:pPr>
        <w:pStyle w:val="SangriaFrancesaArticulo"/>
      </w:pPr>
      <w:r w:rsidRPr="00575662">
        <w:rPr>
          <w:rStyle w:val="TextoNormalNegritaCaracter"/>
        </w:rPr>
        <w:t>Artículo 10.9.</w:t>
      </w:r>
      <w:r w:rsidRPr="00575662">
        <w:rPr>
          <w:rStyle w:val="TextoNormalCaracter"/>
        </w:rPr>
        <w:t>-</w:t>
      </w:r>
      <w:r>
        <w:t xml:space="preserve"> Sentencia </w:t>
      </w:r>
      <w:hyperlink w:anchor="SENTENCIA_1997_70" w:history="1">
        <w:r w:rsidRPr="00575662">
          <w:rPr>
            <w:rStyle w:val="TextoNormalCaracter"/>
          </w:rPr>
          <w:t>70/1997</w:t>
        </w:r>
      </w:hyperlink>
      <w:r>
        <w:t>, f. 1.</w:t>
      </w:r>
    </w:p>
    <w:p w:rsidR="00575662" w:rsidRDefault="00575662" w:rsidP="00575662">
      <w:pPr>
        <w:pStyle w:val="SangriaFrancesaArticulo"/>
      </w:pPr>
      <w:r w:rsidRPr="00575662">
        <w:rPr>
          <w:rStyle w:val="TextoNormalNegritaCaracter"/>
        </w:rPr>
        <w:t>Artículo 11.2 a).</w:t>
      </w:r>
      <w:r w:rsidRPr="00575662">
        <w:rPr>
          <w:rStyle w:val="TextoNormalCaracter"/>
        </w:rPr>
        <w:t>-</w:t>
      </w:r>
      <w:r>
        <w:t xml:space="preserve"> Sentencia </w:t>
      </w:r>
      <w:hyperlink w:anchor="SENTENCIA_1997_37" w:history="1">
        <w:r w:rsidRPr="00575662">
          <w:rPr>
            <w:rStyle w:val="TextoNormalCaracter"/>
          </w:rPr>
          <w:t>37/1997</w:t>
        </w:r>
      </w:hyperlink>
      <w:r>
        <w:t>, f. 3.</w:t>
      </w:r>
    </w:p>
    <w:p w:rsidR="00575662" w:rsidRDefault="00575662" w:rsidP="00575662">
      <w:pPr>
        <w:pStyle w:val="TextoNormal"/>
      </w:pPr>
    </w:p>
    <w:p w:rsidR="00575662" w:rsidRDefault="00575662" w:rsidP="00575662">
      <w:pPr>
        <w:pStyle w:val="TextoNormalNegritaCentrado"/>
        <w:suppressAutoHyphens/>
      </w:pPr>
      <w:r w:rsidRPr="00575662">
        <w:rPr>
          <w:rStyle w:val="TextoNormalNegritaCentradoSombreado"/>
        </w:rPr>
        <w:t>J.12) Valencia</w:t>
      </w:r>
    </w:p>
    <w:p w:rsidR="00575662" w:rsidRDefault="00575662" w:rsidP="00575662">
      <w:pPr>
        <w:pStyle w:val="TextoNormal"/>
      </w:pPr>
    </w:p>
    <w:p w:rsidR="00575662" w:rsidRDefault="00575662" w:rsidP="00575662">
      <w:pPr>
        <w:pStyle w:val="TextoNormalNegritaCentradoSubrayado"/>
        <w:suppressAutoHyphens/>
      </w:pPr>
      <w:r>
        <w:t>J.12.a) Estatuto de Autonomía</w:t>
      </w:r>
    </w:p>
    <w:p w:rsidR="00575662" w:rsidRDefault="00575662" w:rsidP="00575662">
      <w:pPr>
        <w:pStyle w:val="TextoNormalNegritaCentradoSubrayado"/>
      </w:pPr>
    </w:p>
    <w:p w:rsidR="00575662" w:rsidRDefault="00575662" w:rsidP="00575662">
      <w:pPr>
        <w:pStyle w:val="TextoNormalNegritaCursivandice"/>
      </w:pPr>
      <w:r>
        <w:t>Ley Orgánica 5/1982, de 1 de julio. Estatuto de Autonomía de la Comunidad Valenciana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75" w:history="1">
        <w:r w:rsidRPr="00575662">
          <w:rPr>
            <w:rStyle w:val="TextoNormalCaracter"/>
          </w:rPr>
          <w:t>75/1997</w:t>
        </w:r>
      </w:hyperlink>
      <w:r>
        <w:t>, ff. 2, 4, VP.</w:t>
      </w:r>
    </w:p>
    <w:p w:rsidR="00575662" w:rsidRDefault="00575662" w:rsidP="00575662">
      <w:pPr>
        <w:pStyle w:val="SangriaFrancesaArticulo"/>
      </w:pPr>
      <w:r w:rsidRPr="00575662">
        <w:rPr>
          <w:rStyle w:val="TextoNormalNegritaCaracter"/>
        </w:rPr>
        <w:t>Artículo 7.</w:t>
      </w:r>
      <w:r w:rsidRPr="00575662">
        <w:rPr>
          <w:rStyle w:val="TextoNormalCaracter"/>
        </w:rPr>
        <w:t>-</w:t>
      </w:r>
      <w:r>
        <w:t xml:space="preserve"> Sentencia </w:t>
      </w:r>
      <w:hyperlink w:anchor="SENTENCIA_1997_75" w:history="1">
        <w:r w:rsidRPr="00575662">
          <w:rPr>
            <w:rStyle w:val="TextoNormalCaracter"/>
          </w:rPr>
          <w:t>75/1997</w:t>
        </w:r>
      </w:hyperlink>
      <w:r>
        <w:t>, VP.</w:t>
      </w:r>
    </w:p>
    <w:p w:rsidR="00575662" w:rsidRDefault="00575662" w:rsidP="00575662">
      <w:pPr>
        <w:pStyle w:val="TextoNormal"/>
      </w:pPr>
    </w:p>
    <w:p w:rsidR="00575662" w:rsidRDefault="00575662" w:rsidP="00575662">
      <w:pPr>
        <w:pStyle w:val="TextoNormalNegritaCentradoSubrayado"/>
        <w:suppressAutoHyphens/>
      </w:pPr>
      <w:r>
        <w:t>J.12.b) Leyes y disposiciones con fuerza de Ley</w:t>
      </w:r>
    </w:p>
    <w:p w:rsidR="00575662" w:rsidRDefault="00575662" w:rsidP="00575662">
      <w:pPr>
        <w:pStyle w:val="TextoNormalNegritaCentradoSubrayado"/>
      </w:pPr>
    </w:p>
    <w:p w:rsidR="00575662" w:rsidRDefault="00575662" w:rsidP="00575662">
      <w:pPr>
        <w:pStyle w:val="TextoNormalNegritaCursivandice"/>
      </w:pPr>
      <w:r>
        <w:t>Ley de las Cortes Valencianas 4/1983, de 23 de noviembre. Uso y enseñanza del Valenciano</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75" w:history="1">
        <w:r w:rsidRPr="00575662">
          <w:rPr>
            <w:rStyle w:val="TextoNormalCaracter"/>
          </w:rPr>
          <w:t>75/1997</w:t>
        </w:r>
      </w:hyperlink>
      <w:r>
        <w:t>, f. 4, VP.</w:t>
      </w:r>
    </w:p>
    <w:p w:rsidR="00575662" w:rsidRDefault="00575662" w:rsidP="00575662">
      <w:pPr>
        <w:pStyle w:val="SangriaFrancesaArticulo"/>
      </w:pPr>
      <w:r w:rsidRPr="00575662">
        <w:rPr>
          <w:rStyle w:val="TextoNormalNegritaCaracter"/>
        </w:rPr>
        <w:t>Artículo 2.5.</w:t>
      </w:r>
      <w:r w:rsidRPr="00575662">
        <w:rPr>
          <w:rStyle w:val="TextoNormalCaracter"/>
        </w:rPr>
        <w:t>-</w:t>
      </w:r>
      <w:r>
        <w:t xml:space="preserve"> Sentencia </w:t>
      </w:r>
      <w:hyperlink w:anchor="SENTENCIA_1997_75" w:history="1">
        <w:r w:rsidRPr="00575662">
          <w:rPr>
            <w:rStyle w:val="TextoNormalCaracter"/>
          </w:rPr>
          <w:t>75/1997</w:t>
        </w:r>
      </w:hyperlink>
      <w:r>
        <w:t>, f. 1.</w:t>
      </w:r>
    </w:p>
    <w:p w:rsidR="00575662" w:rsidRDefault="00575662" w:rsidP="00575662">
      <w:pPr>
        <w:pStyle w:val="SangriaFrancesaArticulo"/>
      </w:pPr>
      <w:r w:rsidRPr="00575662">
        <w:rPr>
          <w:rStyle w:val="TextoNormalNegritaCaracter"/>
        </w:rPr>
        <w:t>Artículo 7.1.</w:t>
      </w:r>
      <w:r w:rsidRPr="00575662">
        <w:rPr>
          <w:rStyle w:val="TextoNormalCaracter"/>
        </w:rPr>
        <w:t>-</w:t>
      </w:r>
      <w:r>
        <w:t xml:space="preserve"> Sentencia </w:t>
      </w:r>
      <w:hyperlink w:anchor="SENTENCIA_1997_75" w:history="1">
        <w:r w:rsidRPr="00575662">
          <w:rPr>
            <w:rStyle w:val="TextoNormalCaracter"/>
          </w:rPr>
          <w:t>75/1997</w:t>
        </w:r>
      </w:hyperlink>
      <w:r>
        <w:t>, f. 1.</w:t>
      </w:r>
    </w:p>
    <w:p w:rsidR="00575662" w:rsidRDefault="00575662" w:rsidP="00575662">
      <w:pPr>
        <w:pStyle w:val="SangriaFrancesaArticulo"/>
      </w:pPr>
      <w:r w:rsidRPr="00575662">
        <w:rPr>
          <w:rStyle w:val="TextoNormalNegritaCaracter"/>
        </w:rPr>
        <w:t>Artículo 7.2.</w:t>
      </w:r>
      <w:r w:rsidRPr="00575662">
        <w:rPr>
          <w:rStyle w:val="TextoNormalCaracter"/>
        </w:rPr>
        <w:t>-</w:t>
      </w:r>
      <w:r>
        <w:t xml:space="preserve"> Sentencia </w:t>
      </w:r>
      <w:hyperlink w:anchor="SENTENCIA_1997_75" w:history="1">
        <w:r w:rsidRPr="00575662">
          <w:rPr>
            <w:rStyle w:val="TextoNormalCaracter"/>
          </w:rPr>
          <w:t>75/1997</w:t>
        </w:r>
      </w:hyperlink>
      <w:r>
        <w:t>, f. 1.</w:t>
      </w:r>
    </w:p>
    <w:p w:rsidR="00575662" w:rsidRDefault="00575662" w:rsidP="00575662">
      <w:pPr>
        <w:pStyle w:val="TextoNormal"/>
      </w:pPr>
    </w:p>
    <w:p w:rsidR="00575662" w:rsidRDefault="00575662" w:rsidP="00575662">
      <w:pPr>
        <w:pStyle w:val="TextoNormalNegritaCentradoSubrayado"/>
        <w:suppressAutoHyphens/>
      </w:pPr>
      <w:r>
        <w:t>J.12.c) Decretos y otras disposiciones reglamentarias</w:t>
      </w:r>
    </w:p>
    <w:p w:rsidR="00575662" w:rsidRDefault="00575662" w:rsidP="00575662">
      <w:pPr>
        <w:pStyle w:val="TextoNormalNegritaCentradoSubrayado"/>
      </w:pPr>
    </w:p>
    <w:p w:rsidR="00575662" w:rsidRDefault="00575662" w:rsidP="00575662">
      <w:pPr>
        <w:pStyle w:val="TextoNormalNegritaCursivandice"/>
      </w:pPr>
      <w:r>
        <w:lastRenderedPageBreak/>
        <w:t>Decreto de la Generalidad Valenciana 172/1985, de 28 de octubre. Estatutos de la Universidad de Valencia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75" w:history="1">
        <w:r w:rsidRPr="00575662">
          <w:rPr>
            <w:rStyle w:val="TextoNormalCaracter"/>
          </w:rPr>
          <w:t>75/1997</w:t>
        </w:r>
      </w:hyperlink>
      <w:r>
        <w:t>, ff. 2 a 4, VP.</w:t>
      </w:r>
    </w:p>
    <w:p w:rsidR="00575662" w:rsidRDefault="00575662" w:rsidP="00575662">
      <w:pPr>
        <w:pStyle w:val="SangriaFrancesaArticulo"/>
      </w:pPr>
      <w:r w:rsidRPr="00575662">
        <w:rPr>
          <w:rStyle w:val="TextoNormalNegritaCaracter"/>
        </w:rPr>
        <w:t>Artículo 6.</w:t>
      </w:r>
      <w:r w:rsidRPr="00575662">
        <w:rPr>
          <w:rStyle w:val="TextoNormalCaracter"/>
        </w:rPr>
        <w:t>-</w:t>
      </w:r>
      <w:r>
        <w:t xml:space="preserve"> Sentencia </w:t>
      </w:r>
      <w:hyperlink w:anchor="SENTENCIA_1997_75" w:history="1">
        <w:r w:rsidRPr="00575662">
          <w:rPr>
            <w:rStyle w:val="TextoNormalCaracter"/>
          </w:rPr>
          <w:t>75/1997</w:t>
        </w:r>
      </w:hyperlink>
      <w:r>
        <w:t>, f. 1, VP.</w:t>
      </w:r>
    </w:p>
    <w:p w:rsidR="00575662" w:rsidRDefault="00575662" w:rsidP="00575662">
      <w:pPr>
        <w:pStyle w:val="SangriaFrancesaArticulo"/>
      </w:pPr>
      <w:r w:rsidRPr="00575662">
        <w:rPr>
          <w:rStyle w:val="TextoNormalNegritaCaracter"/>
        </w:rPr>
        <w:t>Artículo 6.1.</w:t>
      </w:r>
      <w:r w:rsidRPr="00575662">
        <w:rPr>
          <w:rStyle w:val="TextoNormalCaracter"/>
        </w:rPr>
        <w:t>-</w:t>
      </w:r>
      <w:r>
        <w:t xml:space="preserve"> Sentencia </w:t>
      </w:r>
      <w:hyperlink w:anchor="SENTENCIA_1997_75" w:history="1">
        <w:r w:rsidRPr="00575662">
          <w:rPr>
            <w:rStyle w:val="TextoNormalCaracter"/>
          </w:rPr>
          <w:t>75/1997</w:t>
        </w:r>
      </w:hyperlink>
      <w:r>
        <w:t>, f. 4.</w:t>
      </w:r>
    </w:p>
    <w:p w:rsidR="00575662" w:rsidRDefault="00575662" w:rsidP="00575662">
      <w:pPr>
        <w:pStyle w:val="SangriaFrancesaArticulo"/>
      </w:pPr>
      <w:r w:rsidRPr="00575662">
        <w:rPr>
          <w:rStyle w:val="TextoNormalNegritaCaracter"/>
        </w:rPr>
        <w:t>Artículo 6.2.</w:t>
      </w:r>
      <w:r w:rsidRPr="00575662">
        <w:rPr>
          <w:rStyle w:val="TextoNormalCaracter"/>
        </w:rPr>
        <w:t>-</w:t>
      </w:r>
      <w:r>
        <w:t xml:space="preserve"> Sentencia </w:t>
      </w:r>
      <w:hyperlink w:anchor="SENTENCIA_1997_75" w:history="1">
        <w:r w:rsidRPr="00575662">
          <w:rPr>
            <w:rStyle w:val="TextoNormalCaracter"/>
          </w:rPr>
          <w:t>75/1997</w:t>
        </w:r>
      </w:hyperlink>
      <w:r>
        <w:t>, f. 4.</w:t>
      </w:r>
    </w:p>
    <w:p w:rsidR="00575662" w:rsidRDefault="00575662" w:rsidP="00575662">
      <w:pPr>
        <w:pStyle w:val="SangriaFrancesaArticulo"/>
      </w:pPr>
      <w:r w:rsidRPr="00575662">
        <w:rPr>
          <w:rStyle w:val="TextoNormalNegritaCaracter"/>
        </w:rPr>
        <w:t>Artículo 7.</w:t>
      </w:r>
      <w:r w:rsidRPr="00575662">
        <w:rPr>
          <w:rStyle w:val="TextoNormalCaracter"/>
        </w:rPr>
        <w:t>-</w:t>
      </w:r>
      <w:r>
        <w:t xml:space="preserve"> Sentencia </w:t>
      </w:r>
      <w:hyperlink w:anchor="SENTENCIA_1997_75" w:history="1">
        <w:r w:rsidRPr="00575662">
          <w:rPr>
            <w:rStyle w:val="TextoNormalCaracter"/>
          </w:rPr>
          <w:t>75/1997</w:t>
        </w:r>
      </w:hyperlink>
      <w:r>
        <w:t>, ff. 1, 4, VP.</w:t>
      </w:r>
    </w:p>
    <w:p w:rsidR="00575662" w:rsidRDefault="00575662" w:rsidP="00575662">
      <w:pPr>
        <w:pStyle w:val="SangriaFrancesaArticulo"/>
      </w:pPr>
      <w:r w:rsidRPr="00575662">
        <w:rPr>
          <w:rStyle w:val="TextoNormalNegritaCaracter"/>
        </w:rPr>
        <w:t>Artículo 7.1.</w:t>
      </w:r>
      <w:r w:rsidRPr="00575662">
        <w:rPr>
          <w:rStyle w:val="TextoNormalCaracter"/>
        </w:rPr>
        <w:t>-</w:t>
      </w:r>
      <w:r>
        <w:t xml:space="preserve"> Sentencia </w:t>
      </w:r>
      <w:hyperlink w:anchor="SENTENCIA_1997_75" w:history="1">
        <w:r w:rsidRPr="00575662">
          <w:rPr>
            <w:rStyle w:val="TextoNormalCaracter"/>
          </w:rPr>
          <w:t>75/1997</w:t>
        </w:r>
      </w:hyperlink>
      <w:r>
        <w:t>, f. 4.</w:t>
      </w:r>
    </w:p>
    <w:p w:rsidR="00575662" w:rsidRDefault="00575662" w:rsidP="00575662">
      <w:pPr>
        <w:pStyle w:val="SangriaFrancesaArticulo"/>
      </w:pPr>
      <w:r w:rsidRPr="00575662">
        <w:rPr>
          <w:rStyle w:val="TextoNormalNegritaCaracter"/>
        </w:rPr>
        <w:t>Artículo 7.2.</w:t>
      </w:r>
      <w:r w:rsidRPr="00575662">
        <w:rPr>
          <w:rStyle w:val="TextoNormalCaracter"/>
        </w:rPr>
        <w:t>-</w:t>
      </w:r>
      <w:r>
        <w:t xml:space="preserve"> Sentencia </w:t>
      </w:r>
      <w:hyperlink w:anchor="SENTENCIA_1997_75" w:history="1">
        <w:r w:rsidRPr="00575662">
          <w:rPr>
            <w:rStyle w:val="TextoNormalCaracter"/>
          </w:rPr>
          <w:t>75/1997</w:t>
        </w:r>
      </w:hyperlink>
      <w:r>
        <w:t>, f. 4.</w:t>
      </w:r>
    </w:p>
    <w:p w:rsidR="00575662" w:rsidRDefault="00575662" w:rsidP="00575662">
      <w:pPr>
        <w:pStyle w:val="SangriaFrancesaArticulo"/>
      </w:pPr>
      <w:r w:rsidRPr="00575662">
        <w:rPr>
          <w:rStyle w:val="TextoNormalNegritaCaracter"/>
        </w:rPr>
        <w:t>Artículo 80.</w:t>
      </w:r>
      <w:r w:rsidRPr="00575662">
        <w:rPr>
          <w:rStyle w:val="TextoNormalCaracter"/>
        </w:rPr>
        <w:t>-</w:t>
      </w:r>
      <w:r>
        <w:t xml:space="preserve"> Sentencia </w:t>
      </w:r>
      <w:hyperlink w:anchor="SENTENCIA_1997_75" w:history="1">
        <w:r w:rsidRPr="00575662">
          <w:rPr>
            <w:rStyle w:val="TextoNormalCaracter"/>
          </w:rPr>
          <w:t>75/1997</w:t>
        </w:r>
      </w:hyperlink>
      <w:r>
        <w:t>, f. 4.</w:t>
      </w:r>
    </w:p>
    <w:p w:rsidR="00575662" w:rsidRDefault="00575662" w:rsidP="00575662">
      <w:pPr>
        <w:pStyle w:val="TextoNormal"/>
      </w:pPr>
    </w:p>
    <w:p w:rsidR="00575662" w:rsidRDefault="00575662" w:rsidP="00575662">
      <w:pPr>
        <w:pStyle w:val="SangriaFrancesaArticulo"/>
      </w:pPr>
      <w:bookmarkStart w:id="228" w:name="INDICE22870"/>
    </w:p>
    <w:bookmarkEnd w:id="228"/>
    <w:p w:rsidR="00575662" w:rsidRDefault="00575662" w:rsidP="00575662">
      <w:pPr>
        <w:pStyle w:val="TextoIndiceNivel2"/>
        <w:suppressAutoHyphens/>
      </w:pPr>
      <w:r>
        <w:t>L) Tratados y acuerdos internacionales</w:t>
      </w:r>
    </w:p>
    <w:p w:rsidR="00575662" w:rsidRDefault="00575662" w:rsidP="00575662">
      <w:pPr>
        <w:pStyle w:val="TextoIndiceNivel2"/>
      </w:pPr>
    </w:p>
    <w:p w:rsidR="00575662" w:rsidRDefault="00575662" w:rsidP="00575662">
      <w:pPr>
        <w:pStyle w:val="TextoNormalNegritaCursivandice"/>
      </w:pPr>
      <w:r>
        <w:t>Convención de Ginebra de 29 de abril de 1958 sobre la alta mar. Instrumento de Adhesión de 25 de febrero de 1971</w:t>
      </w:r>
    </w:p>
    <w:p w:rsidR="00575662" w:rsidRDefault="00575662" w:rsidP="00575662">
      <w:pPr>
        <w:pStyle w:val="SangriaFrancesaArticulo"/>
      </w:pPr>
      <w:r w:rsidRPr="00575662">
        <w:rPr>
          <w:rStyle w:val="TextoNormalNegritaCaracter"/>
        </w:rPr>
        <w:t>Artículo 1.</w:t>
      </w:r>
      <w:r w:rsidRPr="00575662">
        <w:rPr>
          <w:rStyle w:val="TextoNormalCaracter"/>
        </w:rPr>
        <w:t>-</w:t>
      </w:r>
      <w:r>
        <w:t xml:space="preserve"> Sentencia </w:t>
      </w:r>
      <w:hyperlink w:anchor="SENTENCIA_1997_21" w:history="1">
        <w:r w:rsidRPr="00575662">
          <w:rPr>
            <w:rStyle w:val="TextoNormalCaracter"/>
          </w:rPr>
          <w:t>21/1997</w:t>
        </w:r>
      </w:hyperlink>
      <w:r>
        <w:t>, f. 2.</w:t>
      </w:r>
    </w:p>
    <w:p w:rsidR="00575662" w:rsidRDefault="00575662" w:rsidP="00575662">
      <w:pPr>
        <w:pStyle w:val="SangriaFrancesaArticulo"/>
      </w:pPr>
      <w:r w:rsidRPr="00575662">
        <w:rPr>
          <w:rStyle w:val="TextoNormalNegritaCaracter"/>
        </w:rPr>
        <w:t>Artículo 2.</w:t>
      </w:r>
      <w:r w:rsidRPr="00575662">
        <w:rPr>
          <w:rStyle w:val="TextoNormalCaracter"/>
        </w:rPr>
        <w:t>-</w:t>
      </w:r>
      <w:r>
        <w:t xml:space="preserve"> Sentencia </w:t>
      </w:r>
      <w:hyperlink w:anchor="SENTENCIA_1997_21" w:history="1">
        <w:r w:rsidRPr="00575662">
          <w:rPr>
            <w:rStyle w:val="TextoNormalCaracter"/>
          </w:rPr>
          <w:t>21/1997</w:t>
        </w:r>
      </w:hyperlink>
      <w:r>
        <w:t>, f. 2.</w:t>
      </w:r>
    </w:p>
    <w:p w:rsidR="00575662" w:rsidRDefault="00575662" w:rsidP="00575662">
      <w:pPr>
        <w:pStyle w:val="SangriaFrancesaArticulo"/>
      </w:pPr>
      <w:r w:rsidRPr="00575662">
        <w:rPr>
          <w:rStyle w:val="TextoNormalNegritaCaracter"/>
        </w:rPr>
        <w:t>Artículo 22.</w:t>
      </w:r>
      <w:r w:rsidRPr="00575662">
        <w:rPr>
          <w:rStyle w:val="TextoNormalCaracter"/>
        </w:rPr>
        <w:t>-</w:t>
      </w:r>
      <w:r>
        <w:t xml:space="preserve"> Sentencia </w:t>
      </w:r>
      <w:hyperlink w:anchor="SENTENCIA_1997_21" w:history="1">
        <w:r w:rsidRPr="00575662">
          <w:rPr>
            <w:rStyle w:val="TextoNormalCaracter"/>
          </w:rPr>
          <w:t>21/1997</w:t>
        </w:r>
      </w:hyperlink>
      <w:r>
        <w:t>, f. 3.</w:t>
      </w:r>
    </w:p>
    <w:p w:rsidR="00575662" w:rsidRDefault="00575662" w:rsidP="00575662">
      <w:pPr>
        <w:pStyle w:val="SangriaFrancesaArticulo"/>
      </w:pPr>
    </w:p>
    <w:p w:rsidR="00575662" w:rsidRDefault="00575662" w:rsidP="00575662">
      <w:pPr>
        <w:pStyle w:val="TextoNormalNegritaCursivandice"/>
      </w:pPr>
      <w:r>
        <w:t>Convenio de Viena de 18 de abril de 1961. Relaciones, privilegios e inmunidades diplomáticas, al que se adhirió España el 21 de noviembre de 1967</w:t>
      </w:r>
    </w:p>
    <w:p w:rsidR="00575662" w:rsidRDefault="00575662" w:rsidP="00575662">
      <w:pPr>
        <w:pStyle w:val="SangriaFrancesaArticulo"/>
      </w:pPr>
      <w:r w:rsidRPr="00575662">
        <w:rPr>
          <w:rStyle w:val="TextoNormalNegritaCaracter"/>
        </w:rPr>
        <w:t>Artículo 3.1 a).</w:t>
      </w:r>
      <w:r w:rsidRPr="00575662">
        <w:rPr>
          <w:rStyle w:val="TextoNormalCaracter"/>
        </w:rPr>
        <w:t>-</w:t>
      </w:r>
      <w:r>
        <w:t xml:space="preserve"> Sentencia </w:t>
      </w:r>
      <w:hyperlink w:anchor="SENTENCIA_1997_18" w:history="1">
        <w:r w:rsidRPr="00575662">
          <w:rPr>
            <w:rStyle w:val="TextoNormalCaracter"/>
          </w:rPr>
          <w:t>18/1997</w:t>
        </w:r>
      </w:hyperlink>
      <w:r>
        <w:t>, f. 6.</w:t>
      </w:r>
    </w:p>
    <w:p w:rsidR="00575662" w:rsidRDefault="00575662" w:rsidP="00575662">
      <w:pPr>
        <w:pStyle w:val="SangriaFrancesaArticulo"/>
      </w:pPr>
    </w:p>
    <w:p w:rsidR="00575662" w:rsidRDefault="00575662" w:rsidP="00575662">
      <w:pPr>
        <w:pStyle w:val="TextoNormalNegritaCursivandice"/>
      </w:pPr>
      <w:r>
        <w:t>Pacto internacional de derechos civiles y políticos. Nueva York, 16 de diciembre de 1966, ratificado por Instrumento de 13 de abril de 1977</w:t>
      </w:r>
    </w:p>
    <w:p w:rsidR="00575662" w:rsidRDefault="00575662" w:rsidP="00575662">
      <w:pPr>
        <w:pStyle w:val="SangriaFrancesaArticulo"/>
      </w:pPr>
      <w:r w:rsidRPr="00575662">
        <w:rPr>
          <w:rStyle w:val="TextoNormalNegritaCaracter"/>
        </w:rPr>
        <w:t>Artículo 14.3 c).</w:t>
      </w:r>
      <w:r w:rsidRPr="00575662">
        <w:rPr>
          <w:rStyle w:val="TextoNormalCaracter"/>
        </w:rPr>
        <w:t>-</w:t>
      </w:r>
      <w:r>
        <w:t xml:space="preserve"> Sentencia </w:t>
      </w:r>
      <w:hyperlink w:anchor="SENTENCIA_1997_10" w:history="1">
        <w:r w:rsidRPr="00575662">
          <w:rPr>
            <w:rStyle w:val="TextoNormalCaracter"/>
          </w:rPr>
          <w:t>10/1997</w:t>
        </w:r>
      </w:hyperlink>
      <w:r>
        <w:t>, f. 2.</w:t>
      </w:r>
    </w:p>
    <w:p w:rsidR="00575662" w:rsidRDefault="00575662" w:rsidP="00575662">
      <w:pPr>
        <w:pStyle w:val="SangriaFrancesaArticulo"/>
      </w:pPr>
    </w:p>
    <w:p w:rsidR="00575662" w:rsidRDefault="00575662" w:rsidP="00575662">
      <w:pPr>
        <w:pStyle w:val="TextoNormalNegritaCursivandice"/>
      </w:pPr>
      <w:r>
        <w:t>Acuerdo entre el Estado español y la Santa Sede de 3 de enero de 1979. Asuntos jurídicos, ratificado por Instrumento de 4 de diciembre</w:t>
      </w:r>
    </w:p>
    <w:p w:rsidR="00575662" w:rsidRDefault="00575662" w:rsidP="00575662">
      <w:pPr>
        <w:pStyle w:val="SangriaFrancesaArticulo"/>
      </w:pPr>
      <w:r w:rsidRPr="00575662">
        <w:rPr>
          <w:rStyle w:val="TextoNormalNegritaCaracter"/>
        </w:rPr>
        <w:t>Disposición transitoria segunda.</w:t>
      </w:r>
      <w:r w:rsidRPr="00575662">
        <w:rPr>
          <w:rStyle w:val="TextoNormalCaracter"/>
        </w:rPr>
        <w:t>-</w:t>
      </w:r>
      <w:r>
        <w:t xml:space="preserve"> Sentencia </w:t>
      </w:r>
      <w:hyperlink w:anchor="SENTENCIA_1997_6" w:history="1">
        <w:r w:rsidRPr="00575662">
          <w:rPr>
            <w:rStyle w:val="TextoNormalCaracter"/>
          </w:rPr>
          <w:t>6/1997</w:t>
        </w:r>
      </w:hyperlink>
      <w:r>
        <w:t>, ff. 1, 5.</w:t>
      </w:r>
    </w:p>
    <w:p w:rsidR="00575662" w:rsidRDefault="00575662" w:rsidP="00575662">
      <w:pPr>
        <w:pStyle w:val="SangriaFrancesaArticulo"/>
      </w:pPr>
    </w:p>
    <w:p w:rsidR="00575662" w:rsidRDefault="00575662" w:rsidP="00575662">
      <w:pPr>
        <w:pStyle w:val="TextoNormalNegritaCursivandice"/>
      </w:pPr>
      <w:r>
        <w:t>Convención de Naciones Unidas contra el tráfico ilícito de estupefacientes y sustancias sicotrópicas, hecha en Viena el 20 de diciembre de 1988. Ratificada por Instrumento de 30 de julio de 1990</w:t>
      </w:r>
    </w:p>
    <w:p w:rsidR="00575662" w:rsidRDefault="00575662" w:rsidP="00575662">
      <w:pPr>
        <w:pStyle w:val="SangriaFrancesaArticulo"/>
      </w:pPr>
      <w:r w:rsidRPr="00575662">
        <w:rPr>
          <w:rStyle w:val="TextoNormalNegritaCaracter"/>
        </w:rPr>
        <w:t>Artículo 4.1.</w:t>
      </w:r>
      <w:r w:rsidRPr="00575662">
        <w:rPr>
          <w:rStyle w:val="TextoNormalCaracter"/>
        </w:rPr>
        <w:t>-</w:t>
      </w:r>
      <w:r>
        <w:t xml:space="preserve"> Sentencia </w:t>
      </w:r>
      <w:hyperlink w:anchor="SENTENCIA_1997_21" w:history="1">
        <w:r w:rsidRPr="00575662">
          <w:rPr>
            <w:rStyle w:val="TextoNormalCaracter"/>
          </w:rPr>
          <w:t>21/1997</w:t>
        </w:r>
      </w:hyperlink>
      <w:r>
        <w:t>, f. 3.</w:t>
      </w:r>
    </w:p>
    <w:p w:rsidR="00575662" w:rsidRDefault="00575662" w:rsidP="00575662">
      <w:pPr>
        <w:pStyle w:val="SangriaFrancesaArticulo"/>
      </w:pPr>
      <w:r w:rsidRPr="00575662">
        <w:rPr>
          <w:rStyle w:val="TextoNormalNegritaCaracter"/>
        </w:rPr>
        <w:t>Artículo 4.3.</w:t>
      </w:r>
      <w:r w:rsidRPr="00575662">
        <w:rPr>
          <w:rStyle w:val="TextoNormalCaracter"/>
        </w:rPr>
        <w:t>-</w:t>
      </w:r>
      <w:r>
        <w:t xml:space="preserve"> Sentencia </w:t>
      </w:r>
      <w:hyperlink w:anchor="SENTENCIA_1997_21" w:history="1">
        <w:r w:rsidRPr="00575662">
          <w:rPr>
            <w:rStyle w:val="TextoNormalCaracter"/>
          </w:rPr>
          <w:t>21/1997</w:t>
        </w:r>
      </w:hyperlink>
      <w:r>
        <w:t>, f. 3.</w:t>
      </w:r>
    </w:p>
    <w:p w:rsidR="00575662" w:rsidRDefault="00575662" w:rsidP="00575662">
      <w:pPr>
        <w:pStyle w:val="SangriaFrancesaArticulo"/>
      </w:pPr>
      <w:r w:rsidRPr="00575662">
        <w:rPr>
          <w:rStyle w:val="TextoNormalNegritaCaracter"/>
        </w:rPr>
        <w:t>Artículo 17.3.</w:t>
      </w:r>
      <w:r w:rsidRPr="00575662">
        <w:rPr>
          <w:rStyle w:val="TextoNormalCaracter"/>
        </w:rPr>
        <w:t>-</w:t>
      </w:r>
      <w:r>
        <w:t xml:space="preserve"> Sentencia </w:t>
      </w:r>
      <w:hyperlink w:anchor="SENTENCIA_1997_21" w:history="1">
        <w:r w:rsidRPr="00575662">
          <w:rPr>
            <w:rStyle w:val="TextoNormalCaracter"/>
          </w:rPr>
          <w:t>21/1997</w:t>
        </w:r>
      </w:hyperlink>
      <w:r>
        <w:t>, f. 3.</w:t>
      </w:r>
    </w:p>
    <w:p w:rsidR="00575662" w:rsidRDefault="00575662" w:rsidP="00575662">
      <w:pPr>
        <w:pStyle w:val="SangriaFrancesaArticulo"/>
      </w:pPr>
      <w:r w:rsidRPr="00575662">
        <w:rPr>
          <w:rStyle w:val="TextoNormalNegritaCaracter"/>
        </w:rPr>
        <w:t>Artículo 17.4.</w:t>
      </w:r>
      <w:r w:rsidRPr="00575662">
        <w:rPr>
          <w:rStyle w:val="TextoNormalCaracter"/>
        </w:rPr>
        <w:t>-</w:t>
      </w:r>
      <w:r>
        <w:t xml:space="preserve"> Sentencia </w:t>
      </w:r>
      <w:hyperlink w:anchor="SENTENCIA_1997_21" w:history="1">
        <w:r w:rsidRPr="00575662">
          <w:rPr>
            <w:rStyle w:val="TextoNormalCaracter"/>
          </w:rPr>
          <w:t>21/1997</w:t>
        </w:r>
      </w:hyperlink>
      <w:r>
        <w:t>, f. 3.</w:t>
      </w:r>
    </w:p>
    <w:p w:rsidR="00575662" w:rsidRDefault="00575662" w:rsidP="00575662">
      <w:pPr>
        <w:pStyle w:val="SangriaFrancesaArticulo"/>
      </w:pPr>
    </w:p>
    <w:p w:rsidR="00575662" w:rsidRDefault="00575662" w:rsidP="00575662">
      <w:pPr>
        <w:pStyle w:val="TextoNormalNegritaCursivandice"/>
      </w:pPr>
      <w:r>
        <w:t>Convención sobre los derechos del niño, adoptada por la Asamblea General de Naciones Unidas el 20 de noviembre de 1989. Ratificada por Instrumento de 30 de noviembre de 1990</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74" w:history="1">
        <w:r w:rsidRPr="00575662">
          <w:rPr>
            <w:rStyle w:val="TextoNormalCaracter"/>
          </w:rPr>
          <w:t>74/1997</w:t>
        </w:r>
      </w:hyperlink>
      <w:r>
        <w:t>, f. 4.</w:t>
      </w:r>
    </w:p>
    <w:p w:rsidR="00575662" w:rsidRDefault="00575662" w:rsidP="00575662">
      <w:pPr>
        <w:pStyle w:val="TextoNormal"/>
      </w:pPr>
    </w:p>
    <w:p w:rsidR="00575662" w:rsidRDefault="00575662" w:rsidP="00575662">
      <w:pPr>
        <w:pStyle w:val="SangriaFrancesaArticulo"/>
      </w:pPr>
      <w:bookmarkStart w:id="229" w:name="INDICE22871"/>
    </w:p>
    <w:bookmarkEnd w:id="229"/>
    <w:p w:rsidR="00575662" w:rsidRDefault="00575662" w:rsidP="00575662">
      <w:pPr>
        <w:pStyle w:val="TextoIndiceNivel2"/>
        <w:suppressAutoHyphens/>
      </w:pPr>
      <w:r>
        <w:t>M) Unión Europea</w:t>
      </w:r>
    </w:p>
    <w:p w:rsidR="00575662" w:rsidRDefault="00575662" w:rsidP="00575662">
      <w:pPr>
        <w:pStyle w:val="TextoIndiceNivel2"/>
      </w:pPr>
    </w:p>
    <w:p w:rsidR="00575662" w:rsidRDefault="00575662" w:rsidP="00575662">
      <w:pPr>
        <w:pStyle w:val="TextoNormalNegritaCursivandice"/>
      </w:pPr>
      <w:r>
        <w:t>Tratado constitutivo de la Comunidad Económica Europea, firmado en Roma el 25 de marzo de 1957</w:t>
      </w:r>
    </w:p>
    <w:p w:rsidR="00575662" w:rsidRDefault="00575662" w:rsidP="00575662">
      <w:pPr>
        <w:pStyle w:val="SangriaFrancesaArticulo"/>
      </w:pPr>
      <w:r w:rsidRPr="00575662">
        <w:rPr>
          <w:rStyle w:val="TextoNormalNegritaCaracter"/>
        </w:rPr>
        <w:t>Artículo 105.2.</w:t>
      </w:r>
      <w:r w:rsidRPr="00575662">
        <w:rPr>
          <w:rStyle w:val="TextoNormalCaracter"/>
        </w:rPr>
        <w:t>-</w:t>
      </w:r>
      <w:r>
        <w:t xml:space="preserve"> Sentencia </w:t>
      </w:r>
      <w:hyperlink w:anchor="SENTENCIA_1997_37" w:history="1">
        <w:r w:rsidRPr="00575662">
          <w:rPr>
            <w:rStyle w:val="TextoNormalCaracter"/>
          </w:rPr>
          <w:t>37/1997</w:t>
        </w:r>
      </w:hyperlink>
      <w:r>
        <w:t>, f. 5.</w:t>
      </w:r>
    </w:p>
    <w:p w:rsidR="00575662" w:rsidRDefault="00575662" w:rsidP="00575662">
      <w:pPr>
        <w:pStyle w:val="SangriaFrancesaArticulo"/>
      </w:pPr>
    </w:p>
    <w:p w:rsidR="00575662" w:rsidRDefault="00575662" w:rsidP="00575662">
      <w:pPr>
        <w:pStyle w:val="TextoNormalNegritaCursivandice"/>
      </w:pPr>
      <w:r>
        <w:t>Carta europea de ordenación del territorio, aprobada por la Conferencia Europea de Ministros de Ordenación del Territorio el 23 de mayo de 1983</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28" w:history="1">
        <w:r w:rsidRPr="00575662">
          <w:rPr>
            <w:rStyle w:val="TextoNormalCaracter"/>
          </w:rPr>
          <w:t>28/1997</w:t>
        </w:r>
      </w:hyperlink>
      <w:r>
        <w:t>, f. 6.</w:t>
      </w:r>
    </w:p>
    <w:p w:rsidR="00575662" w:rsidRDefault="00575662" w:rsidP="00575662">
      <w:pPr>
        <w:pStyle w:val="SangriaFrancesaArticulo"/>
      </w:pPr>
    </w:p>
    <w:p w:rsidR="00575662" w:rsidRDefault="00575662" w:rsidP="00575662">
      <w:pPr>
        <w:pStyle w:val="TextoNormalNegritaCursivandice"/>
      </w:pPr>
      <w:r>
        <w:t>Reglamento (CEE) núm. 1094/88, del Consejo, de 25 de abril de 1988. Modificación de los Reglamentos (CEE) núms. 797/85 y 1760/87 en lo relativo a la retirada de tierras de la producción y a la extensificación y reconversión de la producción</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70" w:history="1">
        <w:r w:rsidRPr="00575662">
          <w:rPr>
            <w:rStyle w:val="TextoNormalCaracter"/>
          </w:rPr>
          <w:t>70/1997</w:t>
        </w:r>
      </w:hyperlink>
      <w:r>
        <w:t>, ff. 1, 2.</w:t>
      </w:r>
    </w:p>
    <w:p w:rsidR="00575662" w:rsidRDefault="00575662" w:rsidP="00575662">
      <w:pPr>
        <w:pStyle w:val="SangriaFrancesaArticulo"/>
      </w:pPr>
      <w:r w:rsidRPr="00575662">
        <w:rPr>
          <w:rStyle w:val="TextoNormalNegritaCaracter"/>
        </w:rPr>
        <w:t>Artículo 1 bis, 4 a).</w:t>
      </w:r>
      <w:r w:rsidRPr="00575662">
        <w:rPr>
          <w:rStyle w:val="TextoNormalCaracter"/>
        </w:rPr>
        <w:t>-</w:t>
      </w:r>
      <w:r>
        <w:t xml:space="preserve"> Sentencia </w:t>
      </w:r>
      <w:hyperlink w:anchor="SENTENCIA_1997_70" w:history="1">
        <w:r w:rsidRPr="00575662">
          <w:rPr>
            <w:rStyle w:val="TextoNormalCaracter"/>
          </w:rPr>
          <w:t>70/1997</w:t>
        </w:r>
      </w:hyperlink>
      <w:r>
        <w:t>, f. 3.</w:t>
      </w:r>
    </w:p>
    <w:p w:rsidR="00575662" w:rsidRDefault="00575662" w:rsidP="00575662">
      <w:pPr>
        <w:pStyle w:val="SangriaFrancesaArticulo"/>
      </w:pPr>
    </w:p>
    <w:p w:rsidR="00575662" w:rsidRDefault="00575662" w:rsidP="00575662">
      <w:pPr>
        <w:pStyle w:val="TextoNormalNegritaCursivandice"/>
      </w:pPr>
      <w:r>
        <w:t>Reglamento (CEE) núm. 1272/88, de la Comisión, de 29 de abril de 1988. Establece las normas de aplicación del régimen de ayudas destinado a fomentar el abandono de tierras arables</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70" w:history="1">
        <w:r w:rsidRPr="00575662">
          <w:rPr>
            <w:rStyle w:val="TextoNormalCaracter"/>
          </w:rPr>
          <w:t>70/1997</w:t>
        </w:r>
      </w:hyperlink>
      <w:r>
        <w:t>, ff. 1, 2.</w:t>
      </w:r>
    </w:p>
    <w:p w:rsidR="00575662" w:rsidRDefault="00575662" w:rsidP="00575662">
      <w:pPr>
        <w:pStyle w:val="SangriaFrancesaArticulo"/>
      </w:pPr>
      <w:r w:rsidRPr="00575662">
        <w:rPr>
          <w:rStyle w:val="TextoNormalNegritaCaracter"/>
        </w:rPr>
        <w:t>Artículo 14.2.</w:t>
      </w:r>
      <w:r w:rsidRPr="00575662">
        <w:rPr>
          <w:rStyle w:val="TextoNormalCaracter"/>
        </w:rPr>
        <w:t>-</w:t>
      </w:r>
      <w:r>
        <w:t xml:space="preserve"> Sentencia </w:t>
      </w:r>
      <w:hyperlink w:anchor="SENTENCIA_1997_70" w:history="1">
        <w:r w:rsidRPr="00575662">
          <w:rPr>
            <w:rStyle w:val="TextoNormalCaracter"/>
          </w:rPr>
          <w:t>70/1997</w:t>
        </w:r>
      </w:hyperlink>
      <w:r>
        <w:t>, f. 5.</w:t>
      </w:r>
    </w:p>
    <w:p w:rsidR="00575662" w:rsidRDefault="00575662" w:rsidP="00575662">
      <w:pPr>
        <w:pStyle w:val="SangriaFrancesaArticulo"/>
      </w:pPr>
      <w:r w:rsidRPr="00575662">
        <w:rPr>
          <w:rStyle w:val="TextoNormalNegritaCaracter"/>
        </w:rPr>
        <w:t>Artículo 16.2.</w:t>
      </w:r>
      <w:r w:rsidRPr="00575662">
        <w:rPr>
          <w:rStyle w:val="TextoNormalCaracter"/>
        </w:rPr>
        <w:t>-</w:t>
      </w:r>
      <w:r>
        <w:t xml:space="preserve"> Sentencia </w:t>
      </w:r>
      <w:hyperlink w:anchor="SENTENCIA_1997_70" w:history="1">
        <w:r w:rsidRPr="00575662">
          <w:rPr>
            <w:rStyle w:val="TextoNormalCaracter"/>
          </w:rPr>
          <w:t>70/1997</w:t>
        </w:r>
      </w:hyperlink>
      <w:r>
        <w:t>, f. 5.</w:t>
      </w:r>
    </w:p>
    <w:p w:rsidR="00575662" w:rsidRDefault="00575662" w:rsidP="00575662">
      <w:pPr>
        <w:pStyle w:val="SangriaFrancesaArticulo"/>
      </w:pPr>
    </w:p>
    <w:p w:rsidR="00575662" w:rsidRDefault="00575662" w:rsidP="00575662">
      <w:pPr>
        <w:pStyle w:val="TextoNormalNegritaCursivandice"/>
      </w:pPr>
      <w:r>
        <w:t>Reglamento (CEE) núm. 1273/88, de la Comisión, de 29 de abril de 1988. Establece los criterios para delimitar las regiones o zonas que pueden quedar exentas de los regímenes de abandono de tierras arables, de extensificación y de reconversión de la producción</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70" w:history="1">
        <w:r w:rsidRPr="00575662">
          <w:rPr>
            <w:rStyle w:val="TextoNormalCaracter"/>
          </w:rPr>
          <w:t>70/1997</w:t>
        </w:r>
      </w:hyperlink>
      <w:r>
        <w:t>, ff. 1, 2.</w:t>
      </w:r>
    </w:p>
    <w:p w:rsidR="00575662" w:rsidRDefault="00575662" w:rsidP="00575662">
      <w:pPr>
        <w:pStyle w:val="SangriaFrancesaArticulo"/>
      </w:pPr>
    </w:p>
    <w:p w:rsidR="00575662" w:rsidRDefault="00575662" w:rsidP="00575662">
      <w:pPr>
        <w:pStyle w:val="TextoNormalNegritaCursivandice"/>
      </w:pPr>
      <w:r>
        <w:t>Estatutos del Sistema Europeo de Bancos Centrales y del Banco Central Europeo, aprobados por el Protocolo XVIII del Tratado de la Unión Europea, hecho en Maastricht el 7 de febrero de 1992, como Anexo al Tratado constitutivo de la Comunidad Europea</w:t>
      </w:r>
    </w:p>
    <w:p w:rsidR="00575662" w:rsidRDefault="00575662" w:rsidP="00575662">
      <w:pPr>
        <w:pStyle w:val="SangriaFrancesaArticulo"/>
      </w:pPr>
      <w:r w:rsidRPr="00575662">
        <w:rPr>
          <w:rStyle w:val="TextoNormalNegritaCaracter"/>
        </w:rPr>
        <w:t>Artículo 3.1.</w:t>
      </w:r>
      <w:r w:rsidRPr="00575662">
        <w:rPr>
          <w:rStyle w:val="TextoNormalCaracter"/>
        </w:rPr>
        <w:t>-</w:t>
      </w:r>
      <w:r>
        <w:t xml:space="preserve"> Sentencia </w:t>
      </w:r>
      <w:hyperlink w:anchor="SENTENCIA_1997_37" w:history="1">
        <w:r w:rsidRPr="00575662">
          <w:rPr>
            <w:rStyle w:val="TextoNormalCaracter"/>
          </w:rPr>
          <w:t>37/1997</w:t>
        </w:r>
      </w:hyperlink>
      <w:r>
        <w:t>, f. 5.</w:t>
      </w:r>
    </w:p>
    <w:p w:rsidR="00575662" w:rsidRDefault="00575662" w:rsidP="00575662">
      <w:pPr>
        <w:pStyle w:val="SangriaFrancesaArticulo"/>
      </w:pPr>
      <w:r w:rsidRPr="00575662">
        <w:rPr>
          <w:rStyle w:val="TextoNormalNegritaCaracter"/>
        </w:rPr>
        <w:t>Artículo 22.</w:t>
      </w:r>
      <w:r w:rsidRPr="00575662">
        <w:rPr>
          <w:rStyle w:val="TextoNormalCaracter"/>
        </w:rPr>
        <w:t>-</w:t>
      </w:r>
      <w:r>
        <w:t xml:space="preserve"> Sentencia </w:t>
      </w:r>
      <w:hyperlink w:anchor="SENTENCIA_1997_37" w:history="1">
        <w:r w:rsidRPr="00575662">
          <w:rPr>
            <w:rStyle w:val="TextoNormalCaracter"/>
          </w:rPr>
          <w:t>37/1997</w:t>
        </w:r>
      </w:hyperlink>
      <w:r>
        <w:t>, f. 5.</w:t>
      </w:r>
    </w:p>
    <w:p w:rsidR="00575662" w:rsidRDefault="00575662" w:rsidP="00575662">
      <w:pPr>
        <w:pStyle w:val="TextoNormal"/>
      </w:pPr>
    </w:p>
    <w:p w:rsidR="00575662" w:rsidRDefault="00575662" w:rsidP="00575662">
      <w:pPr>
        <w:pStyle w:val="SangriaFrancesaArticulo"/>
      </w:pPr>
      <w:bookmarkStart w:id="230" w:name="INDICE27994"/>
    </w:p>
    <w:bookmarkEnd w:id="230"/>
    <w:p w:rsidR="00575662" w:rsidRDefault="00575662" w:rsidP="00575662">
      <w:pPr>
        <w:pStyle w:val="TextoIndiceNivel2"/>
        <w:suppressAutoHyphens/>
      </w:pPr>
      <w:r>
        <w:t>N) Consejo de Europa</w:t>
      </w:r>
    </w:p>
    <w:p w:rsidR="00575662" w:rsidRDefault="00575662" w:rsidP="00575662">
      <w:pPr>
        <w:pStyle w:val="TextoIndiceNivel2"/>
      </w:pPr>
    </w:p>
    <w:p w:rsidR="00575662" w:rsidRDefault="00575662" w:rsidP="00575662">
      <w:pPr>
        <w:pStyle w:val="TextoNormalNegritaCursivandice"/>
      </w:pPr>
      <w:r>
        <w:t>Convenio europeo para la protección de los derechos humanos y de las libertades fundamentales. Hecho en Roma el 4 de noviembre de 1950, ratificado por Instrumento de 26 de septiembre de 1979</w:t>
      </w:r>
    </w:p>
    <w:p w:rsidR="00575662" w:rsidRDefault="00575662" w:rsidP="00575662">
      <w:pPr>
        <w:pStyle w:val="SangriaFrancesaArticulo"/>
      </w:pPr>
      <w:r w:rsidRPr="00575662">
        <w:rPr>
          <w:rStyle w:val="TextoNormalNegritaCaracter"/>
        </w:rPr>
        <w:t>Artículo 1.</w:t>
      </w:r>
      <w:r w:rsidRPr="00575662">
        <w:rPr>
          <w:rStyle w:val="TextoNormalCaracter"/>
        </w:rPr>
        <w:t>-</w:t>
      </w:r>
      <w:r>
        <w:t xml:space="preserve"> Sentencia </w:t>
      </w:r>
      <w:hyperlink w:anchor="SENTENCIA_1997_21" w:history="1">
        <w:r w:rsidRPr="00575662">
          <w:rPr>
            <w:rStyle w:val="TextoNormalCaracter"/>
          </w:rPr>
          <w:t>21/1997</w:t>
        </w:r>
      </w:hyperlink>
      <w:r>
        <w:t>, f. 2.</w:t>
      </w:r>
    </w:p>
    <w:p w:rsidR="00575662" w:rsidRDefault="00575662" w:rsidP="00575662">
      <w:pPr>
        <w:pStyle w:val="SangriaFrancesaArticulo"/>
      </w:pPr>
      <w:r w:rsidRPr="00575662">
        <w:rPr>
          <w:rStyle w:val="TextoNormalNegritaCaracter"/>
        </w:rPr>
        <w:lastRenderedPageBreak/>
        <w:t>Artículo 5.3.</w:t>
      </w:r>
      <w:r w:rsidRPr="00575662">
        <w:rPr>
          <w:rStyle w:val="TextoNormalCaracter"/>
        </w:rPr>
        <w:t>-</w:t>
      </w:r>
      <w:r>
        <w:t xml:space="preserve"> Sentencia </w:t>
      </w:r>
      <w:hyperlink w:anchor="SENTENCIA_1997_21" w:history="1">
        <w:r w:rsidRPr="00575662">
          <w:rPr>
            <w:rStyle w:val="TextoNormalCaracter"/>
          </w:rPr>
          <w:t>21/1997</w:t>
        </w:r>
      </w:hyperlink>
      <w:r>
        <w:t>, f. 4.</w:t>
      </w:r>
    </w:p>
    <w:p w:rsidR="00575662" w:rsidRDefault="00575662" w:rsidP="00575662">
      <w:pPr>
        <w:pStyle w:val="SangriaFrancesaArticulo"/>
      </w:pPr>
      <w:r w:rsidRPr="00575662">
        <w:rPr>
          <w:rStyle w:val="TextoNormalNegritaCaracter"/>
        </w:rPr>
        <w:t>Artículo 6.1.</w:t>
      </w:r>
      <w:r w:rsidRPr="00575662">
        <w:rPr>
          <w:rStyle w:val="TextoNormalCaracter"/>
        </w:rPr>
        <w:t>-</w:t>
      </w:r>
      <w:r>
        <w:t xml:space="preserve"> Sentencias </w:t>
      </w:r>
      <w:hyperlink w:anchor="SENTENCIA_1997_10" w:history="1">
        <w:r w:rsidRPr="00575662">
          <w:rPr>
            <w:rStyle w:val="TextoNormalCaracter"/>
          </w:rPr>
          <w:t>10/1997</w:t>
        </w:r>
      </w:hyperlink>
      <w:r>
        <w:t xml:space="preserve">, f. 2; </w:t>
      </w:r>
      <w:hyperlink w:anchor="SENTENCIA_1997_26" w:history="1">
        <w:r w:rsidRPr="00575662">
          <w:rPr>
            <w:rStyle w:val="TextoNormalCaracter"/>
          </w:rPr>
          <w:t>26/1997</w:t>
        </w:r>
      </w:hyperlink>
      <w:r>
        <w:t xml:space="preserve">, f. 4; </w:t>
      </w:r>
      <w:hyperlink w:anchor="SENTENCIA_1997_45" w:history="1">
        <w:r w:rsidRPr="00575662">
          <w:rPr>
            <w:rStyle w:val="TextoNormalCaracter"/>
          </w:rPr>
          <w:t>45/1997</w:t>
        </w:r>
      </w:hyperlink>
      <w:r>
        <w:t>, f. 4.</w:t>
      </w:r>
    </w:p>
    <w:p w:rsidR="00575662" w:rsidRDefault="00575662" w:rsidP="00575662">
      <w:pPr>
        <w:pStyle w:val="SangriaFrancesaArticulo"/>
      </w:pPr>
      <w:r w:rsidRPr="00575662">
        <w:rPr>
          <w:rStyle w:val="TextoNormalNegritaCaracter"/>
        </w:rPr>
        <w:t>Artículo 6.2.</w:t>
      </w:r>
      <w:r w:rsidRPr="00575662">
        <w:rPr>
          <w:rStyle w:val="TextoNormalCaracter"/>
        </w:rPr>
        <w:t>-</w:t>
      </w:r>
      <w:r>
        <w:t xml:space="preserve"> Sentencia </w:t>
      </w:r>
      <w:hyperlink w:anchor="SENTENCIA_1997_45" w:history="1">
        <w:r w:rsidRPr="00575662">
          <w:rPr>
            <w:rStyle w:val="TextoNormalCaracter"/>
          </w:rPr>
          <w:t>45/1997</w:t>
        </w:r>
      </w:hyperlink>
      <w:r>
        <w:t>, f. 4.</w:t>
      </w:r>
    </w:p>
    <w:p w:rsidR="00575662" w:rsidRDefault="00575662" w:rsidP="00575662">
      <w:pPr>
        <w:pStyle w:val="SangriaFrancesaArticulo"/>
      </w:pPr>
      <w:r w:rsidRPr="00575662">
        <w:rPr>
          <w:rStyle w:val="TextoNormalNegritaCaracter"/>
        </w:rPr>
        <w:t>Artículo 6.3.</w:t>
      </w:r>
      <w:r w:rsidRPr="00575662">
        <w:rPr>
          <w:rStyle w:val="TextoNormalCaracter"/>
        </w:rPr>
        <w:t>-</w:t>
      </w:r>
      <w:r>
        <w:t xml:space="preserve"> Sentencia </w:t>
      </w:r>
      <w:hyperlink w:anchor="SENTENCIA_1997_83" w:history="1">
        <w:r w:rsidRPr="00575662">
          <w:rPr>
            <w:rStyle w:val="TextoNormalCaracter"/>
          </w:rPr>
          <w:t>83/1997</w:t>
        </w:r>
      </w:hyperlink>
      <w:r>
        <w:t>, f. 3.</w:t>
      </w:r>
    </w:p>
    <w:p w:rsidR="00575662" w:rsidRDefault="00575662" w:rsidP="00575662">
      <w:pPr>
        <w:pStyle w:val="SangriaFrancesaArticulo"/>
      </w:pPr>
      <w:r w:rsidRPr="00575662">
        <w:rPr>
          <w:rStyle w:val="TextoNormalNegritaCaracter"/>
        </w:rPr>
        <w:t>Artículo 6.3 d).</w:t>
      </w:r>
      <w:r w:rsidRPr="00575662">
        <w:rPr>
          <w:rStyle w:val="TextoNormalCaracter"/>
        </w:rPr>
        <w:t>-</w:t>
      </w:r>
      <w:r>
        <w:t xml:space="preserve"> Sentencia </w:t>
      </w:r>
      <w:hyperlink w:anchor="SENTENCIA_1997_40" w:history="1">
        <w:r w:rsidRPr="00575662">
          <w:rPr>
            <w:rStyle w:val="TextoNormalCaracter"/>
          </w:rPr>
          <w:t>40/1997</w:t>
        </w:r>
      </w:hyperlink>
      <w:r>
        <w:t>, f. 5.</w:t>
      </w:r>
    </w:p>
    <w:p w:rsidR="00575662" w:rsidRDefault="00575662" w:rsidP="00575662">
      <w:pPr>
        <w:pStyle w:val="SangriaFrancesaArticulo"/>
      </w:pPr>
      <w:r w:rsidRPr="00575662">
        <w:rPr>
          <w:rStyle w:val="TextoNormalNegritaCaracter"/>
        </w:rPr>
        <w:t>Artículo 10.2.</w:t>
      </w:r>
      <w:r w:rsidRPr="00575662">
        <w:rPr>
          <w:rStyle w:val="TextoNormalCaracter"/>
        </w:rPr>
        <w:t>-</w:t>
      </w:r>
      <w:r>
        <w:t xml:space="preserve"> Sentencia </w:t>
      </w:r>
      <w:hyperlink w:anchor="SENTENCIA_1997_66" w:history="1">
        <w:r w:rsidRPr="00575662">
          <w:rPr>
            <w:rStyle w:val="TextoNormalCaracter"/>
          </w:rPr>
          <w:t>66/1997</w:t>
        </w:r>
      </w:hyperlink>
      <w:r>
        <w:t>, f. 3.</w:t>
      </w:r>
    </w:p>
    <w:p w:rsidR="00575662" w:rsidRDefault="00575662" w:rsidP="00575662">
      <w:pPr>
        <w:pStyle w:val="SangriaFrancesaArticulo"/>
      </w:pPr>
    </w:p>
    <w:p w:rsidR="00575662" w:rsidRDefault="00575662" w:rsidP="00575662">
      <w:pPr>
        <w:pStyle w:val="TextoNormalNegritaCursivandice"/>
      </w:pPr>
      <w:r>
        <w:t>Convenio europeo de extradición, de 13 de diciembre de 1957, ratificado por Instrumento de 21 de abril de 1982</w:t>
      </w:r>
    </w:p>
    <w:p w:rsidR="00575662" w:rsidRDefault="00575662" w:rsidP="00575662">
      <w:pPr>
        <w:pStyle w:val="SangriaFrancesaArticulo"/>
      </w:pPr>
      <w:r w:rsidRPr="00575662">
        <w:rPr>
          <w:rStyle w:val="TextoNormalNegritaCaracter"/>
        </w:rPr>
        <w:t>Artículo 2.1.</w:t>
      </w:r>
      <w:r w:rsidRPr="00575662">
        <w:rPr>
          <w:rStyle w:val="TextoNormalCaracter"/>
        </w:rPr>
        <w:t>-</w:t>
      </w:r>
      <w:r>
        <w:t xml:space="preserve"> Auto </w:t>
      </w:r>
      <w:hyperlink w:anchor="AUTO_1997_23" w:history="1">
        <w:r w:rsidRPr="00575662">
          <w:rPr>
            <w:rStyle w:val="TextoNormalCaracter"/>
          </w:rPr>
          <w:t>23/1997</w:t>
        </w:r>
      </w:hyperlink>
      <w:r>
        <w:t>.</w:t>
      </w:r>
    </w:p>
    <w:p w:rsidR="00575662" w:rsidRDefault="00575662">
      <w:pPr>
        <w:spacing w:after="160" w:line="259" w:lineRule="auto"/>
        <w:rPr>
          <w:rFonts w:ascii="Times New Roman" w:eastAsia="Times New Roman" w:hAnsi="Times New Roman" w:cs="Times New Roman"/>
          <w:sz w:val="24"/>
          <w:szCs w:val="24"/>
          <w:lang w:eastAsia="es-ES"/>
        </w:rPr>
      </w:pPr>
      <w:r>
        <w:br w:type="page"/>
      </w:r>
    </w:p>
    <w:p w:rsidR="00575662" w:rsidRDefault="00575662" w:rsidP="00575662">
      <w:pPr>
        <w:pStyle w:val="SangriaFrancesaArticulo"/>
      </w:pPr>
    </w:p>
    <w:p w:rsidR="00575662" w:rsidRDefault="00575662" w:rsidP="00575662">
      <w:pPr>
        <w:pStyle w:val="TextoNormal"/>
      </w:pPr>
    </w:p>
    <w:p w:rsidR="00575662" w:rsidRDefault="00575662" w:rsidP="00575662">
      <w:pPr>
        <w:pStyle w:val="TextoNormal"/>
      </w:pPr>
    </w:p>
    <w:p w:rsidR="00575662" w:rsidRDefault="00575662" w:rsidP="00575662">
      <w:pPr>
        <w:pStyle w:val="TextoNormal"/>
      </w:pPr>
    </w:p>
    <w:p w:rsidR="00EB1AAA" w:rsidRDefault="000171C7" w:rsidP="00EB1AAA">
      <w:pPr>
        <w:pStyle w:val="Ttulondice"/>
        <w:suppressAutoHyphens/>
      </w:pPr>
      <w:r>
        <w:t xml:space="preserve">6. ÍNDICE DE RESOLUCIONES </w:t>
      </w:r>
    </w:p>
    <w:p w:rsidR="00575662" w:rsidRDefault="000171C7" w:rsidP="00EB1AAA">
      <w:pPr>
        <w:pStyle w:val="Ttulondice"/>
        <w:suppressAutoHyphens/>
      </w:pPr>
      <w:r>
        <w:t>JUDICIALES DE OTROS TRIBUNALES</w:t>
      </w: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suppressAutoHyphens/>
      </w:pPr>
    </w:p>
    <w:p w:rsidR="00575662" w:rsidRDefault="00575662" w:rsidP="00575662">
      <w:pPr>
        <w:pStyle w:val="TextoNormal"/>
      </w:pPr>
    </w:p>
    <w:p w:rsidR="00575662" w:rsidRDefault="00575662" w:rsidP="00575662">
      <w:pPr>
        <w:pStyle w:val="TextoNormal"/>
      </w:pPr>
      <w:bookmarkStart w:id="231" w:name="INDICE22805"/>
      <w:bookmarkEnd w:id="231"/>
    </w:p>
    <w:p w:rsidR="00575662" w:rsidRDefault="00575662" w:rsidP="00575662">
      <w:pPr>
        <w:pStyle w:val="TextoIndiceNivel2"/>
        <w:suppressAutoHyphens/>
      </w:pPr>
      <w:r>
        <w:t>A) Tribunal Europeo de Derechos Humanos</w:t>
      </w:r>
    </w:p>
    <w:p w:rsidR="00575662" w:rsidRDefault="00575662" w:rsidP="00575662">
      <w:pPr>
        <w:pStyle w:val="TextoIndiceNivel2"/>
      </w:pPr>
    </w:p>
    <w:p w:rsidR="00575662" w:rsidRDefault="00575662" w:rsidP="00575662">
      <w:pPr>
        <w:pStyle w:val="TextoNormalNegritaCursivandice"/>
      </w:pPr>
      <w:r>
        <w:t>Sentencia del Tribunal Europeo de Derechos Humanos de 27 de junio de 1968 (Neumeister c. Austria)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66" w:history="1">
        <w:r w:rsidRPr="00575662">
          <w:rPr>
            <w:rStyle w:val="TextoNormalCaracter"/>
          </w:rPr>
          <w:t>66/1997</w:t>
        </w:r>
      </w:hyperlink>
      <w:r>
        <w:t>, f. 6.</w:t>
      </w:r>
    </w:p>
    <w:p w:rsidR="00575662" w:rsidRDefault="00575662" w:rsidP="00575662">
      <w:pPr>
        <w:pStyle w:val="SangriaFrancesaArticulo"/>
      </w:pPr>
    </w:p>
    <w:p w:rsidR="00575662" w:rsidRDefault="00575662" w:rsidP="00575662">
      <w:pPr>
        <w:pStyle w:val="TextoNormalNegritaCursivandice"/>
      </w:pPr>
      <w:r>
        <w:t>Sentencia del Tribunal Europeo de Derechos Humanos de 27 de junio de 1968 (Wemhoff c. Alemania)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66" w:history="1">
        <w:r w:rsidRPr="00575662">
          <w:rPr>
            <w:rStyle w:val="TextoNormalCaracter"/>
          </w:rPr>
          <w:t>66/1997</w:t>
        </w:r>
      </w:hyperlink>
      <w:r>
        <w:t>, f. 6.</w:t>
      </w:r>
    </w:p>
    <w:p w:rsidR="00575662" w:rsidRDefault="00575662" w:rsidP="00575662">
      <w:pPr>
        <w:pStyle w:val="SangriaFrancesaArticulo"/>
      </w:pPr>
    </w:p>
    <w:p w:rsidR="00575662" w:rsidRDefault="00575662" w:rsidP="00575662">
      <w:pPr>
        <w:pStyle w:val="TextoNormalNegritaCursivandice"/>
      </w:pPr>
      <w:r>
        <w:t>Sentencia del Tribunal Europeo de Derechos Humanos de 10 de noviembre de 1969 (Matznetter c. Austria)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66" w:history="1">
        <w:r w:rsidRPr="00575662">
          <w:rPr>
            <w:rStyle w:val="TextoNormalCaracter"/>
          </w:rPr>
          <w:t>66/1997</w:t>
        </w:r>
      </w:hyperlink>
      <w:r>
        <w:t>, f. 6.</w:t>
      </w:r>
    </w:p>
    <w:p w:rsidR="00575662" w:rsidRDefault="00575662" w:rsidP="00575662">
      <w:pPr>
        <w:pStyle w:val="SangriaFrancesaArticulo"/>
      </w:pPr>
    </w:p>
    <w:p w:rsidR="00575662" w:rsidRDefault="00575662" w:rsidP="00575662">
      <w:pPr>
        <w:pStyle w:val="TextoNormalNegritaCursivandice"/>
      </w:pPr>
      <w:r>
        <w:t>Sentencia del Tribunal Europeo de Derechos Humanos de 10 de noviembre de 1969 (Stögmüller c. Austria)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66" w:history="1">
        <w:r w:rsidRPr="00575662">
          <w:rPr>
            <w:rStyle w:val="TextoNormalCaracter"/>
          </w:rPr>
          <w:t>66/1997</w:t>
        </w:r>
      </w:hyperlink>
      <w:r>
        <w:t>, f. 6.</w:t>
      </w:r>
    </w:p>
    <w:p w:rsidR="00575662" w:rsidRDefault="00575662" w:rsidP="00575662">
      <w:pPr>
        <w:pStyle w:val="SangriaFrancesaArticulo"/>
      </w:pPr>
    </w:p>
    <w:p w:rsidR="00575662" w:rsidRDefault="00575662" w:rsidP="00575662">
      <w:pPr>
        <w:pStyle w:val="TextoNormalNegritaCursivandice"/>
      </w:pPr>
      <w:r>
        <w:t>Sentencia del Tribunal Europeo de Derechos Humanos de 8 de junio de 1976 (Engel y otros c. Países Bajos)</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45" w:history="1">
        <w:r w:rsidRPr="00575662">
          <w:rPr>
            <w:rStyle w:val="TextoNormalCaracter"/>
          </w:rPr>
          <w:t>45/1997</w:t>
        </w:r>
      </w:hyperlink>
      <w:r>
        <w:t>, f. 3.</w:t>
      </w:r>
    </w:p>
    <w:p w:rsidR="00575662" w:rsidRDefault="00575662" w:rsidP="00575662">
      <w:pPr>
        <w:pStyle w:val="SangriaFrancesaArticulo"/>
      </w:pPr>
    </w:p>
    <w:p w:rsidR="00575662" w:rsidRDefault="00575662" w:rsidP="00575662">
      <w:pPr>
        <w:pStyle w:val="TextoNormalNegritaCursivandice"/>
      </w:pPr>
      <w:r>
        <w:t>Sentencia del Tribunal Europeo de Derechos Humanos de 1 de octubre de 1982 (Piersack c. Bélgica)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Sentencias </w:t>
      </w:r>
      <w:hyperlink w:anchor="SENTENCIA_1997_7" w:history="1">
        <w:r w:rsidRPr="00575662">
          <w:rPr>
            <w:rStyle w:val="TextoNormalCaracter"/>
          </w:rPr>
          <w:t>7/1997</w:t>
        </w:r>
      </w:hyperlink>
      <w:r>
        <w:t xml:space="preserve">, f. 3; </w:t>
      </w:r>
      <w:hyperlink w:anchor="SENTENCIA_1997_64" w:history="1">
        <w:r w:rsidRPr="00575662">
          <w:rPr>
            <w:rStyle w:val="TextoNormalCaracter"/>
          </w:rPr>
          <w:t>64/1997</w:t>
        </w:r>
      </w:hyperlink>
      <w:r>
        <w:t>, f. 3.</w:t>
      </w:r>
    </w:p>
    <w:p w:rsidR="00575662" w:rsidRDefault="00575662" w:rsidP="00575662">
      <w:pPr>
        <w:pStyle w:val="SangriaFrancesaArticulo"/>
      </w:pPr>
    </w:p>
    <w:p w:rsidR="00575662" w:rsidRDefault="00575662" w:rsidP="00575662">
      <w:pPr>
        <w:pStyle w:val="TextoNormalNegritaCursivandice"/>
      </w:pPr>
      <w:r>
        <w:lastRenderedPageBreak/>
        <w:t>Sentencia del Tribunal Europeo de Derechos Humanos de 21 de febrero de 1984 (Öztürk c. Alemania)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45" w:history="1">
        <w:r w:rsidRPr="00575662">
          <w:rPr>
            <w:rStyle w:val="TextoNormalCaracter"/>
          </w:rPr>
          <w:t>45/1997</w:t>
        </w:r>
      </w:hyperlink>
      <w:r>
        <w:t>, f. 3.</w:t>
      </w:r>
    </w:p>
    <w:p w:rsidR="00575662" w:rsidRDefault="00575662" w:rsidP="00575662">
      <w:pPr>
        <w:pStyle w:val="SangriaFrancesaArticulo"/>
      </w:pPr>
    </w:p>
    <w:p w:rsidR="00575662" w:rsidRDefault="00575662" w:rsidP="00575662">
      <w:pPr>
        <w:pStyle w:val="TextoNormalNegritaCursivandice"/>
      </w:pPr>
      <w:r>
        <w:t>Sentencia del Tribunal Europeo de Derechos Humanos de 28 de junio de 1984 (Campbell y Fell c. Reino Unido)</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Sentencias </w:t>
      </w:r>
      <w:hyperlink w:anchor="SENTENCIA_1997_39" w:history="1">
        <w:r w:rsidRPr="00575662">
          <w:rPr>
            <w:rStyle w:val="TextoNormalCaracter"/>
          </w:rPr>
          <w:t>39/1997</w:t>
        </w:r>
      </w:hyperlink>
      <w:r>
        <w:t xml:space="preserve">, f. 6; </w:t>
      </w:r>
      <w:hyperlink w:anchor="SENTENCIA_1997_45" w:history="1">
        <w:r w:rsidRPr="00575662">
          <w:rPr>
            <w:rStyle w:val="TextoNormalCaracter"/>
          </w:rPr>
          <w:t>45/1997</w:t>
        </w:r>
      </w:hyperlink>
      <w:r>
        <w:t xml:space="preserve">, f. 3; </w:t>
      </w:r>
      <w:hyperlink w:anchor="SENTENCIA_1997_83" w:history="1">
        <w:r w:rsidRPr="00575662">
          <w:rPr>
            <w:rStyle w:val="TextoNormalCaracter"/>
          </w:rPr>
          <w:t>83/1997</w:t>
        </w:r>
      </w:hyperlink>
      <w:r>
        <w:t>, f. 2.</w:t>
      </w:r>
    </w:p>
    <w:p w:rsidR="00575662" w:rsidRDefault="00575662" w:rsidP="00575662">
      <w:pPr>
        <w:pStyle w:val="SangriaFrancesaArticulo"/>
      </w:pPr>
    </w:p>
    <w:p w:rsidR="00575662" w:rsidRDefault="00575662" w:rsidP="00575662">
      <w:pPr>
        <w:pStyle w:val="TextoNormalNegritaCursivandice"/>
      </w:pPr>
      <w:r>
        <w:t>Sentencia del Tribunal Europeo de Derechos Humanos de 26 de octubre de 1984 (De Cubber c. Bélgica)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Sentencias </w:t>
      </w:r>
      <w:hyperlink w:anchor="SENTENCIA_1997_7" w:history="1">
        <w:r w:rsidRPr="00575662">
          <w:rPr>
            <w:rStyle w:val="TextoNormalCaracter"/>
          </w:rPr>
          <w:t>7/1997</w:t>
        </w:r>
      </w:hyperlink>
      <w:r>
        <w:t xml:space="preserve">, f. 3; </w:t>
      </w:r>
      <w:hyperlink w:anchor="SENTENCIA_1997_64" w:history="1">
        <w:r w:rsidRPr="00575662">
          <w:rPr>
            <w:rStyle w:val="TextoNormalCaracter"/>
          </w:rPr>
          <w:t>64/1997</w:t>
        </w:r>
      </w:hyperlink>
      <w:r>
        <w:t>, f. 3.</w:t>
      </w:r>
    </w:p>
    <w:p w:rsidR="00575662" w:rsidRDefault="00575662" w:rsidP="00575662">
      <w:pPr>
        <w:pStyle w:val="SangriaFrancesaArticulo"/>
      </w:pPr>
    </w:p>
    <w:p w:rsidR="00575662" w:rsidRDefault="00575662" w:rsidP="00575662">
      <w:pPr>
        <w:pStyle w:val="TextoNormalNegritaCursivandice"/>
      </w:pPr>
      <w:r>
        <w:t>Sentencia del Tribunal Europeo de Derechos Humanos de 26 de octubre de 1984 (McGoff c. Suecia)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21" w:history="1">
        <w:r w:rsidRPr="00575662">
          <w:rPr>
            <w:rStyle w:val="TextoNormalCaracter"/>
          </w:rPr>
          <w:t>21/1997</w:t>
        </w:r>
      </w:hyperlink>
      <w:r>
        <w:t>, f. 4.</w:t>
      </w:r>
    </w:p>
    <w:p w:rsidR="00575662" w:rsidRDefault="00575662" w:rsidP="00575662">
      <w:pPr>
        <w:pStyle w:val="SangriaFrancesaArticulo"/>
      </w:pPr>
    </w:p>
    <w:p w:rsidR="00575662" w:rsidRDefault="00575662" w:rsidP="00575662">
      <w:pPr>
        <w:pStyle w:val="TextoNormalNegritaCursivandice"/>
      </w:pPr>
      <w:r>
        <w:t>Sentencia del Tribunal Europeo de Derechos Humanos de 7 de julio de 1989 (Unión Alimentaria Sanders, S.A. c. España)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53" w:history="1">
        <w:r w:rsidRPr="00575662">
          <w:rPr>
            <w:rStyle w:val="TextoNormalCaracter"/>
          </w:rPr>
          <w:t>53/1997</w:t>
        </w:r>
      </w:hyperlink>
      <w:r>
        <w:t>, f. 1.</w:t>
      </w:r>
    </w:p>
    <w:p w:rsidR="00575662" w:rsidRDefault="00575662" w:rsidP="00575662">
      <w:pPr>
        <w:pStyle w:val="SangriaFrancesaArticulo"/>
      </w:pPr>
    </w:p>
    <w:p w:rsidR="00575662" w:rsidRDefault="00575662" w:rsidP="00575662">
      <w:pPr>
        <w:pStyle w:val="TextoNormalNegritaCursivandice"/>
      </w:pPr>
      <w:r>
        <w:t>Sentencia del Tribunal Europeo de Derechos Humanos de 22 de mayo de 1990 (Weber c. Suiza)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45" w:history="1">
        <w:r w:rsidRPr="00575662">
          <w:rPr>
            <w:rStyle w:val="TextoNormalCaracter"/>
          </w:rPr>
          <w:t>45/1997</w:t>
        </w:r>
      </w:hyperlink>
      <w:r>
        <w:t>, f. 3.</w:t>
      </w:r>
    </w:p>
    <w:p w:rsidR="00575662" w:rsidRDefault="00575662" w:rsidP="00575662">
      <w:pPr>
        <w:pStyle w:val="SangriaFrancesaArticulo"/>
      </w:pPr>
    </w:p>
    <w:p w:rsidR="00575662" w:rsidRDefault="00575662" w:rsidP="00575662">
      <w:pPr>
        <w:pStyle w:val="TextoNormalNegritaCursivandice"/>
      </w:pPr>
      <w:r>
        <w:t>Sentencia del Tribunal Europeo de Derechos Humanos de 26 de junio de 1991 (Letellier c. Francia)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66" w:history="1">
        <w:r w:rsidRPr="00575662">
          <w:rPr>
            <w:rStyle w:val="TextoNormalCaracter"/>
          </w:rPr>
          <w:t>66/1997</w:t>
        </w:r>
      </w:hyperlink>
      <w:r>
        <w:t>, f. 6.</w:t>
      </w:r>
    </w:p>
    <w:p w:rsidR="00575662" w:rsidRDefault="00575662" w:rsidP="00575662">
      <w:pPr>
        <w:pStyle w:val="SangriaFrancesaArticulo"/>
      </w:pPr>
    </w:p>
    <w:p w:rsidR="00575662" w:rsidRDefault="00575662" w:rsidP="00575662">
      <w:pPr>
        <w:pStyle w:val="TextoNormalNegritaCursivandice"/>
      </w:pPr>
      <w:r>
        <w:t>Sentencia del Tribunal Europeo de Derechos Humanos de 27 de agosto de 1991 (Demicoli c. Malta)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45" w:history="1">
        <w:r w:rsidRPr="00575662">
          <w:rPr>
            <w:rStyle w:val="TextoNormalCaracter"/>
          </w:rPr>
          <w:t>45/1997</w:t>
        </w:r>
      </w:hyperlink>
      <w:r>
        <w:t>, f. 3.</w:t>
      </w:r>
    </w:p>
    <w:p w:rsidR="00575662" w:rsidRDefault="00575662" w:rsidP="00575662">
      <w:pPr>
        <w:pStyle w:val="SangriaFrancesaArticulo"/>
      </w:pPr>
    </w:p>
    <w:p w:rsidR="00575662" w:rsidRDefault="00575662" w:rsidP="00575662">
      <w:pPr>
        <w:pStyle w:val="TextoNormalNegritaCursivandice"/>
      </w:pPr>
      <w:r>
        <w:t>Sentencia del Tribunal Europeo de Derechos Humanos de 26 de junio de 1992 (Drozd y Janousek c. Francia y España)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21" w:history="1">
        <w:r w:rsidRPr="00575662">
          <w:rPr>
            <w:rStyle w:val="TextoNormalCaracter"/>
          </w:rPr>
          <w:t>21/1997</w:t>
        </w:r>
      </w:hyperlink>
      <w:r>
        <w:t>, f. 2.</w:t>
      </w:r>
    </w:p>
    <w:p w:rsidR="00575662" w:rsidRDefault="00575662" w:rsidP="00575662">
      <w:pPr>
        <w:pStyle w:val="SangriaFrancesaArticulo"/>
      </w:pPr>
    </w:p>
    <w:p w:rsidR="00575662" w:rsidRDefault="00575662" w:rsidP="00575662">
      <w:pPr>
        <w:pStyle w:val="TextoNormalNegritaCursivandice"/>
      </w:pPr>
      <w:r>
        <w:t>Sentencia del Tribunal Europeo de Derechos Humanos de 27 de agosto de 1992 (Tomasi c. Francia)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66" w:history="1">
        <w:r w:rsidRPr="00575662">
          <w:rPr>
            <w:rStyle w:val="TextoNormalCaracter"/>
          </w:rPr>
          <w:t>66/1997</w:t>
        </w:r>
      </w:hyperlink>
      <w:r>
        <w:t>, f. 6.</w:t>
      </w:r>
    </w:p>
    <w:p w:rsidR="00575662" w:rsidRDefault="00575662" w:rsidP="00575662">
      <w:pPr>
        <w:pStyle w:val="SangriaFrancesaArticulo"/>
      </w:pPr>
    </w:p>
    <w:p w:rsidR="00575662" w:rsidRDefault="00575662" w:rsidP="00575662">
      <w:pPr>
        <w:pStyle w:val="TextoNormalNegritaCursivandice"/>
      </w:pPr>
      <w:r>
        <w:t>Sentencia del Tribunal Europeo de Derechos Humanos de 26 de enero de 1993 (W. c. Suiza)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66" w:history="1">
        <w:r w:rsidRPr="00575662">
          <w:rPr>
            <w:rStyle w:val="TextoNormalCaracter"/>
          </w:rPr>
          <w:t>66/1997</w:t>
        </w:r>
      </w:hyperlink>
      <w:r>
        <w:t>, f. 6.</w:t>
      </w:r>
    </w:p>
    <w:p w:rsidR="00575662" w:rsidRDefault="00575662" w:rsidP="00575662">
      <w:pPr>
        <w:pStyle w:val="SangriaFrancesaArticulo"/>
      </w:pPr>
    </w:p>
    <w:p w:rsidR="00575662" w:rsidRDefault="00575662" w:rsidP="00575662">
      <w:pPr>
        <w:pStyle w:val="TextoNormalNegritaCursivandice"/>
      </w:pPr>
      <w:r>
        <w:t>Sentencia del Tribunal Europeo de Derechos Humanos de 24 de febrero de 1994 (Bendenoun c. Francia)</w:t>
      </w:r>
    </w:p>
    <w:p w:rsidR="00575662" w:rsidRDefault="00575662" w:rsidP="00575662">
      <w:pPr>
        <w:pStyle w:val="SangriaFrancesaArticulo"/>
      </w:pPr>
      <w:r w:rsidRPr="00575662">
        <w:rPr>
          <w:rStyle w:val="TextoNormalNegritaCaracter"/>
        </w:rPr>
        <w:lastRenderedPageBreak/>
        <w:t>En general.</w:t>
      </w:r>
      <w:r w:rsidRPr="00575662">
        <w:rPr>
          <w:rStyle w:val="TextoNormalCaracter"/>
        </w:rPr>
        <w:t>-</w:t>
      </w:r>
      <w:r>
        <w:t xml:space="preserve"> Sentencia </w:t>
      </w:r>
      <w:hyperlink w:anchor="SENTENCIA_1997_45" w:history="1">
        <w:r w:rsidRPr="00575662">
          <w:rPr>
            <w:rStyle w:val="TextoNormalCaracter"/>
          </w:rPr>
          <w:t>45/1997</w:t>
        </w:r>
      </w:hyperlink>
      <w:r>
        <w:t>, f. 3.</w:t>
      </w:r>
    </w:p>
    <w:p w:rsidR="00575662" w:rsidRDefault="00575662" w:rsidP="00575662">
      <w:pPr>
        <w:pStyle w:val="SangriaFrancesaArticulo"/>
      </w:pPr>
    </w:p>
    <w:p w:rsidR="00575662" w:rsidRDefault="00575662" w:rsidP="00575662">
      <w:pPr>
        <w:pStyle w:val="TextoNormalNegritaCursivandice"/>
      </w:pPr>
      <w:r>
        <w:t>Sentencia del Tribunal Europeo de Derechos Humanos de 9 de diciembre de 1994 (Hiro Balani c. España)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26" w:history="1">
        <w:r w:rsidRPr="00575662">
          <w:rPr>
            <w:rStyle w:val="TextoNormalCaracter"/>
          </w:rPr>
          <w:t>26/1997</w:t>
        </w:r>
      </w:hyperlink>
      <w:r>
        <w:t>, f. 4.</w:t>
      </w:r>
    </w:p>
    <w:p w:rsidR="00575662" w:rsidRDefault="00575662" w:rsidP="00575662">
      <w:pPr>
        <w:pStyle w:val="SangriaFrancesaArticulo"/>
      </w:pPr>
    </w:p>
    <w:p w:rsidR="00575662" w:rsidRDefault="00575662" w:rsidP="00575662">
      <w:pPr>
        <w:pStyle w:val="TextoNormalNegritaCursivandice"/>
      </w:pPr>
      <w:r>
        <w:t>Sentencia del Tribunal Europeo de Derechos Humanos de 9 de diciembre de 1994 (Ruiz Torija c. España)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26" w:history="1">
        <w:r w:rsidRPr="00575662">
          <w:rPr>
            <w:rStyle w:val="TextoNormalCaracter"/>
          </w:rPr>
          <w:t>26/1997</w:t>
        </w:r>
      </w:hyperlink>
      <w:r>
        <w:t>, f. 4.</w:t>
      </w:r>
    </w:p>
    <w:p w:rsidR="00575662" w:rsidRDefault="00575662" w:rsidP="00575662">
      <w:pPr>
        <w:pStyle w:val="SangriaFrancesaArticulo"/>
      </w:pPr>
    </w:p>
    <w:p w:rsidR="00575662" w:rsidRDefault="00575662" w:rsidP="00575662">
      <w:pPr>
        <w:pStyle w:val="TextoNormalNegritaCursivandice"/>
      </w:pPr>
      <w:r>
        <w:t>Sentencia del Tribunal Europeo de Derechos Humanos de 23 de marzo de 1995 (Loizidou c. Turquía)</w:t>
      </w:r>
    </w:p>
    <w:p w:rsidR="00575662" w:rsidRDefault="00575662" w:rsidP="00575662">
      <w:pPr>
        <w:pStyle w:val="SangriaFrancesaArticulo"/>
      </w:pPr>
      <w:r w:rsidRPr="00575662">
        <w:rPr>
          <w:rStyle w:val="TextoNormalNegritaCaracter"/>
        </w:rPr>
        <w:t>En general.</w:t>
      </w:r>
      <w:r w:rsidRPr="00575662">
        <w:rPr>
          <w:rStyle w:val="TextoNormalCaracter"/>
        </w:rPr>
        <w:t>-</w:t>
      </w:r>
      <w:r>
        <w:t xml:space="preserve"> Sentencia </w:t>
      </w:r>
      <w:hyperlink w:anchor="SENTENCIA_1997_21" w:history="1">
        <w:r w:rsidRPr="00575662">
          <w:rPr>
            <w:rStyle w:val="TextoNormalCaracter"/>
          </w:rPr>
          <w:t>21/1997</w:t>
        </w:r>
      </w:hyperlink>
      <w:r>
        <w:t>, f. 2.</w:t>
      </w:r>
    </w:p>
    <w:p w:rsidR="00575662" w:rsidRDefault="00575662" w:rsidP="00575662">
      <w:pPr>
        <w:pStyle w:val="TextoNormal"/>
      </w:pPr>
    </w:p>
    <w:p w:rsidR="00575662" w:rsidRDefault="00575662" w:rsidP="00575662">
      <w:pPr>
        <w:pStyle w:val="SangriaFrancesaArticulo"/>
      </w:pPr>
      <w:bookmarkStart w:id="232" w:name="INDICE22925"/>
    </w:p>
    <w:bookmarkEnd w:id="232"/>
    <w:p w:rsidR="00575662" w:rsidRDefault="00575662" w:rsidP="00575662">
      <w:pPr>
        <w:pStyle w:val="TextoIndiceNivel2"/>
        <w:suppressAutoHyphens/>
      </w:pPr>
      <w:r>
        <w:t>C) Tribunal Supremo</w:t>
      </w:r>
    </w:p>
    <w:p w:rsidR="00575662" w:rsidRDefault="00575662" w:rsidP="00575662">
      <w:pPr>
        <w:pStyle w:val="TextoIndiceNivel2"/>
      </w:pPr>
    </w:p>
    <w:p w:rsidR="00575662" w:rsidRDefault="00575662" w:rsidP="00575662">
      <w:pPr>
        <w:pStyle w:val="TextoNormalNegritaCursivandice"/>
      </w:pPr>
      <w:r>
        <w:t>Sentencia de la Sala de lo Contencioso-Administrativo del Tribunal Supremo de 20 de noviembre de 1992</w:t>
      </w:r>
    </w:p>
    <w:p w:rsidR="00575662" w:rsidRDefault="00575662" w:rsidP="00575662">
      <w:pPr>
        <w:pStyle w:val="SangriaFrancesaArticulo"/>
      </w:pPr>
      <w:r>
        <w:t xml:space="preserve">Sentencia </w:t>
      </w:r>
      <w:hyperlink w:anchor="SENTENCIA_1997_75" w:history="1">
        <w:r w:rsidRPr="00575662">
          <w:rPr>
            <w:rStyle w:val="TextoNormalCaracter"/>
          </w:rPr>
          <w:t>75/1997</w:t>
        </w:r>
      </w:hyperlink>
      <w:r>
        <w:t xml:space="preserve"> (anula).</w:t>
      </w:r>
    </w:p>
    <w:p w:rsidR="00575662" w:rsidRDefault="00575662" w:rsidP="00575662">
      <w:pPr>
        <w:pStyle w:val="SangriaFrancesaArticulo"/>
      </w:pPr>
    </w:p>
    <w:p w:rsidR="00575662" w:rsidRDefault="00575662" w:rsidP="00575662">
      <w:pPr>
        <w:pStyle w:val="TextoNormalNegritaCursivandice"/>
      </w:pPr>
      <w:r>
        <w:t>Sentencia de la Sala de lo Contencioso-Administrativo del Tribunal Supremo de 30 de mayo de 1994</w:t>
      </w:r>
    </w:p>
    <w:p w:rsidR="00575662" w:rsidRDefault="00575662" w:rsidP="00575662">
      <w:pPr>
        <w:pStyle w:val="SangriaFrancesaArticulo"/>
      </w:pPr>
      <w:r>
        <w:t xml:space="preserve">Sentencia </w:t>
      </w:r>
      <w:hyperlink w:anchor="SENTENCIA_1997_4" w:history="1">
        <w:r w:rsidRPr="00575662">
          <w:rPr>
            <w:rStyle w:val="TextoNormalCaracter"/>
          </w:rPr>
          <w:t>4/1997</w:t>
        </w:r>
      </w:hyperlink>
      <w:r>
        <w:t xml:space="preserve"> (anula).</w:t>
      </w:r>
    </w:p>
    <w:p w:rsidR="00575662" w:rsidRDefault="00575662" w:rsidP="00575662">
      <w:pPr>
        <w:pStyle w:val="SangriaFrancesaArticulo"/>
      </w:pPr>
    </w:p>
    <w:p w:rsidR="00575662" w:rsidRDefault="00575662" w:rsidP="00575662">
      <w:pPr>
        <w:pStyle w:val="TextoNormalNegritaCursivandice"/>
      </w:pPr>
      <w:r>
        <w:t>Sentencia de la Sala de lo Penal del Tribunal Supremo de 3 de marzo de 1995</w:t>
      </w:r>
    </w:p>
    <w:p w:rsidR="00575662" w:rsidRDefault="00575662" w:rsidP="00575662">
      <w:pPr>
        <w:pStyle w:val="SangriaFrancesaArticulo"/>
      </w:pPr>
      <w:r>
        <w:t xml:space="preserve">Sentencia </w:t>
      </w:r>
      <w:hyperlink w:anchor="SENTENCIA_1997_68" w:history="1">
        <w:r w:rsidRPr="00575662">
          <w:rPr>
            <w:rStyle w:val="TextoNormalCaracter"/>
          </w:rPr>
          <w:t>68/1997</w:t>
        </w:r>
      </w:hyperlink>
      <w:r>
        <w:t xml:space="preserve"> (anula).</w:t>
      </w:r>
    </w:p>
    <w:p w:rsidR="00575662" w:rsidRDefault="00575662">
      <w:pPr>
        <w:spacing w:after="160" w:line="259" w:lineRule="auto"/>
        <w:rPr>
          <w:rFonts w:ascii="Times New Roman" w:eastAsia="Times New Roman" w:hAnsi="Times New Roman" w:cs="Times New Roman"/>
          <w:sz w:val="24"/>
          <w:szCs w:val="24"/>
          <w:lang w:eastAsia="es-ES"/>
        </w:rPr>
      </w:pPr>
      <w:r>
        <w:br w:type="page"/>
      </w:r>
    </w:p>
    <w:p w:rsidR="00575662" w:rsidRDefault="00575662" w:rsidP="00575662">
      <w:pPr>
        <w:pStyle w:val="SangriaFrancesaArticulo"/>
      </w:pPr>
      <w:bookmarkStart w:id="233" w:name="DESCRIPTOR1"/>
      <w:bookmarkStart w:id="234" w:name="DESCRIPTOR2"/>
      <w:bookmarkStart w:id="235" w:name="DESCRIPTOR3"/>
      <w:bookmarkStart w:id="236" w:name="DESCRIPTOR4"/>
      <w:bookmarkStart w:id="237" w:name="DESCRIPTOR5"/>
      <w:bookmarkStart w:id="238" w:name="DESCRIPTOR6"/>
      <w:bookmarkStart w:id="239" w:name="DESCRIPTOR7"/>
      <w:bookmarkStart w:id="240" w:name="DESCRIPTOR8"/>
      <w:bookmarkStart w:id="241" w:name="DESCRIPTOR9"/>
      <w:bookmarkStart w:id="242" w:name="DESCRIPTOR10"/>
      <w:bookmarkStart w:id="243" w:name="DESCRIPTOR11"/>
      <w:bookmarkStart w:id="244" w:name="DESCRIPTOR12"/>
      <w:bookmarkStart w:id="245" w:name="DESCRIPTOR13"/>
      <w:bookmarkStart w:id="246" w:name="DESCRIPTOR14"/>
      <w:bookmarkStart w:id="247" w:name="DESCRIPTOR15"/>
      <w:bookmarkStart w:id="248" w:name="DESCRIPTOR16"/>
      <w:bookmarkStart w:id="249" w:name="DESCRIPTOR17"/>
      <w:bookmarkStart w:id="250" w:name="DESCRIPTOR18"/>
      <w:bookmarkStart w:id="251" w:name="DESCRIPTOR19"/>
      <w:bookmarkStart w:id="252" w:name="DESCRIPTOR20"/>
      <w:bookmarkStart w:id="253" w:name="DESCRIPTOR21"/>
      <w:bookmarkStart w:id="254" w:name="DESCRIPTOR22"/>
      <w:bookmarkStart w:id="255" w:name="DESCRIPTOR23"/>
      <w:bookmarkStart w:id="256" w:name="DESCRIPTOR24"/>
      <w:bookmarkStart w:id="257" w:name="DESCRIPTOR25"/>
      <w:bookmarkStart w:id="258" w:name="DESCRIPTOR26"/>
      <w:bookmarkStart w:id="259" w:name="DESCRIPTOR27"/>
      <w:bookmarkStart w:id="260" w:name="DESCRIPTOR28"/>
      <w:bookmarkStart w:id="261" w:name="DESCRIPTOR29"/>
      <w:bookmarkStart w:id="262" w:name="DESCRIPTOR30"/>
      <w:bookmarkStart w:id="263" w:name="DESCRIPTOR31"/>
      <w:bookmarkStart w:id="264" w:name="DESCRIPTOR32"/>
      <w:bookmarkStart w:id="265" w:name="DESCRIPTOR33"/>
      <w:bookmarkStart w:id="266" w:name="DESCRIPTOR34"/>
      <w:bookmarkStart w:id="267" w:name="DESCRIPTOR35"/>
      <w:bookmarkStart w:id="268" w:name="DESCRIPTOR36"/>
      <w:bookmarkStart w:id="269" w:name="DESCRIPTOR37"/>
      <w:bookmarkStart w:id="270" w:name="DESCRIPTOR38"/>
      <w:bookmarkStart w:id="271" w:name="DESCRIPTOR39"/>
      <w:bookmarkStart w:id="272" w:name="DESCRIPTOR40"/>
      <w:bookmarkStart w:id="273" w:name="DESCRIPTOR41"/>
      <w:bookmarkStart w:id="274" w:name="DESCRIPTOR42"/>
      <w:bookmarkStart w:id="275" w:name="DESCRIPTOR43"/>
      <w:bookmarkStart w:id="276" w:name="DESCRIPTOR44"/>
      <w:bookmarkStart w:id="277" w:name="DESCRIPTOR45"/>
      <w:bookmarkStart w:id="278" w:name="DESCRIPTOR46"/>
      <w:bookmarkStart w:id="279" w:name="DESCRIPTOR47"/>
      <w:bookmarkStart w:id="280" w:name="DESCRIPTOR48"/>
      <w:bookmarkStart w:id="281" w:name="DESCRIPTOR49"/>
      <w:bookmarkStart w:id="282" w:name="DESCRIPTOR50"/>
      <w:bookmarkStart w:id="283" w:name="DESCRIPTOR51"/>
      <w:bookmarkStart w:id="284" w:name="DESCRIPTOR52"/>
      <w:bookmarkStart w:id="285" w:name="DESCRIPTOR53"/>
      <w:bookmarkStart w:id="286" w:name="DESCRIPTOR54"/>
      <w:bookmarkStart w:id="287" w:name="DESCRIPTOR55"/>
      <w:bookmarkStart w:id="288" w:name="DESCRIPTOR56"/>
      <w:bookmarkStart w:id="289" w:name="DESCRIPTOR57"/>
      <w:bookmarkStart w:id="290" w:name="DESCRIPTOR58"/>
      <w:bookmarkStart w:id="291" w:name="DESCRIPTOR59"/>
      <w:bookmarkStart w:id="292" w:name="DESCRIPTOR60"/>
      <w:bookmarkStart w:id="293" w:name="DESCRIPTOR61"/>
      <w:bookmarkStart w:id="294" w:name="DESCRIPTOR62"/>
      <w:bookmarkStart w:id="295" w:name="DESCRIPTOR63"/>
      <w:bookmarkStart w:id="296" w:name="DESCRIPTOR64"/>
      <w:bookmarkStart w:id="297" w:name="DESCRIPTOR65"/>
      <w:bookmarkStart w:id="298" w:name="DESCRIPTOR66"/>
      <w:bookmarkStart w:id="299" w:name="DESCRIPTOR67"/>
      <w:bookmarkStart w:id="300" w:name="DESCRIPTOR68"/>
      <w:bookmarkStart w:id="301" w:name="DESCRIPTOR69"/>
      <w:bookmarkStart w:id="302" w:name="DESCRIPTOR70"/>
      <w:bookmarkStart w:id="303" w:name="DESCRIPTOR71"/>
      <w:bookmarkStart w:id="304" w:name="DESCRIPTOR72"/>
      <w:bookmarkStart w:id="305" w:name="DESCRIPTOR73"/>
      <w:bookmarkStart w:id="306" w:name="DESCRIPTOR74"/>
      <w:bookmarkStart w:id="307" w:name="DESCRIPTOR75"/>
      <w:bookmarkStart w:id="308" w:name="DESCRIPTOR76"/>
      <w:bookmarkStart w:id="309" w:name="DESCRIPTOR77"/>
      <w:bookmarkStart w:id="310" w:name="DESCRIPTOR78"/>
      <w:bookmarkStart w:id="311" w:name="DESCRIPTOR79"/>
      <w:bookmarkStart w:id="312" w:name="DESCRIPTOR80"/>
      <w:bookmarkStart w:id="313" w:name="DESCRIPTOR81"/>
      <w:bookmarkStart w:id="314" w:name="DESCRIPTOR82"/>
      <w:bookmarkStart w:id="315" w:name="DESCRIPTOR83"/>
      <w:bookmarkStart w:id="316" w:name="DESCRIPTOR84"/>
      <w:bookmarkStart w:id="317" w:name="DESCRIPTOR85"/>
      <w:bookmarkStart w:id="318" w:name="DESCRIPTOR86"/>
      <w:bookmarkStart w:id="319" w:name="DESCRIPTOR87"/>
      <w:bookmarkStart w:id="320" w:name="DESCRIPTOR88"/>
      <w:bookmarkStart w:id="321" w:name="DESCRIPTOR89"/>
      <w:bookmarkStart w:id="322" w:name="DESCRIPTOR90"/>
      <w:bookmarkStart w:id="323" w:name="DESCRIPTOR91"/>
      <w:bookmarkStart w:id="324" w:name="DESCRIPTOR92"/>
      <w:bookmarkStart w:id="325" w:name="DESCRIPTOR93"/>
      <w:bookmarkStart w:id="326" w:name="DESCRIPTOR94"/>
      <w:bookmarkStart w:id="327" w:name="DESCRIPTOR95"/>
      <w:bookmarkStart w:id="328" w:name="DESCRIPTOR96"/>
      <w:bookmarkStart w:id="329" w:name="DESCRIPTOR97"/>
      <w:bookmarkStart w:id="330" w:name="DESCRIPTOR98"/>
      <w:bookmarkStart w:id="331" w:name="DESCRIPTOR99"/>
      <w:bookmarkStart w:id="332" w:name="DESCRIPTOR100"/>
      <w:bookmarkStart w:id="333" w:name="DESCRIPTOR101"/>
      <w:bookmarkStart w:id="334" w:name="DESCRIPTOR102"/>
      <w:bookmarkStart w:id="335" w:name="DESCRIPTOR103"/>
      <w:bookmarkStart w:id="336" w:name="DESCRIPTOR104"/>
      <w:bookmarkStart w:id="337" w:name="DESCRIPTOR105"/>
      <w:bookmarkStart w:id="338" w:name="DESCRIPTOR106"/>
      <w:bookmarkStart w:id="339" w:name="DESCRIPTOR107"/>
      <w:bookmarkStart w:id="340" w:name="DESCRIPTOR108"/>
      <w:bookmarkStart w:id="341" w:name="DESCRIPTOR109"/>
      <w:bookmarkStart w:id="342" w:name="DESCRIPTOR110"/>
      <w:bookmarkStart w:id="343" w:name="DESCRIPTOR111"/>
      <w:bookmarkStart w:id="344" w:name="DESCRIPTOR112"/>
      <w:bookmarkStart w:id="345" w:name="DESCRIPTOR113"/>
      <w:bookmarkStart w:id="346" w:name="DESCRIPTOR114"/>
      <w:bookmarkStart w:id="347" w:name="DESCRIPTOR115"/>
      <w:bookmarkStart w:id="348" w:name="DESCRIPTOR116"/>
      <w:bookmarkStart w:id="349" w:name="DESCRIPTOR117"/>
      <w:bookmarkStart w:id="350" w:name="DESCRIPTOR118"/>
      <w:bookmarkStart w:id="351" w:name="DESCRIPTOR119"/>
      <w:bookmarkStart w:id="352" w:name="DESCRIPTOR120"/>
      <w:bookmarkStart w:id="353" w:name="DESCRIPTOR121"/>
      <w:bookmarkStart w:id="354" w:name="DESCRIPTOR122"/>
      <w:bookmarkStart w:id="355" w:name="DESCRIPTOR123"/>
      <w:bookmarkStart w:id="356" w:name="DESCRIPTOR124"/>
      <w:bookmarkStart w:id="357" w:name="DESCRIPTOR125"/>
      <w:bookmarkStart w:id="358" w:name="DESCRIPTOR126"/>
      <w:bookmarkStart w:id="359" w:name="DESCRIPTOR127"/>
      <w:bookmarkStart w:id="360" w:name="DESCRIPTOR128"/>
      <w:bookmarkStart w:id="361" w:name="DESCRIPTOR129"/>
      <w:bookmarkStart w:id="362" w:name="DESCRIPTOR130"/>
      <w:bookmarkStart w:id="363" w:name="DESCRIPTOR131"/>
      <w:bookmarkStart w:id="364" w:name="DESCRIPTOR132"/>
      <w:bookmarkStart w:id="365" w:name="DESCRIPTOR133"/>
      <w:bookmarkStart w:id="366" w:name="DESCRIPTOR134"/>
      <w:bookmarkStart w:id="367" w:name="DESCRIPTOR135"/>
      <w:bookmarkStart w:id="368" w:name="DESCRIPTOR136"/>
      <w:bookmarkStart w:id="369" w:name="DESCRIPTOR137"/>
      <w:bookmarkStart w:id="370" w:name="DESCRIPTOR138"/>
      <w:bookmarkStart w:id="371" w:name="DESCRIPTOR139"/>
      <w:bookmarkStart w:id="372" w:name="DESCRIPTOR140"/>
      <w:bookmarkStart w:id="373" w:name="DESCRIPTOR141"/>
      <w:bookmarkStart w:id="374" w:name="DESCRIPTOR142"/>
      <w:bookmarkStart w:id="375" w:name="DESCRIPTOR143"/>
      <w:bookmarkStart w:id="376" w:name="DESCRIPTOR144"/>
      <w:bookmarkStart w:id="377" w:name="DESCRIPTOR145"/>
      <w:bookmarkStart w:id="378" w:name="DESCRIPTOR146"/>
      <w:bookmarkStart w:id="379" w:name="DESCRIPTOR147"/>
      <w:bookmarkStart w:id="380" w:name="DESCRIPTOR148"/>
      <w:bookmarkStart w:id="381" w:name="DESCRIPTOR149"/>
      <w:bookmarkStart w:id="382" w:name="DESCRIPTOR150"/>
      <w:bookmarkStart w:id="383" w:name="DESCRIPTOR151"/>
      <w:bookmarkStart w:id="384" w:name="DESCRIPTOR152"/>
      <w:bookmarkStart w:id="385" w:name="DESCRIPTOR153"/>
      <w:bookmarkStart w:id="386" w:name="DESCRIPTOR154"/>
      <w:bookmarkStart w:id="387" w:name="DESCRIPTOR155"/>
      <w:bookmarkStart w:id="388" w:name="DESCRIPTOR156"/>
      <w:bookmarkStart w:id="389" w:name="DESCRIPTOR157"/>
      <w:bookmarkStart w:id="390" w:name="DESCRIPTOR158"/>
      <w:bookmarkStart w:id="391" w:name="DESCRIPTOR159"/>
      <w:bookmarkStart w:id="392" w:name="DESCRIPTOR160"/>
      <w:bookmarkStart w:id="393" w:name="DESCRIPTOR161"/>
      <w:bookmarkStart w:id="394" w:name="DESCRIPTOR162"/>
      <w:bookmarkStart w:id="395" w:name="DESCRIPTOR163"/>
      <w:bookmarkStart w:id="396" w:name="DESCRIPTOR164"/>
      <w:bookmarkStart w:id="397" w:name="DESCRIPTOR165"/>
      <w:bookmarkStart w:id="398" w:name="DESCRIPTOR166"/>
      <w:bookmarkStart w:id="399" w:name="DESCRIPTOR167"/>
      <w:bookmarkStart w:id="400" w:name="DESCRIPTOR168"/>
      <w:bookmarkStart w:id="401" w:name="DESCRIPTOR169"/>
      <w:bookmarkStart w:id="402" w:name="DESCRIPTOR170"/>
      <w:bookmarkStart w:id="403" w:name="DESCRIPTOR171"/>
      <w:bookmarkStart w:id="404" w:name="DESCRIPTOR172"/>
      <w:bookmarkStart w:id="405" w:name="DESCRIPTOR173"/>
      <w:bookmarkStart w:id="406" w:name="DESCRIPTOR174"/>
      <w:bookmarkStart w:id="407" w:name="DESCRIPTOR175"/>
      <w:bookmarkStart w:id="408" w:name="DESCRIPTOR176"/>
      <w:bookmarkStart w:id="409" w:name="DESCRIPTOR177"/>
      <w:bookmarkStart w:id="410" w:name="DESCRIPTOR178"/>
      <w:bookmarkStart w:id="411" w:name="DESCRIPTOR179"/>
      <w:bookmarkStart w:id="412" w:name="DESCRIPTOR180"/>
      <w:bookmarkStart w:id="413" w:name="DESCRIPTOR181"/>
      <w:bookmarkStart w:id="414" w:name="DESCRIPTOR182"/>
      <w:bookmarkStart w:id="415" w:name="DESCRIPTOR183"/>
      <w:bookmarkStart w:id="416" w:name="DESCRIPTOR184"/>
      <w:bookmarkStart w:id="417" w:name="DESCRIPTOR185"/>
      <w:bookmarkStart w:id="418" w:name="DESCRIPTOR186"/>
      <w:bookmarkStart w:id="419" w:name="DESCRIPTOR187"/>
      <w:bookmarkStart w:id="420" w:name="DESCRIPTOR188"/>
      <w:bookmarkStart w:id="421" w:name="DESCRIPTOR189"/>
      <w:bookmarkStart w:id="422" w:name="DESCRIPTOR190"/>
      <w:bookmarkStart w:id="423" w:name="DESCRIPTOR191"/>
      <w:bookmarkStart w:id="424" w:name="DESCRIPTOR192"/>
      <w:bookmarkStart w:id="425" w:name="DESCRIPTOR193"/>
      <w:bookmarkStart w:id="426" w:name="DESCRIPTOR194"/>
      <w:bookmarkStart w:id="427" w:name="DESCRIPTOR195"/>
      <w:bookmarkStart w:id="428" w:name="DESCRIPTOR196"/>
      <w:bookmarkStart w:id="429" w:name="DESCRIPTOR197"/>
      <w:bookmarkStart w:id="430" w:name="DESCRIPTOR198"/>
      <w:bookmarkStart w:id="431" w:name="DESCRIPTOR199"/>
      <w:bookmarkStart w:id="432" w:name="DESCRIPTOR200"/>
      <w:bookmarkStart w:id="433" w:name="DESCRIPTOR201"/>
      <w:bookmarkStart w:id="434" w:name="DESCRIPTOR202"/>
      <w:bookmarkStart w:id="435" w:name="DESCRIPTOR203"/>
      <w:bookmarkStart w:id="436" w:name="DESCRIPTOR204"/>
      <w:bookmarkStart w:id="437" w:name="DESCRIPTOR205"/>
      <w:bookmarkStart w:id="438" w:name="DESCRIPTOR206"/>
      <w:bookmarkStart w:id="439" w:name="DESCRIPTOR207"/>
      <w:bookmarkStart w:id="440" w:name="DESCRIPTOR208"/>
      <w:bookmarkStart w:id="441" w:name="DESCRIPTOR209"/>
      <w:bookmarkStart w:id="442" w:name="DESCRIPTOR210"/>
      <w:bookmarkStart w:id="443" w:name="DESCRIPTOR211"/>
      <w:bookmarkStart w:id="444" w:name="DESCRIPTOR212"/>
      <w:bookmarkStart w:id="445" w:name="DESCRIPTOR213"/>
      <w:bookmarkStart w:id="446" w:name="DESCRIPTOR214"/>
      <w:bookmarkStart w:id="447" w:name="DESCRIPTOR215"/>
      <w:bookmarkStart w:id="448" w:name="DESCRIPTOR216"/>
      <w:bookmarkStart w:id="449" w:name="DESCRIPTOR217"/>
      <w:bookmarkStart w:id="450" w:name="DESCRIPTOR218"/>
      <w:bookmarkStart w:id="451" w:name="DESCRIPTOR219"/>
      <w:bookmarkStart w:id="452" w:name="DESCRIPTOR220"/>
      <w:bookmarkStart w:id="453" w:name="DESCRIPTOR221"/>
      <w:bookmarkStart w:id="454" w:name="DESCRIPTOR222"/>
      <w:bookmarkStart w:id="455" w:name="DESCRIPTOR223"/>
      <w:bookmarkStart w:id="456" w:name="DESCRIPTOR224"/>
      <w:bookmarkStart w:id="457" w:name="DESCRIPTOR225"/>
      <w:bookmarkStart w:id="458" w:name="DESCRIPTOR226"/>
      <w:bookmarkStart w:id="459" w:name="DESCRIPTOR227"/>
      <w:bookmarkStart w:id="460" w:name="DESCRIPTOR228"/>
      <w:bookmarkStart w:id="461" w:name="DESCRIPTOR229"/>
      <w:bookmarkStart w:id="462" w:name="DESCRIPTOR230"/>
      <w:bookmarkStart w:id="463" w:name="DESCRIPTOR231"/>
      <w:bookmarkStart w:id="464" w:name="DESCRIPTOR232"/>
      <w:bookmarkStart w:id="465" w:name="DESCRIPTOR233"/>
      <w:bookmarkStart w:id="466" w:name="DESCRIPTOR234"/>
      <w:bookmarkStart w:id="467" w:name="DESCRIPTOR235"/>
      <w:bookmarkStart w:id="468" w:name="DESCRIPTOR236"/>
      <w:bookmarkStart w:id="469" w:name="DESCRIPTOR237"/>
      <w:bookmarkStart w:id="470" w:name="DESCRIPTOR238"/>
      <w:bookmarkStart w:id="471" w:name="DESCRIPTOR239"/>
      <w:bookmarkStart w:id="472" w:name="DESCRIPTOR240"/>
      <w:bookmarkStart w:id="473" w:name="DESCRIPTOR241"/>
      <w:bookmarkStart w:id="474" w:name="DESCRIPTOR242"/>
      <w:bookmarkStart w:id="475" w:name="DESCRIPTOR243"/>
      <w:bookmarkStart w:id="476" w:name="DESCRIPTOR244"/>
      <w:bookmarkStart w:id="477" w:name="DESCRIPTOR245"/>
      <w:bookmarkStart w:id="478" w:name="DESCRIPTOR246"/>
      <w:bookmarkStart w:id="479" w:name="DESCRIPTOR247"/>
      <w:bookmarkStart w:id="480" w:name="DESCRIPTOR248"/>
      <w:bookmarkStart w:id="481" w:name="DESCRIPTOR249"/>
      <w:bookmarkStart w:id="482" w:name="DESCRIPTOR250"/>
      <w:bookmarkStart w:id="483" w:name="DESCRIPTOR251"/>
      <w:bookmarkStart w:id="484" w:name="DESCRIPTOR252"/>
      <w:bookmarkStart w:id="485" w:name="DESCRIPTOR253"/>
      <w:bookmarkStart w:id="486" w:name="DESCRIPTOR254"/>
      <w:bookmarkStart w:id="487" w:name="DESCRIPTOR255"/>
      <w:bookmarkStart w:id="488" w:name="DESCRIPTOR256"/>
      <w:bookmarkStart w:id="489" w:name="DESCRIPTOR257"/>
      <w:bookmarkStart w:id="490" w:name="DESCRIPTOR258"/>
      <w:bookmarkStart w:id="491" w:name="DESCRIPTOR259"/>
      <w:bookmarkStart w:id="492" w:name="DESCRIPTOR260"/>
      <w:bookmarkStart w:id="493" w:name="DESCRIPTOR261"/>
      <w:bookmarkStart w:id="494" w:name="DESCRIPTOR262"/>
      <w:bookmarkStart w:id="495" w:name="DESCRIPTOR263"/>
      <w:bookmarkStart w:id="496" w:name="DESCRIPTOR264"/>
      <w:bookmarkStart w:id="497" w:name="DESCRIPTOR265"/>
      <w:bookmarkStart w:id="498" w:name="DESCRIPTOR266"/>
      <w:bookmarkStart w:id="499" w:name="DESCRIPTOR267"/>
      <w:bookmarkStart w:id="500" w:name="DESCRIPTOR268"/>
      <w:bookmarkStart w:id="501" w:name="DESCRIPTOR269"/>
      <w:bookmarkStart w:id="502" w:name="DESCRIPTOR270"/>
      <w:bookmarkStart w:id="503" w:name="DESCRIPTOR271"/>
      <w:bookmarkStart w:id="504" w:name="DESCRIPTOR272"/>
      <w:bookmarkStart w:id="505" w:name="DESCRIPTOR273"/>
      <w:bookmarkStart w:id="506" w:name="DESCRIPTOR274"/>
      <w:bookmarkStart w:id="507" w:name="DESCRIPTOR275"/>
      <w:bookmarkStart w:id="508" w:name="DESCRIPTOR276"/>
      <w:bookmarkStart w:id="509" w:name="DESCRIPTOR277"/>
      <w:bookmarkStart w:id="510" w:name="DESCRIPTOR278"/>
      <w:bookmarkStart w:id="511" w:name="DESCRIPTOR279"/>
      <w:bookmarkStart w:id="512" w:name="DESCRIPTOR280"/>
      <w:bookmarkStart w:id="513" w:name="DESCRIPTOR281"/>
      <w:bookmarkStart w:id="514" w:name="DESCRIPTOR282"/>
      <w:bookmarkStart w:id="515" w:name="DESCRIPTOR283"/>
      <w:bookmarkStart w:id="516" w:name="DESCRIPTOR284"/>
      <w:bookmarkStart w:id="517" w:name="DESCRIPTOR285"/>
      <w:bookmarkStart w:id="518" w:name="DESCRIPTOR286"/>
      <w:bookmarkStart w:id="519" w:name="DESCRIPTOR287"/>
      <w:bookmarkStart w:id="520" w:name="DESCRIPTOR288"/>
      <w:bookmarkStart w:id="521" w:name="DESCRIPTOR289"/>
      <w:bookmarkStart w:id="522" w:name="DESCRIPTOR290"/>
      <w:bookmarkStart w:id="523" w:name="DESCRIPTOR291"/>
      <w:bookmarkStart w:id="524" w:name="DESCRIPTOR292"/>
      <w:bookmarkStart w:id="525" w:name="DESCRIPTOR293"/>
      <w:bookmarkStart w:id="526" w:name="DESCRIPTOR294"/>
      <w:bookmarkStart w:id="527" w:name="DESCRIPTOR295"/>
      <w:bookmarkStart w:id="528" w:name="DESCRIPTOR296"/>
      <w:bookmarkStart w:id="529" w:name="DESCRIPTOR297"/>
      <w:bookmarkStart w:id="530" w:name="DESCRIPTOR298"/>
      <w:bookmarkStart w:id="531" w:name="DESCRIPTOR299"/>
      <w:bookmarkStart w:id="532" w:name="DESCRIPTOR300"/>
      <w:bookmarkStart w:id="533" w:name="DESCRIPTOR301"/>
      <w:bookmarkStart w:id="534" w:name="DESCRIPTOR302"/>
      <w:bookmarkStart w:id="535" w:name="DESCRIPTOR303"/>
      <w:bookmarkStart w:id="536" w:name="DESCRIPTOR304"/>
      <w:bookmarkStart w:id="537" w:name="DESCRIPTOR305"/>
      <w:bookmarkStart w:id="538" w:name="DESCRIPTOR306"/>
      <w:bookmarkStart w:id="539" w:name="DESCRIPTOR307"/>
      <w:bookmarkStart w:id="540" w:name="DESCRIPTOR308"/>
      <w:bookmarkStart w:id="541" w:name="DESCRIPTOR309"/>
      <w:bookmarkStart w:id="542" w:name="DESCRIPTOR310"/>
      <w:bookmarkStart w:id="543" w:name="DESCRIPTOR311"/>
      <w:bookmarkStart w:id="544" w:name="DESCRIPTOR312"/>
      <w:bookmarkStart w:id="545" w:name="DESCRIPTOR313"/>
      <w:bookmarkStart w:id="546" w:name="DESCRIPTOR314"/>
      <w:bookmarkStart w:id="547" w:name="DESCRIPTOR315"/>
      <w:bookmarkStart w:id="548" w:name="DESCRIPTOR316"/>
      <w:bookmarkStart w:id="549" w:name="DESCRIPTOR317"/>
      <w:bookmarkStart w:id="550" w:name="DESCRIPTOR318"/>
      <w:bookmarkStart w:id="551" w:name="DESCRIPTOR319"/>
      <w:bookmarkStart w:id="552" w:name="DESCRIPTOR320"/>
      <w:bookmarkStart w:id="553" w:name="DESCRIPTOR321"/>
      <w:bookmarkStart w:id="554" w:name="DESCRIPTOR322"/>
      <w:bookmarkStart w:id="555" w:name="DESCRIPTOR323"/>
      <w:bookmarkStart w:id="556" w:name="DESCRIPTOR324"/>
      <w:bookmarkStart w:id="557" w:name="DESCRIPTOR325"/>
      <w:bookmarkStart w:id="558" w:name="DESCRIPTOR326"/>
      <w:bookmarkStart w:id="559" w:name="DESCRIPTOR327"/>
      <w:bookmarkStart w:id="560" w:name="DESCRIPTOR328"/>
      <w:bookmarkStart w:id="561" w:name="DESCRIPTOR329"/>
      <w:bookmarkStart w:id="562" w:name="DESCRIPTOR330"/>
      <w:bookmarkStart w:id="563" w:name="DESCRIPTOR331"/>
      <w:bookmarkStart w:id="564" w:name="DESCRIPTOR332"/>
      <w:bookmarkStart w:id="565" w:name="DESCRIPTOR333"/>
      <w:bookmarkStart w:id="566" w:name="DESCRIPTOR334"/>
      <w:bookmarkStart w:id="567" w:name="DESCRIPTOR335"/>
      <w:bookmarkStart w:id="568" w:name="DESCRIPTOR336"/>
      <w:bookmarkStart w:id="569" w:name="DESCRIPTOR337"/>
      <w:bookmarkStart w:id="570" w:name="DESCRIPTOR338"/>
      <w:bookmarkStart w:id="571" w:name="DESCRIPTOR339"/>
      <w:bookmarkStart w:id="572" w:name="DESCRIPTOR340"/>
      <w:bookmarkStart w:id="573" w:name="DESCRIPTOR341"/>
      <w:bookmarkStart w:id="574" w:name="DESCRIPTOR342"/>
      <w:bookmarkStart w:id="575" w:name="DESCRIPTOR343"/>
      <w:bookmarkStart w:id="576" w:name="DESCRIPTOR344"/>
      <w:bookmarkStart w:id="577" w:name="DESCRIPTOR345"/>
      <w:bookmarkStart w:id="578" w:name="DESCRIPTOR346"/>
      <w:bookmarkStart w:id="579" w:name="DESCRIPTOR347"/>
      <w:bookmarkStart w:id="580" w:name="DESCRIPTOR348"/>
      <w:bookmarkStart w:id="581" w:name="DESCRIPTOR349"/>
      <w:bookmarkStart w:id="582" w:name="DESCRIPTOR350"/>
      <w:bookmarkStart w:id="583" w:name="DESCRIPTOR351"/>
      <w:bookmarkStart w:id="584" w:name="DESCRIPTOR352"/>
      <w:bookmarkStart w:id="585" w:name="DESCRIPTOR353"/>
      <w:bookmarkStart w:id="586" w:name="DESCRIPTOR354"/>
      <w:bookmarkStart w:id="587" w:name="DESCRIPTOR355"/>
      <w:bookmarkStart w:id="588" w:name="DESCRIPTOR356"/>
      <w:bookmarkStart w:id="589" w:name="DESCRIPTOR357"/>
      <w:bookmarkStart w:id="590" w:name="DESCRIPTOR358"/>
      <w:bookmarkStart w:id="591" w:name="DESCRIPTOR359"/>
      <w:bookmarkStart w:id="592" w:name="DESCRIPTOR360"/>
      <w:bookmarkStart w:id="593" w:name="DESCRIPTOR361"/>
      <w:bookmarkStart w:id="594" w:name="DESCRIPTOR362"/>
      <w:bookmarkStart w:id="595" w:name="DESCRIPTOR363"/>
      <w:bookmarkStart w:id="596" w:name="DESCRIPTOR364"/>
      <w:bookmarkStart w:id="597" w:name="DESCRIPTOR365"/>
      <w:bookmarkStart w:id="598" w:name="DESCRIPTOR366"/>
      <w:bookmarkStart w:id="599" w:name="DESCRIPTOR367"/>
      <w:bookmarkStart w:id="600" w:name="DESCRIPTOR368"/>
      <w:bookmarkStart w:id="601" w:name="DESCRIPTOR369"/>
      <w:bookmarkStart w:id="602" w:name="DESCRIPTOR370"/>
      <w:bookmarkStart w:id="603" w:name="DESCRIPTOR371"/>
      <w:bookmarkStart w:id="604" w:name="DESCRIPTOR372"/>
      <w:bookmarkStart w:id="605" w:name="DESCRIPTOR373"/>
      <w:bookmarkStart w:id="606" w:name="DESCRIPTOR374"/>
      <w:bookmarkStart w:id="607" w:name="DESCRIPTOR375"/>
      <w:bookmarkStart w:id="608" w:name="DESCRIPTOR376"/>
      <w:bookmarkStart w:id="609" w:name="DESCRIPTOR377"/>
      <w:bookmarkStart w:id="610" w:name="DESCRIPTOR378"/>
      <w:bookmarkStart w:id="611" w:name="DESCRIPTOR379"/>
      <w:bookmarkStart w:id="612" w:name="DESCRIPTOR380"/>
      <w:bookmarkStart w:id="613" w:name="DESCRIPTOR381"/>
      <w:bookmarkStart w:id="614" w:name="DESCRIPTOR382"/>
      <w:bookmarkStart w:id="615" w:name="DESCRIPTOR383"/>
      <w:bookmarkStart w:id="616" w:name="DESCRIPTOR384"/>
      <w:bookmarkStart w:id="617" w:name="DESCRIPTOR385"/>
      <w:bookmarkStart w:id="618" w:name="DESCRIPTOR386"/>
      <w:bookmarkStart w:id="619" w:name="DESCRIPTOR387"/>
      <w:bookmarkStart w:id="620" w:name="DESCRIPTOR388"/>
      <w:bookmarkStart w:id="621" w:name="DESCRIPTOR389"/>
      <w:bookmarkStart w:id="622" w:name="DESCRIPTOR390"/>
      <w:bookmarkStart w:id="623" w:name="DESCRIPTOR391"/>
      <w:bookmarkStart w:id="624" w:name="DESCRIPTOR392"/>
      <w:bookmarkStart w:id="625" w:name="DESCRIPTOR393"/>
      <w:bookmarkStart w:id="626" w:name="DESCRIPTOR394"/>
      <w:bookmarkStart w:id="627" w:name="DESCRIPTOR395"/>
      <w:bookmarkStart w:id="628" w:name="DESCRIPTOR396"/>
      <w:bookmarkStart w:id="629" w:name="DESCRIPTOR397"/>
      <w:bookmarkStart w:id="630" w:name="DESCRIPTOR398"/>
      <w:bookmarkStart w:id="631" w:name="DESCRIPTOR399"/>
      <w:bookmarkStart w:id="632" w:name="DESCRIPTOR400"/>
      <w:bookmarkStart w:id="633" w:name="DESCRIPTOR401"/>
      <w:bookmarkStart w:id="634" w:name="DESCRIPTOR402"/>
      <w:bookmarkStart w:id="635" w:name="DESCRIPTOR403"/>
      <w:bookmarkStart w:id="636" w:name="DESCRIPTOR404"/>
      <w:bookmarkStart w:id="637" w:name="DESCRIPTOR405"/>
      <w:bookmarkStart w:id="638" w:name="DESCRIPTOR406"/>
      <w:bookmarkStart w:id="639" w:name="DESCRIPTOR407"/>
      <w:bookmarkStart w:id="640" w:name="DESCRIPTOR408"/>
      <w:bookmarkStart w:id="641" w:name="DESCRIPTOR409"/>
      <w:bookmarkStart w:id="642" w:name="DESCRIPTOR410"/>
      <w:bookmarkStart w:id="643" w:name="DESCRIPTOR411"/>
      <w:bookmarkStart w:id="644" w:name="DESCRIPTOR412"/>
      <w:bookmarkStart w:id="645" w:name="DESCRIPTOR413"/>
      <w:bookmarkStart w:id="646" w:name="DESCRIPTOR414"/>
      <w:bookmarkStart w:id="647" w:name="DESCRIPTOR415"/>
      <w:bookmarkStart w:id="648" w:name="DESCRIPTOR416"/>
      <w:bookmarkStart w:id="649" w:name="DESCRIPTOR417"/>
      <w:bookmarkStart w:id="650" w:name="DESCRIPTOR418"/>
      <w:bookmarkStart w:id="651" w:name="DESCRIPTOR419"/>
      <w:bookmarkStart w:id="652" w:name="DESCRIPTOR420"/>
      <w:bookmarkStart w:id="653" w:name="DESCRIPTOR421"/>
      <w:bookmarkStart w:id="654" w:name="DESCRIPTOR422"/>
      <w:bookmarkStart w:id="655" w:name="DESCRIPTOR423"/>
      <w:bookmarkStart w:id="656" w:name="DESCRIPTOR424"/>
      <w:bookmarkStart w:id="657" w:name="DESCRIPTOR425"/>
      <w:bookmarkStart w:id="658" w:name="DESCRIPTOR426"/>
      <w:bookmarkStart w:id="659" w:name="DESCRIPTOR427"/>
      <w:bookmarkStart w:id="660" w:name="DESCRIPTOR428"/>
      <w:bookmarkStart w:id="661" w:name="DESCRIPTOR429"/>
      <w:bookmarkStart w:id="662" w:name="DESCRIPTOR430"/>
      <w:bookmarkStart w:id="663" w:name="DESCRIPTOR431"/>
      <w:bookmarkStart w:id="664" w:name="DESCRIPTOR432"/>
      <w:bookmarkStart w:id="665" w:name="DESCRIPTOR433"/>
      <w:bookmarkStart w:id="666" w:name="DESCRIPTOR434"/>
      <w:bookmarkStart w:id="667" w:name="DESCRIPTOR435"/>
      <w:bookmarkStart w:id="668" w:name="DESCRIPTOR436"/>
      <w:bookmarkStart w:id="669" w:name="DESCRIPTOR437"/>
      <w:bookmarkStart w:id="670" w:name="DESCRIPTOR438"/>
      <w:bookmarkStart w:id="671" w:name="DESCRIPTOR439"/>
      <w:bookmarkStart w:id="672" w:name="DESCRIPTOR440"/>
      <w:bookmarkStart w:id="673" w:name="DESCRIPTOR441"/>
      <w:bookmarkStart w:id="674" w:name="DESCRIPTOR442"/>
      <w:bookmarkStart w:id="675" w:name="DESCRIPTOR443"/>
      <w:bookmarkStart w:id="676" w:name="DESCRIPTOR444"/>
      <w:bookmarkStart w:id="677" w:name="DESCRIPTOR445"/>
      <w:bookmarkStart w:id="678" w:name="DESCRIPTOR446"/>
      <w:bookmarkStart w:id="679" w:name="DESCRIPTOR447"/>
      <w:bookmarkStart w:id="680" w:name="DESCRIPTOR448"/>
      <w:bookmarkStart w:id="681" w:name="DESCRIPTOR449"/>
      <w:bookmarkStart w:id="682" w:name="DESCRIPTOR450"/>
      <w:bookmarkStart w:id="683" w:name="DESCRIPTOR451"/>
      <w:bookmarkStart w:id="684" w:name="DESCRIPTOR452"/>
      <w:bookmarkStart w:id="685" w:name="DESCRIPTOR453"/>
      <w:bookmarkStart w:id="686" w:name="DESCRIPTOR454"/>
      <w:bookmarkStart w:id="687" w:name="DESCRIPTOR455"/>
      <w:bookmarkStart w:id="688" w:name="DESCRIPTOR456"/>
      <w:bookmarkStart w:id="689" w:name="DESCRIPTOR457"/>
      <w:bookmarkStart w:id="690" w:name="DESCRIPTOR458"/>
      <w:bookmarkStart w:id="691" w:name="DESCRIPTOR459"/>
      <w:bookmarkStart w:id="692" w:name="DESCRIPTOR460"/>
      <w:bookmarkStart w:id="693" w:name="DESCRIPTOR461"/>
      <w:bookmarkStart w:id="694" w:name="DESCRIPTOR462"/>
      <w:bookmarkStart w:id="695" w:name="DESCRIPTOR463"/>
      <w:bookmarkStart w:id="696" w:name="DESCRIPTOR464"/>
      <w:bookmarkStart w:id="697" w:name="DESCRIPTOR465"/>
      <w:bookmarkStart w:id="698" w:name="DESCRIPTOR466"/>
      <w:bookmarkStart w:id="699" w:name="DESCRIPTOR467"/>
      <w:bookmarkStart w:id="700" w:name="DESCRIPTOR468"/>
      <w:bookmarkStart w:id="701" w:name="DESCRIPTOR469"/>
      <w:bookmarkStart w:id="702" w:name="DESCRIPTOR470"/>
      <w:bookmarkStart w:id="703" w:name="DESCRIPTOR471"/>
      <w:bookmarkStart w:id="704" w:name="DESCRIPTOR472"/>
      <w:bookmarkStart w:id="705" w:name="DESCRIPTOR473"/>
      <w:bookmarkStart w:id="706" w:name="DESCRIPTOR474"/>
      <w:bookmarkStart w:id="707" w:name="DESCRIPTOR475"/>
      <w:bookmarkStart w:id="708" w:name="DESCRIPTOR476"/>
      <w:bookmarkStart w:id="709" w:name="DESCRIPTOR477"/>
      <w:bookmarkStart w:id="710" w:name="DESCRIPTOR478"/>
      <w:bookmarkStart w:id="711" w:name="DESCRIPTOR479"/>
      <w:bookmarkStart w:id="712" w:name="DESCRIPTOR480"/>
      <w:bookmarkStart w:id="713" w:name="DESCRIPTOR481"/>
      <w:bookmarkStart w:id="714" w:name="DESCRIPTOR482"/>
      <w:bookmarkStart w:id="715" w:name="DESCRIPTOR483"/>
      <w:bookmarkStart w:id="716" w:name="DESCRIPTOR484"/>
      <w:bookmarkStart w:id="717" w:name="DESCRIPTOR485"/>
      <w:bookmarkStart w:id="718" w:name="DESCRIPTOR486"/>
      <w:bookmarkStart w:id="719" w:name="DESCRIPTOR487"/>
      <w:bookmarkStart w:id="720" w:name="DESCRIPTOR488"/>
      <w:bookmarkStart w:id="721" w:name="DESCRIPTOR489"/>
      <w:bookmarkStart w:id="722" w:name="DESCRIPTOR490"/>
      <w:bookmarkStart w:id="723" w:name="DESCRIPTOR491"/>
      <w:bookmarkStart w:id="724" w:name="DESCRIPTOR492"/>
      <w:bookmarkStart w:id="725" w:name="DESCRIPTOR493"/>
      <w:bookmarkStart w:id="726" w:name="DESCRIPTOR494"/>
      <w:bookmarkStart w:id="727" w:name="DESCRIPTOR495"/>
      <w:bookmarkStart w:id="728" w:name="INDICE5ALFABETICO"/>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p>
    <w:p w:rsidR="00CF552A" w:rsidRDefault="00CF552A" w:rsidP="00CF552A">
      <w:pPr>
        <w:pStyle w:val="TextoNormal"/>
      </w:pPr>
    </w:p>
    <w:p w:rsidR="00CF552A" w:rsidRDefault="00CF552A" w:rsidP="00CF552A">
      <w:pPr>
        <w:pStyle w:val="TextoNormal"/>
      </w:pPr>
    </w:p>
    <w:p w:rsidR="00CF552A" w:rsidRDefault="00CF552A" w:rsidP="00CF552A">
      <w:pPr>
        <w:pStyle w:val="TextoNormal"/>
      </w:pPr>
    </w:p>
    <w:p w:rsidR="00CF552A" w:rsidRDefault="00CF552A" w:rsidP="00CF552A">
      <w:pPr>
        <w:pStyle w:val="Ttulondice"/>
      </w:pPr>
      <w:r>
        <w:t>7. ÍNDICE ANALÍTICO</w:t>
      </w:r>
    </w:p>
    <w:p w:rsidR="00CF552A" w:rsidRDefault="00CF552A" w:rsidP="00CF552A">
      <w:pPr>
        <w:pStyle w:val="TextoNormal"/>
      </w:pPr>
    </w:p>
    <w:p w:rsidR="00CF552A" w:rsidRDefault="00CF552A" w:rsidP="00CF552A">
      <w:pPr>
        <w:pStyle w:val="Ttulondice"/>
      </w:pPr>
    </w:p>
    <w:p w:rsidR="00CF552A" w:rsidRDefault="00CF552A" w:rsidP="00CF552A">
      <w:pPr>
        <w:pStyle w:val="Ttulondice"/>
      </w:pPr>
    </w:p>
    <w:p w:rsidR="00CF552A" w:rsidRDefault="00CF552A" w:rsidP="00CF552A">
      <w:pPr>
        <w:pStyle w:val="Ttulondice"/>
      </w:pPr>
    </w:p>
    <w:p w:rsidR="00CF552A" w:rsidRDefault="00CF552A" w:rsidP="00CF552A">
      <w:pPr>
        <w:pStyle w:val="Ttulondice"/>
      </w:pPr>
    </w:p>
    <w:p w:rsidR="00CF552A" w:rsidRDefault="00CF552A" w:rsidP="00CF552A">
      <w:pPr>
        <w:pStyle w:val="Ttulondice"/>
      </w:pPr>
    </w:p>
    <w:p w:rsidR="00CF552A" w:rsidRDefault="00CF552A" w:rsidP="00CF552A">
      <w:pPr>
        <w:pStyle w:val="Ttulondice"/>
      </w:pPr>
    </w:p>
    <w:p w:rsidR="00CF552A" w:rsidRDefault="00CF552A" w:rsidP="00CF552A">
      <w:pPr>
        <w:pStyle w:val="Ttulondice"/>
      </w:pPr>
    </w:p>
    <w:p w:rsidR="00CF552A" w:rsidRDefault="00CF552A" w:rsidP="00CF552A">
      <w:pPr>
        <w:pStyle w:val="TextoNormalNegritaCentrado"/>
      </w:pPr>
      <w:r>
        <w:t>A</w:t>
      </w:r>
    </w:p>
    <w:p w:rsidR="00CF552A" w:rsidRDefault="00CF552A" w:rsidP="00CF552A">
      <w:pPr>
        <w:pStyle w:val="TextoNormalNegritaCentrado"/>
      </w:pPr>
    </w:p>
    <w:p w:rsidR="00CF552A" w:rsidRDefault="00CF552A" w:rsidP="00CF552A">
      <w:pPr>
        <w:pStyle w:val="TextoNormalNegritaCentrado"/>
      </w:pPr>
    </w:p>
    <w:p w:rsidR="00CF552A" w:rsidRDefault="00CF552A" w:rsidP="00CF552A">
      <w:pPr>
        <w:pStyle w:val="TextoNormalNegritaCentrado"/>
      </w:pPr>
    </w:p>
    <w:p w:rsidR="00CF552A" w:rsidRPr="00CF552A" w:rsidRDefault="00CF552A" w:rsidP="00CF552A">
      <w:pPr>
        <w:pStyle w:val="TextoNormalSangraFrancesa"/>
        <w:rPr>
          <w:rStyle w:val="TextoNormalCaracter"/>
        </w:rPr>
      </w:pPr>
      <w:bookmarkStart w:id="729" w:name="DESCRIPTORALFABETICO483"/>
      <w:r w:rsidRPr="00CF552A">
        <w:rPr>
          <w:rStyle w:val="TextoNormalNegritaCaracter"/>
        </w:rPr>
        <w:t>Absolución penal</w:t>
      </w:r>
      <w:bookmarkEnd w:id="729"/>
      <w:r w:rsidRPr="00CF552A">
        <w:rPr>
          <w:rStyle w:val="TextoNormalCaracter"/>
        </w:rPr>
        <w:t xml:space="preserve">, Sentencia </w:t>
      </w:r>
      <w:hyperlink w:anchor="SENTENCIA_1997_62" w:history="1">
        <w:r w:rsidRPr="00CF552A">
          <w:rPr>
            <w:rStyle w:val="TextoNormalCaracter"/>
          </w:rPr>
          <w:t>62/1997</w:t>
        </w:r>
      </w:hyperlink>
      <w:r w:rsidRPr="00CF552A">
        <w:rPr>
          <w:rStyle w:val="TextoNormalCaracter"/>
        </w:rPr>
        <w:t>, f. 3.</w:t>
      </w:r>
    </w:p>
    <w:p w:rsidR="00CF552A" w:rsidRPr="00CF552A" w:rsidRDefault="00CF552A" w:rsidP="00CF552A">
      <w:pPr>
        <w:pStyle w:val="TextoNormalSangraFrancesa"/>
        <w:rPr>
          <w:rStyle w:val="TextoNormalCaracter"/>
        </w:rPr>
      </w:pPr>
      <w:bookmarkStart w:id="730" w:name="DESCRIPTORALFABETICO367"/>
      <w:r w:rsidRPr="00CF552A">
        <w:rPr>
          <w:rStyle w:val="TextoNormalNegritaCaracter"/>
        </w:rPr>
        <w:t>Abstención y recusación de jueces y magistrados</w:t>
      </w:r>
      <w:bookmarkEnd w:id="730"/>
      <w:r w:rsidRPr="00CF552A">
        <w:rPr>
          <w:rStyle w:val="TextoNormalCaracter"/>
        </w:rPr>
        <w:t xml:space="preserve">, Sentencia </w:t>
      </w:r>
      <w:hyperlink w:anchor="SENTENCIA_1997_7" w:history="1">
        <w:r w:rsidRPr="00CF552A">
          <w:rPr>
            <w:rStyle w:val="TextoNormalCaracter"/>
          </w:rPr>
          <w:t>7/1997</w:t>
        </w:r>
      </w:hyperlink>
      <w:r w:rsidRPr="00CF552A">
        <w:rPr>
          <w:rStyle w:val="TextoNormalCaracter"/>
        </w:rPr>
        <w:t>, f. 2.</w:t>
      </w:r>
    </w:p>
    <w:p w:rsidR="00CF552A" w:rsidRPr="00CF552A" w:rsidRDefault="00CF552A" w:rsidP="00CF552A">
      <w:pPr>
        <w:pStyle w:val="TextoNormalSangraFrancesa"/>
        <w:rPr>
          <w:rStyle w:val="TextoNormalCaracter"/>
        </w:rPr>
      </w:pPr>
      <w:bookmarkStart w:id="731" w:name="DESCRIPTORALFABETICO54"/>
      <w:r w:rsidRPr="00CF552A">
        <w:rPr>
          <w:rStyle w:val="TextoNormalNegritaCaracter"/>
        </w:rPr>
        <w:t>Acceso a la justicia</w:t>
      </w:r>
      <w:bookmarkEnd w:id="731"/>
      <w:r w:rsidRPr="00CF552A">
        <w:rPr>
          <w:rStyle w:val="TextoNormalCaracter"/>
        </w:rPr>
        <w:t xml:space="preserve">, Sentencias </w:t>
      </w:r>
      <w:hyperlink w:anchor="SENTENCIA_1997_36" w:history="1">
        <w:r w:rsidRPr="00CF552A">
          <w:rPr>
            <w:rStyle w:val="TextoNormalCaracter"/>
          </w:rPr>
          <w:t>36/1997</w:t>
        </w:r>
      </w:hyperlink>
      <w:r w:rsidRPr="00CF552A">
        <w:rPr>
          <w:rStyle w:val="TextoNormalCaracter"/>
        </w:rPr>
        <w:t xml:space="preserve">, ff. 3, 4; </w:t>
      </w:r>
      <w:hyperlink w:anchor="SENTENCIA_1997_42" w:history="1">
        <w:r w:rsidRPr="00CF552A">
          <w:rPr>
            <w:rStyle w:val="TextoNormalCaracter"/>
          </w:rPr>
          <w:t>42/1997</w:t>
        </w:r>
      </w:hyperlink>
      <w:r w:rsidRPr="00CF552A">
        <w:rPr>
          <w:rStyle w:val="TextoNormalCaracter"/>
        </w:rPr>
        <w:t xml:space="preserve">, ff. 1, 2, 3, 4, 5, 6; </w:t>
      </w:r>
      <w:hyperlink w:anchor="SENTENCIA_1997_55" w:history="1">
        <w:r w:rsidRPr="00CF552A">
          <w:rPr>
            <w:rStyle w:val="TextoNormalCaracter"/>
          </w:rPr>
          <w:t>55/1997</w:t>
        </w:r>
      </w:hyperlink>
      <w:r w:rsidRPr="00CF552A">
        <w:rPr>
          <w:rStyle w:val="TextoNormalCaracter"/>
        </w:rPr>
        <w:t xml:space="preserve">, ff. 2, 3, VP; </w:t>
      </w:r>
      <w:hyperlink w:anchor="SENTENCIA_1997_69" w:history="1">
        <w:r w:rsidRPr="00CF552A">
          <w:rPr>
            <w:rStyle w:val="TextoNormalCaracter"/>
          </w:rPr>
          <w:t>69/1997</w:t>
        </w:r>
      </w:hyperlink>
      <w:r w:rsidRPr="00CF552A">
        <w:rPr>
          <w:rStyle w:val="TextoNormalCaracter"/>
        </w:rPr>
        <w:t xml:space="preserve">, ff. 4, 5; </w:t>
      </w:r>
      <w:hyperlink w:anchor="SENTENCIA_1997_79" w:history="1">
        <w:r w:rsidRPr="00CF552A">
          <w:rPr>
            <w:rStyle w:val="TextoNormalCaracter"/>
          </w:rPr>
          <w:t>79/1997</w:t>
        </w:r>
      </w:hyperlink>
      <w:r w:rsidRPr="00CF552A">
        <w:rPr>
          <w:rStyle w:val="TextoNormalCaracter"/>
        </w:rPr>
        <w:t xml:space="preserve">, ff. 4, 5; </w:t>
      </w:r>
      <w:hyperlink w:anchor="SENTENCIA_1997_84" w:history="1">
        <w:r w:rsidRPr="00CF552A">
          <w:rPr>
            <w:rStyle w:val="TextoNormalCaracter"/>
          </w:rPr>
          <w:t>84/1997</w:t>
        </w:r>
      </w:hyperlink>
      <w:r w:rsidRPr="00CF552A">
        <w:rPr>
          <w:rStyle w:val="TextoNormalCaracter"/>
        </w:rPr>
        <w:t>, ff. 1, 2, 3, 4.</w:t>
      </w:r>
    </w:p>
    <w:p w:rsidR="00CF552A" w:rsidRPr="00CF552A" w:rsidRDefault="00CF552A" w:rsidP="00CF552A">
      <w:pPr>
        <w:pStyle w:val="TextoNormalSangraFrancesa"/>
        <w:rPr>
          <w:rStyle w:val="TextoNormalCaracter"/>
        </w:rPr>
      </w:pPr>
      <w:r w:rsidRPr="00CF552A">
        <w:rPr>
          <w:rStyle w:val="TextoNormalCursivaCaracter"/>
        </w:rPr>
        <w:t xml:space="preserve">    Vulnerado, </w:t>
      </w:r>
      <w:r w:rsidRPr="00CF552A">
        <w:rPr>
          <w:rStyle w:val="TextoNormalCaracter"/>
        </w:rPr>
        <w:t xml:space="preserve">Sentencias </w:t>
      </w:r>
      <w:hyperlink w:anchor="SENTENCIA_1997_79" w:history="1">
        <w:r w:rsidRPr="00CF552A">
          <w:rPr>
            <w:rStyle w:val="TextoNormalCaracter"/>
          </w:rPr>
          <w:t>79/1997</w:t>
        </w:r>
      </w:hyperlink>
      <w:r w:rsidRPr="00CF552A">
        <w:rPr>
          <w:rStyle w:val="TextoNormalCaracter"/>
        </w:rPr>
        <w:t xml:space="preserve">, f. 4; </w:t>
      </w:r>
      <w:hyperlink w:anchor="SENTENCIA_1997_84" w:history="1">
        <w:r w:rsidRPr="00CF552A">
          <w:rPr>
            <w:rStyle w:val="TextoNormalCaracter"/>
          </w:rPr>
          <w:t>84/1997</w:t>
        </w:r>
      </w:hyperlink>
      <w:r w:rsidRPr="00CF552A">
        <w:rPr>
          <w:rStyle w:val="TextoNormalCaracter"/>
        </w:rPr>
        <w:t>, ff. 1, 2, 3, 4.</w:t>
      </w:r>
    </w:p>
    <w:p w:rsidR="00CF552A" w:rsidRPr="00CF552A" w:rsidRDefault="00CF552A" w:rsidP="00CF552A">
      <w:pPr>
        <w:pStyle w:val="TextoNormalSangraFrancesa"/>
        <w:rPr>
          <w:rStyle w:val="TextoNormalCaracter"/>
        </w:rPr>
      </w:pPr>
      <w:bookmarkStart w:id="732" w:name="DESCRIPTORALFABETICO56"/>
      <w:r w:rsidRPr="00CF552A">
        <w:rPr>
          <w:rStyle w:val="TextoNormalNegritaCaracter"/>
        </w:rPr>
        <w:t xml:space="preserve">Acceso a la justicia </w:t>
      </w:r>
      <w:r w:rsidRPr="00CF552A">
        <w:rPr>
          <w:rStyle w:val="TextoNormalNegritaCaracter"/>
          <w:i/>
        </w:rPr>
        <w:t>versus</w:t>
      </w:r>
      <w:r w:rsidRPr="00CF552A">
        <w:rPr>
          <w:rStyle w:val="TextoNormalNegritaCaracter"/>
        </w:rPr>
        <w:t xml:space="preserve"> acceso a los recursos</w:t>
      </w:r>
      <w:bookmarkEnd w:id="732"/>
      <w:r w:rsidRPr="00CF552A">
        <w:rPr>
          <w:rStyle w:val="TextoNormalCaracter"/>
        </w:rPr>
        <w:t xml:space="preserve">, Sentencia </w:t>
      </w:r>
      <w:hyperlink w:anchor="SENTENCIA_1997_9" w:history="1">
        <w:r w:rsidRPr="00CF552A">
          <w:rPr>
            <w:rStyle w:val="TextoNormalCaracter"/>
          </w:rPr>
          <w:t>9/1997</w:t>
        </w:r>
      </w:hyperlink>
      <w:r w:rsidRPr="00CF552A">
        <w:rPr>
          <w:rStyle w:val="TextoNormalCaracter"/>
        </w:rPr>
        <w:t>, f. 2.</w:t>
      </w:r>
    </w:p>
    <w:p w:rsidR="00CF552A" w:rsidRPr="00CF552A" w:rsidRDefault="00CF552A" w:rsidP="00CF552A">
      <w:pPr>
        <w:pStyle w:val="TextoNormalSangraFrancesa"/>
        <w:rPr>
          <w:rStyle w:val="TextoNormalCaracter"/>
        </w:rPr>
      </w:pPr>
      <w:bookmarkStart w:id="733" w:name="DESCRIPTORALFABETICO256"/>
      <w:r w:rsidRPr="00CF552A">
        <w:rPr>
          <w:rStyle w:val="TextoNormalNegritaCaracter"/>
        </w:rPr>
        <w:t>Acceso a la universidad</w:t>
      </w:r>
      <w:bookmarkEnd w:id="733"/>
      <w:r w:rsidRPr="00CF552A">
        <w:rPr>
          <w:rStyle w:val="TextoNormalCaracter"/>
        </w:rPr>
        <w:t xml:space="preserve">, Sentencia </w:t>
      </w:r>
      <w:hyperlink w:anchor="SENTENCIA_1997_78" w:history="1">
        <w:r w:rsidRPr="00CF552A">
          <w:rPr>
            <w:rStyle w:val="TextoNormalCaracter"/>
          </w:rPr>
          <w:t>78/1997</w:t>
        </w:r>
      </w:hyperlink>
      <w:r w:rsidRPr="00CF552A">
        <w:rPr>
          <w:rStyle w:val="TextoNormalCaracter"/>
        </w:rPr>
        <w:t>, f. 5.</w:t>
      </w:r>
    </w:p>
    <w:p w:rsidR="00CF552A" w:rsidRPr="00CF552A" w:rsidRDefault="00CF552A" w:rsidP="00CF552A">
      <w:pPr>
        <w:pStyle w:val="TextoNormalSangraFrancesa"/>
        <w:rPr>
          <w:rStyle w:val="TextoNormalCaracter"/>
        </w:rPr>
      </w:pPr>
      <w:bookmarkStart w:id="734" w:name="DESCRIPTORALFABETICO60"/>
      <w:r w:rsidRPr="00CF552A">
        <w:rPr>
          <w:rStyle w:val="TextoNormalNegritaCaracter"/>
        </w:rPr>
        <w:t>Acceso al recurso legal</w:t>
      </w:r>
      <w:bookmarkEnd w:id="734"/>
      <w:r w:rsidRPr="00CF552A">
        <w:rPr>
          <w:rStyle w:val="TextoNormalCaracter"/>
        </w:rPr>
        <w:t xml:space="preserve">, </w:t>
      </w:r>
    </w:p>
    <w:p w:rsidR="00CF552A" w:rsidRPr="00CF552A" w:rsidRDefault="00CF552A" w:rsidP="00CF552A">
      <w:pPr>
        <w:pStyle w:val="TextoNormalSangraFrancesa"/>
        <w:rPr>
          <w:rStyle w:val="TextoNormalCaracter"/>
        </w:rPr>
      </w:pPr>
      <w:r w:rsidRPr="00CF552A">
        <w:rPr>
          <w:rStyle w:val="TextoNormalCursivaCaracter"/>
        </w:rPr>
        <w:t xml:space="preserve">    Respetado, </w:t>
      </w:r>
      <w:r w:rsidRPr="00CF552A">
        <w:rPr>
          <w:rStyle w:val="TextoNormalCaracter"/>
        </w:rPr>
        <w:t xml:space="preserve">Sentencia </w:t>
      </w:r>
      <w:hyperlink w:anchor="SENTENCIA_1997_57" w:history="1">
        <w:r w:rsidRPr="00CF552A">
          <w:rPr>
            <w:rStyle w:val="TextoNormalCaracter"/>
          </w:rPr>
          <w:t>57/1997</w:t>
        </w:r>
      </w:hyperlink>
      <w:r w:rsidRPr="00CF552A">
        <w:rPr>
          <w:rStyle w:val="TextoNormalCaracter"/>
        </w:rPr>
        <w:t>, f. 4.</w:t>
      </w:r>
    </w:p>
    <w:p w:rsidR="00CF552A" w:rsidRPr="00CF552A" w:rsidRDefault="00CF552A" w:rsidP="00CF552A">
      <w:pPr>
        <w:pStyle w:val="TextoNormalSangraFrancesa"/>
        <w:rPr>
          <w:rStyle w:val="TextoNormalCaracter"/>
        </w:rPr>
      </w:pPr>
      <w:bookmarkStart w:id="735" w:name="DESCRIPTORALFABETICO243"/>
      <w:r w:rsidRPr="00CF552A">
        <w:rPr>
          <w:rStyle w:val="TextoNormalNegritaCaracter"/>
        </w:rPr>
        <w:t>Actas de infracción</w:t>
      </w:r>
      <w:bookmarkEnd w:id="735"/>
      <w:r w:rsidRPr="00CF552A">
        <w:rPr>
          <w:rStyle w:val="TextoNormalCaracter"/>
        </w:rPr>
        <w:t xml:space="preserve">, Sentencia </w:t>
      </w:r>
      <w:hyperlink w:anchor="SENTENCIA_1997_14" w:history="1">
        <w:r w:rsidRPr="00CF552A">
          <w:rPr>
            <w:rStyle w:val="TextoNormalCaracter"/>
          </w:rPr>
          <w:t>14/1997</w:t>
        </w:r>
      </w:hyperlink>
      <w:r w:rsidRPr="00CF552A">
        <w:rPr>
          <w:rStyle w:val="TextoNormalCaracter"/>
        </w:rPr>
        <w:t>, f. 6.</w:t>
      </w:r>
    </w:p>
    <w:p w:rsidR="00CF552A" w:rsidRPr="00CF552A" w:rsidRDefault="00CF552A" w:rsidP="00CF552A">
      <w:pPr>
        <w:pStyle w:val="TextoNormalSangraFrancesa"/>
        <w:rPr>
          <w:rStyle w:val="TextoNormalCaracter"/>
        </w:rPr>
      </w:pPr>
      <w:bookmarkStart w:id="736" w:name="DESCRIPTORALFABETICO376"/>
      <w:r w:rsidRPr="00CF552A">
        <w:rPr>
          <w:rStyle w:val="TextoNormalNegritaCaracter"/>
        </w:rPr>
        <w:t>Actos procesales de comunicación</w:t>
      </w:r>
      <w:bookmarkEnd w:id="736"/>
      <w:r w:rsidRPr="00CF552A">
        <w:rPr>
          <w:rStyle w:val="TextoNormalCaracter"/>
        </w:rPr>
        <w:t xml:space="preserve">, </w:t>
      </w:r>
    </w:p>
    <w:p w:rsidR="00CF552A" w:rsidRPr="00CF552A" w:rsidRDefault="00CF552A" w:rsidP="00CF552A">
      <w:pPr>
        <w:pStyle w:val="TextoNormalSangraFrancesa"/>
        <w:rPr>
          <w:rStyle w:val="TextoNormalCaracter"/>
        </w:rPr>
      </w:pPr>
      <w:r w:rsidRPr="00CF552A">
        <w:rPr>
          <w:rStyle w:val="TextoNormalCursivaCaracter"/>
        </w:rPr>
        <w:t xml:space="preserve">    Doctrina constitucional, </w:t>
      </w:r>
      <w:r w:rsidRPr="00CF552A">
        <w:rPr>
          <w:rStyle w:val="TextoNormalCaracter"/>
        </w:rPr>
        <w:t xml:space="preserve">Sentencias </w:t>
      </w:r>
      <w:hyperlink w:anchor="SENTENCIA_1997_29" w:history="1">
        <w:r w:rsidRPr="00CF552A">
          <w:rPr>
            <w:rStyle w:val="TextoNormalCaracter"/>
          </w:rPr>
          <w:t>29/1997</w:t>
        </w:r>
      </w:hyperlink>
      <w:r w:rsidRPr="00CF552A">
        <w:rPr>
          <w:rStyle w:val="TextoNormalCaracter"/>
        </w:rPr>
        <w:t xml:space="preserve">, f. 2; </w:t>
      </w:r>
      <w:hyperlink w:anchor="SENTENCIA_1997_77" w:history="1">
        <w:r w:rsidRPr="00CF552A">
          <w:rPr>
            <w:rStyle w:val="TextoNormalCaracter"/>
          </w:rPr>
          <w:t>77/1997</w:t>
        </w:r>
      </w:hyperlink>
      <w:r w:rsidRPr="00CF552A">
        <w:rPr>
          <w:rStyle w:val="TextoNormalCaracter"/>
        </w:rPr>
        <w:t xml:space="preserve">, f. 2; </w:t>
      </w:r>
      <w:hyperlink w:anchor="SENTENCIA_1997_86" w:history="1">
        <w:r w:rsidRPr="00CF552A">
          <w:rPr>
            <w:rStyle w:val="TextoNormalCaracter"/>
          </w:rPr>
          <w:t>86/1997</w:t>
        </w:r>
      </w:hyperlink>
      <w:r w:rsidRPr="00CF552A">
        <w:rPr>
          <w:rStyle w:val="TextoNormalCaracter"/>
        </w:rPr>
        <w:t>, f. 1.</w:t>
      </w:r>
    </w:p>
    <w:p w:rsidR="00CF552A" w:rsidRPr="00CF552A" w:rsidRDefault="00CF552A" w:rsidP="00CF552A">
      <w:pPr>
        <w:pStyle w:val="TextoNormalSangraFrancesa"/>
        <w:rPr>
          <w:rStyle w:val="TextoNormalCaracter"/>
        </w:rPr>
      </w:pPr>
      <w:bookmarkStart w:id="737" w:name="DESCRIPTORALFABETICO304"/>
      <w:r w:rsidRPr="00CF552A">
        <w:rPr>
          <w:rStyle w:val="TextoNormalNegritaCaracter"/>
        </w:rPr>
        <w:t>Acuerdos con la Santa Sede</w:t>
      </w:r>
      <w:bookmarkEnd w:id="737"/>
      <w:r w:rsidRPr="00CF552A">
        <w:rPr>
          <w:rStyle w:val="TextoNormalCaracter"/>
        </w:rPr>
        <w:t xml:space="preserve">, Sentencia </w:t>
      </w:r>
      <w:hyperlink w:anchor="SENTENCIA_1997_6" w:history="1">
        <w:r w:rsidRPr="00CF552A">
          <w:rPr>
            <w:rStyle w:val="TextoNormalCaracter"/>
          </w:rPr>
          <w:t>6/1997</w:t>
        </w:r>
      </w:hyperlink>
      <w:r w:rsidRPr="00CF552A">
        <w:rPr>
          <w:rStyle w:val="TextoNormalCaracter"/>
        </w:rPr>
        <w:t>, f. 5.</w:t>
      </w:r>
    </w:p>
    <w:p w:rsidR="00CF552A" w:rsidRPr="00CF552A" w:rsidRDefault="00CF552A" w:rsidP="00CF552A">
      <w:pPr>
        <w:pStyle w:val="TextoNormalSangraFrancesa"/>
        <w:rPr>
          <w:rStyle w:val="TextoNormalCaracter"/>
        </w:rPr>
      </w:pPr>
      <w:bookmarkStart w:id="738" w:name="DESCRIPTORALFABETICO192"/>
      <w:r w:rsidRPr="00CF552A">
        <w:rPr>
          <w:rStyle w:val="TextoNormalNegritaCaracter"/>
        </w:rPr>
        <w:t>Administración penitenciaria</w:t>
      </w:r>
      <w:bookmarkEnd w:id="738"/>
      <w:r w:rsidRPr="00CF552A">
        <w:rPr>
          <w:rStyle w:val="TextoNormalCaracter"/>
        </w:rPr>
        <w:t xml:space="preserve">, Sentencia </w:t>
      </w:r>
      <w:hyperlink w:anchor="SENTENCIA_1997_83" w:history="1">
        <w:r w:rsidRPr="00CF552A">
          <w:rPr>
            <w:rStyle w:val="TextoNormalCaracter"/>
          </w:rPr>
          <w:t>83/1997</w:t>
        </w:r>
      </w:hyperlink>
      <w:r w:rsidRPr="00CF552A">
        <w:rPr>
          <w:rStyle w:val="TextoNormalCaracter"/>
        </w:rPr>
        <w:t>, f. 3.</w:t>
      </w:r>
    </w:p>
    <w:p w:rsidR="00CF552A" w:rsidRPr="00CF552A" w:rsidRDefault="00CF552A" w:rsidP="00CF552A">
      <w:pPr>
        <w:pStyle w:val="TextoNormalSangraFrancesa"/>
        <w:rPr>
          <w:rStyle w:val="TextoNormalCaracter"/>
        </w:rPr>
      </w:pPr>
      <w:bookmarkStart w:id="739" w:name="DESCRIPTORALFABETICO191"/>
      <w:r w:rsidRPr="00CF552A">
        <w:rPr>
          <w:rStyle w:val="TextoNormalNegritaCaracter"/>
        </w:rPr>
        <w:t>Administración pública</w:t>
      </w:r>
      <w:bookmarkEnd w:id="739"/>
      <w:r w:rsidRPr="00CF552A">
        <w:rPr>
          <w:rStyle w:val="TextoNormalCaracter"/>
        </w:rPr>
        <w:t xml:space="preserve">, Sentencia </w:t>
      </w:r>
      <w:hyperlink w:anchor="SENTENCIA_1997_73" w:history="1">
        <w:r w:rsidRPr="00CF552A">
          <w:rPr>
            <w:rStyle w:val="TextoNormalCaracter"/>
          </w:rPr>
          <w:t>73/1997</w:t>
        </w:r>
      </w:hyperlink>
      <w:r w:rsidRPr="00CF552A">
        <w:rPr>
          <w:rStyle w:val="TextoNormalCaracter"/>
        </w:rPr>
        <w:t>, ff. 1, 2, 3, 4, 5.</w:t>
      </w:r>
    </w:p>
    <w:p w:rsidR="00CF552A" w:rsidRPr="00CF552A" w:rsidRDefault="00CF552A" w:rsidP="00CF552A">
      <w:pPr>
        <w:pStyle w:val="TextoNormalSangraFrancesa"/>
        <w:rPr>
          <w:rStyle w:val="TextoNormalCaracter"/>
        </w:rPr>
      </w:pPr>
      <w:bookmarkStart w:id="740" w:name="DESCRIPTORALFABETICO474"/>
      <w:r w:rsidRPr="00CF552A">
        <w:rPr>
          <w:rStyle w:val="TextoNormalNegritaCaracter"/>
        </w:rPr>
        <w:t>Aforamiento de parlamentarios</w:t>
      </w:r>
      <w:bookmarkEnd w:id="740"/>
      <w:r w:rsidRPr="00CF552A">
        <w:rPr>
          <w:rStyle w:val="TextoNormalCaracter"/>
        </w:rPr>
        <w:t xml:space="preserve">, Sentencia </w:t>
      </w:r>
      <w:hyperlink w:anchor="SENTENCIA_1997_22" w:history="1">
        <w:r w:rsidRPr="00CF552A">
          <w:rPr>
            <w:rStyle w:val="TextoNormalCaracter"/>
          </w:rPr>
          <w:t>22/1997</w:t>
        </w:r>
      </w:hyperlink>
      <w:r w:rsidRPr="00CF552A">
        <w:rPr>
          <w:rStyle w:val="TextoNormalCaracter"/>
        </w:rPr>
        <w:t>, ff. 2, 6, 7, VP.</w:t>
      </w:r>
    </w:p>
    <w:p w:rsidR="00CF552A" w:rsidRPr="00CF552A" w:rsidRDefault="00CF552A" w:rsidP="00CF552A">
      <w:pPr>
        <w:pStyle w:val="TextoNormalSangraFrancesa"/>
        <w:rPr>
          <w:rStyle w:val="TextoNormalCaracter"/>
        </w:rPr>
      </w:pPr>
      <w:r w:rsidRPr="00CF552A">
        <w:rPr>
          <w:rStyle w:val="TextoNormalCursivaCaracter"/>
        </w:rPr>
        <w:t xml:space="preserve">    Naturaleza, </w:t>
      </w:r>
      <w:r w:rsidRPr="00CF552A">
        <w:rPr>
          <w:rStyle w:val="TextoNormalCaracter"/>
        </w:rPr>
        <w:t xml:space="preserve">Sentencia </w:t>
      </w:r>
      <w:hyperlink w:anchor="SENTENCIA_1997_22" w:history="1">
        <w:r w:rsidRPr="00CF552A">
          <w:rPr>
            <w:rStyle w:val="TextoNormalCaracter"/>
          </w:rPr>
          <w:t>22/1997</w:t>
        </w:r>
      </w:hyperlink>
      <w:r w:rsidRPr="00CF552A">
        <w:rPr>
          <w:rStyle w:val="TextoNormalCaracter"/>
        </w:rPr>
        <w:t>, ff. 5, 6.</w:t>
      </w:r>
    </w:p>
    <w:p w:rsidR="00CF552A" w:rsidRPr="00CF552A" w:rsidRDefault="00CF552A" w:rsidP="00CF552A">
      <w:pPr>
        <w:pStyle w:val="TextoNormalSangraFrancesa"/>
        <w:rPr>
          <w:rStyle w:val="TextoNormalCaracter"/>
        </w:rPr>
      </w:pPr>
      <w:r w:rsidRPr="00CF552A">
        <w:rPr>
          <w:rStyle w:val="TextoNormalCursivaCaracter"/>
        </w:rPr>
        <w:t xml:space="preserve">    Régimen jurídico, </w:t>
      </w:r>
      <w:r w:rsidRPr="00CF552A">
        <w:rPr>
          <w:rStyle w:val="TextoNormalCaracter"/>
        </w:rPr>
        <w:t xml:space="preserve">Sentencia </w:t>
      </w:r>
      <w:hyperlink w:anchor="SENTENCIA_1997_22" w:history="1">
        <w:r w:rsidRPr="00CF552A">
          <w:rPr>
            <w:rStyle w:val="TextoNormalCaracter"/>
          </w:rPr>
          <w:t>22/1997</w:t>
        </w:r>
      </w:hyperlink>
      <w:r w:rsidRPr="00CF552A">
        <w:rPr>
          <w:rStyle w:val="TextoNormalCaracter"/>
        </w:rPr>
        <w:t>, f. 4.</w:t>
      </w:r>
    </w:p>
    <w:p w:rsidR="00CF552A" w:rsidRPr="00CF552A" w:rsidRDefault="00CF552A" w:rsidP="00CF552A">
      <w:pPr>
        <w:pStyle w:val="TextoNormalSangraFrancesa"/>
        <w:rPr>
          <w:rStyle w:val="TextoNormalCaracter"/>
        </w:rPr>
      </w:pPr>
      <w:bookmarkStart w:id="741" w:name="DESCRIPTORALFABETICO179"/>
      <w:r w:rsidRPr="00CF552A">
        <w:rPr>
          <w:rStyle w:val="TextoNormalNegritaCaracter"/>
        </w:rPr>
        <w:t>Agotamiento de la vía judicial</w:t>
      </w:r>
      <w:bookmarkEnd w:id="741"/>
      <w:r w:rsidRPr="00CF552A">
        <w:rPr>
          <w:rStyle w:val="TextoNormalCaracter"/>
        </w:rPr>
        <w:t xml:space="preserve">, Sentencias </w:t>
      </w:r>
      <w:hyperlink w:anchor="SENTENCIA_1997_5" w:history="1">
        <w:r w:rsidRPr="00CF552A">
          <w:rPr>
            <w:rStyle w:val="TextoNormalCaracter"/>
          </w:rPr>
          <w:t>5/1997</w:t>
        </w:r>
      </w:hyperlink>
      <w:r w:rsidRPr="00CF552A">
        <w:rPr>
          <w:rStyle w:val="TextoNormalCaracter"/>
        </w:rPr>
        <w:t xml:space="preserve">, ff. 1, 4; </w:t>
      </w:r>
      <w:hyperlink w:anchor="SENTENCIA_1997_7" w:history="1">
        <w:r w:rsidRPr="00CF552A">
          <w:rPr>
            <w:rStyle w:val="TextoNormalCaracter"/>
          </w:rPr>
          <w:t>7/1997</w:t>
        </w:r>
      </w:hyperlink>
      <w:r w:rsidRPr="00CF552A">
        <w:rPr>
          <w:rStyle w:val="TextoNormalCaracter"/>
        </w:rPr>
        <w:t xml:space="preserve">, f. 2; </w:t>
      </w:r>
      <w:hyperlink w:anchor="SENTENCIA_1997_27" w:history="1">
        <w:r w:rsidRPr="00CF552A">
          <w:rPr>
            <w:rStyle w:val="TextoNormalCaracter"/>
          </w:rPr>
          <w:t>27/1997</w:t>
        </w:r>
      </w:hyperlink>
      <w:r w:rsidRPr="00CF552A">
        <w:rPr>
          <w:rStyle w:val="TextoNormalCaracter"/>
        </w:rPr>
        <w:t xml:space="preserve">, ff. 2, 3; </w:t>
      </w:r>
      <w:hyperlink w:anchor="SENTENCIA_1997_36" w:history="1">
        <w:r w:rsidRPr="00CF552A">
          <w:rPr>
            <w:rStyle w:val="TextoNormalCaracter"/>
          </w:rPr>
          <w:t>36/1997</w:t>
        </w:r>
      </w:hyperlink>
      <w:r w:rsidRPr="00CF552A">
        <w:rPr>
          <w:rStyle w:val="TextoNormalCaracter"/>
        </w:rPr>
        <w:t xml:space="preserve">, f. 2; </w:t>
      </w:r>
      <w:hyperlink w:anchor="SENTENCIA_1997_54" w:history="1">
        <w:r w:rsidRPr="00CF552A">
          <w:rPr>
            <w:rStyle w:val="TextoNormalCaracter"/>
          </w:rPr>
          <w:t>54/1997</w:t>
        </w:r>
      </w:hyperlink>
      <w:r w:rsidRPr="00CF552A">
        <w:rPr>
          <w:rStyle w:val="TextoNormalCaracter"/>
        </w:rPr>
        <w:t>, f. 1.</w:t>
      </w:r>
    </w:p>
    <w:p w:rsidR="00CF552A" w:rsidRPr="00CF552A" w:rsidRDefault="00CF552A" w:rsidP="00CF552A">
      <w:pPr>
        <w:pStyle w:val="TextoNormalSangraFrancesa"/>
        <w:rPr>
          <w:rStyle w:val="TextoNormalCaracter"/>
        </w:rPr>
      </w:pPr>
      <w:r w:rsidRPr="00CF552A">
        <w:rPr>
          <w:rStyle w:val="TextoNormalCaracter"/>
        </w:rPr>
        <w:t xml:space="preserve">    Auto </w:t>
      </w:r>
      <w:hyperlink w:anchor="AUTO_1997_95" w:history="1">
        <w:r w:rsidRPr="00CF552A">
          <w:rPr>
            <w:rStyle w:val="TextoNormalCaracter"/>
          </w:rPr>
          <w:t>95/1997</w:t>
        </w:r>
      </w:hyperlink>
      <w:r w:rsidRPr="00CF552A">
        <w:rPr>
          <w:rStyle w:val="TextoNormalCaracter"/>
        </w:rPr>
        <w:t>.</w:t>
      </w:r>
    </w:p>
    <w:p w:rsidR="00CF552A" w:rsidRPr="00CF552A" w:rsidRDefault="00CF552A" w:rsidP="00CF552A">
      <w:pPr>
        <w:pStyle w:val="TextoNormalSangraFrancesa"/>
        <w:rPr>
          <w:rStyle w:val="TextoNormalNegritaCaracter"/>
        </w:rPr>
      </w:pPr>
      <w:r w:rsidRPr="00CF552A">
        <w:rPr>
          <w:rStyle w:val="TextoNormalCursivaCaracter"/>
        </w:rPr>
        <w:t>Agotamiento de recursos en la vía judicial</w:t>
      </w:r>
      <w:r>
        <w:t xml:space="preserve"> véase </w:t>
      </w:r>
      <w:hyperlink w:anchor="DESCRIPTORALFABETICO179" w:history="1">
        <w:r w:rsidRPr="00CF552A">
          <w:rPr>
            <w:rStyle w:val="TextoNormalNegritaCaracter"/>
          </w:rPr>
          <w:t>Agotamiento de la vía judicial</w:t>
        </w:r>
      </w:hyperlink>
    </w:p>
    <w:p w:rsidR="00CF552A" w:rsidRPr="00CF552A" w:rsidRDefault="00CF552A" w:rsidP="00CF552A">
      <w:pPr>
        <w:pStyle w:val="TextoNormalSangraFrancesa"/>
        <w:rPr>
          <w:rStyle w:val="TextoNormalCaracter"/>
        </w:rPr>
      </w:pPr>
      <w:bookmarkStart w:id="742" w:name="DESCRIPTORALFABETICO234"/>
      <w:r w:rsidRPr="00CF552A">
        <w:rPr>
          <w:rStyle w:val="TextoNormalNegritaCaracter"/>
        </w:rPr>
        <w:t>Agricultura</w:t>
      </w:r>
      <w:bookmarkEnd w:id="742"/>
      <w:r w:rsidRPr="00CF552A">
        <w:rPr>
          <w:rStyle w:val="TextoNormalCaracter"/>
        </w:rPr>
        <w:t xml:space="preserve">, Sentencia </w:t>
      </w:r>
      <w:hyperlink w:anchor="SENTENCIA_1997_70" w:history="1">
        <w:r w:rsidRPr="00CF552A">
          <w:rPr>
            <w:rStyle w:val="TextoNormalCaracter"/>
          </w:rPr>
          <w:t>70/1997</w:t>
        </w:r>
      </w:hyperlink>
      <w:r w:rsidRPr="00CF552A">
        <w:rPr>
          <w:rStyle w:val="TextoNormalCaracter"/>
        </w:rPr>
        <w:t>, ff. 1, 2, 3, 4, 5.</w:t>
      </w:r>
    </w:p>
    <w:p w:rsidR="00CF552A" w:rsidRPr="00CF552A" w:rsidRDefault="00CF552A" w:rsidP="00CF552A">
      <w:pPr>
        <w:pStyle w:val="TextoNormalSangraFrancesa"/>
        <w:rPr>
          <w:rStyle w:val="TextoNormalCaracter"/>
        </w:rPr>
      </w:pPr>
      <w:bookmarkStart w:id="743" w:name="DESCRIPTORALFABETICO188"/>
      <w:r w:rsidRPr="00CF552A">
        <w:rPr>
          <w:rStyle w:val="TextoNormalNegritaCaracter"/>
        </w:rPr>
        <w:t>Alcance del fallo en recurso de amparo</w:t>
      </w:r>
      <w:bookmarkEnd w:id="743"/>
      <w:r w:rsidRPr="00CF552A">
        <w:rPr>
          <w:rStyle w:val="TextoNormalCaracter"/>
        </w:rPr>
        <w:t xml:space="preserve">, Sentencias </w:t>
      </w:r>
      <w:hyperlink w:anchor="SENTENCIA_1997_52" w:history="1">
        <w:r w:rsidRPr="00CF552A">
          <w:rPr>
            <w:rStyle w:val="TextoNormalCaracter"/>
          </w:rPr>
          <w:t>52/1997</w:t>
        </w:r>
      </w:hyperlink>
      <w:r w:rsidRPr="00CF552A">
        <w:rPr>
          <w:rStyle w:val="TextoNormalCaracter"/>
        </w:rPr>
        <w:t xml:space="preserve">, f. 5; </w:t>
      </w:r>
      <w:hyperlink w:anchor="SENTENCIA_1997_56" w:history="1">
        <w:r w:rsidRPr="00CF552A">
          <w:rPr>
            <w:rStyle w:val="TextoNormalCaracter"/>
          </w:rPr>
          <w:t>56/1997</w:t>
        </w:r>
      </w:hyperlink>
      <w:r w:rsidRPr="00CF552A">
        <w:rPr>
          <w:rStyle w:val="TextoNormalCaracter"/>
        </w:rPr>
        <w:t xml:space="preserve">, f. 12, VP I; </w:t>
      </w:r>
      <w:hyperlink w:anchor="SENTENCIA_1997_66" w:history="1">
        <w:r w:rsidRPr="00CF552A">
          <w:rPr>
            <w:rStyle w:val="TextoNormalCaracter"/>
          </w:rPr>
          <w:t>66/1997</w:t>
        </w:r>
      </w:hyperlink>
      <w:r w:rsidRPr="00CF552A">
        <w:rPr>
          <w:rStyle w:val="TextoNormalCaracter"/>
        </w:rPr>
        <w:t xml:space="preserve">, f. 7; </w:t>
      </w:r>
      <w:hyperlink w:anchor="SENTENCIA_1997_69" w:history="1">
        <w:r w:rsidRPr="00CF552A">
          <w:rPr>
            <w:rStyle w:val="TextoNormalCaracter"/>
          </w:rPr>
          <w:t>69/1997</w:t>
        </w:r>
      </w:hyperlink>
      <w:r w:rsidRPr="00CF552A">
        <w:rPr>
          <w:rStyle w:val="TextoNormalCaracter"/>
        </w:rPr>
        <w:t>, ff. 4, 7.</w:t>
      </w:r>
    </w:p>
    <w:p w:rsidR="00CF552A" w:rsidRPr="00CF552A" w:rsidRDefault="00CF552A" w:rsidP="00CF552A">
      <w:pPr>
        <w:pStyle w:val="TextoNormalSangraFrancesa"/>
        <w:rPr>
          <w:rStyle w:val="TextoNormalCaracter"/>
        </w:rPr>
      </w:pPr>
      <w:bookmarkStart w:id="744" w:name="DESCRIPTORALFABETICO73"/>
      <w:r w:rsidRPr="00CF552A">
        <w:rPr>
          <w:rStyle w:val="TextoNormalNegritaCaracter"/>
        </w:rPr>
        <w:lastRenderedPageBreak/>
        <w:t>Arbitrariedad</w:t>
      </w:r>
      <w:bookmarkEnd w:id="744"/>
      <w:r w:rsidRPr="00CF552A">
        <w:rPr>
          <w:rStyle w:val="TextoNormalCaracter"/>
        </w:rPr>
        <w:t xml:space="preserve">, Sentencia </w:t>
      </w:r>
      <w:hyperlink w:anchor="SENTENCIA_1997_54" w:history="1">
        <w:r w:rsidRPr="00CF552A">
          <w:rPr>
            <w:rStyle w:val="TextoNormalCaracter"/>
          </w:rPr>
          <w:t>54/1997</w:t>
        </w:r>
      </w:hyperlink>
      <w:r w:rsidRPr="00CF552A">
        <w:rPr>
          <w:rStyle w:val="TextoNormalCaracter"/>
        </w:rPr>
        <w:t>, VP.</w:t>
      </w:r>
    </w:p>
    <w:p w:rsidR="00CF552A" w:rsidRPr="00CF552A" w:rsidRDefault="00CF552A" w:rsidP="00CF552A">
      <w:pPr>
        <w:pStyle w:val="TextoNormalSangraFrancesa"/>
        <w:rPr>
          <w:rStyle w:val="TextoNormalCaracter"/>
        </w:rPr>
      </w:pPr>
      <w:bookmarkStart w:id="745" w:name="DESCRIPTORALFABETICO380"/>
      <w:r w:rsidRPr="00CF552A">
        <w:rPr>
          <w:rStyle w:val="TextoNormalNegritaCaracter"/>
        </w:rPr>
        <w:t>Archivo de actuaciones</w:t>
      </w:r>
      <w:bookmarkEnd w:id="745"/>
      <w:r w:rsidRPr="00CF552A">
        <w:rPr>
          <w:rStyle w:val="TextoNormalCaracter"/>
        </w:rPr>
        <w:t xml:space="preserve">, Sentencia </w:t>
      </w:r>
      <w:hyperlink w:anchor="SENTENCIA_1997_84" w:history="1">
        <w:r w:rsidRPr="00CF552A">
          <w:rPr>
            <w:rStyle w:val="TextoNormalCaracter"/>
          </w:rPr>
          <w:t>84/1997</w:t>
        </w:r>
      </w:hyperlink>
      <w:r w:rsidRPr="00CF552A">
        <w:rPr>
          <w:rStyle w:val="TextoNormalCaracter"/>
        </w:rPr>
        <w:t>, ff. 1, 2, 3, 4.</w:t>
      </w:r>
    </w:p>
    <w:p w:rsidR="00CF552A" w:rsidRPr="00CF552A" w:rsidRDefault="00CF552A" w:rsidP="00CF552A">
      <w:pPr>
        <w:pStyle w:val="TextoNormalSangraFrancesa"/>
        <w:rPr>
          <w:rStyle w:val="TextoNormalCaracter"/>
        </w:rPr>
      </w:pPr>
      <w:bookmarkStart w:id="746" w:name="DESCRIPTORALFABETICO381"/>
      <w:r w:rsidRPr="00CF552A">
        <w:rPr>
          <w:rStyle w:val="TextoNormalNegritaCaracter"/>
        </w:rPr>
        <w:t>Archivo del procedimiento de ejecución de sentencia</w:t>
      </w:r>
      <w:bookmarkEnd w:id="746"/>
      <w:r w:rsidRPr="00CF552A">
        <w:rPr>
          <w:rStyle w:val="TextoNormalCaracter"/>
        </w:rPr>
        <w:t xml:space="preserve">, Sentencia </w:t>
      </w:r>
      <w:hyperlink w:anchor="SENTENCIA_1997_18" w:history="1">
        <w:r w:rsidRPr="00CF552A">
          <w:rPr>
            <w:rStyle w:val="TextoNormalCaracter"/>
          </w:rPr>
          <w:t>18/1997</w:t>
        </w:r>
      </w:hyperlink>
      <w:r w:rsidRPr="00CF552A">
        <w:rPr>
          <w:rStyle w:val="TextoNormalCaracter"/>
        </w:rPr>
        <w:t>, ff. 1, 2, 3, 4, 5, 6, 7, 8, 9.</w:t>
      </w:r>
    </w:p>
    <w:p w:rsidR="00CF552A" w:rsidRPr="00CF552A" w:rsidRDefault="00CF552A" w:rsidP="00CF552A">
      <w:pPr>
        <w:pStyle w:val="TextoNormalSangraFrancesa"/>
        <w:rPr>
          <w:rStyle w:val="TextoNormalCaracter"/>
        </w:rPr>
      </w:pPr>
      <w:bookmarkStart w:id="747" w:name="DESCRIPTORALFABETICO88"/>
      <w:r w:rsidRPr="00CF552A">
        <w:rPr>
          <w:rStyle w:val="TextoNormalNegritaCaracter"/>
        </w:rPr>
        <w:t>Asistencia letrada</w:t>
      </w:r>
      <w:bookmarkEnd w:id="747"/>
      <w:r w:rsidRPr="00CF552A">
        <w:rPr>
          <w:rStyle w:val="TextoNormalCaracter"/>
        </w:rPr>
        <w:t xml:space="preserve">, Sentencia </w:t>
      </w:r>
      <w:hyperlink w:anchor="SENTENCIA_1997_25" w:history="1">
        <w:r w:rsidRPr="00CF552A">
          <w:rPr>
            <w:rStyle w:val="TextoNormalCaracter"/>
          </w:rPr>
          <w:t>25/1997</w:t>
        </w:r>
      </w:hyperlink>
      <w:r w:rsidRPr="00CF552A">
        <w:rPr>
          <w:rStyle w:val="TextoNormalCaracter"/>
        </w:rPr>
        <w:t>, ff. 2, 3.</w:t>
      </w:r>
    </w:p>
    <w:p w:rsidR="00CF552A" w:rsidRPr="00CF552A" w:rsidRDefault="00CF552A" w:rsidP="00CF552A">
      <w:pPr>
        <w:pStyle w:val="TextoNormalSangraFrancesa"/>
        <w:rPr>
          <w:rStyle w:val="TextoNormalCaracter"/>
        </w:rPr>
      </w:pPr>
      <w:bookmarkStart w:id="748" w:name="DESCRIPTORALFABETICO491"/>
      <w:r w:rsidRPr="00CF552A">
        <w:rPr>
          <w:rStyle w:val="TextoNormalNegritaCaracter"/>
        </w:rPr>
        <w:t>Asturias</w:t>
      </w:r>
      <w:bookmarkEnd w:id="748"/>
      <w:r w:rsidRPr="00CF552A">
        <w:rPr>
          <w:rStyle w:val="TextoNormalCaracter"/>
        </w:rPr>
        <w:t xml:space="preserve">, Sentencia </w:t>
      </w:r>
      <w:hyperlink w:anchor="SENTENCIA_1997_16" w:history="1">
        <w:r w:rsidRPr="00CF552A">
          <w:rPr>
            <w:rStyle w:val="TextoNormalCaracter"/>
          </w:rPr>
          <w:t>16/1997</w:t>
        </w:r>
      </w:hyperlink>
      <w:r w:rsidRPr="00CF552A">
        <w:rPr>
          <w:rStyle w:val="TextoNormalCaracter"/>
        </w:rPr>
        <w:t>, ff. 1, 2, 3, 4.</w:t>
      </w:r>
    </w:p>
    <w:p w:rsidR="00CF552A" w:rsidRPr="00CF552A" w:rsidRDefault="00CF552A" w:rsidP="00CF552A">
      <w:pPr>
        <w:pStyle w:val="TextoNormalSangraFrancesa"/>
        <w:rPr>
          <w:rStyle w:val="TextoNormalCaracter"/>
        </w:rPr>
      </w:pPr>
      <w:bookmarkStart w:id="749" w:name="DESCRIPTORALFABETICO350"/>
      <w:r w:rsidRPr="00CF552A">
        <w:rPr>
          <w:rStyle w:val="TextoNormalNegritaCaracter"/>
        </w:rPr>
        <w:t>Atención farmacéutica</w:t>
      </w:r>
      <w:bookmarkEnd w:id="749"/>
      <w:r w:rsidRPr="00CF552A">
        <w:rPr>
          <w:rStyle w:val="TextoNormalCaracter"/>
        </w:rPr>
        <w:t xml:space="preserve">, Sentencia </w:t>
      </w:r>
      <w:hyperlink w:anchor="SENTENCIA_1997_4" w:history="1">
        <w:r w:rsidRPr="00CF552A">
          <w:rPr>
            <w:rStyle w:val="TextoNormalCaracter"/>
          </w:rPr>
          <w:t>4/1997</w:t>
        </w:r>
      </w:hyperlink>
      <w:r w:rsidRPr="00CF552A">
        <w:rPr>
          <w:rStyle w:val="TextoNormalCaracter"/>
        </w:rPr>
        <w:t>, f. único.</w:t>
      </w:r>
    </w:p>
    <w:p w:rsidR="00CF552A" w:rsidRPr="00CF552A" w:rsidRDefault="00CF552A" w:rsidP="00CF552A">
      <w:pPr>
        <w:pStyle w:val="TextoNormalSangraFrancesa"/>
        <w:rPr>
          <w:rStyle w:val="TextoNormalNegritaCaracter"/>
        </w:rPr>
      </w:pPr>
      <w:r w:rsidRPr="00CF552A">
        <w:rPr>
          <w:rStyle w:val="TextoNormalCursivaCaracter"/>
        </w:rPr>
        <w:t>Audiencia al rebelde</w:t>
      </w:r>
      <w:r>
        <w:t xml:space="preserve"> véase </w:t>
      </w:r>
      <w:hyperlink w:anchor="DESCRIPTORALFABETICO431" w:history="1">
        <w:r w:rsidRPr="00CF552A">
          <w:rPr>
            <w:rStyle w:val="TextoNormalNegritaCaracter"/>
          </w:rPr>
          <w:t>Recurso de audiencia al rebelde</w:t>
        </w:r>
      </w:hyperlink>
    </w:p>
    <w:p w:rsidR="00CF552A" w:rsidRPr="00CF552A" w:rsidRDefault="00CF552A" w:rsidP="00CF552A">
      <w:pPr>
        <w:pStyle w:val="TextoNormalSangraFrancesa"/>
        <w:rPr>
          <w:rStyle w:val="TextoNormalCaracter"/>
        </w:rPr>
      </w:pPr>
      <w:bookmarkStart w:id="750" w:name="DESCRIPTORALFABETICO153"/>
      <w:r w:rsidRPr="00CF552A">
        <w:rPr>
          <w:rStyle w:val="TextoNormalNegritaCaracter"/>
        </w:rPr>
        <w:t>Audiencia previa a las partes</w:t>
      </w:r>
      <w:bookmarkEnd w:id="750"/>
      <w:r w:rsidRPr="00CF552A">
        <w:rPr>
          <w:rStyle w:val="TextoNormalCaracter"/>
        </w:rPr>
        <w:t xml:space="preserve">, Auto </w:t>
      </w:r>
      <w:hyperlink w:anchor="AUTO_1997_56" w:history="1">
        <w:r w:rsidRPr="00CF552A">
          <w:rPr>
            <w:rStyle w:val="TextoNormalCaracter"/>
          </w:rPr>
          <w:t>56/1997</w:t>
        </w:r>
      </w:hyperlink>
      <w:r w:rsidRPr="00CF552A">
        <w:rPr>
          <w:rStyle w:val="TextoNormalCaracter"/>
        </w:rPr>
        <w:t>.</w:t>
      </w:r>
    </w:p>
    <w:p w:rsidR="00CF552A" w:rsidRPr="00CF552A" w:rsidRDefault="00CF552A" w:rsidP="00CF552A">
      <w:pPr>
        <w:pStyle w:val="TextoNormalSangraFrancesa"/>
        <w:rPr>
          <w:rStyle w:val="TextoNormalCaracter"/>
        </w:rPr>
      </w:pPr>
      <w:bookmarkStart w:id="751" w:name="DESCRIPTORALFABETICO440"/>
      <w:r w:rsidRPr="00CF552A">
        <w:rPr>
          <w:rStyle w:val="TextoNormalNegritaCaracter"/>
        </w:rPr>
        <w:t>Auto de prisión provisional</w:t>
      </w:r>
      <w:bookmarkEnd w:id="751"/>
      <w:r w:rsidRPr="00CF552A">
        <w:rPr>
          <w:rStyle w:val="TextoNormalCaracter"/>
        </w:rPr>
        <w:t xml:space="preserve">, Sentencias </w:t>
      </w:r>
      <w:hyperlink w:anchor="SENTENCIA_1997_44" w:history="1">
        <w:r w:rsidRPr="00CF552A">
          <w:rPr>
            <w:rStyle w:val="TextoNormalCaracter"/>
          </w:rPr>
          <w:t>44/1997</w:t>
        </w:r>
      </w:hyperlink>
      <w:r w:rsidRPr="00CF552A">
        <w:rPr>
          <w:rStyle w:val="TextoNormalCaracter"/>
        </w:rPr>
        <w:t xml:space="preserve">, f. 4; </w:t>
      </w:r>
      <w:hyperlink w:anchor="SENTENCIA_1997_66" w:history="1">
        <w:r w:rsidRPr="00CF552A">
          <w:rPr>
            <w:rStyle w:val="TextoNormalCaracter"/>
          </w:rPr>
          <w:t>66/1997</w:t>
        </w:r>
      </w:hyperlink>
      <w:r w:rsidRPr="00CF552A">
        <w:rPr>
          <w:rStyle w:val="TextoNormalCaracter"/>
        </w:rPr>
        <w:t xml:space="preserve">, ff. 1, 2, 4; </w:t>
      </w:r>
      <w:hyperlink w:anchor="SENTENCIA_1997_67" w:history="1">
        <w:r w:rsidRPr="00CF552A">
          <w:rPr>
            <w:rStyle w:val="TextoNormalCaracter"/>
          </w:rPr>
          <w:t>67/1997</w:t>
        </w:r>
      </w:hyperlink>
      <w:r w:rsidRPr="00CF552A">
        <w:rPr>
          <w:rStyle w:val="TextoNormalCaracter"/>
        </w:rPr>
        <w:t>, f. 2.</w:t>
      </w:r>
    </w:p>
    <w:p w:rsidR="00CF552A" w:rsidRPr="00CF552A" w:rsidRDefault="00CF552A" w:rsidP="00CF552A">
      <w:pPr>
        <w:pStyle w:val="TextoNormalSangraFrancesa"/>
        <w:rPr>
          <w:rStyle w:val="TextoNormalNegritaCaracter"/>
        </w:rPr>
      </w:pPr>
      <w:r w:rsidRPr="00CF552A">
        <w:rPr>
          <w:rStyle w:val="TextoNormalCursivaCaracter"/>
        </w:rPr>
        <w:t>Autodefensa</w:t>
      </w:r>
      <w:r>
        <w:t xml:space="preserve"> véase </w:t>
      </w:r>
      <w:hyperlink w:anchor="DESCRIPTORALFABETICO86" w:history="1">
        <w:r w:rsidRPr="00CF552A">
          <w:rPr>
            <w:rStyle w:val="TextoNormalNegritaCaracter"/>
          </w:rPr>
          <w:t>Derecho a defenderse por sí mismo</w:t>
        </w:r>
      </w:hyperlink>
    </w:p>
    <w:p w:rsidR="00CF552A" w:rsidRPr="00CF552A" w:rsidRDefault="00CF552A" w:rsidP="00CF552A">
      <w:pPr>
        <w:pStyle w:val="TextoNormalSangraFrancesa"/>
        <w:rPr>
          <w:rStyle w:val="TextoNormalCaracter"/>
        </w:rPr>
      </w:pPr>
      <w:bookmarkStart w:id="752" w:name="DESCRIPTORALFABETICO268"/>
      <w:r w:rsidRPr="00CF552A">
        <w:rPr>
          <w:rStyle w:val="TextoNormalNegritaCaracter"/>
        </w:rPr>
        <w:t>Ayudas comunitarias</w:t>
      </w:r>
      <w:bookmarkEnd w:id="752"/>
      <w:r w:rsidRPr="00CF552A">
        <w:rPr>
          <w:rStyle w:val="TextoNormalCaracter"/>
        </w:rPr>
        <w:t xml:space="preserve">, Sentencia </w:t>
      </w:r>
      <w:hyperlink w:anchor="SENTENCIA_1997_70" w:history="1">
        <w:r w:rsidRPr="00CF552A">
          <w:rPr>
            <w:rStyle w:val="TextoNormalCaracter"/>
          </w:rPr>
          <w:t>70/1997</w:t>
        </w:r>
      </w:hyperlink>
      <w:r w:rsidRPr="00CF552A">
        <w:rPr>
          <w:rStyle w:val="TextoNormalCaracter"/>
        </w:rPr>
        <w:t>, ff. 1, 2, 3, 4, 5.</w:t>
      </w:r>
    </w:p>
    <w:p w:rsidR="00CF552A" w:rsidRDefault="00CF552A" w:rsidP="00CF552A">
      <w:pPr>
        <w:pStyle w:val="TextoNormalSangraFrancesa"/>
      </w:pPr>
    </w:p>
    <w:p w:rsidR="00CF552A" w:rsidRDefault="00CF552A" w:rsidP="00CF552A">
      <w:pPr>
        <w:pStyle w:val="TextoNormalSangraFrancesa"/>
      </w:pPr>
    </w:p>
    <w:p w:rsidR="00CF552A" w:rsidRDefault="00CF552A" w:rsidP="00CF552A">
      <w:pPr>
        <w:pStyle w:val="TextoNormalNegritaCentrado"/>
      </w:pPr>
      <w:r>
        <w:t>B</w:t>
      </w:r>
    </w:p>
    <w:p w:rsidR="00CF552A" w:rsidRDefault="00CF552A" w:rsidP="00CF552A">
      <w:pPr>
        <w:pStyle w:val="TextoNormalNegritaCentrado"/>
      </w:pPr>
    </w:p>
    <w:p w:rsidR="00CF552A" w:rsidRDefault="00CF552A" w:rsidP="00CF552A">
      <w:pPr>
        <w:pStyle w:val="TextoNormalNegritaCentrado"/>
      </w:pPr>
    </w:p>
    <w:p w:rsidR="00CF552A" w:rsidRDefault="00CF552A" w:rsidP="00CF552A">
      <w:pPr>
        <w:pStyle w:val="TextoNormalNegritaCentrado"/>
      </w:pPr>
    </w:p>
    <w:p w:rsidR="00CF552A" w:rsidRPr="00CF552A" w:rsidRDefault="00CF552A" w:rsidP="00CF552A">
      <w:pPr>
        <w:pStyle w:val="TextoNormalSangraFrancesa"/>
        <w:rPr>
          <w:rStyle w:val="TextoNormalCaracter"/>
        </w:rPr>
      </w:pPr>
      <w:bookmarkStart w:id="753" w:name="DESCRIPTORALFABETICO492"/>
      <w:r w:rsidRPr="00CF552A">
        <w:rPr>
          <w:rStyle w:val="TextoNormalNegritaCaracter"/>
        </w:rPr>
        <w:t>Baleares</w:t>
      </w:r>
      <w:bookmarkEnd w:id="753"/>
      <w:r w:rsidRPr="00CF552A">
        <w:rPr>
          <w:rStyle w:val="TextoNormalCaracter"/>
        </w:rPr>
        <w:t xml:space="preserve">, Sentencia </w:t>
      </w:r>
      <w:hyperlink w:anchor="SENTENCIA_1997_28" w:history="1">
        <w:r w:rsidRPr="00CF552A">
          <w:rPr>
            <w:rStyle w:val="TextoNormalCaracter"/>
          </w:rPr>
          <w:t>28/1997</w:t>
        </w:r>
      </w:hyperlink>
      <w:r w:rsidRPr="00CF552A">
        <w:rPr>
          <w:rStyle w:val="TextoNormalCaracter"/>
        </w:rPr>
        <w:t>, ff. 1, 2, 3, 4, 5, 6, 7.</w:t>
      </w:r>
    </w:p>
    <w:p w:rsidR="00CF552A" w:rsidRPr="00CF552A" w:rsidRDefault="00CF552A" w:rsidP="00CF552A">
      <w:pPr>
        <w:pStyle w:val="TextoNormalSangraFrancesa"/>
        <w:rPr>
          <w:rStyle w:val="TextoNormalCaracter"/>
        </w:rPr>
      </w:pPr>
      <w:bookmarkStart w:id="754" w:name="DESCRIPTORALFABETICO488"/>
      <w:r w:rsidRPr="00CF552A">
        <w:rPr>
          <w:rStyle w:val="TextoNormalNegritaCaracter"/>
        </w:rPr>
        <w:t>Banco de España</w:t>
      </w:r>
      <w:bookmarkEnd w:id="754"/>
      <w:r w:rsidRPr="00CF552A">
        <w:rPr>
          <w:rStyle w:val="TextoNormalCaracter"/>
        </w:rPr>
        <w:t xml:space="preserve">, Sentencia </w:t>
      </w:r>
      <w:hyperlink w:anchor="SENTENCIA_1997_37" w:history="1">
        <w:r w:rsidRPr="00CF552A">
          <w:rPr>
            <w:rStyle w:val="TextoNormalCaracter"/>
          </w:rPr>
          <w:t>37/1997</w:t>
        </w:r>
      </w:hyperlink>
      <w:r w:rsidRPr="00CF552A">
        <w:rPr>
          <w:rStyle w:val="TextoNormalCaracter"/>
        </w:rPr>
        <w:t>, ff. 1, 2, 3, 4, 5, 6, 7, 8.</w:t>
      </w:r>
    </w:p>
    <w:p w:rsidR="00CF552A" w:rsidRPr="00CF552A" w:rsidRDefault="00CF552A" w:rsidP="00CF552A">
      <w:pPr>
        <w:pStyle w:val="TextoNormalSangraFrancesa"/>
        <w:rPr>
          <w:rStyle w:val="TextoNormalNegritaCaracter"/>
        </w:rPr>
      </w:pPr>
      <w:r w:rsidRPr="00CF552A">
        <w:rPr>
          <w:rStyle w:val="TextoNormalCursivaCaracter"/>
        </w:rPr>
        <w:t>Bases</w:t>
      </w:r>
      <w:r>
        <w:t xml:space="preserve"> véase </w:t>
      </w:r>
      <w:hyperlink w:anchor="DESCRIPTORALFABETICO311" w:history="1">
        <w:r w:rsidRPr="00CF552A">
          <w:rPr>
            <w:rStyle w:val="TextoNormalNegritaCaracter"/>
          </w:rPr>
          <w:t>Legislación básica</w:t>
        </w:r>
      </w:hyperlink>
    </w:p>
    <w:p w:rsidR="00CF552A" w:rsidRPr="00CF552A" w:rsidRDefault="00CF552A" w:rsidP="00CF552A">
      <w:pPr>
        <w:pStyle w:val="TextoNormalSangraFrancesa"/>
        <w:rPr>
          <w:rStyle w:val="TextoNormalCaracter"/>
        </w:rPr>
      </w:pPr>
      <w:bookmarkStart w:id="755" w:name="DESCRIPTORALFABETICO301"/>
      <w:r w:rsidRPr="00CF552A">
        <w:rPr>
          <w:rStyle w:val="TextoNormalNegritaCaracter"/>
        </w:rPr>
        <w:t>Bienes de Estados extranjeros</w:t>
      </w:r>
      <w:bookmarkEnd w:id="755"/>
      <w:r w:rsidRPr="00CF552A">
        <w:rPr>
          <w:rStyle w:val="TextoNormalCaracter"/>
        </w:rPr>
        <w:t xml:space="preserve">, Sentencia </w:t>
      </w:r>
      <w:hyperlink w:anchor="SENTENCIA_1997_18" w:history="1">
        <w:r w:rsidRPr="00CF552A">
          <w:rPr>
            <w:rStyle w:val="TextoNormalCaracter"/>
          </w:rPr>
          <w:t>18/1997</w:t>
        </w:r>
      </w:hyperlink>
      <w:r w:rsidRPr="00CF552A">
        <w:rPr>
          <w:rStyle w:val="TextoNormalCaracter"/>
        </w:rPr>
        <w:t>, f. 2.</w:t>
      </w:r>
    </w:p>
    <w:p w:rsidR="00CF552A" w:rsidRDefault="00CF552A" w:rsidP="00CF552A">
      <w:pPr>
        <w:pStyle w:val="TextoNormalSangraFrancesa"/>
      </w:pPr>
    </w:p>
    <w:p w:rsidR="00CF552A" w:rsidRDefault="00CF552A" w:rsidP="00CF552A">
      <w:pPr>
        <w:pStyle w:val="TextoNormalSangraFrancesa"/>
      </w:pPr>
    </w:p>
    <w:p w:rsidR="00CF552A" w:rsidRDefault="00CF552A" w:rsidP="00CF552A">
      <w:pPr>
        <w:pStyle w:val="TextoNormalNegritaCentrado"/>
      </w:pPr>
      <w:r>
        <w:t>C</w:t>
      </w:r>
    </w:p>
    <w:p w:rsidR="00CF552A" w:rsidRDefault="00CF552A" w:rsidP="00CF552A">
      <w:pPr>
        <w:pStyle w:val="TextoNormalNegritaCentrado"/>
      </w:pPr>
    </w:p>
    <w:p w:rsidR="00CF552A" w:rsidRDefault="00CF552A" w:rsidP="00CF552A">
      <w:pPr>
        <w:pStyle w:val="TextoNormalNegritaCentrado"/>
      </w:pPr>
    </w:p>
    <w:p w:rsidR="00CF552A" w:rsidRDefault="00CF552A" w:rsidP="00CF552A">
      <w:pPr>
        <w:pStyle w:val="TextoNormalNegritaCentrado"/>
      </w:pPr>
    </w:p>
    <w:p w:rsidR="00CF552A" w:rsidRPr="00CF552A" w:rsidRDefault="00CF552A" w:rsidP="00CF552A">
      <w:pPr>
        <w:pStyle w:val="TextoNormalSangraFrancesa"/>
        <w:rPr>
          <w:rStyle w:val="TextoNormalCaracter"/>
        </w:rPr>
      </w:pPr>
      <w:bookmarkStart w:id="756" w:name="DESCRIPTORALFABETICO372"/>
      <w:r w:rsidRPr="00CF552A">
        <w:rPr>
          <w:rStyle w:val="TextoNormalNegritaCaracter"/>
        </w:rPr>
        <w:t>Caducidad de la acción</w:t>
      </w:r>
      <w:bookmarkEnd w:id="756"/>
      <w:r w:rsidRPr="00CF552A">
        <w:rPr>
          <w:rStyle w:val="TextoNormalCaracter"/>
        </w:rPr>
        <w:t xml:space="preserve">, Sentencia </w:t>
      </w:r>
      <w:hyperlink w:anchor="SENTENCIA_1997_42" w:history="1">
        <w:r w:rsidRPr="00CF552A">
          <w:rPr>
            <w:rStyle w:val="TextoNormalCaracter"/>
          </w:rPr>
          <w:t>42/1997</w:t>
        </w:r>
      </w:hyperlink>
      <w:r w:rsidRPr="00CF552A">
        <w:rPr>
          <w:rStyle w:val="TextoNormalCaracter"/>
        </w:rPr>
        <w:t>, f. 1.</w:t>
      </w:r>
    </w:p>
    <w:p w:rsidR="00CF552A" w:rsidRPr="00CF552A" w:rsidRDefault="00CF552A" w:rsidP="00CF552A">
      <w:pPr>
        <w:pStyle w:val="TextoNormalSangraFrancesa"/>
        <w:rPr>
          <w:rStyle w:val="TextoNormalCaracter"/>
        </w:rPr>
      </w:pPr>
      <w:bookmarkStart w:id="757" w:name="DESCRIPTORALFABETICO318"/>
      <w:r w:rsidRPr="00CF552A">
        <w:rPr>
          <w:rStyle w:val="TextoNormalNegritaCaracter"/>
        </w:rPr>
        <w:t>Calificación de las normas jurídicas</w:t>
      </w:r>
      <w:bookmarkEnd w:id="757"/>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 12.</w:t>
      </w:r>
    </w:p>
    <w:p w:rsidR="00CF552A" w:rsidRPr="00CF552A" w:rsidRDefault="00CF552A" w:rsidP="00CF552A">
      <w:pPr>
        <w:pStyle w:val="TextoNormalSangraFrancesa"/>
        <w:rPr>
          <w:rStyle w:val="TextoNormalCaracter"/>
        </w:rPr>
      </w:pPr>
      <w:bookmarkStart w:id="758" w:name="DESCRIPTORALFABETICO31"/>
      <w:r w:rsidRPr="00CF552A">
        <w:rPr>
          <w:rStyle w:val="TextoNormalNegritaCaracter"/>
        </w:rPr>
        <w:t>Candidaturas electorales</w:t>
      </w:r>
      <w:bookmarkEnd w:id="758"/>
      <w:r w:rsidRPr="00CF552A">
        <w:rPr>
          <w:rStyle w:val="TextoNormalCaracter"/>
        </w:rPr>
        <w:t xml:space="preserve">, Sentencia </w:t>
      </w:r>
      <w:hyperlink w:anchor="SENTENCIA_1997_13" w:history="1">
        <w:r w:rsidRPr="00CF552A">
          <w:rPr>
            <w:rStyle w:val="TextoNormalCaracter"/>
          </w:rPr>
          <w:t>13/1997</w:t>
        </w:r>
      </w:hyperlink>
      <w:r w:rsidRPr="00CF552A">
        <w:rPr>
          <w:rStyle w:val="TextoNormalCaracter"/>
        </w:rPr>
        <w:t>, f. 4.</w:t>
      </w:r>
    </w:p>
    <w:p w:rsidR="00CF552A" w:rsidRPr="00CF552A" w:rsidRDefault="00CF552A" w:rsidP="00CF552A">
      <w:pPr>
        <w:pStyle w:val="TextoNormalSangraFrancesa"/>
        <w:rPr>
          <w:rStyle w:val="TextoNormalCaracter"/>
        </w:rPr>
      </w:pPr>
      <w:bookmarkStart w:id="759" w:name="DESCRIPTORALFABETICO353"/>
      <w:r w:rsidRPr="00CF552A">
        <w:rPr>
          <w:rStyle w:val="TextoNormalNegritaCaracter"/>
        </w:rPr>
        <w:t>Candidaturas sindicales</w:t>
      </w:r>
      <w:bookmarkEnd w:id="759"/>
      <w:r w:rsidRPr="00CF552A">
        <w:rPr>
          <w:rStyle w:val="TextoNormalCaracter"/>
        </w:rPr>
        <w:t xml:space="preserve">, Sentencia </w:t>
      </w:r>
      <w:hyperlink w:anchor="SENTENCIA_1997_13" w:history="1">
        <w:r w:rsidRPr="00CF552A">
          <w:rPr>
            <w:rStyle w:val="TextoNormalCaracter"/>
          </w:rPr>
          <w:t>13/1997</w:t>
        </w:r>
      </w:hyperlink>
      <w:r w:rsidRPr="00CF552A">
        <w:rPr>
          <w:rStyle w:val="TextoNormalCaracter"/>
        </w:rPr>
        <w:t>, f. 4.</w:t>
      </w:r>
    </w:p>
    <w:p w:rsidR="00CF552A" w:rsidRPr="00CF552A" w:rsidRDefault="00CF552A" w:rsidP="00CF552A">
      <w:pPr>
        <w:pStyle w:val="TextoNormalSangraFrancesa"/>
        <w:rPr>
          <w:rStyle w:val="TextoNormalCaracter"/>
        </w:rPr>
      </w:pPr>
      <w:bookmarkStart w:id="760" w:name="DESCRIPTORALFABETICO354"/>
      <w:r w:rsidRPr="00CF552A">
        <w:rPr>
          <w:rStyle w:val="TextoNormalNegritaCaracter"/>
        </w:rPr>
        <w:t>Candidaturas sindicales incompletas</w:t>
      </w:r>
      <w:bookmarkEnd w:id="760"/>
      <w:r w:rsidRPr="00CF552A">
        <w:rPr>
          <w:rStyle w:val="TextoNormalCaracter"/>
        </w:rPr>
        <w:t xml:space="preserve">, Sentencia </w:t>
      </w:r>
      <w:hyperlink w:anchor="SENTENCIA_1997_13" w:history="1">
        <w:r w:rsidRPr="00CF552A">
          <w:rPr>
            <w:rStyle w:val="TextoNormalCaracter"/>
          </w:rPr>
          <w:t>13/1997</w:t>
        </w:r>
      </w:hyperlink>
      <w:r w:rsidRPr="00CF552A">
        <w:rPr>
          <w:rStyle w:val="TextoNormalCaracter"/>
        </w:rPr>
        <w:t>, f. 4.</w:t>
      </w:r>
    </w:p>
    <w:p w:rsidR="00CF552A" w:rsidRPr="00CF552A" w:rsidRDefault="00CF552A" w:rsidP="00CF552A">
      <w:pPr>
        <w:pStyle w:val="TextoNormalSangraFrancesa"/>
        <w:rPr>
          <w:rStyle w:val="TextoNormalCaracter"/>
        </w:rPr>
      </w:pPr>
      <w:bookmarkStart w:id="761" w:name="DESCRIPTORALFABETICO333"/>
      <w:r w:rsidRPr="00CF552A">
        <w:rPr>
          <w:rStyle w:val="TextoNormalNegritaCaracter"/>
        </w:rPr>
        <w:t>Capacidad de obrar</w:t>
      </w:r>
      <w:bookmarkEnd w:id="761"/>
      <w:r w:rsidRPr="00CF552A">
        <w:rPr>
          <w:rStyle w:val="TextoNormalCaracter"/>
        </w:rPr>
        <w:t xml:space="preserve">, Auto </w:t>
      </w:r>
      <w:hyperlink w:anchor="AUTO_1997_77" w:history="1">
        <w:r w:rsidRPr="00CF552A">
          <w:rPr>
            <w:rStyle w:val="TextoNormalCaracter"/>
          </w:rPr>
          <w:t>77/1997</w:t>
        </w:r>
      </w:hyperlink>
      <w:r w:rsidRPr="00CF552A">
        <w:rPr>
          <w:rStyle w:val="TextoNormalCaracter"/>
        </w:rPr>
        <w:t>.</w:t>
      </w:r>
    </w:p>
    <w:p w:rsidR="00CF552A" w:rsidRPr="00CF552A" w:rsidRDefault="00CF552A" w:rsidP="00CF552A">
      <w:pPr>
        <w:pStyle w:val="TextoNormalSangraFrancesa"/>
        <w:rPr>
          <w:rStyle w:val="TextoNormalCaracter"/>
        </w:rPr>
      </w:pPr>
      <w:bookmarkStart w:id="762" w:name="DESCRIPTORALFABETICO171"/>
      <w:r w:rsidRPr="00CF552A">
        <w:rPr>
          <w:rStyle w:val="TextoNormalNegritaCaracter"/>
        </w:rPr>
        <w:t>Carácter objetivo del recurso de amparo</w:t>
      </w:r>
      <w:bookmarkEnd w:id="762"/>
      <w:r w:rsidRPr="00CF552A">
        <w:rPr>
          <w:rStyle w:val="TextoNormalCaracter"/>
        </w:rPr>
        <w:t xml:space="preserve">, Sentencia </w:t>
      </w:r>
      <w:hyperlink w:anchor="SENTENCIA_1997_69" w:history="1">
        <w:r w:rsidRPr="00CF552A">
          <w:rPr>
            <w:rStyle w:val="TextoNormalCaracter"/>
          </w:rPr>
          <w:t>69/1997</w:t>
        </w:r>
      </w:hyperlink>
      <w:r w:rsidRPr="00CF552A">
        <w:rPr>
          <w:rStyle w:val="TextoNormalCaracter"/>
        </w:rPr>
        <w:t>, f. 3.</w:t>
      </w:r>
    </w:p>
    <w:p w:rsidR="00CF552A" w:rsidRPr="00CF552A" w:rsidRDefault="00CF552A" w:rsidP="00CF552A">
      <w:pPr>
        <w:pStyle w:val="TextoNormalSangraFrancesa"/>
        <w:rPr>
          <w:rStyle w:val="TextoNormalCaracter"/>
        </w:rPr>
      </w:pPr>
      <w:bookmarkStart w:id="763" w:name="DESCRIPTORALFABETICO43"/>
      <w:r w:rsidRPr="00CF552A">
        <w:rPr>
          <w:rStyle w:val="TextoNormalNegritaCaracter"/>
        </w:rPr>
        <w:t>Carácter relacional del juicio de igualdad</w:t>
      </w:r>
      <w:bookmarkEnd w:id="763"/>
      <w:r w:rsidRPr="00CF552A">
        <w:rPr>
          <w:rStyle w:val="TextoNormalCaracter"/>
        </w:rPr>
        <w:t xml:space="preserve">, Sentencia </w:t>
      </w:r>
      <w:hyperlink w:anchor="SENTENCIA_1997_74" w:history="1">
        <w:r w:rsidRPr="00CF552A">
          <w:rPr>
            <w:rStyle w:val="TextoNormalCaracter"/>
          </w:rPr>
          <w:t>74/1997</w:t>
        </w:r>
      </w:hyperlink>
      <w:r w:rsidRPr="00CF552A">
        <w:rPr>
          <w:rStyle w:val="TextoNormalCaracter"/>
        </w:rPr>
        <w:t>, f. 5, VP.</w:t>
      </w:r>
    </w:p>
    <w:p w:rsidR="00CF552A" w:rsidRPr="00CF552A" w:rsidRDefault="00CF552A" w:rsidP="00CF552A">
      <w:pPr>
        <w:pStyle w:val="TextoNormalSangraFrancesa"/>
        <w:rPr>
          <w:rStyle w:val="TextoNormalCaracter"/>
        </w:rPr>
      </w:pPr>
      <w:bookmarkStart w:id="764" w:name="DESCRIPTORALFABETICO172"/>
      <w:r w:rsidRPr="00CF552A">
        <w:rPr>
          <w:rStyle w:val="TextoNormalNegritaCaracter"/>
        </w:rPr>
        <w:t>Carácter subsidiario del recurso de amparo</w:t>
      </w:r>
      <w:bookmarkEnd w:id="764"/>
      <w:r w:rsidRPr="00CF552A">
        <w:rPr>
          <w:rStyle w:val="TextoNormalCaracter"/>
        </w:rPr>
        <w:t xml:space="preserve">, Sentencias </w:t>
      </w:r>
      <w:hyperlink w:anchor="SENTENCIA_1997_5" w:history="1">
        <w:r w:rsidRPr="00CF552A">
          <w:rPr>
            <w:rStyle w:val="TextoNormalCaracter"/>
          </w:rPr>
          <w:t>5/1997</w:t>
        </w:r>
      </w:hyperlink>
      <w:r w:rsidRPr="00CF552A">
        <w:rPr>
          <w:rStyle w:val="TextoNormalCaracter"/>
        </w:rPr>
        <w:t xml:space="preserve">, f. 1; </w:t>
      </w:r>
      <w:hyperlink w:anchor="SENTENCIA_1997_8" w:history="1">
        <w:r w:rsidRPr="00CF552A">
          <w:rPr>
            <w:rStyle w:val="TextoNormalCaracter"/>
          </w:rPr>
          <w:t>8/1997</w:t>
        </w:r>
      </w:hyperlink>
      <w:r w:rsidRPr="00CF552A">
        <w:rPr>
          <w:rStyle w:val="TextoNormalCaracter"/>
        </w:rPr>
        <w:t xml:space="preserve">, f. 3; </w:t>
      </w:r>
      <w:hyperlink w:anchor="SENTENCIA_1997_13" w:history="1">
        <w:r w:rsidRPr="00CF552A">
          <w:rPr>
            <w:rStyle w:val="TextoNormalCaracter"/>
          </w:rPr>
          <w:t>13/1997</w:t>
        </w:r>
      </w:hyperlink>
      <w:r w:rsidRPr="00CF552A">
        <w:rPr>
          <w:rStyle w:val="TextoNormalCaracter"/>
        </w:rPr>
        <w:t xml:space="preserve">, f. 2; </w:t>
      </w:r>
      <w:hyperlink w:anchor="SENTENCIA_1997_27" w:history="1">
        <w:r w:rsidRPr="00CF552A">
          <w:rPr>
            <w:rStyle w:val="TextoNormalCaracter"/>
          </w:rPr>
          <w:t>27/1997</w:t>
        </w:r>
      </w:hyperlink>
      <w:r w:rsidRPr="00CF552A">
        <w:rPr>
          <w:rStyle w:val="TextoNormalCaracter"/>
        </w:rPr>
        <w:t xml:space="preserve">, f. 2; </w:t>
      </w:r>
      <w:hyperlink w:anchor="SENTENCIA_1997_74" w:history="1">
        <w:r w:rsidRPr="00CF552A">
          <w:rPr>
            <w:rStyle w:val="TextoNormalCaracter"/>
          </w:rPr>
          <w:t>74/1997</w:t>
        </w:r>
      </w:hyperlink>
      <w:r w:rsidRPr="00CF552A">
        <w:rPr>
          <w:rStyle w:val="TextoNormalCaracter"/>
        </w:rPr>
        <w:t>, f. 1.</w:t>
      </w:r>
    </w:p>
    <w:p w:rsidR="00CF552A" w:rsidRPr="00CF552A" w:rsidRDefault="00CF552A" w:rsidP="00CF552A">
      <w:pPr>
        <w:pStyle w:val="TextoNormalSangraFrancesa"/>
        <w:rPr>
          <w:rStyle w:val="TextoNormalCaracter"/>
        </w:rPr>
      </w:pPr>
      <w:bookmarkStart w:id="765" w:name="DESCRIPTORALFABETICO432"/>
      <w:r w:rsidRPr="00CF552A">
        <w:rPr>
          <w:rStyle w:val="TextoNormalNegritaCaracter"/>
        </w:rPr>
        <w:t>Carácter subsidiario del recurso de audiencia al rebelde</w:t>
      </w:r>
      <w:bookmarkEnd w:id="765"/>
      <w:r w:rsidRPr="00CF552A">
        <w:rPr>
          <w:rStyle w:val="TextoNormalCaracter"/>
        </w:rPr>
        <w:t xml:space="preserve">, Sentencia </w:t>
      </w:r>
      <w:hyperlink w:anchor="SENTENCIA_1997_5" w:history="1">
        <w:r w:rsidRPr="00CF552A">
          <w:rPr>
            <w:rStyle w:val="TextoNormalCaracter"/>
          </w:rPr>
          <w:t>5/1997</w:t>
        </w:r>
      </w:hyperlink>
      <w:r w:rsidRPr="00CF552A">
        <w:rPr>
          <w:rStyle w:val="TextoNormalCaracter"/>
        </w:rPr>
        <w:t>, f. 2.</w:t>
      </w:r>
    </w:p>
    <w:p w:rsidR="00CF552A" w:rsidRPr="00CF552A" w:rsidRDefault="00CF552A" w:rsidP="00CF552A">
      <w:pPr>
        <w:pStyle w:val="TextoNormalSangraFrancesa"/>
        <w:rPr>
          <w:rStyle w:val="TextoNormalNegritaCaracter"/>
        </w:rPr>
      </w:pPr>
      <w:r w:rsidRPr="00CF552A">
        <w:rPr>
          <w:rStyle w:val="TextoNormalCursivaCaracter"/>
        </w:rPr>
        <w:t>Carencia de contenido constitucional</w:t>
      </w:r>
      <w:r>
        <w:t xml:space="preserve"> véase </w:t>
      </w:r>
      <w:hyperlink w:anchor="DESCRIPTORALFABETICO185" w:history="1">
        <w:r w:rsidRPr="00CF552A">
          <w:rPr>
            <w:rStyle w:val="TextoNormalNegritaCaracter"/>
          </w:rPr>
          <w:t>Carencia de contenido que justifique una decisión sobre el fondo del asunto</w:t>
        </w:r>
      </w:hyperlink>
    </w:p>
    <w:p w:rsidR="00CF552A" w:rsidRPr="00CF552A" w:rsidRDefault="00CF552A" w:rsidP="00CF552A">
      <w:pPr>
        <w:pStyle w:val="TextoNormalSangraFrancesa"/>
        <w:rPr>
          <w:rStyle w:val="TextoNormalCaracter"/>
        </w:rPr>
      </w:pPr>
      <w:bookmarkStart w:id="766" w:name="DESCRIPTORALFABETICO185"/>
      <w:r w:rsidRPr="00CF552A">
        <w:rPr>
          <w:rStyle w:val="TextoNormalNegritaCaracter"/>
        </w:rPr>
        <w:t>Carencia de contenido que justifique una decisión sobre el fondo del asunto</w:t>
      </w:r>
      <w:bookmarkEnd w:id="766"/>
      <w:r w:rsidRPr="00CF552A">
        <w:rPr>
          <w:rStyle w:val="TextoNormalCaracter"/>
        </w:rPr>
        <w:t xml:space="preserve">, Autos </w:t>
      </w:r>
      <w:hyperlink w:anchor="AUTO_1997_4" w:history="1">
        <w:r w:rsidRPr="00CF552A">
          <w:rPr>
            <w:rStyle w:val="TextoNormalCaracter"/>
          </w:rPr>
          <w:t>4/1997</w:t>
        </w:r>
      </w:hyperlink>
      <w:r w:rsidRPr="00CF552A">
        <w:rPr>
          <w:rStyle w:val="TextoNormalCaracter"/>
        </w:rPr>
        <w:t xml:space="preserve">; </w:t>
      </w:r>
      <w:hyperlink w:anchor="AUTO_1997_13" w:history="1">
        <w:r w:rsidRPr="00CF552A">
          <w:rPr>
            <w:rStyle w:val="TextoNormalCaracter"/>
          </w:rPr>
          <w:t>13/1997</w:t>
        </w:r>
      </w:hyperlink>
      <w:r w:rsidRPr="00CF552A">
        <w:rPr>
          <w:rStyle w:val="TextoNormalCaracter"/>
        </w:rPr>
        <w:t xml:space="preserve">; </w:t>
      </w:r>
      <w:hyperlink w:anchor="AUTO_1997_15" w:history="1">
        <w:r w:rsidRPr="00CF552A">
          <w:rPr>
            <w:rStyle w:val="TextoNormalCaracter"/>
          </w:rPr>
          <w:t>15/1997</w:t>
        </w:r>
      </w:hyperlink>
      <w:r w:rsidRPr="00CF552A">
        <w:rPr>
          <w:rStyle w:val="TextoNormalCaracter"/>
        </w:rPr>
        <w:t xml:space="preserve">; </w:t>
      </w:r>
      <w:hyperlink w:anchor="AUTO_1997_23" w:history="1">
        <w:r w:rsidRPr="00CF552A">
          <w:rPr>
            <w:rStyle w:val="TextoNormalCaracter"/>
          </w:rPr>
          <w:t>23/1997</w:t>
        </w:r>
      </w:hyperlink>
      <w:r w:rsidRPr="00CF552A">
        <w:rPr>
          <w:rStyle w:val="TextoNormalCaracter"/>
        </w:rPr>
        <w:t xml:space="preserve">; </w:t>
      </w:r>
      <w:hyperlink w:anchor="AUTO_1997_24" w:history="1">
        <w:r w:rsidRPr="00CF552A">
          <w:rPr>
            <w:rStyle w:val="TextoNormalCaracter"/>
          </w:rPr>
          <w:t>24/1997</w:t>
        </w:r>
      </w:hyperlink>
      <w:r w:rsidRPr="00CF552A">
        <w:rPr>
          <w:rStyle w:val="TextoNormalCaracter"/>
        </w:rPr>
        <w:t xml:space="preserve">; </w:t>
      </w:r>
      <w:hyperlink w:anchor="AUTO_1997_30" w:history="1">
        <w:r w:rsidRPr="00CF552A">
          <w:rPr>
            <w:rStyle w:val="TextoNormalCaracter"/>
          </w:rPr>
          <w:t>30/1997</w:t>
        </w:r>
      </w:hyperlink>
      <w:r w:rsidRPr="00CF552A">
        <w:rPr>
          <w:rStyle w:val="TextoNormalCaracter"/>
        </w:rPr>
        <w:t xml:space="preserve">; </w:t>
      </w:r>
      <w:hyperlink w:anchor="AUTO_1997_32" w:history="1">
        <w:r w:rsidRPr="00CF552A">
          <w:rPr>
            <w:rStyle w:val="TextoNormalCaracter"/>
          </w:rPr>
          <w:t>32/1997</w:t>
        </w:r>
      </w:hyperlink>
      <w:r w:rsidRPr="00CF552A">
        <w:rPr>
          <w:rStyle w:val="TextoNormalCaracter"/>
        </w:rPr>
        <w:t xml:space="preserve">; </w:t>
      </w:r>
      <w:hyperlink w:anchor="AUTO_1997_33" w:history="1">
        <w:r w:rsidRPr="00CF552A">
          <w:rPr>
            <w:rStyle w:val="TextoNormalCaracter"/>
          </w:rPr>
          <w:t>33/1997</w:t>
        </w:r>
      </w:hyperlink>
      <w:r w:rsidRPr="00CF552A">
        <w:rPr>
          <w:rStyle w:val="TextoNormalCaracter"/>
        </w:rPr>
        <w:t xml:space="preserve">; </w:t>
      </w:r>
      <w:hyperlink w:anchor="AUTO_1997_42" w:history="1">
        <w:r w:rsidRPr="00CF552A">
          <w:rPr>
            <w:rStyle w:val="TextoNormalCaracter"/>
          </w:rPr>
          <w:t>42/1997</w:t>
        </w:r>
      </w:hyperlink>
      <w:r w:rsidRPr="00CF552A">
        <w:rPr>
          <w:rStyle w:val="TextoNormalCaracter"/>
        </w:rPr>
        <w:t xml:space="preserve">; </w:t>
      </w:r>
      <w:hyperlink w:anchor="AUTO_1997_59" w:history="1">
        <w:r w:rsidRPr="00CF552A">
          <w:rPr>
            <w:rStyle w:val="TextoNormalCaracter"/>
          </w:rPr>
          <w:t>59/1997</w:t>
        </w:r>
      </w:hyperlink>
      <w:r w:rsidRPr="00CF552A">
        <w:rPr>
          <w:rStyle w:val="TextoNormalCaracter"/>
        </w:rPr>
        <w:t xml:space="preserve">; </w:t>
      </w:r>
      <w:hyperlink w:anchor="AUTO_1997_60" w:history="1">
        <w:r w:rsidRPr="00CF552A">
          <w:rPr>
            <w:rStyle w:val="TextoNormalCaracter"/>
          </w:rPr>
          <w:t>60/1997</w:t>
        </w:r>
      </w:hyperlink>
      <w:r w:rsidRPr="00CF552A">
        <w:rPr>
          <w:rStyle w:val="TextoNormalCaracter"/>
        </w:rPr>
        <w:t xml:space="preserve">; </w:t>
      </w:r>
      <w:hyperlink w:anchor="AUTO_1997_79" w:history="1">
        <w:r w:rsidRPr="00CF552A">
          <w:rPr>
            <w:rStyle w:val="TextoNormalCaracter"/>
          </w:rPr>
          <w:t>79/1997</w:t>
        </w:r>
      </w:hyperlink>
      <w:r w:rsidRPr="00CF552A">
        <w:rPr>
          <w:rStyle w:val="TextoNormalCaracter"/>
        </w:rPr>
        <w:t xml:space="preserve">; </w:t>
      </w:r>
      <w:hyperlink w:anchor="AUTO_1997_80" w:history="1">
        <w:r w:rsidRPr="00CF552A">
          <w:rPr>
            <w:rStyle w:val="TextoNormalCaracter"/>
          </w:rPr>
          <w:t>80/1997</w:t>
        </w:r>
      </w:hyperlink>
      <w:r w:rsidRPr="00CF552A">
        <w:rPr>
          <w:rStyle w:val="TextoNormalCaracter"/>
        </w:rPr>
        <w:t xml:space="preserve">; </w:t>
      </w:r>
      <w:hyperlink w:anchor="AUTO_1997_91" w:history="1">
        <w:r w:rsidRPr="00CF552A">
          <w:rPr>
            <w:rStyle w:val="TextoNormalCaracter"/>
          </w:rPr>
          <w:t>91/1997</w:t>
        </w:r>
      </w:hyperlink>
      <w:r w:rsidRPr="00CF552A">
        <w:rPr>
          <w:rStyle w:val="TextoNormalCaracter"/>
        </w:rPr>
        <w:t xml:space="preserve">; </w:t>
      </w:r>
      <w:hyperlink w:anchor="AUTO_1997_94" w:history="1">
        <w:r w:rsidRPr="00CF552A">
          <w:rPr>
            <w:rStyle w:val="TextoNormalCaracter"/>
          </w:rPr>
          <w:t>94/1997</w:t>
        </w:r>
      </w:hyperlink>
      <w:r w:rsidRPr="00CF552A">
        <w:rPr>
          <w:rStyle w:val="TextoNormalCaracter"/>
        </w:rPr>
        <w:t xml:space="preserve">; </w:t>
      </w:r>
      <w:hyperlink w:anchor="AUTO_1997_95" w:history="1">
        <w:r w:rsidRPr="00CF552A">
          <w:rPr>
            <w:rStyle w:val="TextoNormalCaracter"/>
          </w:rPr>
          <w:t>95/1997</w:t>
        </w:r>
      </w:hyperlink>
      <w:r w:rsidRPr="00CF552A">
        <w:rPr>
          <w:rStyle w:val="TextoNormalCaracter"/>
        </w:rPr>
        <w:t xml:space="preserve">; </w:t>
      </w:r>
      <w:hyperlink w:anchor="AUTO_1997_105" w:history="1">
        <w:r w:rsidRPr="00CF552A">
          <w:rPr>
            <w:rStyle w:val="TextoNormalCaracter"/>
          </w:rPr>
          <w:t>105/1997</w:t>
        </w:r>
      </w:hyperlink>
      <w:r w:rsidRPr="00CF552A">
        <w:rPr>
          <w:rStyle w:val="TextoNormalCaracter"/>
        </w:rPr>
        <w:t xml:space="preserve">; </w:t>
      </w:r>
      <w:hyperlink w:anchor="AUTO_1997_108" w:history="1">
        <w:r w:rsidRPr="00CF552A">
          <w:rPr>
            <w:rStyle w:val="TextoNormalCaracter"/>
          </w:rPr>
          <w:t>108/1997</w:t>
        </w:r>
      </w:hyperlink>
      <w:r w:rsidRPr="00CF552A">
        <w:rPr>
          <w:rStyle w:val="TextoNormalCaracter"/>
        </w:rPr>
        <w:t xml:space="preserve">; </w:t>
      </w:r>
      <w:hyperlink w:anchor="AUTO_1997_111" w:history="1">
        <w:r w:rsidRPr="00CF552A">
          <w:rPr>
            <w:rStyle w:val="TextoNormalCaracter"/>
          </w:rPr>
          <w:t>111/1997</w:t>
        </w:r>
      </w:hyperlink>
      <w:r w:rsidRPr="00CF552A">
        <w:rPr>
          <w:rStyle w:val="TextoNormalCaracter"/>
        </w:rPr>
        <w:t xml:space="preserve">; </w:t>
      </w:r>
      <w:hyperlink w:anchor="AUTO_1997_114" w:history="1">
        <w:r w:rsidRPr="00CF552A">
          <w:rPr>
            <w:rStyle w:val="TextoNormalCaracter"/>
          </w:rPr>
          <w:t>114/1997</w:t>
        </w:r>
      </w:hyperlink>
      <w:r w:rsidRPr="00CF552A">
        <w:rPr>
          <w:rStyle w:val="TextoNormalCaracter"/>
        </w:rPr>
        <w:t xml:space="preserve">; </w:t>
      </w:r>
      <w:hyperlink w:anchor="AUTO_1997_115" w:history="1">
        <w:r w:rsidRPr="00CF552A">
          <w:rPr>
            <w:rStyle w:val="TextoNormalCaracter"/>
          </w:rPr>
          <w:t>115/1997</w:t>
        </w:r>
      </w:hyperlink>
      <w:r w:rsidRPr="00CF552A">
        <w:rPr>
          <w:rStyle w:val="TextoNormalCaracter"/>
        </w:rPr>
        <w:t xml:space="preserve">; </w:t>
      </w:r>
      <w:hyperlink w:anchor="AUTO_1997_117" w:history="1">
        <w:r w:rsidRPr="00CF552A">
          <w:rPr>
            <w:rStyle w:val="TextoNormalCaracter"/>
          </w:rPr>
          <w:t>117/1997</w:t>
        </w:r>
      </w:hyperlink>
      <w:r w:rsidRPr="00CF552A">
        <w:rPr>
          <w:rStyle w:val="TextoNormalCaracter"/>
        </w:rPr>
        <w:t xml:space="preserve">; </w:t>
      </w:r>
      <w:hyperlink w:anchor="AUTO_1997_118" w:history="1">
        <w:r w:rsidRPr="00CF552A">
          <w:rPr>
            <w:rStyle w:val="TextoNormalCaracter"/>
          </w:rPr>
          <w:t>118/1997</w:t>
        </w:r>
      </w:hyperlink>
      <w:r w:rsidRPr="00CF552A">
        <w:rPr>
          <w:rStyle w:val="TextoNormalCaracter"/>
        </w:rPr>
        <w:t xml:space="preserve">; </w:t>
      </w:r>
      <w:hyperlink w:anchor="AUTO_1997_119" w:history="1">
        <w:r w:rsidRPr="00CF552A">
          <w:rPr>
            <w:rStyle w:val="TextoNormalCaracter"/>
          </w:rPr>
          <w:t>119/1997</w:t>
        </w:r>
      </w:hyperlink>
      <w:r w:rsidRPr="00CF552A">
        <w:rPr>
          <w:rStyle w:val="TextoNormalCaracter"/>
        </w:rPr>
        <w:t xml:space="preserve">; </w:t>
      </w:r>
      <w:hyperlink w:anchor="AUTO_1997_121" w:history="1">
        <w:r w:rsidRPr="00CF552A">
          <w:rPr>
            <w:rStyle w:val="TextoNormalCaracter"/>
          </w:rPr>
          <w:t>121/1997</w:t>
        </w:r>
      </w:hyperlink>
      <w:r w:rsidRPr="00CF552A">
        <w:rPr>
          <w:rStyle w:val="TextoNormalCaracter"/>
        </w:rPr>
        <w:t xml:space="preserve">; </w:t>
      </w:r>
      <w:hyperlink w:anchor="AUTO_1997_122" w:history="1">
        <w:r w:rsidRPr="00CF552A">
          <w:rPr>
            <w:rStyle w:val="TextoNormalCaracter"/>
          </w:rPr>
          <w:t>122/1997</w:t>
        </w:r>
      </w:hyperlink>
      <w:r w:rsidRPr="00CF552A">
        <w:rPr>
          <w:rStyle w:val="TextoNormalCaracter"/>
        </w:rPr>
        <w:t>.</w:t>
      </w:r>
    </w:p>
    <w:p w:rsidR="00CF552A" w:rsidRPr="00CF552A" w:rsidRDefault="00CF552A" w:rsidP="00CF552A">
      <w:pPr>
        <w:pStyle w:val="TextoNormalSangraFrancesa"/>
        <w:rPr>
          <w:rStyle w:val="TextoNormalCaracter"/>
        </w:rPr>
      </w:pPr>
      <w:bookmarkStart w:id="767" w:name="DESCRIPTORALFABETICO131"/>
      <w:r w:rsidRPr="00CF552A">
        <w:rPr>
          <w:rStyle w:val="TextoNormalNegritaCaracter"/>
        </w:rPr>
        <w:t>Carencia de jurisdicción constitucional</w:t>
      </w:r>
      <w:bookmarkEnd w:id="767"/>
      <w:r w:rsidRPr="00CF552A">
        <w:rPr>
          <w:rStyle w:val="TextoNormalCaracter"/>
        </w:rPr>
        <w:t xml:space="preserve">, Autos </w:t>
      </w:r>
      <w:hyperlink w:anchor="AUTO_1997_17" w:history="1">
        <w:r w:rsidRPr="00CF552A">
          <w:rPr>
            <w:rStyle w:val="TextoNormalCaracter"/>
          </w:rPr>
          <w:t>17/1997</w:t>
        </w:r>
      </w:hyperlink>
      <w:r w:rsidRPr="00CF552A">
        <w:rPr>
          <w:rStyle w:val="TextoNormalCaracter"/>
        </w:rPr>
        <w:t xml:space="preserve">; </w:t>
      </w:r>
      <w:hyperlink w:anchor="AUTO_1997_45" w:history="1">
        <w:r w:rsidRPr="00CF552A">
          <w:rPr>
            <w:rStyle w:val="TextoNormalCaracter"/>
          </w:rPr>
          <w:t>45/1997</w:t>
        </w:r>
      </w:hyperlink>
      <w:r w:rsidRPr="00CF552A">
        <w:rPr>
          <w:rStyle w:val="TextoNormalCaracter"/>
        </w:rPr>
        <w:t xml:space="preserve">; </w:t>
      </w:r>
      <w:hyperlink w:anchor="AUTO_1997_65" w:history="1">
        <w:r w:rsidRPr="00CF552A">
          <w:rPr>
            <w:rStyle w:val="TextoNormalCaracter"/>
          </w:rPr>
          <w:t>65/1997</w:t>
        </w:r>
      </w:hyperlink>
      <w:r w:rsidRPr="00CF552A">
        <w:rPr>
          <w:rStyle w:val="TextoNormalCaracter"/>
        </w:rPr>
        <w:t xml:space="preserve">; </w:t>
      </w:r>
      <w:hyperlink w:anchor="AUTO_1997_66" w:history="1">
        <w:r w:rsidRPr="00CF552A">
          <w:rPr>
            <w:rStyle w:val="TextoNormalCaracter"/>
          </w:rPr>
          <w:t>66/1997</w:t>
        </w:r>
      </w:hyperlink>
      <w:r w:rsidRPr="00CF552A">
        <w:rPr>
          <w:rStyle w:val="TextoNormalCaracter"/>
        </w:rPr>
        <w:t xml:space="preserve">; </w:t>
      </w:r>
      <w:hyperlink w:anchor="AUTO_1997_107" w:history="1">
        <w:r w:rsidRPr="00CF552A">
          <w:rPr>
            <w:rStyle w:val="TextoNormalCaracter"/>
          </w:rPr>
          <w:t>107/1997</w:t>
        </w:r>
      </w:hyperlink>
      <w:r w:rsidRPr="00CF552A">
        <w:rPr>
          <w:rStyle w:val="TextoNormalCaracter"/>
        </w:rPr>
        <w:t>.</w:t>
      </w:r>
    </w:p>
    <w:p w:rsidR="00CF552A" w:rsidRPr="00CF552A" w:rsidRDefault="00CF552A" w:rsidP="00CF552A">
      <w:pPr>
        <w:pStyle w:val="TextoNormalSangraFrancesa"/>
        <w:rPr>
          <w:rStyle w:val="TextoNormalCaracter"/>
        </w:rPr>
      </w:pPr>
      <w:bookmarkStart w:id="768" w:name="DESCRIPTORALFABETICO132"/>
      <w:r w:rsidRPr="00CF552A">
        <w:rPr>
          <w:rStyle w:val="TextoNormalNegritaCaracter"/>
        </w:rPr>
        <w:lastRenderedPageBreak/>
        <w:t>Carencia de jurisdicción para el reconocimiento de indemnizaciones</w:t>
      </w:r>
      <w:bookmarkEnd w:id="768"/>
      <w:r w:rsidRPr="00CF552A">
        <w:rPr>
          <w:rStyle w:val="TextoNormalCaracter"/>
        </w:rPr>
        <w:t xml:space="preserve">, Sentencia </w:t>
      </w:r>
      <w:hyperlink w:anchor="SENTENCIA_1997_33" w:history="1">
        <w:r w:rsidRPr="00CF552A">
          <w:rPr>
            <w:rStyle w:val="TextoNormalCaracter"/>
          </w:rPr>
          <w:t>33/1997</w:t>
        </w:r>
      </w:hyperlink>
      <w:r w:rsidRPr="00CF552A">
        <w:rPr>
          <w:rStyle w:val="TextoNormalCaracter"/>
        </w:rPr>
        <w:t>, f. 3, VP.</w:t>
      </w:r>
    </w:p>
    <w:p w:rsidR="00CF552A" w:rsidRPr="00CF552A" w:rsidRDefault="00CF552A" w:rsidP="00CF552A">
      <w:pPr>
        <w:pStyle w:val="TextoNormalSangraFrancesa"/>
        <w:rPr>
          <w:rStyle w:val="TextoNormalCaracter"/>
        </w:rPr>
      </w:pPr>
      <w:bookmarkStart w:id="769" w:name="DESCRIPTORALFABETICO133"/>
      <w:r w:rsidRPr="00CF552A">
        <w:rPr>
          <w:rStyle w:val="TextoNormalNegritaCaracter"/>
        </w:rPr>
        <w:t>Carencia de jurisdicción para resolver dudas interpretativas</w:t>
      </w:r>
      <w:bookmarkEnd w:id="769"/>
      <w:r w:rsidRPr="00CF552A">
        <w:rPr>
          <w:rStyle w:val="TextoNormalCaracter"/>
        </w:rPr>
        <w:t xml:space="preserve">, Auto </w:t>
      </w:r>
      <w:hyperlink w:anchor="AUTO_1997_62" w:history="1">
        <w:r w:rsidRPr="00CF552A">
          <w:rPr>
            <w:rStyle w:val="TextoNormalCaracter"/>
          </w:rPr>
          <w:t>62/1997</w:t>
        </w:r>
      </w:hyperlink>
      <w:r w:rsidRPr="00CF552A">
        <w:rPr>
          <w:rStyle w:val="TextoNormalCaracter"/>
        </w:rPr>
        <w:t>.</w:t>
      </w:r>
    </w:p>
    <w:p w:rsidR="00CF552A" w:rsidRPr="00CF552A" w:rsidRDefault="00CF552A" w:rsidP="00CF552A">
      <w:pPr>
        <w:pStyle w:val="TextoNormalSangraFrancesa"/>
        <w:rPr>
          <w:rStyle w:val="TextoNormalCaracter"/>
        </w:rPr>
      </w:pPr>
      <w:bookmarkStart w:id="770" w:name="DESCRIPTORALFABETICO402"/>
      <w:r w:rsidRPr="00CF552A">
        <w:rPr>
          <w:rStyle w:val="TextoNormalNegritaCaracter"/>
        </w:rPr>
        <w:t>Carga de la prueba</w:t>
      </w:r>
      <w:bookmarkEnd w:id="770"/>
      <w:r w:rsidRPr="00CF552A">
        <w:rPr>
          <w:rStyle w:val="TextoNormalCaracter"/>
        </w:rPr>
        <w:t xml:space="preserve">, Sentencia </w:t>
      </w:r>
      <w:hyperlink w:anchor="SENTENCIA_1997_82" w:history="1">
        <w:r w:rsidRPr="00CF552A">
          <w:rPr>
            <w:rStyle w:val="TextoNormalCaracter"/>
          </w:rPr>
          <w:t>82/1997</w:t>
        </w:r>
      </w:hyperlink>
      <w:r w:rsidRPr="00CF552A">
        <w:rPr>
          <w:rStyle w:val="TextoNormalCaracter"/>
        </w:rPr>
        <w:t>, f. 3.</w:t>
      </w:r>
    </w:p>
    <w:p w:rsidR="00CF552A" w:rsidRPr="00CF552A" w:rsidRDefault="00CF552A" w:rsidP="00CF552A">
      <w:pPr>
        <w:pStyle w:val="TextoNormalSangraFrancesa"/>
        <w:rPr>
          <w:rStyle w:val="TextoNormalCaracter"/>
        </w:rPr>
      </w:pPr>
      <w:bookmarkStart w:id="771" w:name="DESCRIPTORALFABETICO283"/>
      <w:r w:rsidRPr="00CF552A">
        <w:rPr>
          <w:rStyle w:val="TextoNormalNegritaCaracter"/>
        </w:rPr>
        <w:t>Cartas al Director</w:t>
      </w:r>
      <w:bookmarkEnd w:id="771"/>
      <w:r w:rsidRPr="00CF552A">
        <w:rPr>
          <w:rStyle w:val="TextoNormalCaracter"/>
        </w:rPr>
        <w:t xml:space="preserve">, Sentencia </w:t>
      </w:r>
      <w:hyperlink w:anchor="SENTENCIA_1997_3" w:history="1">
        <w:r w:rsidRPr="00CF552A">
          <w:rPr>
            <w:rStyle w:val="TextoNormalCaracter"/>
          </w:rPr>
          <w:t>3/1997</w:t>
        </w:r>
      </w:hyperlink>
      <w:r w:rsidRPr="00CF552A">
        <w:rPr>
          <w:rStyle w:val="TextoNormalCaracter"/>
        </w:rPr>
        <w:t>, ff. 1, 2, 3, 4, 5, 6, 7, 8.</w:t>
      </w:r>
    </w:p>
    <w:p w:rsidR="00CF552A" w:rsidRPr="00CF552A" w:rsidRDefault="00CF552A" w:rsidP="00CF552A">
      <w:pPr>
        <w:pStyle w:val="TextoNormalSangraFrancesa"/>
        <w:rPr>
          <w:rStyle w:val="TextoNormalCaracter"/>
        </w:rPr>
      </w:pPr>
      <w:bookmarkStart w:id="772" w:name="DESCRIPTORALFABETICO230"/>
      <w:r w:rsidRPr="00CF552A">
        <w:rPr>
          <w:rStyle w:val="TextoNormalNegritaCaracter"/>
        </w:rPr>
        <w:t>Castellano</w:t>
      </w:r>
      <w:bookmarkEnd w:id="772"/>
      <w:r w:rsidRPr="00CF552A">
        <w:rPr>
          <w:rStyle w:val="TextoNormalCaracter"/>
        </w:rPr>
        <w:t xml:space="preserve">, Sentencia </w:t>
      </w:r>
      <w:hyperlink w:anchor="SENTENCIA_1997_87" w:history="1">
        <w:r w:rsidRPr="00CF552A">
          <w:rPr>
            <w:rStyle w:val="TextoNormalCaracter"/>
          </w:rPr>
          <w:t>87/1997</w:t>
        </w:r>
      </w:hyperlink>
      <w:r w:rsidRPr="00CF552A">
        <w:rPr>
          <w:rStyle w:val="TextoNormalCaracter"/>
        </w:rPr>
        <w:t>, ff. 1, 2, 3, 4, 5, 6.</w:t>
      </w:r>
    </w:p>
    <w:p w:rsidR="00CF552A" w:rsidRPr="00CF552A" w:rsidRDefault="00CF552A" w:rsidP="00CF552A">
      <w:pPr>
        <w:pStyle w:val="TextoNormalSangraFrancesa"/>
        <w:rPr>
          <w:rStyle w:val="TextoNormalCaracter"/>
        </w:rPr>
      </w:pPr>
      <w:bookmarkStart w:id="773" w:name="DESCRIPTORALFABETICO231"/>
      <w:r w:rsidRPr="00CF552A">
        <w:rPr>
          <w:rStyle w:val="TextoNormalNegritaCaracter"/>
        </w:rPr>
        <w:t>Catalán</w:t>
      </w:r>
      <w:bookmarkEnd w:id="773"/>
      <w:r w:rsidRPr="00CF552A">
        <w:rPr>
          <w:rStyle w:val="TextoNormalCaracter"/>
        </w:rPr>
        <w:t xml:space="preserve">, Sentencias </w:t>
      </w:r>
      <w:hyperlink w:anchor="SENTENCIA_1997_75" w:history="1">
        <w:r w:rsidRPr="00CF552A">
          <w:rPr>
            <w:rStyle w:val="TextoNormalCaracter"/>
          </w:rPr>
          <w:t>75/1997</w:t>
        </w:r>
      </w:hyperlink>
      <w:r w:rsidRPr="00CF552A">
        <w:rPr>
          <w:rStyle w:val="TextoNormalCaracter"/>
        </w:rPr>
        <w:t xml:space="preserve">, f. 4, VP; </w:t>
      </w:r>
      <w:hyperlink w:anchor="SENTENCIA_1997_87" w:history="1">
        <w:r w:rsidRPr="00CF552A">
          <w:rPr>
            <w:rStyle w:val="TextoNormalCaracter"/>
          </w:rPr>
          <w:t>87/1997</w:t>
        </w:r>
      </w:hyperlink>
      <w:r w:rsidRPr="00CF552A">
        <w:rPr>
          <w:rStyle w:val="TextoNormalCaracter"/>
        </w:rPr>
        <w:t>, ff. 1, 2, 3, 4, 5, 6.</w:t>
      </w:r>
    </w:p>
    <w:p w:rsidR="00CF552A" w:rsidRPr="00CF552A" w:rsidRDefault="00CF552A" w:rsidP="00CF552A">
      <w:pPr>
        <w:pStyle w:val="TextoNormalSangraFrancesa"/>
        <w:rPr>
          <w:rStyle w:val="TextoNormalCaracter"/>
        </w:rPr>
      </w:pPr>
      <w:bookmarkStart w:id="774" w:name="DESCRIPTORALFABETICO241"/>
      <w:r w:rsidRPr="00CF552A">
        <w:rPr>
          <w:rStyle w:val="TextoNormalNegritaCaracter"/>
        </w:rPr>
        <w:t>Catálogo de infracciones administrativas</w:t>
      </w:r>
      <w:bookmarkEnd w:id="774"/>
      <w:r w:rsidRPr="00CF552A">
        <w:rPr>
          <w:rStyle w:val="TextoNormalCaracter"/>
        </w:rPr>
        <w:t xml:space="preserve">, Sentencia </w:t>
      </w:r>
      <w:hyperlink w:anchor="SENTENCIA_1997_16" w:history="1">
        <w:r w:rsidRPr="00CF552A">
          <w:rPr>
            <w:rStyle w:val="TextoNormalCaracter"/>
          </w:rPr>
          <w:t>16/1997</w:t>
        </w:r>
      </w:hyperlink>
      <w:r w:rsidRPr="00CF552A">
        <w:rPr>
          <w:rStyle w:val="TextoNormalCaracter"/>
        </w:rPr>
        <w:t>, ff. 2, 3.</w:t>
      </w:r>
    </w:p>
    <w:p w:rsidR="00CF552A" w:rsidRPr="00CF552A" w:rsidRDefault="00CF552A" w:rsidP="00CF552A">
      <w:pPr>
        <w:pStyle w:val="TextoNormalSangraFrancesa"/>
        <w:rPr>
          <w:rStyle w:val="TextoNormalCaracter"/>
        </w:rPr>
      </w:pPr>
      <w:bookmarkStart w:id="775" w:name="DESCRIPTORALFABETICO493"/>
      <w:r w:rsidRPr="00CF552A">
        <w:rPr>
          <w:rStyle w:val="TextoNormalNegritaCaracter"/>
        </w:rPr>
        <w:t>Cataluña</w:t>
      </w:r>
      <w:bookmarkEnd w:id="775"/>
      <w:r w:rsidRPr="00CF552A">
        <w:rPr>
          <w:rStyle w:val="TextoNormalCaracter"/>
        </w:rPr>
        <w:t xml:space="preserve">, Sentencias </w:t>
      </w:r>
      <w:hyperlink w:anchor="SENTENCIA_1997_71" w:history="1">
        <w:r w:rsidRPr="00CF552A">
          <w:rPr>
            <w:rStyle w:val="TextoNormalCaracter"/>
          </w:rPr>
          <w:t>71/1997</w:t>
        </w:r>
      </w:hyperlink>
      <w:r w:rsidRPr="00CF552A">
        <w:rPr>
          <w:rStyle w:val="TextoNormalCaracter"/>
        </w:rPr>
        <w:t xml:space="preserve">, ff. 5, 6; </w:t>
      </w:r>
      <w:hyperlink w:anchor="SENTENCIA_1997_73" w:history="1">
        <w:r w:rsidRPr="00CF552A">
          <w:rPr>
            <w:rStyle w:val="TextoNormalCaracter"/>
          </w:rPr>
          <w:t>73/1997</w:t>
        </w:r>
      </w:hyperlink>
      <w:r w:rsidRPr="00CF552A">
        <w:rPr>
          <w:rStyle w:val="TextoNormalCaracter"/>
        </w:rPr>
        <w:t xml:space="preserve">, ff. 1, 2, 3, 4, 5; </w:t>
      </w:r>
      <w:hyperlink w:anchor="SENTENCIA_1997_87" w:history="1">
        <w:r w:rsidRPr="00CF552A">
          <w:rPr>
            <w:rStyle w:val="TextoNormalCaracter"/>
          </w:rPr>
          <w:t>87/1997</w:t>
        </w:r>
      </w:hyperlink>
      <w:r w:rsidRPr="00CF552A">
        <w:rPr>
          <w:rStyle w:val="TextoNormalCaracter"/>
        </w:rPr>
        <w:t>, ff. 3, 4.</w:t>
      </w:r>
    </w:p>
    <w:p w:rsidR="00CF552A" w:rsidRPr="00CF552A" w:rsidRDefault="00CF552A" w:rsidP="00CF552A">
      <w:pPr>
        <w:pStyle w:val="TextoNormalSangraFrancesa"/>
        <w:rPr>
          <w:rStyle w:val="TextoNormalCaracter"/>
        </w:rPr>
      </w:pPr>
      <w:bookmarkStart w:id="776" w:name="DESCRIPTORALFABETICO398"/>
      <w:r w:rsidRPr="00CF552A">
        <w:rPr>
          <w:rStyle w:val="TextoNormalNegritaCaracter"/>
        </w:rPr>
        <w:t>Causas legales de inejecución</w:t>
      </w:r>
      <w:bookmarkEnd w:id="776"/>
      <w:r w:rsidRPr="00CF552A">
        <w:rPr>
          <w:rStyle w:val="TextoNormalCaracter"/>
        </w:rPr>
        <w:t xml:space="preserve">, Sentencia </w:t>
      </w:r>
      <w:hyperlink w:anchor="SENTENCIA_1997_18" w:history="1">
        <w:r w:rsidRPr="00CF552A">
          <w:rPr>
            <w:rStyle w:val="TextoNormalCaracter"/>
          </w:rPr>
          <w:t>18/1997</w:t>
        </w:r>
      </w:hyperlink>
      <w:r w:rsidRPr="00CF552A">
        <w:rPr>
          <w:rStyle w:val="TextoNormalCaracter"/>
        </w:rPr>
        <w:t>, ff. 3, 5.</w:t>
      </w:r>
    </w:p>
    <w:p w:rsidR="00CF552A" w:rsidRPr="00CF552A" w:rsidRDefault="00CF552A" w:rsidP="00CF552A">
      <w:pPr>
        <w:pStyle w:val="TextoNormalSangraFrancesa"/>
        <w:rPr>
          <w:rStyle w:val="TextoNormalCaracter"/>
        </w:rPr>
      </w:pPr>
      <w:bookmarkStart w:id="777" w:name="DESCRIPTORALFABETICO236"/>
      <w:r w:rsidRPr="00CF552A">
        <w:rPr>
          <w:rStyle w:val="TextoNormalNegritaCaracter"/>
        </w:rPr>
        <w:t>Caza</w:t>
      </w:r>
      <w:bookmarkEnd w:id="777"/>
      <w:r w:rsidRPr="00CF552A">
        <w:rPr>
          <w:rStyle w:val="TextoNormalCaracter"/>
        </w:rPr>
        <w:t xml:space="preserve">, Sentencia </w:t>
      </w:r>
      <w:hyperlink w:anchor="SENTENCIA_1997_16" w:history="1">
        <w:r w:rsidRPr="00CF552A">
          <w:rPr>
            <w:rStyle w:val="TextoNormalCaracter"/>
          </w:rPr>
          <w:t>16/1997</w:t>
        </w:r>
      </w:hyperlink>
      <w:r w:rsidRPr="00CF552A">
        <w:rPr>
          <w:rStyle w:val="TextoNormalCaracter"/>
        </w:rPr>
        <w:t>, ff. 2, 3.</w:t>
      </w:r>
    </w:p>
    <w:p w:rsidR="00CF552A" w:rsidRPr="00CF552A" w:rsidRDefault="00CF552A" w:rsidP="00CF552A">
      <w:pPr>
        <w:pStyle w:val="TextoNormalSangraFrancesa"/>
        <w:rPr>
          <w:rStyle w:val="TextoNormalCaracter"/>
        </w:rPr>
      </w:pPr>
      <w:r w:rsidRPr="00CF552A">
        <w:rPr>
          <w:rStyle w:val="TextoNormalCursivaCaracter"/>
        </w:rPr>
        <w:t xml:space="preserve">    Régimen jurídico, </w:t>
      </w:r>
      <w:r w:rsidRPr="00CF552A">
        <w:rPr>
          <w:rStyle w:val="TextoNormalCaracter"/>
        </w:rPr>
        <w:t xml:space="preserve">Sentencia </w:t>
      </w:r>
      <w:hyperlink w:anchor="SENTENCIA_1997_16" w:history="1">
        <w:r w:rsidRPr="00CF552A">
          <w:rPr>
            <w:rStyle w:val="TextoNormalCaracter"/>
          </w:rPr>
          <w:t>16/1997</w:t>
        </w:r>
      </w:hyperlink>
      <w:r w:rsidRPr="00CF552A">
        <w:rPr>
          <w:rStyle w:val="TextoNormalCaracter"/>
        </w:rPr>
        <w:t>, ff. 1, 2, 3, 4.</w:t>
      </w:r>
    </w:p>
    <w:p w:rsidR="00CF552A" w:rsidRPr="00CF552A" w:rsidRDefault="00CF552A" w:rsidP="00CF552A">
      <w:pPr>
        <w:pStyle w:val="TextoNormalSangraFrancesa"/>
        <w:rPr>
          <w:rStyle w:val="TextoNormalCaracter"/>
        </w:rPr>
      </w:pPr>
      <w:bookmarkStart w:id="778" w:name="DESCRIPTORALFABETICO489"/>
      <w:r w:rsidRPr="00CF552A">
        <w:rPr>
          <w:rStyle w:val="TextoNormalNegritaCaracter"/>
        </w:rPr>
        <w:t>Ceuta</w:t>
      </w:r>
      <w:bookmarkEnd w:id="778"/>
      <w:r w:rsidRPr="00CF552A">
        <w:rPr>
          <w:rStyle w:val="TextoNormalCaracter"/>
        </w:rPr>
        <w:t xml:space="preserve">, Auto </w:t>
      </w:r>
      <w:hyperlink w:anchor="AUTO_1997_104" w:history="1">
        <w:r w:rsidRPr="00CF552A">
          <w:rPr>
            <w:rStyle w:val="TextoNormalCaracter"/>
          </w:rPr>
          <w:t>104/1997</w:t>
        </w:r>
      </w:hyperlink>
      <w:r w:rsidRPr="00CF552A">
        <w:rPr>
          <w:rStyle w:val="TextoNormalCaracter"/>
        </w:rPr>
        <w:t>.</w:t>
      </w:r>
    </w:p>
    <w:p w:rsidR="00CF552A" w:rsidRPr="00CF552A" w:rsidRDefault="00CF552A" w:rsidP="00CF552A">
      <w:pPr>
        <w:pStyle w:val="TextoNormalSangraFrancesa"/>
        <w:rPr>
          <w:rStyle w:val="TextoNormalCaracter"/>
        </w:rPr>
      </w:pPr>
      <w:bookmarkStart w:id="779" w:name="DESCRIPTORALFABETICO377"/>
      <w:r w:rsidRPr="00CF552A">
        <w:rPr>
          <w:rStyle w:val="TextoNormalNegritaCaracter"/>
        </w:rPr>
        <w:t>Citación judicial</w:t>
      </w:r>
      <w:bookmarkEnd w:id="779"/>
      <w:r w:rsidRPr="00CF552A">
        <w:rPr>
          <w:rStyle w:val="TextoNormalCaracter"/>
        </w:rPr>
        <w:t xml:space="preserve">, Auto </w:t>
      </w:r>
      <w:hyperlink w:anchor="AUTO_1997_24" w:history="1">
        <w:r w:rsidRPr="00CF552A">
          <w:rPr>
            <w:rStyle w:val="TextoNormalCaracter"/>
          </w:rPr>
          <w:t>24/1997</w:t>
        </w:r>
      </w:hyperlink>
      <w:r w:rsidRPr="00CF552A">
        <w:rPr>
          <w:rStyle w:val="TextoNormalCaracter"/>
        </w:rPr>
        <w:t>.</w:t>
      </w:r>
    </w:p>
    <w:p w:rsidR="00CF552A" w:rsidRPr="00CF552A" w:rsidRDefault="00CF552A" w:rsidP="00CF552A">
      <w:pPr>
        <w:pStyle w:val="TextoNormalSangraFrancesa"/>
        <w:rPr>
          <w:rStyle w:val="TextoNormalCaracter"/>
        </w:rPr>
      </w:pPr>
      <w:bookmarkStart w:id="780" w:name="DESCRIPTORALFABETICO2"/>
      <w:r w:rsidRPr="00CF552A">
        <w:rPr>
          <w:rStyle w:val="TextoNormalNegritaCaracter"/>
        </w:rPr>
        <w:t>Cláusula de supletoriedad</w:t>
      </w:r>
      <w:bookmarkEnd w:id="780"/>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 12.</w:t>
      </w:r>
    </w:p>
    <w:p w:rsidR="00CF552A" w:rsidRPr="00CF552A" w:rsidRDefault="00CF552A" w:rsidP="00CF552A">
      <w:pPr>
        <w:pStyle w:val="TextoNormalSangraFrancesa"/>
        <w:rPr>
          <w:rStyle w:val="TextoNormalCaracter"/>
        </w:rPr>
      </w:pPr>
      <w:bookmarkStart w:id="781" w:name="DESCRIPTORALFABETICO220"/>
      <w:r w:rsidRPr="00CF552A">
        <w:rPr>
          <w:rStyle w:val="TextoNormalNegritaCaracter"/>
        </w:rPr>
        <w:t>Cobertura legal</w:t>
      </w:r>
      <w:bookmarkEnd w:id="781"/>
      <w:r w:rsidRPr="00CF552A">
        <w:rPr>
          <w:rStyle w:val="TextoNormalCaracter"/>
        </w:rPr>
        <w:t xml:space="preserve">, Sentencia </w:t>
      </w:r>
      <w:hyperlink w:anchor="SENTENCIA_1997_4" w:history="1">
        <w:r w:rsidRPr="00CF552A">
          <w:rPr>
            <w:rStyle w:val="TextoNormalCaracter"/>
          </w:rPr>
          <w:t>4/1997</w:t>
        </w:r>
      </w:hyperlink>
      <w:r w:rsidRPr="00CF552A">
        <w:rPr>
          <w:rStyle w:val="TextoNormalCaracter"/>
        </w:rPr>
        <w:t>, f. único.</w:t>
      </w:r>
    </w:p>
    <w:p w:rsidR="00CF552A" w:rsidRPr="00CF552A" w:rsidRDefault="00CF552A" w:rsidP="00CF552A">
      <w:pPr>
        <w:pStyle w:val="TextoNormalSangraFrancesa"/>
        <w:rPr>
          <w:rStyle w:val="TextoNormalCaracter"/>
        </w:rPr>
      </w:pPr>
      <w:bookmarkStart w:id="782" w:name="DESCRIPTORALFABETICO3"/>
      <w:r w:rsidRPr="00CF552A">
        <w:rPr>
          <w:rStyle w:val="TextoNormalNegritaCaracter"/>
        </w:rPr>
        <w:t>Competencias</w:t>
      </w:r>
      <w:bookmarkEnd w:id="782"/>
      <w:r w:rsidRPr="00CF552A">
        <w:rPr>
          <w:rStyle w:val="TextoNormalCaracter"/>
        </w:rPr>
        <w:t xml:space="preserve">, Sentencias </w:t>
      </w:r>
      <w:hyperlink w:anchor="SENTENCIA_1997_70" w:history="1">
        <w:r w:rsidRPr="00CF552A">
          <w:rPr>
            <w:rStyle w:val="TextoNormalCaracter"/>
          </w:rPr>
          <w:t>70/1997</w:t>
        </w:r>
      </w:hyperlink>
      <w:r w:rsidRPr="00CF552A">
        <w:rPr>
          <w:rStyle w:val="TextoNormalCaracter"/>
        </w:rPr>
        <w:t xml:space="preserve">, f. 5; </w:t>
      </w:r>
      <w:hyperlink w:anchor="SENTENCIA_1997_87" w:history="1">
        <w:r w:rsidRPr="00CF552A">
          <w:rPr>
            <w:rStyle w:val="TextoNormalCaracter"/>
          </w:rPr>
          <w:t>87/1997</w:t>
        </w:r>
      </w:hyperlink>
      <w:r w:rsidRPr="00CF552A">
        <w:rPr>
          <w:rStyle w:val="TextoNormalCaracter"/>
        </w:rPr>
        <w:t>, f. 4.</w:t>
      </w:r>
    </w:p>
    <w:p w:rsidR="00CF552A" w:rsidRPr="00CF552A" w:rsidRDefault="00CF552A" w:rsidP="00CF552A">
      <w:pPr>
        <w:pStyle w:val="TextoNormalSangraFrancesa"/>
        <w:rPr>
          <w:rStyle w:val="TextoNormalNegritaCaracter"/>
        </w:rPr>
      </w:pPr>
      <w:r w:rsidRPr="00CF552A">
        <w:rPr>
          <w:rStyle w:val="TextoNormalCursivaCaracter"/>
        </w:rPr>
        <w:t>Competencias autonómicas</w:t>
      </w:r>
      <w:r>
        <w:t xml:space="preserve"> véase </w:t>
      </w:r>
      <w:hyperlink w:anchor="DESCRIPTORALFABETICO4" w:history="1">
        <w:r w:rsidRPr="00CF552A">
          <w:rPr>
            <w:rStyle w:val="TextoNormalNegritaCaracter"/>
          </w:rPr>
          <w:t>Competencias de las Comunidades Autónomas</w:t>
        </w:r>
      </w:hyperlink>
    </w:p>
    <w:p w:rsidR="00CF552A" w:rsidRPr="00CF552A" w:rsidRDefault="00CF552A" w:rsidP="00CF552A">
      <w:pPr>
        <w:pStyle w:val="TextoNormalSangraFrancesa"/>
        <w:rPr>
          <w:rStyle w:val="TextoNormalCaracter"/>
        </w:rPr>
      </w:pPr>
      <w:bookmarkStart w:id="783" w:name="DESCRIPTORALFABETICO4"/>
      <w:r w:rsidRPr="00CF552A">
        <w:rPr>
          <w:rStyle w:val="TextoNormalNegritaCaracter"/>
        </w:rPr>
        <w:t>Competencias de las Comunidades Autónomas</w:t>
      </w:r>
      <w:bookmarkEnd w:id="783"/>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ff. 12, 25.</w:t>
      </w:r>
    </w:p>
    <w:p w:rsidR="00CF552A" w:rsidRPr="00CF552A" w:rsidRDefault="00CF552A" w:rsidP="00CF552A">
      <w:pPr>
        <w:pStyle w:val="TextoNormalSangraFrancesa"/>
        <w:rPr>
          <w:rStyle w:val="TextoNormalCaracter"/>
        </w:rPr>
      </w:pPr>
      <w:bookmarkStart w:id="784" w:name="DESCRIPTORALFABETICO362"/>
      <w:r w:rsidRPr="00CF552A">
        <w:rPr>
          <w:rStyle w:val="TextoNormalNegritaCaracter"/>
        </w:rPr>
        <w:t>Competencias de los órganos judiciales</w:t>
      </w:r>
      <w:bookmarkEnd w:id="784"/>
      <w:r w:rsidRPr="00CF552A">
        <w:rPr>
          <w:rStyle w:val="TextoNormalCaracter"/>
        </w:rPr>
        <w:t xml:space="preserve">, Sentencia </w:t>
      </w:r>
      <w:hyperlink w:anchor="SENTENCIA_1997_42" w:history="1">
        <w:r w:rsidRPr="00CF552A">
          <w:rPr>
            <w:rStyle w:val="TextoNormalCaracter"/>
          </w:rPr>
          <w:t>42/1997</w:t>
        </w:r>
      </w:hyperlink>
      <w:r w:rsidRPr="00CF552A">
        <w:rPr>
          <w:rStyle w:val="TextoNormalCaracter"/>
        </w:rPr>
        <w:t>, f. 2.</w:t>
      </w:r>
    </w:p>
    <w:p w:rsidR="00CF552A" w:rsidRPr="00CF552A" w:rsidRDefault="00CF552A" w:rsidP="00CF552A">
      <w:pPr>
        <w:pStyle w:val="TextoNormalSangraFrancesa"/>
        <w:rPr>
          <w:rStyle w:val="TextoNormalCaracter"/>
        </w:rPr>
      </w:pPr>
      <w:bookmarkStart w:id="785" w:name="DESCRIPTORALFABETICO6"/>
      <w:r w:rsidRPr="00CF552A">
        <w:rPr>
          <w:rStyle w:val="TextoNormalNegritaCaracter"/>
        </w:rPr>
        <w:t>Competencias del Estado</w:t>
      </w:r>
      <w:bookmarkEnd w:id="785"/>
      <w:r w:rsidRPr="00CF552A">
        <w:rPr>
          <w:rStyle w:val="TextoNormalCaracter"/>
        </w:rPr>
        <w:t xml:space="preserve">, Sentencias </w:t>
      </w:r>
      <w:hyperlink w:anchor="SENTENCIA_1997_61" w:history="1">
        <w:r w:rsidRPr="00CF552A">
          <w:rPr>
            <w:rStyle w:val="TextoNormalCaracter"/>
          </w:rPr>
          <w:t>61/1997</w:t>
        </w:r>
      </w:hyperlink>
      <w:r w:rsidRPr="00CF552A">
        <w:rPr>
          <w:rStyle w:val="TextoNormalCaracter"/>
        </w:rPr>
        <w:t xml:space="preserve">, ff. 7, 17, 21, 22, 25, 35; </w:t>
      </w:r>
      <w:hyperlink w:anchor="SENTENCIA_1997_70" w:history="1">
        <w:r w:rsidRPr="00CF552A">
          <w:rPr>
            <w:rStyle w:val="TextoNormalCaracter"/>
          </w:rPr>
          <w:t>70/1997</w:t>
        </w:r>
      </w:hyperlink>
      <w:r w:rsidRPr="00CF552A">
        <w:rPr>
          <w:rStyle w:val="TextoNormalCaracter"/>
        </w:rPr>
        <w:t xml:space="preserve">, f. 2; </w:t>
      </w:r>
      <w:hyperlink w:anchor="SENTENCIA_1997_87" w:history="1">
        <w:r w:rsidRPr="00CF552A">
          <w:rPr>
            <w:rStyle w:val="TextoNormalCaracter"/>
          </w:rPr>
          <w:t>87/1997</w:t>
        </w:r>
      </w:hyperlink>
      <w:r w:rsidRPr="00CF552A">
        <w:rPr>
          <w:rStyle w:val="TextoNormalCaracter"/>
        </w:rPr>
        <w:t>, f. 4.</w:t>
      </w:r>
    </w:p>
    <w:p w:rsidR="00CF552A" w:rsidRPr="00CF552A" w:rsidRDefault="00CF552A" w:rsidP="00CF552A">
      <w:pPr>
        <w:pStyle w:val="TextoNormalSangraFrancesa"/>
        <w:rPr>
          <w:rStyle w:val="TextoNormalCaracter"/>
        </w:rPr>
      </w:pPr>
      <w:bookmarkStart w:id="786" w:name="DESCRIPTORALFABETICO5"/>
      <w:r w:rsidRPr="00CF552A">
        <w:rPr>
          <w:rStyle w:val="TextoNormalNegritaCaracter"/>
        </w:rPr>
        <w:t>Competencias delimitadas por la legislación básica</w:t>
      </w:r>
      <w:bookmarkEnd w:id="786"/>
      <w:r w:rsidRPr="00CF552A">
        <w:rPr>
          <w:rStyle w:val="TextoNormalCaracter"/>
        </w:rPr>
        <w:t xml:space="preserve">, Sentencia </w:t>
      </w:r>
      <w:hyperlink w:anchor="SENTENCIA_1997_16" w:history="1">
        <w:r w:rsidRPr="00CF552A">
          <w:rPr>
            <w:rStyle w:val="TextoNormalCaracter"/>
          </w:rPr>
          <w:t>16/1997</w:t>
        </w:r>
      </w:hyperlink>
      <w:r w:rsidRPr="00CF552A">
        <w:rPr>
          <w:rStyle w:val="TextoNormalCaracter"/>
        </w:rPr>
        <w:t>, ff. 2, 3.</w:t>
      </w:r>
    </w:p>
    <w:p w:rsidR="00CF552A" w:rsidRPr="00CF552A" w:rsidRDefault="00CF552A" w:rsidP="00CF552A">
      <w:pPr>
        <w:pStyle w:val="TextoNormalSangraFrancesa"/>
        <w:rPr>
          <w:rStyle w:val="TextoNormalCaracter"/>
        </w:rPr>
      </w:pPr>
      <w:bookmarkStart w:id="787" w:name="DESCRIPTORALFABETICO10"/>
      <w:r w:rsidRPr="00CF552A">
        <w:rPr>
          <w:rStyle w:val="TextoNormalNegritaCaracter"/>
        </w:rPr>
        <w:t>Competencias en materia de agricultura</w:t>
      </w:r>
      <w:bookmarkEnd w:id="787"/>
      <w:r w:rsidRPr="00CF552A">
        <w:rPr>
          <w:rStyle w:val="TextoNormalCaracter"/>
        </w:rPr>
        <w:t xml:space="preserve">, Sentencia </w:t>
      </w:r>
      <w:hyperlink w:anchor="SENTENCIA_1997_70" w:history="1">
        <w:r w:rsidRPr="00CF552A">
          <w:rPr>
            <w:rStyle w:val="TextoNormalCaracter"/>
          </w:rPr>
          <w:t>70/1997</w:t>
        </w:r>
      </w:hyperlink>
      <w:r w:rsidRPr="00CF552A">
        <w:rPr>
          <w:rStyle w:val="TextoNormalCaracter"/>
        </w:rPr>
        <w:t>, ff. 2, 3.</w:t>
      </w:r>
    </w:p>
    <w:p w:rsidR="00CF552A" w:rsidRPr="00CF552A" w:rsidRDefault="00CF552A" w:rsidP="00CF552A">
      <w:pPr>
        <w:pStyle w:val="TextoNormalSangraFrancesa"/>
        <w:rPr>
          <w:rStyle w:val="TextoNormalCaracter"/>
        </w:rPr>
      </w:pPr>
      <w:bookmarkStart w:id="788" w:name="DESCRIPTORALFABETICO11"/>
      <w:r w:rsidRPr="00CF552A">
        <w:rPr>
          <w:rStyle w:val="TextoNormalNegritaCaracter"/>
        </w:rPr>
        <w:t>Competencias en materia de caza</w:t>
      </w:r>
      <w:bookmarkEnd w:id="788"/>
      <w:r w:rsidRPr="00CF552A">
        <w:rPr>
          <w:rStyle w:val="TextoNormalCaracter"/>
        </w:rPr>
        <w:t xml:space="preserve">, Sentencia </w:t>
      </w:r>
      <w:hyperlink w:anchor="SENTENCIA_1997_16" w:history="1">
        <w:r w:rsidRPr="00CF552A">
          <w:rPr>
            <w:rStyle w:val="TextoNormalCaracter"/>
          </w:rPr>
          <w:t>16/1997</w:t>
        </w:r>
      </w:hyperlink>
      <w:r w:rsidRPr="00CF552A">
        <w:rPr>
          <w:rStyle w:val="TextoNormalCaracter"/>
        </w:rPr>
        <w:t>, ff. 1, 2, 3, 4.</w:t>
      </w:r>
    </w:p>
    <w:p w:rsidR="00CF552A" w:rsidRPr="00CF552A" w:rsidRDefault="00CF552A" w:rsidP="00CF552A">
      <w:pPr>
        <w:pStyle w:val="TextoNormalSangraFrancesa"/>
        <w:rPr>
          <w:rStyle w:val="TextoNormalCaracter"/>
        </w:rPr>
      </w:pPr>
      <w:bookmarkStart w:id="789" w:name="DESCRIPTORALFABETICO12"/>
      <w:r w:rsidRPr="00CF552A">
        <w:rPr>
          <w:rStyle w:val="TextoNormalNegritaCaracter"/>
        </w:rPr>
        <w:t>Competencias en materia de función pública</w:t>
      </w:r>
      <w:bookmarkEnd w:id="789"/>
      <w:r w:rsidRPr="00CF552A">
        <w:rPr>
          <w:rStyle w:val="TextoNormalCaracter"/>
        </w:rPr>
        <w:t xml:space="preserve">, Sentencia </w:t>
      </w:r>
      <w:hyperlink w:anchor="SENTENCIA_1997_73" w:history="1">
        <w:r w:rsidRPr="00CF552A">
          <w:rPr>
            <w:rStyle w:val="TextoNormalCaracter"/>
          </w:rPr>
          <w:t>73/1997</w:t>
        </w:r>
      </w:hyperlink>
      <w:r w:rsidRPr="00CF552A">
        <w:rPr>
          <w:rStyle w:val="TextoNormalCaracter"/>
        </w:rPr>
        <w:t>, ff. 1, 2, 3, 4, 5.</w:t>
      </w:r>
    </w:p>
    <w:p w:rsidR="00CF552A" w:rsidRPr="00CF552A" w:rsidRDefault="00CF552A" w:rsidP="00CF552A">
      <w:pPr>
        <w:pStyle w:val="TextoNormalSangraFrancesa"/>
        <w:rPr>
          <w:rStyle w:val="TextoNormalCaracter"/>
        </w:rPr>
      </w:pPr>
      <w:bookmarkStart w:id="790" w:name="DESCRIPTORALFABETICO13"/>
      <w:r w:rsidRPr="00CF552A">
        <w:rPr>
          <w:rStyle w:val="TextoNormalNegritaCaracter"/>
        </w:rPr>
        <w:t>Competencias en materia de ganadería</w:t>
      </w:r>
      <w:bookmarkEnd w:id="790"/>
      <w:r w:rsidRPr="00CF552A">
        <w:rPr>
          <w:rStyle w:val="TextoNormalCaracter"/>
        </w:rPr>
        <w:t xml:space="preserve">, Sentencia </w:t>
      </w:r>
      <w:hyperlink w:anchor="SENTENCIA_1997_70" w:history="1">
        <w:r w:rsidRPr="00CF552A">
          <w:rPr>
            <w:rStyle w:val="TextoNormalCaracter"/>
          </w:rPr>
          <w:t>70/1997</w:t>
        </w:r>
      </w:hyperlink>
      <w:r w:rsidRPr="00CF552A">
        <w:rPr>
          <w:rStyle w:val="TextoNormalCaracter"/>
        </w:rPr>
        <w:t>, f. 3.</w:t>
      </w:r>
    </w:p>
    <w:p w:rsidR="00CF552A" w:rsidRPr="00CF552A" w:rsidRDefault="00CF552A" w:rsidP="00CF552A">
      <w:pPr>
        <w:pStyle w:val="TextoNormalSangraFrancesa"/>
        <w:rPr>
          <w:rStyle w:val="TextoNormalCaracter"/>
        </w:rPr>
      </w:pPr>
      <w:bookmarkStart w:id="791" w:name="DESCRIPTORALFABETICO14"/>
      <w:r w:rsidRPr="00CF552A">
        <w:rPr>
          <w:rStyle w:val="TextoNormalNegritaCaracter"/>
        </w:rPr>
        <w:t>Competencias en materia de legislación mercantil</w:t>
      </w:r>
      <w:bookmarkEnd w:id="791"/>
      <w:r w:rsidRPr="00CF552A">
        <w:rPr>
          <w:rStyle w:val="TextoNormalCaracter"/>
        </w:rPr>
        <w:t xml:space="preserve">, </w:t>
      </w:r>
    </w:p>
    <w:p w:rsidR="00CF552A" w:rsidRPr="00CF552A" w:rsidRDefault="00CF552A" w:rsidP="00CF552A">
      <w:pPr>
        <w:pStyle w:val="TextoNormalSangraFrancesa"/>
        <w:rPr>
          <w:rStyle w:val="TextoNormalCaracter"/>
        </w:rPr>
      </w:pPr>
      <w:r w:rsidRPr="00CF552A">
        <w:rPr>
          <w:rStyle w:val="TextoNormalCursivaCaracter"/>
        </w:rPr>
        <w:t xml:space="preserve">    Alcance, </w:t>
      </w:r>
      <w:r w:rsidRPr="00CF552A">
        <w:rPr>
          <w:rStyle w:val="TextoNormalCaracter"/>
        </w:rPr>
        <w:t xml:space="preserve">Sentencia </w:t>
      </w:r>
      <w:hyperlink w:anchor="SENTENCIA_1997_37" w:history="1">
        <w:r w:rsidRPr="00CF552A">
          <w:rPr>
            <w:rStyle w:val="TextoNormalCaracter"/>
          </w:rPr>
          <w:t>37/1997</w:t>
        </w:r>
      </w:hyperlink>
      <w:r w:rsidRPr="00CF552A">
        <w:rPr>
          <w:rStyle w:val="TextoNormalCaracter"/>
        </w:rPr>
        <w:t>, ff. 2, 3.</w:t>
      </w:r>
    </w:p>
    <w:p w:rsidR="00CF552A" w:rsidRPr="00CF552A" w:rsidRDefault="00CF552A" w:rsidP="00CF552A">
      <w:pPr>
        <w:pStyle w:val="TextoNormalSangraFrancesa"/>
        <w:rPr>
          <w:rStyle w:val="TextoNormalCaracter"/>
        </w:rPr>
      </w:pPr>
      <w:bookmarkStart w:id="792" w:name="DESCRIPTORALFABETICO15"/>
      <w:r w:rsidRPr="00CF552A">
        <w:rPr>
          <w:rStyle w:val="TextoNormalNegritaCaracter"/>
        </w:rPr>
        <w:t>Competencias en materia de normalización lingüística</w:t>
      </w:r>
      <w:bookmarkEnd w:id="792"/>
      <w:r w:rsidRPr="00CF552A">
        <w:rPr>
          <w:rStyle w:val="TextoNormalCaracter"/>
        </w:rPr>
        <w:t xml:space="preserve">, Sentencia </w:t>
      </w:r>
      <w:hyperlink w:anchor="SENTENCIA_1997_87" w:history="1">
        <w:r w:rsidRPr="00CF552A">
          <w:rPr>
            <w:rStyle w:val="TextoNormalCaracter"/>
          </w:rPr>
          <w:t>87/1997</w:t>
        </w:r>
      </w:hyperlink>
      <w:r w:rsidRPr="00CF552A">
        <w:rPr>
          <w:rStyle w:val="TextoNormalCaracter"/>
        </w:rPr>
        <w:t>, f. 3.</w:t>
      </w:r>
    </w:p>
    <w:p w:rsidR="00CF552A" w:rsidRPr="00CF552A" w:rsidRDefault="00CF552A" w:rsidP="00CF552A">
      <w:pPr>
        <w:pStyle w:val="TextoNormalSangraFrancesa"/>
        <w:rPr>
          <w:rStyle w:val="TextoNormalCaracter"/>
        </w:rPr>
      </w:pPr>
      <w:bookmarkStart w:id="793" w:name="DESCRIPTORALFABETICO16"/>
      <w:r w:rsidRPr="00CF552A">
        <w:rPr>
          <w:rStyle w:val="TextoNormalNegritaCaracter"/>
        </w:rPr>
        <w:t>Competencias en materia de ordenación del territorio</w:t>
      </w:r>
      <w:bookmarkEnd w:id="793"/>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 22.</w:t>
      </w:r>
    </w:p>
    <w:p w:rsidR="00CF552A" w:rsidRPr="00CF552A" w:rsidRDefault="00CF552A" w:rsidP="00CF552A">
      <w:pPr>
        <w:pStyle w:val="TextoNormalSangraFrancesa"/>
        <w:rPr>
          <w:rStyle w:val="TextoNormalCaracter"/>
        </w:rPr>
      </w:pPr>
      <w:bookmarkStart w:id="794" w:name="DESCRIPTORALFABETICO17"/>
      <w:r w:rsidRPr="00CF552A">
        <w:rPr>
          <w:rStyle w:val="TextoNormalNegritaCaracter"/>
        </w:rPr>
        <w:t>Competencias en materia de regulación de condiciones básicas de igualdad</w:t>
      </w:r>
      <w:bookmarkEnd w:id="794"/>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ff. 7, 9, 10, 11. 17.</w:t>
      </w:r>
    </w:p>
    <w:p w:rsidR="00CF552A" w:rsidRPr="00CF552A" w:rsidRDefault="00CF552A" w:rsidP="00CF552A">
      <w:pPr>
        <w:pStyle w:val="TextoNormalSangraFrancesa"/>
        <w:rPr>
          <w:rStyle w:val="TextoNormalCaracter"/>
        </w:rPr>
      </w:pPr>
      <w:r w:rsidRPr="00CF552A">
        <w:rPr>
          <w:rStyle w:val="TextoNormalCursivaCaracter"/>
        </w:rPr>
        <w:t xml:space="preserve">    Concepto, </w:t>
      </w:r>
      <w:r w:rsidRPr="00CF552A">
        <w:rPr>
          <w:rStyle w:val="TextoNormalCaracter"/>
        </w:rPr>
        <w:t xml:space="preserve">Sentencia </w:t>
      </w:r>
      <w:hyperlink w:anchor="SENTENCIA_1997_61" w:history="1">
        <w:r w:rsidRPr="00CF552A">
          <w:rPr>
            <w:rStyle w:val="TextoNormalCaracter"/>
          </w:rPr>
          <w:t>61/1997</w:t>
        </w:r>
      </w:hyperlink>
      <w:r w:rsidRPr="00CF552A">
        <w:rPr>
          <w:rStyle w:val="TextoNormalCaracter"/>
        </w:rPr>
        <w:t>, ff. 7, 8.</w:t>
      </w:r>
    </w:p>
    <w:p w:rsidR="00CF552A" w:rsidRPr="00CF552A" w:rsidRDefault="00CF552A" w:rsidP="00CF552A">
      <w:pPr>
        <w:pStyle w:val="TextoNormalSangraFrancesa"/>
        <w:rPr>
          <w:rStyle w:val="TextoNormalCaracter"/>
        </w:rPr>
      </w:pPr>
      <w:bookmarkStart w:id="795" w:name="DESCRIPTORALFABETICO18"/>
      <w:r w:rsidRPr="00CF552A">
        <w:rPr>
          <w:rStyle w:val="TextoNormalNegritaCaracter"/>
        </w:rPr>
        <w:t>Competencias en materia de urbanismo</w:t>
      </w:r>
      <w:bookmarkEnd w:id="795"/>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ff. 7, 12, 25.</w:t>
      </w:r>
    </w:p>
    <w:p w:rsidR="00CF552A" w:rsidRPr="00CF552A" w:rsidRDefault="00CF552A" w:rsidP="00CF552A">
      <w:pPr>
        <w:pStyle w:val="TextoNormalSangraFrancesa"/>
        <w:rPr>
          <w:rStyle w:val="TextoNormalCaracter"/>
        </w:rPr>
      </w:pPr>
      <w:bookmarkStart w:id="796" w:name="DESCRIPTORALFABETICO271"/>
      <w:r w:rsidRPr="00CF552A">
        <w:rPr>
          <w:rStyle w:val="TextoNormalNegritaCaracter"/>
        </w:rPr>
        <w:t>Competencias para la gestión y pago de las ayudas</w:t>
      </w:r>
      <w:bookmarkEnd w:id="796"/>
      <w:r w:rsidRPr="00CF552A">
        <w:rPr>
          <w:rStyle w:val="TextoNormalCaracter"/>
        </w:rPr>
        <w:t xml:space="preserve">, Sentencia </w:t>
      </w:r>
      <w:hyperlink w:anchor="SENTENCIA_1997_70" w:history="1">
        <w:r w:rsidRPr="00CF552A">
          <w:rPr>
            <w:rStyle w:val="TextoNormalCaracter"/>
          </w:rPr>
          <w:t>70/1997</w:t>
        </w:r>
      </w:hyperlink>
      <w:r w:rsidRPr="00CF552A">
        <w:rPr>
          <w:rStyle w:val="TextoNormalCaracter"/>
        </w:rPr>
        <w:t>, ff. 1, 2, 3, 4, 5.</w:t>
      </w:r>
    </w:p>
    <w:p w:rsidR="00CF552A" w:rsidRPr="00CF552A" w:rsidRDefault="00CF552A" w:rsidP="00CF552A">
      <w:pPr>
        <w:pStyle w:val="TextoNormalSangraFrancesa"/>
        <w:rPr>
          <w:rStyle w:val="TextoNormalCaracter"/>
        </w:rPr>
      </w:pPr>
      <w:bookmarkStart w:id="797" w:name="DESCRIPTORALFABETICO176"/>
      <w:r w:rsidRPr="00CF552A">
        <w:rPr>
          <w:rStyle w:val="TextoNormalNegritaCaracter"/>
        </w:rPr>
        <w:t>Cómputo de la acción a partir del conocimiento de la sentencia</w:t>
      </w:r>
      <w:bookmarkEnd w:id="797"/>
      <w:r w:rsidRPr="00CF552A">
        <w:rPr>
          <w:rStyle w:val="TextoNormalCaracter"/>
        </w:rPr>
        <w:t xml:space="preserve">, Sentencia </w:t>
      </w:r>
      <w:hyperlink w:anchor="SENTENCIA_1997_8" w:history="1">
        <w:r w:rsidRPr="00CF552A">
          <w:rPr>
            <w:rStyle w:val="TextoNormalCaracter"/>
          </w:rPr>
          <w:t>8/1997</w:t>
        </w:r>
      </w:hyperlink>
      <w:r w:rsidRPr="00CF552A">
        <w:rPr>
          <w:rStyle w:val="TextoNormalCaracter"/>
        </w:rPr>
        <w:t>, f. 2.</w:t>
      </w:r>
    </w:p>
    <w:p w:rsidR="00CF552A" w:rsidRPr="00CF552A" w:rsidRDefault="00CF552A" w:rsidP="00CF552A">
      <w:pPr>
        <w:pStyle w:val="TextoNormalSangraFrancesa"/>
        <w:rPr>
          <w:rStyle w:val="TextoNormalCaracter"/>
        </w:rPr>
      </w:pPr>
      <w:bookmarkStart w:id="798" w:name="DESCRIPTORALFABETICO419"/>
      <w:r w:rsidRPr="00CF552A">
        <w:rPr>
          <w:rStyle w:val="TextoNormalNegritaCaracter"/>
        </w:rPr>
        <w:t>Cómputo de plazos procesales</w:t>
      </w:r>
      <w:bookmarkEnd w:id="798"/>
      <w:r w:rsidRPr="00CF552A">
        <w:rPr>
          <w:rStyle w:val="TextoNormalCaracter"/>
        </w:rPr>
        <w:t xml:space="preserve">, Sentencia </w:t>
      </w:r>
      <w:hyperlink w:anchor="SENTENCIA_1997_42" w:history="1">
        <w:r w:rsidRPr="00CF552A">
          <w:rPr>
            <w:rStyle w:val="TextoNormalCaracter"/>
          </w:rPr>
          <w:t>42/1997</w:t>
        </w:r>
      </w:hyperlink>
      <w:r w:rsidRPr="00CF552A">
        <w:rPr>
          <w:rStyle w:val="TextoNormalCaracter"/>
        </w:rPr>
        <w:t>, f. 2.</w:t>
      </w:r>
    </w:p>
    <w:p w:rsidR="00CF552A" w:rsidRPr="00CF552A" w:rsidRDefault="00CF552A" w:rsidP="00CF552A">
      <w:pPr>
        <w:pStyle w:val="TextoNormalSangraFrancesa"/>
        <w:rPr>
          <w:rStyle w:val="TextoNormalCaracter"/>
        </w:rPr>
      </w:pPr>
      <w:bookmarkStart w:id="799" w:name="DESCRIPTORALFABETICO494"/>
      <w:r w:rsidRPr="00CF552A">
        <w:rPr>
          <w:rStyle w:val="TextoNormalNegritaCaracter"/>
        </w:rPr>
        <w:t>Comunidad Valenciana</w:t>
      </w:r>
      <w:bookmarkEnd w:id="799"/>
      <w:r w:rsidRPr="00CF552A">
        <w:rPr>
          <w:rStyle w:val="TextoNormalCaracter"/>
        </w:rPr>
        <w:t xml:space="preserve">, Sentencia </w:t>
      </w:r>
      <w:hyperlink w:anchor="SENTENCIA_1997_75" w:history="1">
        <w:r w:rsidRPr="00CF552A">
          <w:rPr>
            <w:rStyle w:val="TextoNormalCaracter"/>
          </w:rPr>
          <w:t>75/1997</w:t>
        </w:r>
      </w:hyperlink>
      <w:r w:rsidRPr="00CF552A">
        <w:rPr>
          <w:rStyle w:val="TextoNormalCaracter"/>
        </w:rPr>
        <w:t>, f. 4, VP.</w:t>
      </w:r>
    </w:p>
    <w:p w:rsidR="00CF552A" w:rsidRPr="00CF552A" w:rsidRDefault="00CF552A" w:rsidP="00CF552A">
      <w:pPr>
        <w:pStyle w:val="TextoNormalSangraFrancesa"/>
        <w:rPr>
          <w:rStyle w:val="TextoNormalCaracter"/>
        </w:rPr>
      </w:pPr>
      <w:bookmarkStart w:id="800" w:name="DESCRIPTORALFABETICO214"/>
      <w:r w:rsidRPr="00CF552A">
        <w:rPr>
          <w:rStyle w:val="TextoNormalNegritaCaracter"/>
        </w:rPr>
        <w:t>Comunidades Europeas</w:t>
      </w:r>
      <w:bookmarkEnd w:id="800"/>
      <w:r w:rsidRPr="00CF552A">
        <w:rPr>
          <w:rStyle w:val="TextoNormalCaracter"/>
        </w:rPr>
        <w:t xml:space="preserve">, Sentencia </w:t>
      </w:r>
      <w:hyperlink w:anchor="SENTENCIA_1997_70" w:history="1">
        <w:r w:rsidRPr="00CF552A">
          <w:rPr>
            <w:rStyle w:val="TextoNormalCaracter"/>
          </w:rPr>
          <w:t>70/1997</w:t>
        </w:r>
      </w:hyperlink>
      <w:r w:rsidRPr="00CF552A">
        <w:rPr>
          <w:rStyle w:val="TextoNormalCaracter"/>
        </w:rPr>
        <w:t>, ff. 1, 2, 3, 4, 5.</w:t>
      </w:r>
    </w:p>
    <w:p w:rsidR="00CF552A" w:rsidRPr="00CF552A" w:rsidRDefault="00CF552A" w:rsidP="00CF552A">
      <w:pPr>
        <w:pStyle w:val="TextoNormalSangraFrancesa"/>
        <w:rPr>
          <w:rStyle w:val="TextoNormalCaracter"/>
        </w:rPr>
      </w:pPr>
      <w:bookmarkStart w:id="801" w:name="DESCRIPTORALFABETICO476"/>
      <w:r w:rsidRPr="00CF552A">
        <w:rPr>
          <w:rStyle w:val="TextoNormalNegritaCaracter"/>
        </w:rPr>
        <w:t>Concesión del suplicatorio</w:t>
      </w:r>
      <w:bookmarkEnd w:id="801"/>
      <w:r w:rsidRPr="00CF552A">
        <w:rPr>
          <w:rStyle w:val="TextoNormalCaracter"/>
        </w:rPr>
        <w:t xml:space="preserve">, Sentencia </w:t>
      </w:r>
      <w:hyperlink w:anchor="SENTENCIA_1997_22" w:history="1">
        <w:r w:rsidRPr="00CF552A">
          <w:rPr>
            <w:rStyle w:val="TextoNormalCaracter"/>
          </w:rPr>
          <w:t>22/1997</w:t>
        </w:r>
      </w:hyperlink>
      <w:r w:rsidRPr="00CF552A">
        <w:rPr>
          <w:rStyle w:val="TextoNormalCaracter"/>
        </w:rPr>
        <w:t>, f. 7, VP.</w:t>
      </w:r>
    </w:p>
    <w:p w:rsidR="00CF552A" w:rsidRPr="00CF552A" w:rsidRDefault="00CF552A" w:rsidP="00CF552A">
      <w:pPr>
        <w:pStyle w:val="TextoNormalSangraFrancesa"/>
        <w:rPr>
          <w:rStyle w:val="TextoNormalCaracter"/>
        </w:rPr>
      </w:pPr>
      <w:bookmarkStart w:id="802" w:name="DESCRIPTORALFABETICO369"/>
      <w:r w:rsidRPr="00CF552A">
        <w:rPr>
          <w:rStyle w:val="TextoNormalNegritaCaracter"/>
        </w:rPr>
        <w:t>Concreción por el actor de la causa de recusación</w:t>
      </w:r>
      <w:bookmarkEnd w:id="802"/>
      <w:r w:rsidRPr="00CF552A">
        <w:rPr>
          <w:rStyle w:val="TextoNormalCaracter"/>
        </w:rPr>
        <w:t xml:space="preserve">, Sentencia </w:t>
      </w:r>
      <w:hyperlink w:anchor="SENTENCIA_1997_64" w:history="1">
        <w:r w:rsidRPr="00CF552A">
          <w:rPr>
            <w:rStyle w:val="TextoNormalCaracter"/>
          </w:rPr>
          <w:t>64/1997</w:t>
        </w:r>
      </w:hyperlink>
      <w:r w:rsidRPr="00CF552A">
        <w:rPr>
          <w:rStyle w:val="TextoNormalCaracter"/>
        </w:rPr>
        <w:t>, f. 4.</w:t>
      </w:r>
    </w:p>
    <w:p w:rsidR="00CF552A" w:rsidRPr="00CF552A" w:rsidRDefault="00CF552A" w:rsidP="00CF552A">
      <w:pPr>
        <w:pStyle w:val="TextoNormalSangraFrancesa"/>
        <w:rPr>
          <w:rStyle w:val="TextoNormalCaracter"/>
        </w:rPr>
      </w:pPr>
      <w:bookmarkStart w:id="803" w:name="DESCRIPTORALFABETICO9"/>
      <w:r w:rsidRPr="00CF552A">
        <w:rPr>
          <w:rStyle w:val="TextoNormalNegritaCaracter"/>
        </w:rPr>
        <w:t>Concurrencia de títulos competenciales</w:t>
      </w:r>
      <w:bookmarkEnd w:id="803"/>
      <w:r w:rsidRPr="00CF552A">
        <w:rPr>
          <w:rStyle w:val="TextoNormalCaracter"/>
        </w:rPr>
        <w:t xml:space="preserve">, Sentencias </w:t>
      </w:r>
      <w:hyperlink w:anchor="SENTENCIA_1997_28" w:history="1">
        <w:r w:rsidRPr="00CF552A">
          <w:rPr>
            <w:rStyle w:val="TextoNormalCaracter"/>
          </w:rPr>
          <w:t>28/1997</w:t>
        </w:r>
      </w:hyperlink>
      <w:r w:rsidRPr="00CF552A">
        <w:rPr>
          <w:rStyle w:val="TextoNormalCaracter"/>
        </w:rPr>
        <w:t xml:space="preserve">, f. 5; </w:t>
      </w:r>
      <w:hyperlink w:anchor="SENTENCIA_1997_61" w:history="1">
        <w:r w:rsidRPr="00CF552A">
          <w:rPr>
            <w:rStyle w:val="TextoNormalCaracter"/>
          </w:rPr>
          <w:t>61/1997</w:t>
        </w:r>
      </w:hyperlink>
      <w:r w:rsidRPr="00CF552A">
        <w:rPr>
          <w:rStyle w:val="TextoNormalCaracter"/>
        </w:rPr>
        <w:t>, ff. 5, 6, 24.</w:t>
      </w:r>
    </w:p>
    <w:p w:rsidR="00CF552A" w:rsidRPr="00CF552A" w:rsidRDefault="00CF552A" w:rsidP="00CF552A">
      <w:pPr>
        <w:pStyle w:val="TextoNormalSangraFrancesa"/>
        <w:rPr>
          <w:rStyle w:val="TextoNormalCaracter"/>
        </w:rPr>
      </w:pPr>
      <w:bookmarkStart w:id="804" w:name="DESCRIPTORALFABETICO89"/>
      <w:r w:rsidRPr="00CF552A">
        <w:rPr>
          <w:rStyle w:val="TextoNormalNegritaCaracter"/>
        </w:rPr>
        <w:t>Conducta omisiva del órgano judicial</w:t>
      </w:r>
      <w:bookmarkEnd w:id="804"/>
      <w:r w:rsidRPr="00CF552A">
        <w:rPr>
          <w:rStyle w:val="TextoNormalCaracter"/>
        </w:rPr>
        <w:t xml:space="preserve">, Sentencias </w:t>
      </w:r>
      <w:hyperlink w:anchor="SENTENCIA_1997_9" w:history="1">
        <w:r w:rsidRPr="00CF552A">
          <w:rPr>
            <w:rStyle w:val="TextoNormalCaracter"/>
          </w:rPr>
          <w:t>9/1997</w:t>
        </w:r>
      </w:hyperlink>
      <w:r w:rsidRPr="00CF552A">
        <w:rPr>
          <w:rStyle w:val="TextoNormalCaracter"/>
        </w:rPr>
        <w:t xml:space="preserve">, f. 4; </w:t>
      </w:r>
      <w:hyperlink w:anchor="SENTENCIA_1997_83" w:history="1">
        <w:r w:rsidRPr="00CF552A">
          <w:rPr>
            <w:rStyle w:val="TextoNormalCaracter"/>
          </w:rPr>
          <w:t>83/1997</w:t>
        </w:r>
      </w:hyperlink>
      <w:r w:rsidRPr="00CF552A">
        <w:rPr>
          <w:rStyle w:val="TextoNormalCaracter"/>
        </w:rPr>
        <w:t>, f. 4.</w:t>
      </w:r>
    </w:p>
    <w:p w:rsidR="00CF552A" w:rsidRPr="00CF552A" w:rsidRDefault="00CF552A" w:rsidP="00CF552A">
      <w:pPr>
        <w:pStyle w:val="TextoNormalSangraFrancesa"/>
        <w:rPr>
          <w:rStyle w:val="TextoNormalCaracter"/>
        </w:rPr>
      </w:pPr>
      <w:bookmarkStart w:id="805" w:name="DESCRIPTORALFABETICO148"/>
      <w:r w:rsidRPr="00CF552A">
        <w:rPr>
          <w:rStyle w:val="TextoNormalNegritaCaracter"/>
        </w:rPr>
        <w:t>Conflictos positivos de competencia</w:t>
      </w:r>
      <w:bookmarkEnd w:id="805"/>
      <w:r w:rsidRPr="00CF552A">
        <w:rPr>
          <w:rStyle w:val="TextoNormalCaracter"/>
        </w:rPr>
        <w:t xml:space="preserve">, Sentencia </w:t>
      </w:r>
      <w:hyperlink w:anchor="SENTENCIA_1997_87" w:history="1">
        <w:r w:rsidRPr="00CF552A">
          <w:rPr>
            <w:rStyle w:val="TextoNormalCaracter"/>
          </w:rPr>
          <w:t>87/1997</w:t>
        </w:r>
      </w:hyperlink>
      <w:r w:rsidRPr="00CF552A">
        <w:rPr>
          <w:rStyle w:val="TextoNormalCaracter"/>
        </w:rPr>
        <w:t>, ff. 1, 2, 3.</w:t>
      </w:r>
    </w:p>
    <w:p w:rsidR="00CF552A" w:rsidRPr="00CF552A" w:rsidRDefault="00CF552A" w:rsidP="00CF552A">
      <w:pPr>
        <w:pStyle w:val="TextoNormalSangraFrancesa"/>
        <w:rPr>
          <w:rStyle w:val="TextoNormalCaracter"/>
        </w:rPr>
      </w:pPr>
      <w:bookmarkStart w:id="806" w:name="DESCRIPTORALFABETICO66"/>
      <w:r w:rsidRPr="00CF552A">
        <w:rPr>
          <w:rStyle w:val="TextoNormalNegritaCaracter"/>
        </w:rPr>
        <w:t>Congruencia de las sentencias</w:t>
      </w:r>
      <w:bookmarkEnd w:id="806"/>
      <w:r w:rsidRPr="00CF552A">
        <w:rPr>
          <w:rStyle w:val="TextoNormalCaracter"/>
        </w:rPr>
        <w:t xml:space="preserve">, Sentencias </w:t>
      </w:r>
      <w:hyperlink w:anchor="SENTENCIA_1997_57" w:history="1">
        <w:r w:rsidRPr="00CF552A">
          <w:rPr>
            <w:rStyle w:val="TextoNormalCaracter"/>
          </w:rPr>
          <w:t>57/1997</w:t>
        </w:r>
      </w:hyperlink>
      <w:r w:rsidRPr="00CF552A">
        <w:rPr>
          <w:rStyle w:val="TextoNormalCaracter"/>
        </w:rPr>
        <w:t xml:space="preserve">, ff. 2, 3, 4; </w:t>
      </w:r>
      <w:hyperlink w:anchor="SENTENCIA_1997_68" w:history="1">
        <w:r w:rsidRPr="00CF552A">
          <w:rPr>
            <w:rStyle w:val="TextoNormalCaracter"/>
          </w:rPr>
          <w:t>68/1997</w:t>
        </w:r>
      </w:hyperlink>
      <w:r w:rsidRPr="00CF552A">
        <w:rPr>
          <w:rStyle w:val="TextoNormalCaracter"/>
        </w:rPr>
        <w:t>, f. 2.</w:t>
      </w:r>
    </w:p>
    <w:p w:rsidR="00CF552A" w:rsidRPr="00CF552A" w:rsidRDefault="00CF552A" w:rsidP="00CF552A">
      <w:pPr>
        <w:pStyle w:val="TextoNormalSangraFrancesa"/>
        <w:rPr>
          <w:rStyle w:val="TextoNormalCaracter"/>
        </w:rPr>
      </w:pPr>
      <w:bookmarkStart w:id="807" w:name="DESCRIPTORALFABETICO149"/>
      <w:r w:rsidRPr="00CF552A">
        <w:rPr>
          <w:rStyle w:val="TextoNormalNegritaCaracter"/>
        </w:rPr>
        <w:t>Consecuencias de la modificación del precepto impugnado</w:t>
      </w:r>
      <w:bookmarkEnd w:id="807"/>
      <w:r w:rsidRPr="00CF552A">
        <w:rPr>
          <w:rStyle w:val="TextoNormalCaracter"/>
        </w:rPr>
        <w:t xml:space="preserve">, Sentencia </w:t>
      </w:r>
      <w:hyperlink w:anchor="SENTENCIA_1997_15" w:history="1">
        <w:r w:rsidRPr="00CF552A">
          <w:rPr>
            <w:rStyle w:val="TextoNormalCaracter"/>
          </w:rPr>
          <w:t>15/1997</w:t>
        </w:r>
      </w:hyperlink>
      <w:r w:rsidRPr="00CF552A">
        <w:rPr>
          <w:rStyle w:val="TextoNormalCaracter"/>
        </w:rPr>
        <w:t>, f. 1.</w:t>
      </w:r>
    </w:p>
    <w:p w:rsidR="00CF552A" w:rsidRPr="00CF552A" w:rsidRDefault="00CF552A" w:rsidP="00CF552A">
      <w:pPr>
        <w:pStyle w:val="TextoNormalSangraFrancesa"/>
        <w:rPr>
          <w:rStyle w:val="TextoNormalCaracter"/>
        </w:rPr>
      </w:pPr>
      <w:bookmarkStart w:id="808" w:name="DESCRIPTORALFABETICO116"/>
      <w:r w:rsidRPr="00CF552A">
        <w:rPr>
          <w:rStyle w:val="TextoNormalNegritaCaracter"/>
        </w:rPr>
        <w:t>Contenido adicional de la libertad sindical</w:t>
      </w:r>
      <w:bookmarkEnd w:id="808"/>
      <w:r w:rsidRPr="00CF552A">
        <w:rPr>
          <w:rStyle w:val="TextoNormalCaracter"/>
        </w:rPr>
        <w:t xml:space="preserve">, Sentencia </w:t>
      </w:r>
      <w:hyperlink w:anchor="SENTENCIA_1997_13" w:history="1">
        <w:r w:rsidRPr="00CF552A">
          <w:rPr>
            <w:rStyle w:val="TextoNormalCaracter"/>
          </w:rPr>
          <w:t>13/1997</w:t>
        </w:r>
      </w:hyperlink>
      <w:r w:rsidRPr="00CF552A">
        <w:rPr>
          <w:rStyle w:val="TextoNormalCaracter"/>
        </w:rPr>
        <w:t>, f. 3.</w:t>
      </w:r>
    </w:p>
    <w:p w:rsidR="00CF552A" w:rsidRPr="00CF552A" w:rsidRDefault="00CF552A" w:rsidP="00CF552A">
      <w:pPr>
        <w:pStyle w:val="TextoNormalSangraFrancesa"/>
        <w:rPr>
          <w:rStyle w:val="TextoNormalCaracter"/>
        </w:rPr>
      </w:pPr>
      <w:bookmarkStart w:id="809" w:name="DESCRIPTORALFABETICO251"/>
      <w:r w:rsidRPr="00CF552A">
        <w:rPr>
          <w:rStyle w:val="TextoNormalNegritaCaracter"/>
        </w:rPr>
        <w:lastRenderedPageBreak/>
        <w:t>Contenido básico del derecho de propiedad del suelo</w:t>
      </w:r>
      <w:bookmarkEnd w:id="809"/>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 17.</w:t>
      </w:r>
    </w:p>
    <w:p w:rsidR="00CF552A" w:rsidRPr="00CF552A" w:rsidRDefault="00CF552A" w:rsidP="00CF552A">
      <w:pPr>
        <w:pStyle w:val="TextoNormalSangraFrancesa"/>
        <w:rPr>
          <w:rStyle w:val="TextoNormalCaracter"/>
        </w:rPr>
      </w:pPr>
      <w:bookmarkStart w:id="810" w:name="DESCRIPTORALFABETICO212"/>
      <w:r w:rsidRPr="00CF552A">
        <w:rPr>
          <w:rStyle w:val="TextoNormalNegritaCaracter"/>
        </w:rPr>
        <w:t>Contenido de la inviolabilidad parlamentaria</w:t>
      </w:r>
      <w:bookmarkEnd w:id="810"/>
      <w:r w:rsidRPr="00CF552A">
        <w:rPr>
          <w:rStyle w:val="TextoNormalCaracter"/>
        </w:rPr>
        <w:t xml:space="preserve">, Sentencia </w:t>
      </w:r>
      <w:hyperlink w:anchor="SENTENCIA_1997_30" w:history="1">
        <w:r w:rsidRPr="00CF552A">
          <w:rPr>
            <w:rStyle w:val="TextoNormalCaracter"/>
          </w:rPr>
          <w:t>30/1997</w:t>
        </w:r>
      </w:hyperlink>
      <w:r w:rsidRPr="00CF552A">
        <w:rPr>
          <w:rStyle w:val="TextoNormalCaracter"/>
        </w:rPr>
        <w:t>, f. 5.</w:t>
      </w:r>
    </w:p>
    <w:p w:rsidR="00CF552A" w:rsidRPr="00CF552A" w:rsidRDefault="00CF552A" w:rsidP="00CF552A">
      <w:pPr>
        <w:pStyle w:val="TextoNormalSangraFrancesa"/>
        <w:rPr>
          <w:rStyle w:val="TextoNormalCaracter"/>
        </w:rPr>
      </w:pPr>
      <w:bookmarkStart w:id="811" w:name="DESCRIPTORALFABETICO112"/>
      <w:r w:rsidRPr="00CF552A">
        <w:rPr>
          <w:rStyle w:val="TextoNormalNegritaCaracter"/>
        </w:rPr>
        <w:t>Contenido del derecho a comunicar libremente información</w:t>
      </w:r>
      <w:bookmarkEnd w:id="811"/>
      <w:r w:rsidRPr="00CF552A">
        <w:rPr>
          <w:rStyle w:val="TextoNormalCaracter"/>
        </w:rPr>
        <w:t xml:space="preserve">, Sentencia </w:t>
      </w:r>
      <w:hyperlink w:anchor="SENTENCIA_1997_3" w:history="1">
        <w:r w:rsidRPr="00CF552A">
          <w:rPr>
            <w:rStyle w:val="TextoNormalCaracter"/>
          </w:rPr>
          <w:t>3/1997</w:t>
        </w:r>
      </w:hyperlink>
      <w:r w:rsidRPr="00CF552A">
        <w:rPr>
          <w:rStyle w:val="TextoNormalCaracter"/>
        </w:rPr>
        <w:t>, f. 2.</w:t>
      </w:r>
    </w:p>
    <w:p w:rsidR="00CF552A" w:rsidRPr="00CF552A" w:rsidRDefault="00CF552A" w:rsidP="00CF552A">
      <w:pPr>
        <w:pStyle w:val="TextoNormalSangraFrancesa"/>
        <w:rPr>
          <w:rStyle w:val="TextoNormalCaracter"/>
        </w:rPr>
      </w:pPr>
      <w:bookmarkStart w:id="812" w:name="DESCRIPTORALFABETICO90"/>
      <w:r w:rsidRPr="00CF552A">
        <w:rPr>
          <w:rStyle w:val="TextoNormalNegritaCaracter"/>
        </w:rPr>
        <w:t>Contenido del derecho a la asistencia letrada</w:t>
      </w:r>
      <w:bookmarkEnd w:id="812"/>
      <w:r w:rsidRPr="00CF552A">
        <w:rPr>
          <w:rStyle w:val="TextoNormalCaracter"/>
        </w:rPr>
        <w:t xml:space="preserve">, Sentencia </w:t>
      </w:r>
      <w:hyperlink w:anchor="SENTENCIA_1997_21" w:history="1">
        <w:r w:rsidRPr="00CF552A">
          <w:rPr>
            <w:rStyle w:val="TextoNormalCaracter"/>
          </w:rPr>
          <w:t>21/1997</w:t>
        </w:r>
      </w:hyperlink>
      <w:r w:rsidRPr="00CF552A">
        <w:rPr>
          <w:rStyle w:val="TextoNormalCaracter"/>
        </w:rPr>
        <w:t>, f. 5.</w:t>
      </w:r>
    </w:p>
    <w:p w:rsidR="00CF552A" w:rsidRPr="00CF552A" w:rsidRDefault="00CF552A" w:rsidP="00CF552A">
      <w:pPr>
        <w:pStyle w:val="TextoNormalSangraFrancesa"/>
        <w:rPr>
          <w:rStyle w:val="TextoNormalCaracter"/>
        </w:rPr>
      </w:pPr>
      <w:bookmarkStart w:id="813" w:name="DESCRIPTORALFABETICO46"/>
      <w:r w:rsidRPr="00CF552A">
        <w:rPr>
          <w:rStyle w:val="TextoNormalNegritaCaracter"/>
        </w:rPr>
        <w:t>Contenido del derecho a la inviolabilidad del domicilio</w:t>
      </w:r>
      <w:bookmarkEnd w:id="813"/>
      <w:r w:rsidRPr="00CF552A">
        <w:rPr>
          <w:rStyle w:val="TextoNormalCaracter"/>
        </w:rPr>
        <w:t xml:space="preserve">, Auto </w:t>
      </w:r>
      <w:hyperlink w:anchor="AUTO_1997_108" w:history="1">
        <w:r w:rsidRPr="00CF552A">
          <w:rPr>
            <w:rStyle w:val="TextoNormalCaracter"/>
          </w:rPr>
          <w:t>108/1997</w:t>
        </w:r>
      </w:hyperlink>
      <w:r w:rsidRPr="00CF552A">
        <w:rPr>
          <w:rStyle w:val="TextoNormalCaracter"/>
        </w:rPr>
        <w:t>.</w:t>
      </w:r>
    </w:p>
    <w:p w:rsidR="00CF552A" w:rsidRPr="00CF552A" w:rsidRDefault="00CF552A" w:rsidP="00CF552A">
      <w:pPr>
        <w:pStyle w:val="TextoNormalSangraFrancesa"/>
        <w:rPr>
          <w:rStyle w:val="TextoNormalCaracter"/>
        </w:rPr>
      </w:pPr>
      <w:bookmarkStart w:id="814" w:name="DESCRIPTORALFABETICO61"/>
      <w:r w:rsidRPr="00CF552A">
        <w:rPr>
          <w:rStyle w:val="TextoNormalNegritaCaracter"/>
        </w:rPr>
        <w:t>Contenido del derecho a la tutela judicial efectiva</w:t>
      </w:r>
      <w:bookmarkEnd w:id="814"/>
      <w:r w:rsidRPr="00CF552A">
        <w:rPr>
          <w:rStyle w:val="TextoNormalCaracter"/>
        </w:rPr>
        <w:t xml:space="preserve">, Sentencias </w:t>
      </w:r>
      <w:hyperlink w:anchor="SENTENCIA_1997_19" w:history="1">
        <w:r w:rsidRPr="00CF552A">
          <w:rPr>
            <w:rStyle w:val="TextoNormalCaracter"/>
          </w:rPr>
          <w:t>19/1997</w:t>
        </w:r>
      </w:hyperlink>
      <w:r w:rsidRPr="00CF552A">
        <w:rPr>
          <w:rStyle w:val="TextoNormalCaracter"/>
        </w:rPr>
        <w:t xml:space="preserve">, f. 3; </w:t>
      </w:r>
      <w:hyperlink w:anchor="SENTENCIA_1997_22" w:history="1">
        <w:r w:rsidRPr="00CF552A">
          <w:rPr>
            <w:rStyle w:val="TextoNormalCaracter"/>
          </w:rPr>
          <w:t>22/1997</w:t>
        </w:r>
      </w:hyperlink>
      <w:r w:rsidRPr="00CF552A">
        <w:rPr>
          <w:rStyle w:val="TextoNormalCaracter"/>
        </w:rPr>
        <w:t xml:space="preserve">, f. 2; </w:t>
      </w:r>
      <w:hyperlink w:anchor="SENTENCIA_1997_41" w:history="1">
        <w:r w:rsidRPr="00CF552A">
          <w:rPr>
            <w:rStyle w:val="TextoNormalCaracter"/>
          </w:rPr>
          <w:t>41/1997</w:t>
        </w:r>
      </w:hyperlink>
      <w:r w:rsidRPr="00CF552A">
        <w:rPr>
          <w:rStyle w:val="TextoNormalCaracter"/>
        </w:rPr>
        <w:t xml:space="preserve">, f. 5; </w:t>
      </w:r>
      <w:hyperlink w:anchor="SENTENCIA_1997_65" w:history="1">
        <w:r w:rsidRPr="00CF552A">
          <w:rPr>
            <w:rStyle w:val="TextoNormalCaracter"/>
          </w:rPr>
          <w:t>65/1997</w:t>
        </w:r>
      </w:hyperlink>
      <w:r w:rsidRPr="00CF552A">
        <w:rPr>
          <w:rStyle w:val="TextoNormalCaracter"/>
        </w:rPr>
        <w:t>, f. 2.</w:t>
      </w:r>
    </w:p>
    <w:p w:rsidR="00CF552A" w:rsidRPr="00CF552A" w:rsidRDefault="00CF552A" w:rsidP="00CF552A">
      <w:pPr>
        <w:pStyle w:val="TextoNormalSangraFrancesa"/>
        <w:rPr>
          <w:rStyle w:val="TextoNormalCaracter"/>
        </w:rPr>
      </w:pPr>
      <w:r w:rsidRPr="00CF552A">
        <w:rPr>
          <w:rStyle w:val="TextoNormalCaracter"/>
        </w:rPr>
        <w:t xml:space="preserve">    Auto </w:t>
      </w:r>
      <w:hyperlink w:anchor="AUTO_1997_105" w:history="1">
        <w:r w:rsidRPr="00CF552A">
          <w:rPr>
            <w:rStyle w:val="TextoNormalCaracter"/>
          </w:rPr>
          <w:t>105/1997</w:t>
        </w:r>
      </w:hyperlink>
      <w:r w:rsidRPr="00CF552A">
        <w:rPr>
          <w:rStyle w:val="TextoNormalCaracter"/>
        </w:rPr>
        <w:t>.</w:t>
      </w:r>
    </w:p>
    <w:p w:rsidR="00CF552A" w:rsidRPr="00CF552A" w:rsidRDefault="00CF552A" w:rsidP="00CF552A">
      <w:pPr>
        <w:pStyle w:val="TextoNormalSangraFrancesa"/>
        <w:rPr>
          <w:rStyle w:val="TextoNormalCaracter"/>
        </w:rPr>
      </w:pPr>
      <w:bookmarkStart w:id="815" w:name="DESCRIPTORALFABETICO94"/>
      <w:r w:rsidRPr="00CF552A">
        <w:rPr>
          <w:rStyle w:val="TextoNormalNegritaCaracter"/>
        </w:rPr>
        <w:t>Contenido del derecho a ser informado de la acusación</w:t>
      </w:r>
      <w:bookmarkEnd w:id="815"/>
      <w:r w:rsidRPr="00CF552A">
        <w:rPr>
          <w:rStyle w:val="TextoNormalCaracter"/>
        </w:rPr>
        <w:t xml:space="preserve">, Sentencia </w:t>
      </w:r>
      <w:hyperlink w:anchor="SENTENCIA_1997_21" w:history="1">
        <w:r w:rsidRPr="00CF552A">
          <w:rPr>
            <w:rStyle w:val="TextoNormalCaracter"/>
          </w:rPr>
          <w:t>21/1997</w:t>
        </w:r>
      </w:hyperlink>
      <w:r w:rsidRPr="00CF552A">
        <w:rPr>
          <w:rStyle w:val="TextoNormalCaracter"/>
        </w:rPr>
        <w:t>, f. 5.</w:t>
      </w:r>
    </w:p>
    <w:p w:rsidR="00CF552A" w:rsidRPr="00CF552A" w:rsidRDefault="00CF552A" w:rsidP="00CF552A">
      <w:pPr>
        <w:pStyle w:val="TextoNormalSangraFrancesa"/>
        <w:rPr>
          <w:rStyle w:val="TextoNormalCaracter"/>
        </w:rPr>
      </w:pPr>
      <w:bookmarkStart w:id="816" w:name="DESCRIPTORALFABETICO96"/>
      <w:r w:rsidRPr="00CF552A">
        <w:rPr>
          <w:rStyle w:val="TextoNormalNegritaCaracter"/>
        </w:rPr>
        <w:t>Contenido del derecho a un juez imparcial</w:t>
      </w:r>
      <w:bookmarkEnd w:id="816"/>
      <w:r w:rsidRPr="00CF552A">
        <w:rPr>
          <w:rStyle w:val="TextoNormalCaracter"/>
        </w:rPr>
        <w:t xml:space="preserve">, Sentencia </w:t>
      </w:r>
      <w:hyperlink w:anchor="SENTENCIA_1997_7" w:history="1">
        <w:r w:rsidRPr="00CF552A">
          <w:rPr>
            <w:rStyle w:val="TextoNormalCaracter"/>
          </w:rPr>
          <w:t>7/1997</w:t>
        </w:r>
      </w:hyperlink>
      <w:r w:rsidRPr="00CF552A">
        <w:rPr>
          <w:rStyle w:val="TextoNormalCaracter"/>
        </w:rPr>
        <w:t>, f. 3.</w:t>
      </w:r>
    </w:p>
    <w:p w:rsidR="00CF552A" w:rsidRPr="00CF552A" w:rsidRDefault="00CF552A" w:rsidP="00CF552A">
      <w:pPr>
        <w:pStyle w:val="TextoNormalSangraFrancesa"/>
        <w:rPr>
          <w:rStyle w:val="TextoNormalCaracter"/>
        </w:rPr>
      </w:pPr>
      <w:bookmarkStart w:id="817" w:name="DESCRIPTORALFABETICO104"/>
      <w:r w:rsidRPr="00CF552A">
        <w:rPr>
          <w:rStyle w:val="TextoNormalNegritaCaracter"/>
        </w:rPr>
        <w:t>Contenido del derecho al juez legal</w:t>
      </w:r>
      <w:bookmarkEnd w:id="817"/>
      <w:r w:rsidRPr="00CF552A">
        <w:rPr>
          <w:rStyle w:val="TextoNormalCaracter"/>
        </w:rPr>
        <w:t xml:space="preserve">, Sentencia </w:t>
      </w:r>
      <w:hyperlink w:anchor="SENTENCIA_1997_64" w:history="1">
        <w:r w:rsidRPr="00CF552A">
          <w:rPr>
            <w:rStyle w:val="TextoNormalCaracter"/>
          </w:rPr>
          <w:t>64/1997</w:t>
        </w:r>
      </w:hyperlink>
      <w:r w:rsidRPr="00CF552A">
        <w:rPr>
          <w:rStyle w:val="TextoNormalCaracter"/>
        </w:rPr>
        <w:t>, f. 2.</w:t>
      </w:r>
    </w:p>
    <w:p w:rsidR="00CF552A" w:rsidRPr="00CF552A" w:rsidRDefault="00CF552A" w:rsidP="00CF552A">
      <w:pPr>
        <w:pStyle w:val="TextoNormalSangraFrancesa"/>
        <w:rPr>
          <w:rStyle w:val="TextoNormalCaracter"/>
        </w:rPr>
      </w:pPr>
      <w:bookmarkStart w:id="818" w:name="DESCRIPTORALFABETICO118"/>
      <w:r w:rsidRPr="00CF552A">
        <w:rPr>
          <w:rStyle w:val="TextoNormalNegritaCaracter"/>
        </w:rPr>
        <w:t>Contenido esencial de los derechos fundamentales</w:t>
      </w:r>
      <w:bookmarkEnd w:id="818"/>
      <w:r w:rsidRPr="00CF552A">
        <w:rPr>
          <w:rStyle w:val="TextoNormalCaracter"/>
        </w:rPr>
        <w:t xml:space="preserve">, Sentencia </w:t>
      </w:r>
      <w:hyperlink w:anchor="SENTENCIA_1997_75" w:history="1">
        <w:r w:rsidRPr="00CF552A">
          <w:rPr>
            <w:rStyle w:val="TextoNormalCaracter"/>
          </w:rPr>
          <w:t>75/1997</w:t>
        </w:r>
      </w:hyperlink>
      <w:r w:rsidRPr="00CF552A">
        <w:rPr>
          <w:rStyle w:val="TextoNormalCaracter"/>
        </w:rPr>
        <w:t>, ff. 2, 3.</w:t>
      </w:r>
    </w:p>
    <w:p w:rsidR="00CF552A" w:rsidRPr="00CF552A" w:rsidRDefault="00CF552A" w:rsidP="00CF552A">
      <w:pPr>
        <w:pStyle w:val="TextoNormalSangraFrancesa"/>
        <w:rPr>
          <w:rStyle w:val="TextoNormalNegritaCaracter"/>
        </w:rPr>
      </w:pPr>
      <w:r w:rsidRPr="00CF552A">
        <w:rPr>
          <w:rStyle w:val="TextoNormalCursivaCaracter"/>
        </w:rPr>
        <w:t>Contradicción procesal</w:t>
      </w:r>
      <w:r>
        <w:t xml:space="preserve"> véase </w:t>
      </w:r>
      <w:hyperlink w:anchor="DESCRIPTORALFABETICO423" w:history="1">
        <w:r w:rsidRPr="00CF552A">
          <w:rPr>
            <w:rStyle w:val="TextoNormalNegritaCaracter"/>
          </w:rPr>
          <w:t>Principio de contradicción</w:t>
        </w:r>
      </w:hyperlink>
    </w:p>
    <w:p w:rsidR="00CF552A" w:rsidRPr="00CF552A" w:rsidRDefault="00CF552A" w:rsidP="00CF552A">
      <w:pPr>
        <w:pStyle w:val="TextoNormalSangraFrancesa"/>
        <w:rPr>
          <w:rStyle w:val="TextoNormalCaracter"/>
        </w:rPr>
      </w:pPr>
      <w:bookmarkStart w:id="819" w:name="DESCRIPTORALFABETICO478"/>
      <w:r w:rsidRPr="00CF552A">
        <w:rPr>
          <w:rStyle w:val="TextoNormalNegritaCaracter"/>
        </w:rPr>
        <w:t>Contraindicios</w:t>
      </w:r>
      <w:bookmarkEnd w:id="819"/>
      <w:r w:rsidRPr="00CF552A">
        <w:rPr>
          <w:rStyle w:val="TextoNormalCaracter"/>
        </w:rPr>
        <w:t xml:space="preserve">, Sentencia </w:t>
      </w:r>
      <w:hyperlink w:anchor="SENTENCIA_1997_24" w:history="1">
        <w:r w:rsidRPr="00CF552A">
          <w:rPr>
            <w:rStyle w:val="TextoNormalCaracter"/>
          </w:rPr>
          <w:t>24/1997</w:t>
        </w:r>
      </w:hyperlink>
      <w:r w:rsidRPr="00CF552A">
        <w:rPr>
          <w:rStyle w:val="TextoNormalCaracter"/>
        </w:rPr>
        <w:t>, f. 3.</w:t>
      </w:r>
    </w:p>
    <w:p w:rsidR="00CF552A" w:rsidRPr="00CF552A" w:rsidRDefault="00CF552A" w:rsidP="00CF552A">
      <w:pPr>
        <w:pStyle w:val="TextoNormalSangraFrancesa"/>
        <w:rPr>
          <w:rStyle w:val="TextoNormalCaracter"/>
        </w:rPr>
      </w:pPr>
      <w:bookmarkStart w:id="820" w:name="DESCRIPTORALFABETICO356"/>
      <w:r w:rsidRPr="00CF552A">
        <w:rPr>
          <w:rStyle w:val="TextoNormalNegritaCaracter"/>
        </w:rPr>
        <w:t>Contrato de trabajo</w:t>
      </w:r>
      <w:bookmarkEnd w:id="820"/>
      <w:r w:rsidRPr="00CF552A">
        <w:rPr>
          <w:rStyle w:val="TextoNormalCaracter"/>
        </w:rPr>
        <w:t xml:space="preserve">, Auto </w:t>
      </w:r>
      <w:hyperlink w:anchor="AUTO_1997_77" w:history="1">
        <w:r w:rsidRPr="00CF552A">
          <w:rPr>
            <w:rStyle w:val="TextoNormalCaracter"/>
          </w:rPr>
          <w:t>77/1997</w:t>
        </w:r>
      </w:hyperlink>
      <w:r w:rsidRPr="00CF552A">
        <w:rPr>
          <w:rStyle w:val="TextoNormalCaracter"/>
        </w:rPr>
        <w:t>.</w:t>
      </w:r>
    </w:p>
    <w:p w:rsidR="00CF552A" w:rsidRPr="00CF552A" w:rsidRDefault="00CF552A" w:rsidP="00CF552A">
      <w:pPr>
        <w:pStyle w:val="TextoNormalSangraFrancesa"/>
        <w:rPr>
          <w:rStyle w:val="TextoNormalCaracter"/>
        </w:rPr>
      </w:pPr>
      <w:bookmarkStart w:id="821" w:name="DESCRIPTORALFABETICO128"/>
      <w:r w:rsidRPr="00CF552A">
        <w:rPr>
          <w:rStyle w:val="TextoNormalNegritaCaracter"/>
        </w:rPr>
        <w:t>Control constitucional de la exigencia de motivación</w:t>
      </w:r>
      <w:bookmarkEnd w:id="821"/>
      <w:r w:rsidRPr="00CF552A">
        <w:rPr>
          <w:rStyle w:val="TextoNormalCaracter"/>
        </w:rPr>
        <w:t xml:space="preserve">, Sentencia </w:t>
      </w:r>
      <w:hyperlink w:anchor="SENTENCIA_1997_58" w:history="1">
        <w:r w:rsidRPr="00CF552A">
          <w:rPr>
            <w:rStyle w:val="TextoNormalCaracter"/>
          </w:rPr>
          <w:t>58/1997</w:t>
        </w:r>
      </w:hyperlink>
      <w:r w:rsidRPr="00CF552A">
        <w:rPr>
          <w:rStyle w:val="TextoNormalCaracter"/>
        </w:rPr>
        <w:t>, f. 2.</w:t>
      </w:r>
    </w:p>
    <w:p w:rsidR="00CF552A" w:rsidRPr="00CF552A" w:rsidRDefault="00CF552A" w:rsidP="00CF552A">
      <w:pPr>
        <w:pStyle w:val="TextoNormalSangraFrancesa"/>
        <w:rPr>
          <w:rStyle w:val="TextoNormalCaracter"/>
        </w:rPr>
      </w:pPr>
      <w:bookmarkStart w:id="822" w:name="DESCRIPTORALFABETICO129"/>
      <w:r w:rsidRPr="00CF552A">
        <w:rPr>
          <w:rStyle w:val="TextoNormalNegritaCaracter"/>
        </w:rPr>
        <w:t>Control de constitucionalidad de las normas jurídicas</w:t>
      </w:r>
      <w:bookmarkEnd w:id="822"/>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 2.</w:t>
      </w:r>
    </w:p>
    <w:p w:rsidR="00CF552A" w:rsidRPr="00CF552A" w:rsidRDefault="00CF552A" w:rsidP="00CF552A">
      <w:pPr>
        <w:pStyle w:val="TextoNormalSangraFrancesa"/>
        <w:rPr>
          <w:rStyle w:val="TextoNormalCaracter"/>
        </w:rPr>
      </w:pPr>
      <w:bookmarkStart w:id="823" w:name="DESCRIPTORALFABETICO130"/>
      <w:r w:rsidRPr="00CF552A">
        <w:rPr>
          <w:rStyle w:val="TextoNormalNegritaCaracter"/>
        </w:rPr>
        <w:t>Control de constitucionalidad de los decretos legislativos</w:t>
      </w:r>
      <w:bookmarkEnd w:id="823"/>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 2.</w:t>
      </w:r>
    </w:p>
    <w:p w:rsidR="00CF552A" w:rsidRPr="00CF552A" w:rsidRDefault="00CF552A" w:rsidP="00CF552A">
      <w:pPr>
        <w:pStyle w:val="TextoNormalSangraFrancesa"/>
        <w:rPr>
          <w:rStyle w:val="TextoNormalCaracter"/>
        </w:rPr>
      </w:pPr>
      <w:bookmarkStart w:id="824" w:name="DESCRIPTORALFABETICO457"/>
      <w:r w:rsidRPr="00CF552A">
        <w:rPr>
          <w:rStyle w:val="TextoNormalNegritaCaracter"/>
        </w:rPr>
        <w:t>Control judicial de la detención</w:t>
      </w:r>
      <w:bookmarkEnd w:id="824"/>
      <w:r w:rsidRPr="00CF552A">
        <w:rPr>
          <w:rStyle w:val="TextoNormalCaracter"/>
        </w:rPr>
        <w:t xml:space="preserve">, Sentencia </w:t>
      </w:r>
      <w:hyperlink w:anchor="SENTENCIA_1997_21" w:history="1">
        <w:r w:rsidRPr="00CF552A">
          <w:rPr>
            <w:rStyle w:val="TextoNormalCaracter"/>
          </w:rPr>
          <w:t>21/1997</w:t>
        </w:r>
      </w:hyperlink>
      <w:r w:rsidRPr="00CF552A">
        <w:rPr>
          <w:rStyle w:val="TextoNormalCaracter"/>
        </w:rPr>
        <w:t>, f. 4.</w:t>
      </w:r>
    </w:p>
    <w:p w:rsidR="00CF552A" w:rsidRPr="00CF552A" w:rsidRDefault="00CF552A" w:rsidP="00CF552A">
      <w:pPr>
        <w:pStyle w:val="TextoNormalSangraFrancesa"/>
        <w:rPr>
          <w:rStyle w:val="TextoNormalCaracter"/>
        </w:rPr>
      </w:pPr>
      <w:bookmarkStart w:id="825" w:name="DESCRIPTORALFABETICO207"/>
      <w:r w:rsidRPr="00CF552A">
        <w:rPr>
          <w:rStyle w:val="TextoNormalNegritaCaracter"/>
        </w:rPr>
        <w:t>Convocatoria de Plenos extraordinarios</w:t>
      </w:r>
      <w:bookmarkEnd w:id="825"/>
      <w:r w:rsidRPr="00CF552A">
        <w:rPr>
          <w:rStyle w:val="TextoNormalCaracter"/>
        </w:rPr>
        <w:t xml:space="preserve">, Auto </w:t>
      </w:r>
      <w:hyperlink w:anchor="AUTO_1997_42" w:history="1">
        <w:r w:rsidRPr="00CF552A">
          <w:rPr>
            <w:rStyle w:val="TextoNormalCaracter"/>
          </w:rPr>
          <w:t>42/1997</w:t>
        </w:r>
      </w:hyperlink>
      <w:r w:rsidRPr="00CF552A">
        <w:rPr>
          <w:rStyle w:val="TextoNormalCaracter"/>
        </w:rPr>
        <w:t>.</w:t>
      </w:r>
    </w:p>
    <w:p w:rsidR="00CF552A" w:rsidRPr="00CF552A" w:rsidRDefault="00CF552A" w:rsidP="00CF552A">
      <w:pPr>
        <w:pStyle w:val="TextoNormalSangraFrancesa"/>
        <w:rPr>
          <w:rStyle w:val="TextoNormalCaracter"/>
        </w:rPr>
      </w:pPr>
      <w:bookmarkStart w:id="826" w:name="DESCRIPTORALFABETICO228"/>
      <w:r w:rsidRPr="00CF552A">
        <w:rPr>
          <w:rStyle w:val="TextoNormalNegritaCaracter"/>
        </w:rPr>
        <w:t>Cooficialidad lingüística</w:t>
      </w:r>
      <w:bookmarkEnd w:id="826"/>
      <w:r w:rsidRPr="00CF552A">
        <w:rPr>
          <w:rStyle w:val="TextoNormalCaracter"/>
        </w:rPr>
        <w:t xml:space="preserve">, Sentencia </w:t>
      </w:r>
      <w:hyperlink w:anchor="SENTENCIA_1997_87" w:history="1">
        <w:r w:rsidRPr="00CF552A">
          <w:rPr>
            <w:rStyle w:val="TextoNormalCaracter"/>
          </w:rPr>
          <w:t>87/1997</w:t>
        </w:r>
      </w:hyperlink>
      <w:r w:rsidRPr="00CF552A">
        <w:rPr>
          <w:rStyle w:val="TextoNormalCaracter"/>
        </w:rPr>
        <w:t>, f. 3.</w:t>
      </w:r>
    </w:p>
    <w:p w:rsidR="00CF552A" w:rsidRPr="00CF552A" w:rsidRDefault="00CF552A" w:rsidP="00CF552A">
      <w:pPr>
        <w:pStyle w:val="TextoNormalSangraFrancesa"/>
        <w:rPr>
          <w:rStyle w:val="TextoNormalNegritaCaracter"/>
        </w:rPr>
      </w:pPr>
      <w:r w:rsidRPr="00CF552A">
        <w:rPr>
          <w:rStyle w:val="TextoNormalCursivaCaracter"/>
        </w:rPr>
        <w:t>Coordinación de Administraciones públicas</w:t>
      </w:r>
      <w:r>
        <w:t xml:space="preserve"> véase </w:t>
      </w:r>
      <w:hyperlink w:anchor="DESCRIPTORALFABETICO194" w:history="1">
        <w:r w:rsidRPr="00CF552A">
          <w:rPr>
            <w:rStyle w:val="TextoNormalNegritaCaracter"/>
          </w:rPr>
          <w:t>Principio de coordinación</w:t>
        </w:r>
      </w:hyperlink>
    </w:p>
    <w:p w:rsidR="00CF552A" w:rsidRPr="00CF552A" w:rsidRDefault="00CF552A" w:rsidP="00CF552A">
      <w:pPr>
        <w:pStyle w:val="TextoNormalSangraFrancesa"/>
        <w:rPr>
          <w:rStyle w:val="TextoNormalCaracter"/>
        </w:rPr>
      </w:pPr>
      <w:bookmarkStart w:id="827" w:name="DESCRIPTORALFABETICO383"/>
      <w:r w:rsidRPr="00CF552A">
        <w:rPr>
          <w:rStyle w:val="TextoNormalNegritaCaracter"/>
        </w:rPr>
        <w:t>Cosa juzgada</w:t>
      </w:r>
      <w:bookmarkEnd w:id="827"/>
      <w:r w:rsidRPr="00CF552A">
        <w:rPr>
          <w:rStyle w:val="TextoNormalCaracter"/>
        </w:rPr>
        <w:t xml:space="preserve">, Sentencia </w:t>
      </w:r>
      <w:hyperlink w:anchor="SENTENCIA_1997_54" w:history="1">
        <w:r w:rsidRPr="00CF552A">
          <w:rPr>
            <w:rStyle w:val="TextoNormalCaracter"/>
          </w:rPr>
          <w:t>54/1997</w:t>
        </w:r>
      </w:hyperlink>
      <w:r w:rsidRPr="00CF552A">
        <w:rPr>
          <w:rStyle w:val="TextoNormalCaracter"/>
        </w:rPr>
        <w:t>, f. 1.</w:t>
      </w:r>
    </w:p>
    <w:p w:rsidR="00CF552A" w:rsidRPr="00CF552A" w:rsidRDefault="00CF552A" w:rsidP="00CF552A">
      <w:pPr>
        <w:pStyle w:val="TextoNormalSangraFrancesa"/>
        <w:rPr>
          <w:rStyle w:val="TextoNormalCaracter"/>
        </w:rPr>
      </w:pPr>
      <w:bookmarkStart w:id="828" w:name="DESCRIPTORALFABETICO187"/>
      <w:r w:rsidRPr="00CF552A">
        <w:rPr>
          <w:rStyle w:val="TextoNormalNegritaCaracter"/>
        </w:rPr>
        <w:t>Cosa juzgada de las sentencias del Tribunal Constitucional</w:t>
      </w:r>
      <w:bookmarkEnd w:id="828"/>
      <w:r w:rsidRPr="00CF552A">
        <w:rPr>
          <w:rStyle w:val="TextoNormalCaracter"/>
        </w:rPr>
        <w:t xml:space="preserve">, Auto </w:t>
      </w:r>
      <w:hyperlink w:anchor="AUTO_1997_56" w:history="1">
        <w:r w:rsidRPr="00CF552A">
          <w:rPr>
            <w:rStyle w:val="TextoNormalCaracter"/>
          </w:rPr>
          <w:t>56/1997</w:t>
        </w:r>
      </w:hyperlink>
      <w:r w:rsidRPr="00CF552A">
        <w:rPr>
          <w:rStyle w:val="TextoNormalCaracter"/>
        </w:rPr>
        <w:t>.</w:t>
      </w:r>
    </w:p>
    <w:p w:rsidR="00CF552A" w:rsidRPr="00CF552A" w:rsidRDefault="00CF552A" w:rsidP="00CF552A">
      <w:pPr>
        <w:pStyle w:val="TextoNormalSangraFrancesa"/>
        <w:rPr>
          <w:rStyle w:val="TextoNormalCaracter"/>
        </w:rPr>
      </w:pPr>
      <w:bookmarkStart w:id="829" w:name="DESCRIPTORALFABETICO98"/>
      <w:r w:rsidRPr="00CF552A">
        <w:rPr>
          <w:rStyle w:val="TextoNormalNegritaCaracter"/>
        </w:rPr>
        <w:t>Criterios de apreciación de dilaciones indebidas</w:t>
      </w:r>
      <w:bookmarkEnd w:id="829"/>
      <w:r w:rsidRPr="00CF552A">
        <w:rPr>
          <w:rStyle w:val="TextoNormalCaracter"/>
        </w:rPr>
        <w:t xml:space="preserve">, Sentencias </w:t>
      </w:r>
      <w:hyperlink w:anchor="SENTENCIA_1997_10" w:history="1">
        <w:r w:rsidRPr="00CF552A">
          <w:rPr>
            <w:rStyle w:val="TextoNormalCaracter"/>
          </w:rPr>
          <w:t>10/1997</w:t>
        </w:r>
      </w:hyperlink>
      <w:r w:rsidRPr="00CF552A">
        <w:rPr>
          <w:rStyle w:val="TextoNormalCaracter"/>
        </w:rPr>
        <w:t xml:space="preserve">, f. 3; </w:t>
      </w:r>
      <w:hyperlink w:anchor="SENTENCIA_1997_53" w:history="1">
        <w:r w:rsidRPr="00CF552A">
          <w:rPr>
            <w:rStyle w:val="TextoNormalCaracter"/>
          </w:rPr>
          <w:t>53/1997</w:t>
        </w:r>
      </w:hyperlink>
      <w:r w:rsidRPr="00CF552A">
        <w:rPr>
          <w:rStyle w:val="TextoNormalCaracter"/>
        </w:rPr>
        <w:t>, f. único.</w:t>
      </w:r>
    </w:p>
    <w:p w:rsidR="00CF552A" w:rsidRPr="00CF552A" w:rsidRDefault="00CF552A" w:rsidP="00CF552A">
      <w:pPr>
        <w:pStyle w:val="TextoNormalSangraFrancesa"/>
        <w:rPr>
          <w:rStyle w:val="TextoNormalCaracter"/>
        </w:rPr>
      </w:pPr>
      <w:bookmarkStart w:id="830" w:name="DESCRIPTORALFABETICO152"/>
      <w:r w:rsidRPr="00CF552A">
        <w:rPr>
          <w:rStyle w:val="TextoNormalNegritaCaracter"/>
        </w:rPr>
        <w:t>Cuestión de inconstitucionalidad</w:t>
      </w:r>
      <w:bookmarkEnd w:id="830"/>
      <w:r w:rsidRPr="00CF552A">
        <w:rPr>
          <w:rStyle w:val="TextoNormalCaracter"/>
        </w:rPr>
        <w:t xml:space="preserve">, Sentencias </w:t>
      </w:r>
      <w:hyperlink w:anchor="SENTENCIA_1997_28" w:history="1">
        <w:r w:rsidRPr="00CF552A">
          <w:rPr>
            <w:rStyle w:val="TextoNormalCaracter"/>
          </w:rPr>
          <w:t>28/1997</w:t>
        </w:r>
      </w:hyperlink>
      <w:r w:rsidRPr="00CF552A">
        <w:rPr>
          <w:rStyle w:val="TextoNormalCaracter"/>
        </w:rPr>
        <w:t xml:space="preserve">, ff. 2, 3; </w:t>
      </w:r>
      <w:hyperlink w:anchor="SENTENCIA_1997_38" w:history="1">
        <w:r w:rsidRPr="00CF552A">
          <w:rPr>
            <w:rStyle w:val="TextoNormalCaracter"/>
          </w:rPr>
          <w:t>38/1997</w:t>
        </w:r>
      </w:hyperlink>
      <w:r w:rsidRPr="00CF552A">
        <w:rPr>
          <w:rStyle w:val="TextoNormalCaracter"/>
        </w:rPr>
        <w:t xml:space="preserve">, ff. 1, 2, 3, 4, 5, 6; </w:t>
      </w:r>
      <w:hyperlink w:anchor="SENTENCIA_1997_72" w:history="1">
        <w:r w:rsidRPr="00CF552A">
          <w:rPr>
            <w:rStyle w:val="TextoNormalCaracter"/>
          </w:rPr>
          <w:t>72/1997</w:t>
        </w:r>
      </w:hyperlink>
      <w:r w:rsidRPr="00CF552A">
        <w:rPr>
          <w:rStyle w:val="TextoNormalCaracter"/>
        </w:rPr>
        <w:t>, f. único.</w:t>
      </w:r>
    </w:p>
    <w:p w:rsidR="00CF552A" w:rsidRPr="00CF552A" w:rsidRDefault="00CF552A" w:rsidP="00CF552A">
      <w:pPr>
        <w:pStyle w:val="TextoNormalSangraFrancesa"/>
        <w:rPr>
          <w:rStyle w:val="TextoNormalCaracter"/>
        </w:rPr>
      </w:pPr>
      <w:r w:rsidRPr="00CF552A">
        <w:rPr>
          <w:rStyle w:val="TextoNormalCaracter"/>
        </w:rPr>
        <w:t xml:space="preserve">    Autos </w:t>
      </w:r>
      <w:hyperlink w:anchor="AUTO_1997_56" w:history="1">
        <w:r w:rsidRPr="00CF552A">
          <w:rPr>
            <w:rStyle w:val="TextoNormalCaracter"/>
          </w:rPr>
          <w:t>56/1997</w:t>
        </w:r>
      </w:hyperlink>
      <w:r w:rsidRPr="00CF552A">
        <w:rPr>
          <w:rStyle w:val="TextoNormalCaracter"/>
        </w:rPr>
        <w:t xml:space="preserve">; </w:t>
      </w:r>
      <w:hyperlink w:anchor="AUTO_1997_120" w:history="1">
        <w:r w:rsidRPr="00CF552A">
          <w:rPr>
            <w:rStyle w:val="TextoNormalCaracter"/>
          </w:rPr>
          <w:t>120/1997</w:t>
        </w:r>
      </w:hyperlink>
      <w:r w:rsidRPr="00CF552A">
        <w:rPr>
          <w:rStyle w:val="TextoNormalCaracter"/>
        </w:rPr>
        <w:t>.</w:t>
      </w:r>
    </w:p>
    <w:p w:rsidR="00CF552A" w:rsidRPr="00CF552A" w:rsidRDefault="00CF552A" w:rsidP="00CF552A">
      <w:pPr>
        <w:pStyle w:val="TextoNormalSangraFrancesa"/>
        <w:rPr>
          <w:rStyle w:val="TextoNormalCaracter"/>
        </w:rPr>
      </w:pPr>
      <w:bookmarkStart w:id="831" w:name="DESCRIPTORALFABETICO154"/>
      <w:r w:rsidRPr="00CF552A">
        <w:rPr>
          <w:rStyle w:val="TextoNormalNegritaCaracter"/>
        </w:rPr>
        <w:t>Cuestión de inconstitucionalidad notoriamente infundada</w:t>
      </w:r>
      <w:bookmarkEnd w:id="831"/>
      <w:r w:rsidRPr="00CF552A">
        <w:rPr>
          <w:rStyle w:val="TextoNormalCaracter"/>
        </w:rPr>
        <w:t xml:space="preserve">, Auto </w:t>
      </w:r>
      <w:hyperlink w:anchor="AUTO_1997_77" w:history="1">
        <w:r w:rsidRPr="00CF552A">
          <w:rPr>
            <w:rStyle w:val="TextoNormalCaracter"/>
          </w:rPr>
          <w:t>77/1997</w:t>
        </w:r>
      </w:hyperlink>
      <w:r w:rsidRPr="00CF552A">
        <w:rPr>
          <w:rStyle w:val="TextoNormalCaracter"/>
        </w:rPr>
        <w:t>.</w:t>
      </w:r>
    </w:p>
    <w:p w:rsidR="00CF552A" w:rsidRPr="00CF552A" w:rsidRDefault="00CF552A" w:rsidP="00CF552A">
      <w:pPr>
        <w:pStyle w:val="TextoNormalSangraFrancesa"/>
        <w:rPr>
          <w:rStyle w:val="TextoNormalCaracter"/>
        </w:rPr>
      </w:pPr>
      <w:bookmarkStart w:id="832" w:name="DESCRIPTORALFABETICO385"/>
      <w:r w:rsidRPr="00CF552A">
        <w:rPr>
          <w:rStyle w:val="TextoNormalNegritaCaracter"/>
        </w:rPr>
        <w:t>Cuestión de legalidad ordinaria</w:t>
      </w:r>
      <w:bookmarkEnd w:id="832"/>
      <w:r w:rsidRPr="00CF552A">
        <w:rPr>
          <w:rStyle w:val="TextoNormalCaracter"/>
        </w:rPr>
        <w:t xml:space="preserve">, Sentencias </w:t>
      </w:r>
      <w:hyperlink w:anchor="SENTENCIA_1997_42" w:history="1">
        <w:r w:rsidRPr="00CF552A">
          <w:rPr>
            <w:rStyle w:val="TextoNormalCaracter"/>
          </w:rPr>
          <w:t>42/1997</w:t>
        </w:r>
      </w:hyperlink>
      <w:r w:rsidRPr="00CF552A">
        <w:rPr>
          <w:rStyle w:val="TextoNormalCaracter"/>
        </w:rPr>
        <w:t xml:space="preserve">, f. 2; </w:t>
      </w:r>
      <w:hyperlink w:anchor="SENTENCIA_1997_50" w:history="1">
        <w:r w:rsidRPr="00CF552A">
          <w:rPr>
            <w:rStyle w:val="TextoNormalCaracter"/>
          </w:rPr>
          <w:t>50/1997</w:t>
        </w:r>
      </w:hyperlink>
      <w:r w:rsidRPr="00CF552A">
        <w:rPr>
          <w:rStyle w:val="TextoNormalCaracter"/>
        </w:rPr>
        <w:t xml:space="preserve">, ff. 3, 4; </w:t>
      </w:r>
      <w:hyperlink w:anchor="SENTENCIA_1997_54" w:history="1">
        <w:r w:rsidRPr="00CF552A">
          <w:rPr>
            <w:rStyle w:val="TextoNormalCaracter"/>
          </w:rPr>
          <w:t>54/1997</w:t>
        </w:r>
      </w:hyperlink>
      <w:r w:rsidRPr="00CF552A">
        <w:rPr>
          <w:rStyle w:val="TextoNormalCaracter"/>
        </w:rPr>
        <w:t>, f. 2.</w:t>
      </w:r>
    </w:p>
    <w:p w:rsidR="00CF552A" w:rsidRPr="00CF552A" w:rsidRDefault="00CF552A" w:rsidP="00CF552A">
      <w:pPr>
        <w:pStyle w:val="TextoNormalSangraFrancesa"/>
        <w:rPr>
          <w:rStyle w:val="TextoNormalCaracter"/>
        </w:rPr>
      </w:pPr>
      <w:r w:rsidRPr="00CF552A">
        <w:rPr>
          <w:rStyle w:val="TextoNormalCaracter"/>
        </w:rPr>
        <w:t xml:space="preserve">    Auto </w:t>
      </w:r>
      <w:hyperlink w:anchor="AUTO_1997_105" w:history="1">
        <w:r w:rsidRPr="00CF552A">
          <w:rPr>
            <w:rStyle w:val="TextoNormalCaracter"/>
          </w:rPr>
          <w:t>105/1997</w:t>
        </w:r>
      </w:hyperlink>
      <w:r w:rsidRPr="00CF552A">
        <w:rPr>
          <w:rStyle w:val="TextoNormalCaracter"/>
        </w:rPr>
        <w:t>.</w:t>
      </w:r>
    </w:p>
    <w:p w:rsidR="00CF552A" w:rsidRPr="00CF552A" w:rsidRDefault="00CF552A" w:rsidP="00CF552A">
      <w:pPr>
        <w:pStyle w:val="TextoNormalSangraFrancesa"/>
        <w:rPr>
          <w:rStyle w:val="TextoNormalCaracter"/>
        </w:rPr>
      </w:pPr>
      <w:bookmarkStart w:id="833" w:name="DESCRIPTORALFABETICO386"/>
      <w:r w:rsidRPr="00CF552A">
        <w:rPr>
          <w:rStyle w:val="TextoNormalNegritaCaracter"/>
        </w:rPr>
        <w:t>Cuestión nueva</w:t>
      </w:r>
      <w:bookmarkEnd w:id="833"/>
      <w:r w:rsidRPr="00CF552A">
        <w:rPr>
          <w:rStyle w:val="TextoNormalCaracter"/>
        </w:rPr>
        <w:t xml:space="preserve">, Sentencia </w:t>
      </w:r>
      <w:hyperlink w:anchor="SENTENCIA_1997_62" w:history="1">
        <w:r w:rsidRPr="00CF552A">
          <w:rPr>
            <w:rStyle w:val="TextoNormalCaracter"/>
          </w:rPr>
          <w:t>62/1997</w:t>
        </w:r>
      </w:hyperlink>
      <w:r w:rsidRPr="00CF552A">
        <w:rPr>
          <w:rStyle w:val="TextoNormalCaracter"/>
        </w:rPr>
        <w:t>, f. 2, VP.</w:t>
      </w:r>
    </w:p>
    <w:p w:rsidR="00CF552A" w:rsidRPr="00CF552A" w:rsidRDefault="00CF552A" w:rsidP="00CF552A">
      <w:pPr>
        <w:pStyle w:val="TextoNormalSangraFrancesa"/>
        <w:rPr>
          <w:rStyle w:val="TextoNormalCaracter"/>
        </w:rPr>
      </w:pPr>
      <w:bookmarkStart w:id="834" w:name="DESCRIPTORALFABETICO238"/>
      <w:r w:rsidRPr="00CF552A">
        <w:rPr>
          <w:rStyle w:val="TextoNormalNegritaCaracter"/>
        </w:rPr>
        <w:t>Cultura</w:t>
      </w:r>
      <w:bookmarkEnd w:id="834"/>
      <w:r w:rsidRPr="00CF552A">
        <w:rPr>
          <w:rStyle w:val="TextoNormalCaracter"/>
        </w:rPr>
        <w:t xml:space="preserve">, Sentencia </w:t>
      </w:r>
      <w:hyperlink w:anchor="SENTENCIA_1997_71" w:history="1">
        <w:r w:rsidRPr="00CF552A">
          <w:rPr>
            <w:rStyle w:val="TextoNormalCaracter"/>
          </w:rPr>
          <w:t>71/1997</w:t>
        </w:r>
      </w:hyperlink>
      <w:r w:rsidRPr="00CF552A">
        <w:rPr>
          <w:rStyle w:val="TextoNormalCaracter"/>
        </w:rPr>
        <w:t>, f. 3.</w:t>
      </w:r>
    </w:p>
    <w:p w:rsidR="00CF552A" w:rsidRDefault="00CF552A" w:rsidP="00CF552A">
      <w:pPr>
        <w:pStyle w:val="TextoNormalSangraFrancesa"/>
      </w:pPr>
    </w:p>
    <w:p w:rsidR="00CF552A" w:rsidRDefault="00CF552A" w:rsidP="00CF552A">
      <w:pPr>
        <w:pStyle w:val="TextoNormalSangraFrancesa"/>
      </w:pPr>
    </w:p>
    <w:p w:rsidR="00CF552A" w:rsidRDefault="00CF552A" w:rsidP="00CF552A">
      <w:pPr>
        <w:pStyle w:val="TextoNormalNegritaCentrado"/>
      </w:pPr>
      <w:r>
        <w:t>D</w:t>
      </w:r>
    </w:p>
    <w:p w:rsidR="00CF552A" w:rsidRDefault="00CF552A" w:rsidP="00CF552A">
      <w:pPr>
        <w:pStyle w:val="TextoNormalNegritaCentrado"/>
      </w:pPr>
    </w:p>
    <w:p w:rsidR="00CF552A" w:rsidRDefault="00CF552A" w:rsidP="00CF552A">
      <w:pPr>
        <w:pStyle w:val="TextoNormalNegritaCentrado"/>
      </w:pPr>
    </w:p>
    <w:p w:rsidR="00CF552A" w:rsidRDefault="00CF552A" w:rsidP="00CF552A">
      <w:pPr>
        <w:pStyle w:val="TextoNormalNegritaCentrado"/>
      </w:pPr>
    </w:p>
    <w:p w:rsidR="00CF552A" w:rsidRPr="00CF552A" w:rsidRDefault="00CF552A" w:rsidP="00CF552A">
      <w:pPr>
        <w:pStyle w:val="TextoNormalSangraFrancesa"/>
        <w:rPr>
          <w:rStyle w:val="TextoNormalNegritaCaracter"/>
        </w:rPr>
      </w:pPr>
      <w:r w:rsidRPr="00CF552A">
        <w:rPr>
          <w:rStyle w:val="TextoNormalCursivaCaracter"/>
        </w:rPr>
        <w:t>Deber de diligencia judicial</w:t>
      </w:r>
      <w:r>
        <w:t xml:space="preserve"> véase </w:t>
      </w:r>
      <w:hyperlink w:anchor="DESCRIPTORALFABETICO395" w:history="1">
        <w:r w:rsidRPr="00CF552A">
          <w:rPr>
            <w:rStyle w:val="TextoNormalNegritaCaracter"/>
          </w:rPr>
          <w:t>Diligencia de los órganos judiciales</w:t>
        </w:r>
      </w:hyperlink>
    </w:p>
    <w:p w:rsidR="00CF552A" w:rsidRPr="00CF552A" w:rsidRDefault="00CF552A" w:rsidP="00CF552A">
      <w:pPr>
        <w:pStyle w:val="TextoNormalSangraFrancesa"/>
        <w:rPr>
          <w:rStyle w:val="TextoNormalCaracter"/>
        </w:rPr>
      </w:pPr>
      <w:bookmarkStart w:id="835" w:name="DESCRIPTORALFABETICO203"/>
      <w:r w:rsidRPr="00CF552A">
        <w:rPr>
          <w:rStyle w:val="TextoNormalNegritaCaracter"/>
        </w:rPr>
        <w:t>Deber judicial de advertir los defectos procesales</w:t>
      </w:r>
      <w:bookmarkEnd w:id="835"/>
      <w:r w:rsidRPr="00CF552A">
        <w:rPr>
          <w:rStyle w:val="TextoNormalCaracter"/>
        </w:rPr>
        <w:t xml:space="preserve">, Sentencia </w:t>
      </w:r>
      <w:hyperlink w:anchor="SENTENCIA_1997_84" w:history="1">
        <w:r w:rsidRPr="00CF552A">
          <w:rPr>
            <w:rStyle w:val="TextoNormalCaracter"/>
          </w:rPr>
          <w:t>84/1997</w:t>
        </w:r>
      </w:hyperlink>
      <w:r w:rsidRPr="00CF552A">
        <w:rPr>
          <w:rStyle w:val="TextoNormalCaracter"/>
        </w:rPr>
        <w:t>, f. 2.</w:t>
      </w:r>
    </w:p>
    <w:p w:rsidR="00CF552A" w:rsidRPr="00CF552A" w:rsidRDefault="00CF552A" w:rsidP="00CF552A">
      <w:pPr>
        <w:pStyle w:val="TextoNormalSangraFrancesa"/>
        <w:rPr>
          <w:rStyle w:val="TextoNormalCaracter"/>
        </w:rPr>
      </w:pPr>
      <w:bookmarkStart w:id="836" w:name="DESCRIPTORALFABETICO288"/>
      <w:r w:rsidRPr="00CF552A">
        <w:rPr>
          <w:rStyle w:val="TextoNormalNegritaCaracter"/>
        </w:rPr>
        <w:t>Deberes urbanísticos</w:t>
      </w:r>
      <w:bookmarkEnd w:id="836"/>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 17.</w:t>
      </w:r>
    </w:p>
    <w:p w:rsidR="00CF552A" w:rsidRPr="00CF552A" w:rsidRDefault="00CF552A" w:rsidP="00CF552A">
      <w:pPr>
        <w:pStyle w:val="TextoNormalSangraFrancesa"/>
        <w:rPr>
          <w:rStyle w:val="TextoNormalCaracter"/>
        </w:rPr>
      </w:pPr>
      <w:bookmarkStart w:id="837" w:name="DESCRIPTORALFABETICO479"/>
      <w:r w:rsidRPr="00CF552A">
        <w:rPr>
          <w:rStyle w:val="TextoNormalNegritaCaracter"/>
        </w:rPr>
        <w:t>Declaración de la víctima</w:t>
      </w:r>
      <w:bookmarkEnd w:id="837"/>
      <w:r w:rsidRPr="00CF552A">
        <w:rPr>
          <w:rStyle w:val="TextoNormalCaracter"/>
        </w:rPr>
        <w:t xml:space="preserve">, Sentencia </w:t>
      </w:r>
      <w:hyperlink w:anchor="SENTENCIA_1997_40" w:history="1">
        <w:r w:rsidRPr="00CF552A">
          <w:rPr>
            <w:rStyle w:val="TextoNormalCaracter"/>
          </w:rPr>
          <w:t>40/1997</w:t>
        </w:r>
      </w:hyperlink>
      <w:r w:rsidRPr="00CF552A">
        <w:rPr>
          <w:rStyle w:val="TextoNormalCaracter"/>
        </w:rPr>
        <w:t>, f. 5.</w:t>
      </w:r>
    </w:p>
    <w:p w:rsidR="00CF552A" w:rsidRPr="00CF552A" w:rsidRDefault="00CF552A" w:rsidP="00CF552A">
      <w:pPr>
        <w:pStyle w:val="TextoNormalSangraFrancesa"/>
        <w:rPr>
          <w:rStyle w:val="TextoNormalCaracter"/>
        </w:rPr>
      </w:pPr>
      <w:bookmarkStart w:id="838" w:name="DESCRIPTORALFABETICO309"/>
      <w:r w:rsidRPr="00CF552A">
        <w:rPr>
          <w:rStyle w:val="TextoNormalNegritaCaracter"/>
        </w:rPr>
        <w:t>Decretos legislativos</w:t>
      </w:r>
      <w:bookmarkEnd w:id="838"/>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 2.</w:t>
      </w:r>
    </w:p>
    <w:p w:rsidR="00CF552A" w:rsidRPr="00CF552A" w:rsidRDefault="00CF552A" w:rsidP="00CF552A">
      <w:pPr>
        <w:pStyle w:val="TextoNormalSangraFrancesa"/>
        <w:rPr>
          <w:rStyle w:val="TextoNormalCaracter"/>
        </w:rPr>
      </w:pPr>
      <w:bookmarkStart w:id="839" w:name="DESCRIPTORALFABETICO387"/>
      <w:r w:rsidRPr="00CF552A">
        <w:rPr>
          <w:rStyle w:val="TextoNormalNegritaCaracter"/>
        </w:rPr>
        <w:t>Defectos procesales</w:t>
      </w:r>
      <w:bookmarkEnd w:id="839"/>
      <w:r w:rsidRPr="00CF552A">
        <w:rPr>
          <w:rStyle w:val="TextoNormalCaracter"/>
        </w:rPr>
        <w:t xml:space="preserve">, Sentencia </w:t>
      </w:r>
      <w:hyperlink w:anchor="SENTENCIA_1997_84" w:history="1">
        <w:r w:rsidRPr="00CF552A">
          <w:rPr>
            <w:rStyle w:val="TextoNormalCaracter"/>
          </w:rPr>
          <w:t>84/1997</w:t>
        </w:r>
      </w:hyperlink>
      <w:r w:rsidRPr="00CF552A">
        <w:rPr>
          <w:rStyle w:val="TextoNormalCaracter"/>
        </w:rPr>
        <w:t>, f. 2.</w:t>
      </w:r>
    </w:p>
    <w:p w:rsidR="00CF552A" w:rsidRPr="00CF552A" w:rsidRDefault="00CF552A" w:rsidP="00CF552A">
      <w:pPr>
        <w:pStyle w:val="TextoNormalSangraFrancesa"/>
        <w:rPr>
          <w:rStyle w:val="TextoNormalCaracter"/>
        </w:rPr>
      </w:pPr>
      <w:bookmarkStart w:id="840" w:name="DESCRIPTORALFABETICO388"/>
      <w:r w:rsidRPr="00CF552A">
        <w:rPr>
          <w:rStyle w:val="TextoNormalNegritaCaracter"/>
        </w:rPr>
        <w:t>Defectos procesales no determinantes de la privación del derecho a la tutela</w:t>
      </w:r>
      <w:bookmarkEnd w:id="840"/>
      <w:r w:rsidRPr="00CF552A">
        <w:rPr>
          <w:rStyle w:val="TextoNormalCaracter"/>
        </w:rPr>
        <w:t xml:space="preserve">, Auto </w:t>
      </w:r>
      <w:hyperlink w:anchor="AUTO_1997_24" w:history="1">
        <w:r w:rsidRPr="00CF552A">
          <w:rPr>
            <w:rStyle w:val="TextoNormalCaracter"/>
          </w:rPr>
          <w:t>24/1997</w:t>
        </w:r>
      </w:hyperlink>
      <w:r w:rsidRPr="00CF552A">
        <w:rPr>
          <w:rStyle w:val="TextoNormalCaracter"/>
        </w:rPr>
        <w:t>.</w:t>
      </w:r>
    </w:p>
    <w:p w:rsidR="00CF552A" w:rsidRPr="00CF552A" w:rsidRDefault="00CF552A" w:rsidP="00CF552A">
      <w:pPr>
        <w:pStyle w:val="TextoNormalSangraFrancesa"/>
        <w:rPr>
          <w:rStyle w:val="TextoNormalCaracter"/>
        </w:rPr>
      </w:pPr>
      <w:bookmarkStart w:id="841" w:name="DESCRIPTORALFABETICO389"/>
      <w:r w:rsidRPr="00CF552A">
        <w:rPr>
          <w:rStyle w:val="TextoNormalNegritaCaracter"/>
        </w:rPr>
        <w:lastRenderedPageBreak/>
        <w:t>Defectos procesales sin relevancia constitucional</w:t>
      </w:r>
      <w:bookmarkEnd w:id="841"/>
      <w:r w:rsidRPr="00CF552A">
        <w:rPr>
          <w:rStyle w:val="TextoNormalCaracter"/>
        </w:rPr>
        <w:t xml:space="preserve">, Auto </w:t>
      </w:r>
      <w:hyperlink w:anchor="AUTO_1997_90" w:history="1">
        <w:r w:rsidRPr="00CF552A">
          <w:rPr>
            <w:rStyle w:val="TextoNormalCaracter"/>
          </w:rPr>
          <w:t>90/1997</w:t>
        </w:r>
      </w:hyperlink>
      <w:r w:rsidRPr="00CF552A">
        <w:rPr>
          <w:rStyle w:val="TextoNormalCaracter"/>
        </w:rPr>
        <w:t>.</w:t>
      </w:r>
    </w:p>
    <w:p w:rsidR="00CF552A" w:rsidRPr="00CF552A" w:rsidRDefault="00CF552A" w:rsidP="00CF552A">
      <w:pPr>
        <w:pStyle w:val="TextoNormalSangraFrancesa"/>
        <w:rPr>
          <w:rStyle w:val="TextoNormalNegritaCaracter"/>
        </w:rPr>
      </w:pPr>
      <w:r w:rsidRPr="00CF552A">
        <w:rPr>
          <w:rStyle w:val="TextoNormalCursivaCaracter"/>
        </w:rPr>
        <w:t>Defensa letrada</w:t>
      </w:r>
      <w:r>
        <w:t xml:space="preserve"> véase </w:t>
      </w:r>
      <w:hyperlink w:anchor="DESCRIPTORALFABETICO88" w:history="1">
        <w:r w:rsidRPr="00CF552A">
          <w:rPr>
            <w:rStyle w:val="TextoNormalNegritaCaracter"/>
          </w:rPr>
          <w:t>Asistencia letrada</w:t>
        </w:r>
      </w:hyperlink>
    </w:p>
    <w:p w:rsidR="00CF552A" w:rsidRPr="00CF552A" w:rsidRDefault="00CF552A" w:rsidP="00CF552A">
      <w:pPr>
        <w:pStyle w:val="TextoNormalSangraFrancesa"/>
        <w:rPr>
          <w:rStyle w:val="TextoNormalCaracter"/>
        </w:rPr>
      </w:pPr>
      <w:bookmarkStart w:id="842" w:name="DESCRIPTORALFABETICO206"/>
      <w:r w:rsidRPr="00CF552A">
        <w:rPr>
          <w:rStyle w:val="TextoNormalNegritaCaracter"/>
        </w:rPr>
        <w:t>Delegación legislativa</w:t>
      </w:r>
      <w:bookmarkEnd w:id="842"/>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 2.</w:t>
      </w:r>
    </w:p>
    <w:p w:rsidR="00CF552A" w:rsidRPr="00CF552A" w:rsidRDefault="00CF552A" w:rsidP="00CF552A">
      <w:pPr>
        <w:pStyle w:val="TextoNormalSangraFrancesa"/>
        <w:rPr>
          <w:rStyle w:val="TextoNormalCaracter"/>
        </w:rPr>
      </w:pPr>
      <w:bookmarkStart w:id="843" w:name="DESCRIPTORALFABETICO444"/>
      <w:r w:rsidRPr="00CF552A">
        <w:rPr>
          <w:rStyle w:val="TextoNormalNegritaCaracter"/>
        </w:rPr>
        <w:t>Demanda civil</w:t>
      </w:r>
      <w:bookmarkEnd w:id="843"/>
      <w:r w:rsidRPr="00CF552A">
        <w:rPr>
          <w:rStyle w:val="TextoNormalCaracter"/>
        </w:rPr>
        <w:t xml:space="preserve">, Sentencia </w:t>
      </w:r>
      <w:hyperlink w:anchor="SENTENCIA_1997_30" w:history="1">
        <w:r w:rsidRPr="00CF552A">
          <w:rPr>
            <w:rStyle w:val="TextoNormalCaracter"/>
          </w:rPr>
          <w:t>30/1997</w:t>
        </w:r>
      </w:hyperlink>
      <w:r w:rsidRPr="00CF552A">
        <w:rPr>
          <w:rStyle w:val="TextoNormalCaracter"/>
        </w:rPr>
        <w:t>, ff. 1, 2, 3, 4, 5, 6, 7.</w:t>
      </w:r>
    </w:p>
    <w:p w:rsidR="00CF552A" w:rsidRPr="00CF552A" w:rsidRDefault="00CF552A" w:rsidP="00CF552A">
      <w:pPr>
        <w:pStyle w:val="TextoNormalSangraFrancesa"/>
        <w:rPr>
          <w:rStyle w:val="TextoNormalCaracter"/>
        </w:rPr>
      </w:pPr>
      <w:bookmarkStart w:id="844" w:name="DESCRIPTORALFABETICO198"/>
      <w:r w:rsidRPr="00CF552A">
        <w:rPr>
          <w:rStyle w:val="TextoNormalNegritaCaracter"/>
        </w:rPr>
        <w:t>Demarcación judicial</w:t>
      </w:r>
      <w:bookmarkEnd w:id="844"/>
      <w:r w:rsidRPr="00CF552A">
        <w:rPr>
          <w:rStyle w:val="TextoNormalCaracter"/>
        </w:rPr>
        <w:t xml:space="preserve">, Auto </w:t>
      </w:r>
      <w:hyperlink w:anchor="AUTO_1997_104" w:history="1">
        <w:r w:rsidRPr="00CF552A">
          <w:rPr>
            <w:rStyle w:val="TextoNormalCaracter"/>
          </w:rPr>
          <w:t>104/1997</w:t>
        </w:r>
      </w:hyperlink>
      <w:r w:rsidRPr="00CF552A">
        <w:rPr>
          <w:rStyle w:val="TextoNormalCaracter"/>
        </w:rPr>
        <w:t>.</w:t>
      </w:r>
    </w:p>
    <w:p w:rsidR="00CF552A" w:rsidRPr="00CF552A" w:rsidRDefault="00CF552A" w:rsidP="00CF552A">
      <w:pPr>
        <w:pStyle w:val="TextoNormalSangraFrancesa"/>
        <w:rPr>
          <w:rStyle w:val="TextoNormalNegritaCaracter"/>
        </w:rPr>
      </w:pPr>
      <w:r w:rsidRPr="00CF552A">
        <w:rPr>
          <w:rStyle w:val="TextoNormalCursivaCaracter"/>
        </w:rPr>
        <w:t>Demora procesal</w:t>
      </w:r>
      <w:r>
        <w:t xml:space="preserve"> véase </w:t>
      </w:r>
      <w:hyperlink w:anchor="DESCRIPTORALFABETICO393" w:history="1">
        <w:r w:rsidRPr="00CF552A">
          <w:rPr>
            <w:rStyle w:val="TextoNormalNegritaCaracter"/>
          </w:rPr>
          <w:t>Dilaciones indebidas en el procedimiento</w:t>
        </w:r>
      </w:hyperlink>
    </w:p>
    <w:p w:rsidR="00CF552A" w:rsidRPr="00CF552A" w:rsidRDefault="00CF552A" w:rsidP="00CF552A">
      <w:pPr>
        <w:pStyle w:val="TextoNormalSangraFrancesa"/>
        <w:rPr>
          <w:rStyle w:val="TextoNormalNegritaCaracter"/>
        </w:rPr>
      </w:pPr>
      <w:r w:rsidRPr="00CF552A">
        <w:rPr>
          <w:rStyle w:val="TextoNormalCursivaCaracter"/>
        </w:rPr>
        <w:t>Denegación de permiso de salida a los reclusos</w:t>
      </w:r>
      <w:r>
        <w:t xml:space="preserve"> véase </w:t>
      </w:r>
      <w:hyperlink w:anchor="DESCRIPTORALFABETICO337" w:history="1">
        <w:r w:rsidRPr="00CF552A">
          <w:rPr>
            <w:rStyle w:val="TextoNormalNegritaCaracter"/>
          </w:rPr>
          <w:t>Denegación de permiso de salida penitenciario</w:t>
        </w:r>
      </w:hyperlink>
    </w:p>
    <w:p w:rsidR="00CF552A" w:rsidRPr="00CF552A" w:rsidRDefault="00CF552A" w:rsidP="00CF552A">
      <w:pPr>
        <w:pStyle w:val="TextoNormalSangraFrancesa"/>
        <w:rPr>
          <w:rStyle w:val="TextoNormalCaracter"/>
        </w:rPr>
      </w:pPr>
      <w:bookmarkStart w:id="845" w:name="DESCRIPTORALFABETICO337"/>
      <w:r w:rsidRPr="00CF552A">
        <w:rPr>
          <w:rStyle w:val="TextoNormalNegritaCaracter"/>
        </w:rPr>
        <w:t>Denegación de permiso de salida penitenciario</w:t>
      </w:r>
      <w:bookmarkEnd w:id="845"/>
      <w:r w:rsidRPr="00CF552A">
        <w:rPr>
          <w:rStyle w:val="TextoNormalCaracter"/>
        </w:rPr>
        <w:t xml:space="preserve">, Sentencia </w:t>
      </w:r>
      <w:hyperlink w:anchor="SENTENCIA_1997_81" w:history="1">
        <w:r w:rsidRPr="00CF552A">
          <w:rPr>
            <w:rStyle w:val="TextoNormalCaracter"/>
          </w:rPr>
          <w:t>81/1997</w:t>
        </w:r>
      </w:hyperlink>
      <w:r w:rsidRPr="00CF552A">
        <w:rPr>
          <w:rStyle w:val="TextoNormalCaracter"/>
        </w:rPr>
        <w:t>, ff. 4, 5.</w:t>
      </w:r>
    </w:p>
    <w:p w:rsidR="00CF552A" w:rsidRPr="00CF552A" w:rsidRDefault="00CF552A" w:rsidP="00CF552A">
      <w:pPr>
        <w:pStyle w:val="TextoNormalSangraFrancesa"/>
        <w:rPr>
          <w:rStyle w:val="TextoNormalCaracter"/>
        </w:rPr>
      </w:pPr>
      <w:bookmarkStart w:id="846" w:name="DESCRIPTORALFABETICO338"/>
      <w:r w:rsidRPr="00CF552A">
        <w:rPr>
          <w:rStyle w:val="TextoNormalNegritaCaracter"/>
        </w:rPr>
        <w:t>Denegación de permiso suficientemente motivada</w:t>
      </w:r>
      <w:bookmarkEnd w:id="846"/>
      <w:r w:rsidRPr="00CF552A">
        <w:rPr>
          <w:rStyle w:val="TextoNormalCaracter"/>
        </w:rPr>
        <w:t xml:space="preserve">, Sentencias </w:t>
      </w:r>
      <w:hyperlink w:anchor="SENTENCIA_1997_2" w:history="1">
        <w:r w:rsidRPr="00CF552A">
          <w:rPr>
            <w:rStyle w:val="TextoNormalCaracter"/>
          </w:rPr>
          <w:t>2/1997</w:t>
        </w:r>
      </w:hyperlink>
      <w:r w:rsidRPr="00CF552A">
        <w:rPr>
          <w:rStyle w:val="TextoNormalCaracter"/>
        </w:rPr>
        <w:t xml:space="preserve">, f. 4; </w:t>
      </w:r>
      <w:hyperlink w:anchor="SENTENCIA_1997_81" w:history="1">
        <w:r w:rsidRPr="00CF552A">
          <w:rPr>
            <w:rStyle w:val="TextoNormalCaracter"/>
          </w:rPr>
          <w:t>81/1997</w:t>
        </w:r>
      </w:hyperlink>
      <w:r w:rsidRPr="00CF552A">
        <w:rPr>
          <w:rStyle w:val="TextoNormalCaracter"/>
        </w:rPr>
        <w:t>, ff. 4, 5.</w:t>
      </w:r>
    </w:p>
    <w:p w:rsidR="00CF552A" w:rsidRPr="00CF552A" w:rsidRDefault="00CF552A" w:rsidP="00CF552A">
      <w:pPr>
        <w:pStyle w:val="TextoNormalSangraFrancesa"/>
        <w:rPr>
          <w:rStyle w:val="TextoNormalCaracter"/>
        </w:rPr>
      </w:pPr>
      <w:bookmarkStart w:id="847" w:name="DESCRIPTORALFABETICO404"/>
      <w:r w:rsidRPr="00CF552A">
        <w:rPr>
          <w:rStyle w:val="TextoNormalNegritaCaracter"/>
        </w:rPr>
        <w:t>Denegación de prueba</w:t>
      </w:r>
      <w:bookmarkEnd w:id="847"/>
      <w:r w:rsidRPr="00CF552A">
        <w:rPr>
          <w:rStyle w:val="TextoNormalCaracter"/>
        </w:rPr>
        <w:t xml:space="preserve">, Sentencias </w:t>
      </w:r>
      <w:hyperlink w:anchor="SENTENCIA_1997_25" w:history="1">
        <w:r w:rsidRPr="00CF552A">
          <w:rPr>
            <w:rStyle w:val="TextoNormalCaracter"/>
          </w:rPr>
          <w:t>25/1997</w:t>
        </w:r>
      </w:hyperlink>
      <w:r w:rsidRPr="00CF552A">
        <w:rPr>
          <w:rStyle w:val="TextoNormalCaracter"/>
        </w:rPr>
        <w:t xml:space="preserve">, f. 5; </w:t>
      </w:r>
      <w:hyperlink w:anchor="SENTENCIA_1997_35" w:history="1">
        <w:r w:rsidRPr="00CF552A">
          <w:rPr>
            <w:rStyle w:val="TextoNormalCaracter"/>
          </w:rPr>
          <w:t>35/1997</w:t>
        </w:r>
      </w:hyperlink>
      <w:r w:rsidRPr="00CF552A">
        <w:rPr>
          <w:rStyle w:val="TextoNormalCaracter"/>
        </w:rPr>
        <w:t xml:space="preserve">, f. 5; </w:t>
      </w:r>
      <w:hyperlink w:anchor="SENTENCIA_1997_39" w:history="1">
        <w:r w:rsidRPr="00CF552A">
          <w:rPr>
            <w:rStyle w:val="TextoNormalCaracter"/>
          </w:rPr>
          <w:t>39/1997</w:t>
        </w:r>
      </w:hyperlink>
      <w:r w:rsidRPr="00CF552A">
        <w:rPr>
          <w:rStyle w:val="TextoNormalCaracter"/>
        </w:rPr>
        <w:t>, f. 6.</w:t>
      </w:r>
    </w:p>
    <w:p w:rsidR="00CF552A" w:rsidRPr="00CF552A" w:rsidRDefault="00CF552A" w:rsidP="00CF552A">
      <w:pPr>
        <w:pStyle w:val="TextoNormalSangraFrancesa"/>
        <w:rPr>
          <w:rStyle w:val="TextoNormalCaracter"/>
        </w:rPr>
      </w:pPr>
      <w:bookmarkStart w:id="848" w:name="DESCRIPTORALFABETICO409"/>
      <w:r w:rsidRPr="00CF552A">
        <w:rPr>
          <w:rStyle w:val="TextoNormalNegritaCaracter"/>
        </w:rPr>
        <w:t>Denegación de recibimiento a prueba</w:t>
      </w:r>
      <w:bookmarkEnd w:id="848"/>
      <w:r w:rsidRPr="00CF552A">
        <w:rPr>
          <w:rStyle w:val="TextoNormalCaracter"/>
        </w:rPr>
        <w:t xml:space="preserve">, Sentencia </w:t>
      </w:r>
      <w:hyperlink w:anchor="SENTENCIA_1997_14" w:history="1">
        <w:r w:rsidRPr="00CF552A">
          <w:rPr>
            <w:rStyle w:val="TextoNormalCaracter"/>
          </w:rPr>
          <w:t>14/1997</w:t>
        </w:r>
      </w:hyperlink>
      <w:r w:rsidRPr="00CF552A">
        <w:rPr>
          <w:rStyle w:val="TextoNormalCaracter"/>
        </w:rPr>
        <w:t>, f. 4.</w:t>
      </w:r>
    </w:p>
    <w:p w:rsidR="00CF552A" w:rsidRPr="00CF552A" w:rsidRDefault="00CF552A" w:rsidP="00CF552A">
      <w:pPr>
        <w:pStyle w:val="TextoNormalSangraFrancesa"/>
        <w:rPr>
          <w:rStyle w:val="TextoNormalCaracter"/>
        </w:rPr>
      </w:pPr>
      <w:bookmarkStart w:id="849" w:name="DESCRIPTORALFABETICO49"/>
      <w:r w:rsidRPr="00CF552A">
        <w:rPr>
          <w:rStyle w:val="TextoNormalNegritaCaracter"/>
        </w:rPr>
        <w:t xml:space="preserve">Denegación motivada de </w:t>
      </w:r>
      <w:r w:rsidRPr="00CF552A">
        <w:rPr>
          <w:rStyle w:val="TextoNormalNegritaCaracter"/>
          <w:i/>
        </w:rPr>
        <w:t>habeas corpus</w:t>
      </w:r>
      <w:bookmarkEnd w:id="849"/>
      <w:r w:rsidRPr="00CF552A">
        <w:rPr>
          <w:rStyle w:val="TextoNormalCaracter"/>
        </w:rPr>
        <w:t xml:space="preserve">, Auto </w:t>
      </w:r>
      <w:hyperlink w:anchor="AUTO_1997_115" w:history="1">
        <w:r w:rsidRPr="00CF552A">
          <w:rPr>
            <w:rStyle w:val="TextoNormalCaracter"/>
          </w:rPr>
          <w:t>115/1997</w:t>
        </w:r>
      </w:hyperlink>
      <w:r w:rsidRPr="00CF552A">
        <w:rPr>
          <w:rStyle w:val="TextoNormalCaracter"/>
        </w:rPr>
        <w:t>.</w:t>
      </w:r>
    </w:p>
    <w:p w:rsidR="00CF552A" w:rsidRPr="00CF552A" w:rsidRDefault="00CF552A" w:rsidP="00CF552A">
      <w:pPr>
        <w:pStyle w:val="TextoNormalSangraFrancesa"/>
        <w:rPr>
          <w:rStyle w:val="TextoNormalCaracter"/>
        </w:rPr>
      </w:pPr>
      <w:bookmarkStart w:id="850" w:name="DESCRIPTORALFABETICO34"/>
      <w:r w:rsidRPr="00CF552A">
        <w:rPr>
          <w:rStyle w:val="TextoNormalNegritaCaracter"/>
        </w:rPr>
        <w:t>Derecho a acceder a los cargos públicos</w:t>
      </w:r>
      <w:bookmarkEnd w:id="850"/>
      <w:r w:rsidRPr="00CF552A">
        <w:rPr>
          <w:rStyle w:val="TextoNormalCaracter"/>
        </w:rPr>
        <w:t xml:space="preserve">, Sentencia </w:t>
      </w:r>
      <w:hyperlink w:anchor="SENTENCIA_1997_48" w:history="1">
        <w:r w:rsidRPr="00CF552A">
          <w:rPr>
            <w:rStyle w:val="TextoNormalCaracter"/>
          </w:rPr>
          <w:t>48/1997</w:t>
        </w:r>
      </w:hyperlink>
      <w:r w:rsidRPr="00CF552A">
        <w:rPr>
          <w:rStyle w:val="TextoNormalCaracter"/>
        </w:rPr>
        <w:t>, f. 7.</w:t>
      </w:r>
    </w:p>
    <w:p w:rsidR="00CF552A" w:rsidRPr="00CF552A" w:rsidRDefault="00CF552A" w:rsidP="00CF552A">
      <w:pPr>
        <w:pStyle w:val="TextoNormalSangraFrancesa"/>
        <w:rPr>
          <w:rStyle w:val="TextoNormalCaracter"/>
        </w:rPr>
      </w:pPr>
      <w:bookmarkStart w:id="851" w:name="DESCRIPTORALFABETICO111"/>
      <w:r w:rsidRPr="00CF552A">
        <w:rPr>
          <w:rStyle w:val="TextoNormalNegritaCaracter"/>
        </w:rPr>
        <w:t>Derecho a comunicar libremente información</w:t>
      </w:r>
      <w:bookmarkEnd w:id="851"/>
      <w:r w:rsidRPr="00CF552A">
        <w:rPr>
          <w:rStyle w:val="TextoNormalCaracter"/>
        </w:rPr>
        <w:t xml:space="preserve">, Sentencias </w:t>
      </w:r>
      <w:hyperlink w:anchor="SENTENCIA_1997_3" w:history="1">
        <w:r w:rsidRPr="00CF552A">
          <w:rPr>
            <w:rStyle w:val="TextoNormalCaracter"/>
          </w:rPr>
          <w:t>3/1997</w:t>
        </w:r>
      </w:hyperlink>
      <w:r w:rsidRPr="00CF552A">
        <w:rPr>
          <w:rStyle w:val="TextoNormalCaracter"/>
        </w:rPr>
        <w:t xml:space="preserve">, ff. 2, 3, 7, 8; </w:t>
      </w:r>
      <w:hyperlink w:anchor="SENTENCIA_1997_51" w:history="1">
        <w:r w:rsidRPr="00CF552A">
          <w:rPr>
            <w:rStyle w:val="TextoNormalCaracter"/>
          </w:rPr>
          <w:t>51/1997</w:t>
        </w:r>
      </w:hyperlink>
      <w:r w:rsidRPr="00CF552A">
        <w:rPr>
          <w:rStyle w:val="TextoNormalCaracter"/>
        </w:rPr>
        <w:t>, ff. 5, 6.</w:t>
      </w:r>
    </w:p>
    <w:p w:rsidR="00CF552A" w:rsidRPr="00CF552A" w:rsidRDefault="00CF552A" w:rsidP="00CF552A">
      <w:pPr>
        <w:pStyle w:val="TextoNormalSangraFrancesa"/>
        <w:rPr>
          <w:rStyle w:val="TextoNormalCaracter"/>
        </w:rPr>
      </w:pPr>
      <w:r w:rsidRPr="00CF552A">
        <w:rPr>
          <w:rStyle w:val="TextoNormalCursivaCaracter"/>
        </w:rPr>
        <w:t xml:space="preserve">    Doctrina constitucional, </w:t>
      </w:r>
      <w:r w:rsidRPr="00CF552A">
        <w:rPr>
          <w:rStyle w:val="TextoNormalCaracter"/>
        </w:rPr>
        <w:t xml:space="preserve">Sentencia </w:t>
      </w:r>
      <w:hyperlink w:anchor="SENTENCIA_1997_51" w:history="1">
        <w:r w:rsidRPr="00CF552A">
          <w:rPr>
            <w:rStyle w:val="TextoNormalCaracter"/>
          </w:rPr>
          <w:t>51/1997</w:t>
        </w:r>
      </w:hyperlink>
      <w:r w:rsidRPr="00CF552A">
        <w:rPr>
          <w:rStyle w:val="TextoNormalCaracter"/>
        </w:rPr>
        <w:t>, f. 5.</w:t>
      </w:r>
    </w:p>
    <w:p w:rsidR="00CF552A" w:rsidRPr="00CF552A" w:rsidRDefault="00CF552A" w:rsidP="00CF552A">
      <w:pPr>
        <w:pStyle w:val="TextoNormalSangraFrancesa"/>
        <w:rPr>
          <w:rStyle w:val="TextoNormalCaracter"/>
        </w:rPr>
      </w:pPr>
      <w:bookmarkStart w:id="852" w:name="DESCRIPTORALFABETICO86"/>
      <w:r w:rsidRPr="00CF552A">
        <w:rPr>
          <w:rStyle w:val="TextoNormalNegritaCaracter"/>
        </w:rPr>
        <w:t>Derecho a defenderse por sí mismo</w:t>
      </w:r>
      <w:bookmarkEnd w:id="852"/>
      <w:r w:rsidRPr="00CF552A">
        <w:rPr>
          <w:rStyle w:val="TextoNormalCaracter"/>
        </w:rPr>
        <w:t xml:space="preserve">, Sentencia </w:t>
      </w:r>
      <w:hyperlink w:anchor="SENTENCIA_1997_11" w:history="1">
        <w:r w:rsidRPr="00CF552A">
          <w:rPr>
            <w:rStyle w:val="TextoNormalCaracter"/>
          </w:rPr>
          <w:t>11/1997</w:t>
        </w:r>
      </w:hyperlink>
      <w:r w:rsidRPr="00CF552A">
        <w:rPr>
          <w:rStyle w:val="TextoNormalCaracter"/>
        </w:rPr>
        <w:t>, f. único.</w:t>
      </w:r>
    </w:p>
    <w:p w:rsidR="00CF552A" w:rsidRPr="00CF552A" w:rsidRDefault="00CF552A" w:rsidP="00CF552A">
      <w:pPr>
        <w:pStyle w:val="TextoNormalSangraFrancesa"/>
        <w:rPr>
          <w:rStyle w:val="TextoNormalCaracter"/>
        </w:rPr>
      </w:pPr>
      <w:r w:rsidRPr="00CF552A">
        <w:rPr>
          <w:rStyle w:val="TextoNormalCursivaCaracter"/>
        </w:rPr>
        <w:t xml:space="preserve">    Respetado, </w:t>
      </w:r>
      <w:r w:rsidRPr="00CF552A">
        <w:rPr>
          <w:rStyle w:val="TextoNormalCaracter"/>
        </w:rPr>
        <w:t xml:space="preserve">Sentencia </w:t>
      </w:r>
      <w:hyperlink w:anchor="SENTENCIA_1997_11" w:history="1">
        <w:r w:rsidRPr="00CF552A">
          <w:rPr>
            <w:rStyle w:val="TextoNormalCaracter"/>
          </w:rPr>
          <w:t>11/1997</w:t>
        </w:r>
      </w:hyperlink>
      <w:r w:rsidRPr="00CF552A">
        <w:rPr>
          <w:rStyle w:val="TextoNormalCaracter"/>
        </w:rPr>
        <w:t>, f. único.</w:t>
      </w:r>
    </w:p>
    <w:p w:rsidR="00CF552A" w:rsidRPr="00CF552A" w:rsidRDefault="00CF552A" w:rsidP="00CF552A">
      <w:pPr>
        <w:pStyle w:val="TextoNormalSangraFrancesa"/>
        <w:rPr>
          <w:rStyle w:val="TextoNormalCaracter"/>
        </w:rPr>
      </w:pPr>
      <w:bookmarkStart w:id="853" w:name="DESCRIPTORALFABETICO252"/>
      <w:r w:rsidRPr="00CF552A">
        <w:rPr>
          <w:rStyle w:val="TextoNormalNegritaCaracter"/>
        </w:rPr>
        <w:t>Derecho a edificar</w:t>
      </w:r>
      <w:bookmarkEnd w:id="853"/>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 17.</w:t>
      </w:r>
    </w:p>
    <w:p w:rsidR="00CF552A" w:rsidRPr="00CF552A" w:rsidRDefault="00CF552A" w:rsidP="00CF552A">
      <w:pPr>
        <w:pStyle w:val="TextoNormalSangraFrancesa"/>
        <w:rPr>
          <w:rStyle w:val="TextoNormalCaracter"/>
        </w:rPr>
      </w:pPr>
      <w:bookmarkStart w:id="854" w:name="DESCRIPTORALFABETICO57"/>
      <w:r w:rsidRPr="00CF552A">
        <w:rPr>
          <w:rStyle w:val="TextoNormalNegritaCaracter"/>
        </w:rPr>
        <w:t>Derecho a escoger la vía judicial</w:t>
      </w:r>
      <w:bookmarkEnd w:id="854"/>
      <w:r w:rsidRPr="00CF552A">
        <w:rPr>
          <w:rStyle w:val="TextoNormalCaracter"/>
        </w:rPr>
        <w:t xml:space="preserve">, Sentencia </w:t>
      </w:r>
      <w:hyperlink w:anchor="SENTENCIA_1997_41" w:history="1">
        <w:r w:rsidRPr="00CF552A">
          <w:rPr>
            <w:rStyle w:val="TextoNormalCaracter"/>
          </w:rPr>
          <w:t>41/1997</w:t>
        </w:r>
      </w:hyperlink>
      <w:r w:rsidRPr="00CF552A">
        <w:rPr>
          <w:rStyle w:val="TextoNormalCaracter"/>
        </w:rPr>
        <w:t>, f. 2.</w:t>
      </w:r>
    </w:p>
    <w:p w:rsidR="00CF552A" w:rsidRPr="00CF552A" w:rsidRDefault="00CF552A" w:rsidP="00CF552A">
      <w:pPr>
        <w:pStyle w:val="TextoNormalSangraFrancesa"/>
        <w:rPr>
          <w:rStyle w:val="TextoNormalCaracter"/>
        </w:rPr>
      </w:pPr>
      <w:bookmarkStart w:id="855" w:name="DESCRIPTORALFABETICO87"/>
      <w:r w:rsidRPr="00CF552A">
        <w:rPr>
          <w:rStyle w:val="TextoNormalNegritaCaracter"/>
        </w:rPr>
        <w:t>Derecho a la asistencia letrada</w:t>
      </w:r>
      <w:bookmarkEnd w:id="855"/>
      <w:r w:rsidRPr="00CF552A">
        <w:rPr>
          <w:rStyle w:val="TextoNormalCaracter"/>
        </w:rPr>
        <w:t xml:space="preserve">, Sentencias </w:t>
      </w:r>
      <w:hyperlink w:anchor="SENTENCIA_1997_35" w:history="1">
        <w:r w:rsidRPr="00CF552A">
          <w:rPr>
            <w:rStyle w:val="TextoNormalCaracter"/>
          </w:rPr>
          <w:t>35/1997</w:t>
        </w:r>
      </w:hyperlink>
      <w:r w:rsidRPr="00CF552A">
        <w:rPr>
          <w:rStyle w:val="TextoNormalCaracter"/>
        </w:rPr>
        <w:t xml:space="preserve">, f. 4; </w:t>
      </w:r>
      <w:hyperlink w:anchor="SENTENCIA_1997_39" w:history="1">
        <w:r w:rsidRPr="00CF552A">
          <w:rPr>
            <w:rStyle w:val="TextoNormalCaracter"/>
          </w:rPr>
          <w:t>39/1997</w:t>
        </w:r>
      </w:hyperlink>
      <w:r w:rsidRPr="00CF552A">
        <w:rPr>
          <w:rStyle w:val="TextoNormalCaracter"/>
        </w:rPr>
        <w:t>, f. 3.</w:t>
      </w:r>
    </w:p>
    <w:p w:rsidR="00CF552A" w:rsidRPr="00CF552A" w:rsidRDefault="00CF552A" w:rsidP="00CF552A">
      <w:pPr>
        <w:pStyle w:val="TextoNormalSangraFrancesa"/>
        <w:rPr>
          <w:rStyle w:val="TextoNormalCaracter"/>
        </w:rPr>
      </w:pPr>
      <w:bookmarkStart w:id="856" w:name="DESCRIPTORALFABETICO38"/>
      <w:r w:rsidRPr="00CF552A">
        <w:rPr>
          <w:rStyle w:val="TextoNormalNegritaCaracter"/>
        </w:rPr>
        <w:t>Derecho a la autonomía universitaria</w:t>
      </w:r>
      <w:bookmarkEnd w:id="856"/>
      <w:r w:rsidRPr="00CF552A">
        <w:rPr>
          <w:rStyle w:val="TextoNormalCaracter"/>
        </w:rPr>
        <w:t xml:space="preserve">, Sentencia </w:t>
      </w:r>
      <w:hyperlink w:anchor="SENTENCIA_1997_75" w:history="1">
        <w:r w:rsidRPr="00CF552A">
          <w:rPr>
            <w:rStyle w:val="TextoNormalCaracter"/>
          </w:rPr>
          <w:t>75/1997</w:t>
        </w:r>
      </w:hyperlink>
      <w:r w:rsidRPr="00CF552A">
        <w:rPr>
          <w:rStyle w:val="TextoNormalCaracter"/>
        </w:rPr>
        <w:t>, ff. 2, 3, 4, VP.</w:t>
      </w:r>
    </w:p>
    <w:p w:rsidR="00CF552A" w:rsidRPr="00CF552A" w:rsidRDefault="00CF552A" w:rsidP="00CF552A">
      <w:pPr>
        <w:pStyle w:val="TextoNormalSangraFrancesa"/>
        <w:rPr>
          <w:rStyle w:val="TextoNormalCaracter"/>
        </w:rPr>
      </w:pPr>
      <w:bookmarkStart w:id="857" w:name="DESCRIPTORALFABETICO85"/>
      <w:r w:rsidRPr="00CF552A">
        <w:rPr>
          <w:rStyle w:val="TextoNormalNegritaCaracter"/>
        </w:rPr>
        <w:t>Derecho a la defensa</w:t>
      </w:r>
      <w:bookmarkEnd w:id="857"/>
      <w:r w:rsidRPr="00CF552A">
        <w:rPr>
          <w:rStyle w:val="TextoNormalCaracter"/>
        </w:rPr>
        <w:t xml:space="preserve">, Sentencia </w:t>
      </w:r>
      <w:hyperlink w:anchor="SENTENCIA_1997_45" w:history="1">
        <w:r w:rsidRPr="00CF552A">
          <w:rPr>
            <w:rStyle w:val="TextoNormalCaracter"/>
          </w:rPr>
          <w:t>45/1997</w:t>
        </w:r>
      </w:hyperlink>
      <w:r w:rsidRPr="00CF552A">
        <w:rPr>
          <w:rStyle w:val="TextoNormalCaracter"/>
        </w:rPr>
        <w:t>, f. 7.</w:t>
      </w:r>
    </w:p>
    <w:p w:rsidR="00CF552A" w:rsidRPr="00CF552A" w:rsidRDefault="00CF552A" w:rsidP="00CF552A">
      <w:pPr>
        <w:pStyle w:val="TextoNormalSangraFrancesa"/>
        <w:rPr>
          <w:rStyle w:val="TextoNormalCaracter"/>
        </w:rPr>
      </w:pPr>
      <w:r w:rsidRPr="00CF552A">
        <w:rPr>
          <w:rStyle w:val="TextoNormalCursivaCaracter"/>
        </w:rPr>
        <w:t xml:space="preserve">    Respetado, </w:t>
      </w:r>
      <w:r w:rsidRPr="00CF552A">
        <w:rPr>
          <w:rStyle w:val="TextoNormalCaracter"/>
        </w:rPr>
        <w:t xml:space="preserve">Sentencia </w:t>
      </w:r>
      <w:hyperlink w:anchor="SENTENCIA_1997_11" w:history="1">
        <w:r w:rsidRPr="00CF552A">
          <w:rPr>
            <w:rStyle w:val="TextoNormalCaracter"/>
          </w:rPr>
          <w:t>11/1997</w:t>
        </w:r>
      </w:hyperlink>
      <w:r w:rsidRPr="00CF552A">
        <w:rPr>
          <w:rStyle w:val="TextoNormalCaracter"/>
        </w:rPr>
        <w:t>, f. único.</w:t>
      </w:r>
    </w:p>
    <w:p w:rsidR="00CF552A" w:rsidRPr="00CF552A" w:rsidRDefault="00CF552A" w:rsidP="00CF552A">
      <w:pPr>
        <w:pStyle w:val="TextoNormalSangraFrancesa"/>
        <w:rPr>
          <w:rStyle w:val="TextoNormalNegritaCaracter"/>
        </w:rPr>
      </w:pPr>
      <w:r w:rsidRPr="00CF552A">
        <w:rPr>
          <w:rStyle w:val="TextoNormalCursivaCaracter"/>
        </w:rPr>
        <w:t>Derecho a la defensa contradictoria entre las partes</w:t>
      </w:r>
      <w:r>
        <w:t xml:space="preserve"> véase </w:t>
      </w:r>
      <w:hyperlink w:anchor="DESCRIPTORALFABETICO423" w:history="1">
        <w:r w:rsidRPr="00CF552A">
          <w:rPr>
            <w:rStyle w:val="TextoNormalNegritaCaracter"/>
          </w:rPr>
          <w:t>Principio de contradicción</w:t>
        </w:r>
      </w:hyperlink>
    </w:p>
    <w:p w:rsidR="00CF552A" w:rsidRPr="00CF552A" w:rsidRDefault="00CF552A" w:rsidP="00CF552A">
      <w:pPr>
        <w:pStyle w:val="TextoNormalSangraFrancesa"/>
        <w:rPr>
          <w:rStyle w:val="TextoNormalCaracter"/>
        </w:rPr>
      </w:pPr>
      <w:bookmarkStart w:id="858" w:name="DESCRIPTORALFABETICO62"/>
      <w:r w:rsidRPr="00CF552A">
        <w:rPr>
          <w:rStyle w:val="TextoNormalNegritaCaracter"/>
        </w:rPr>
        <w:t>Derecho a la ejecución de sentencias</w:t>
      </w:r>
      <w:bookmarkEnd w:id="858"/>
      <w:r w:rsidRPr="00CF552A">
        <w:rPr>
          <w:rStyle w:val="TextoNormalCaracter"/>
        </w:rPr>
        <w:t xml:space="preserve">, Sentencias </w:t>
      </w:r>
      <w:hyperlink w:anchor="SENTENCIA_1997_1" w:history="1">
        <w:r w:rsidRPr="00CF552A">
          <w:rPr>
            <w:rStyle w:val="TextoNormalCaracter"/>
          </w:rPr>
          <w:t>1/1997</w:t>
        </w:r>
      </w:hyperlink>
      <w:r w:rsidRPr="00CF552A">
        <w:rPr>
          <w:rStyle w:val="TextoNormalCaracter"/>
        </w:rPr>
        <w:t xml:space="preserve">, ff. 3, 4; </w:t>
      </w:r>
      <w:hyperlink w:anchor="SENTENCIA_1997_6" w:history="1">
        <w:r w:rsidRPr="00CF552A">
          <w:rPr>
            <w:rStyle w:val="TextoNormalCaracter"/>
          </w:rPr>
          <w:t>6/1997</w:t>
        </w:r>
      </w:hyperlink>
      <w:r w:rsidRPr="00CF552A">
        <w:rPr>
          <w:rStyle w:val="TextoNormalCaracter"/>
        </w:rPr>
        <w:t>, ff. 1, 2, 3, 4, 5, 6, 7.</w:t>
      </w:r>
    </w:p>
    <w:p w:rsidR="00CF552A" w:rsidRPr="00CF552A" w:rsidRDefault="00CF552A" w:rsidP="00CF552A">
      <w:pPr>
        <w:pStyle w:val="TextoNormalSangraFrancesa"/>
        <w:rPr>
          <w:rStyle w:val="TextoNormalCaracter"/>
        </w:rPr>
      </w:pPr>
      <w:r w:rsidRPr="00CF552A">
        <w:rPr>
          <w:rStyle w:val="TextoNormalCursivaCaracter"/>
        </w:rPr>
        <w:t xml:space="preserve">    Vulnerado, </w:t>
      </w:r>
      <w:r w:rsidRPr="00CF552A">
        <w:rPr>
          <w:rStyle w:val="TextoNormalCaracter"/>
        </w:rPr>
        <w:t xml:space="preserve">Sentencia </w:t>
      </w:r>
      <w:hyperlink w:anchor="SENTENCIA_1997_18" w:history="1">
        <w:r w:rsidRPr="00CF552A">
          <w:rPr>
            <w:rStyle w:val="TextoNormalCaracter"/>
          </w:rPr>
          <w:t>18/1997</w:t>
        </w:r>
      </w:hyperlink>
      <w:r w:rsidRPr="00CF552A">
        <w:rPr>
          <w:rStyle w:val="TextoNormalCaracter"/>
        </w:rPr>
        <w:t>, ff. 1, 2, 3, 4, 5, 6, 7, 8, 9.</w:t>
      </w:r>
    </w:p>
    <w:p w:rsidR="00CF552A" w:rsidRPr="00CF552A" w:rsidRDefault="00CF552A" w:rsidP="00CF552A">
      <w:pPr>
        <w:pStyle w:val="TextoNormalSangraFrancesa"/>
        <w:rPr>
          <w:rStyle w:val="TextoNormalCaracter"/>
        </w:rPr>
      </w:pPr>
      <w:bookmarkStart w:id="859" w:name="DESCRIPTORALFABETICO47"/>
      <w:r w:rsidRPr="00CF552A">
        <w:rPr>
          <w:rStyle w:val="TextoNormalNegritaCaracter"/>
        </w:rPr>
        <w:t>Derecho a la libertad personal</w:t>
      </w:r>
      <w:bookmarkEnd w:id="859"/>
      <w:r w:rsidRPr="00CF552A">
        <w:rPr>
          <w:rStyle w:val="TextoNormalCaracter"/>
        </w:rPr>
        <w:t xml:space="preserve">, Sentencias </w:t>
      </w:r>
      <w:hyperlink w:anchor="SENTENCIA_1997_2" w:history="1">
        <w:r w:rsidRPr="00CF552A">
          <w:rPr>
            <w:rStyle w:val="TextoNormalCaracter"/>
          </w:rPr>
          <w:t>2/1997</w:t>
        </w:r>
      </w:hyperlink>
      <w:r w:rsidRPr="00CF552A">
        <w:rPr>
          <w:rStyle w:val="TextoNormalCaracter"/>
        </w:rPr>
        <w:t xml:space="preserve">, f. 3; </w:t>
      </w:r>
      <w:hyperlink w:anchor="SENTENCIA_1997_44" w:history="1">
        <w:r w:rsidRPr="00CF552A">
          <w:rPr>
            <w:rStyle w:val="TextoNormalCaracter"/>
          </w:rPr>
          <w:t>44/1997</w:t>
        </w:r>
      </w:hyperlink>
      <w:r w:rsidRPr="00CF552A">
        <w:rPr>
          <w:rStyle w:val="TextoNormalCaracter"/>
        </w:rPr>
        <w:t xml:space="preserve">, ff. 1, 2, 3, 4, 5, 6, 7; </w:t>
      </w:r>
      <w:hyperlink w:anchor="SENTENCIA_1997_56" w:history="1">
        <w:r w:rsidRPr="00CF552A">
          <w:rPr>
            <w:rStyle w:val="TextoNormalCaracter"/>
          </w:rPr>
          <w:t>56/1997</w:t>
        </w:r>
      </w:hyperlink>
      <w:r w:rsidRPr="00CF552A">
        <w:rPr>
          <w:rStyle w:val="TextoNormalCaracter"/>
        </w:rPr>
        <w:t xml:space="preserve">, f. 4; </w:t>
      </w:r>
      <w:hyperlink w:anchor="SENTENCIA_1997_66" w:history="1">
        <w:r w:rsidRPr="00CF552A">
          <w:rPr>
            <w:rStyle w:val="TextoNormalCaracter"/>
          </w:rPr>
          <w:t>66/1997</w:t>
        </w:r>
      </w:hyperlink>
      <w:r w:rsidRPr="00CF552A">
        <w:rPr>
          <w:rStyle w:val="TextoNormalCaracter"/>
        </w:rPr>
        <w:t xml:space="preserve">, ff. 1, 2, 3, 4, 5, 6, 7; </w:t>
      </w:r>
      <w:hyperlink w:anchor="SENTENCIA_1997_81" w:history="1">
        <w:r w:rsidRPr="00CF552A">
          <w:rPr>
            <w:rStyle w:val="TextoNormalCaracter"/>
          </w:rPr>
          <w:t>81/1997</w:t>
        </w:r>
      </w:hyperlink>
      <w:r w:rsidRPr="00CF552A">
        <w:rPr>
          <w:rStyle w:val="TextoNormalCaracter"/>
        </w:rPr>
        <w:t>, f. 3.</w:t>
      </w:r>
    </w:p>
    <w:p w:rsidR="00CF552A" w:rsidRPr="00CF552A" w:rsidRDefault="00CF552A" w:rsidP="00CF552A">
      <w:pPr>
        <w:pStyle w:val="TextoNormalSangraFrancesa"/>
        <w:rPr>
          <w:rStyle w:val="TextoNormalCaracter"/>
        </w:rPr>
      </w:pPr>
      <w:r w:rsidRPr="00CF552A">
        <w:rPr>
          <w:rStyle w:val="TextoNormalCaracter"/>
        </w:rPr>
        <w:t xml:space="preserve">    Autos </w:t>
      </w:r>
      <w:hyperlink w:anchor="AUTO_1997_4" w:history="1">
        <w:r w:rsidRPr="00CF552A">
          <w:rPr>
            <w:rStyle w:val="TextoNormalCaracter"/>
          </w:rPr>
          <w:t>4/1997</w:t>
        </w:r>
      </w:hyperlink>
      <w:r w:rsidRPr="00CF552A">
        <w:rPr>
          <w:rStyle w:val="TextoNormalCaracter"/>
        </w:rPr>
        <w:t xml:space="preserve">; </w:t>
      </w:r>
      <w:hyperlink w:anchor="AUTO_1997_33" w:history="1">
        <w:r w:rsidRPr="00CF552A">
          <w:rPr>
            <w:rStyle w:val="TextoNormalCaracter"/>
          </w:rPr>
          <w:t>33/1997</w:t>
        </w:r>
      </w:hyperlink>
      <w:r w:rsidRPr="00CF552A">
        <w:rPr>
          <w:rStyle w:val="TextoNormalCaracter"/>
        </w:rPr>
        <w:t>.</w:t>
      </w:r>
    </w:p>
    <w:p w:rsidR="00CF552A" w:rsidRPr="00CF552A" w:rsidRDefault="00CF552A" w:rsidP="00CF552A">
      <w:pPr>
        <w:pStyle w:val="TextoNormalSangraFrancesa"/>
        <w:rPr>
          <w:rStyle w:val="TextoNormalCaracter"/>
        </w:rPr>
      </w:pPr>
      <w:r w:rsidRPr="00CF552A">
        <w:rPr>
          <w:rStyle w:val="TextoNormalCursivaCaracter"/>
        </w:rPr>
        <w:t xml:space="preserve">    Respetado, </w:t>
      </w:r>
      <w:r w:rsidRPr="00CF552A">
        <w:rPr>
          <w:rStyle w:val="TextoNormalCaracter"/>
        </w:rPr>
        <w:t xml:space="preserve">Sentencia </w:t>
      </w:r>
      <w:hyperlink w:anchor="SENTENCIA_1997_68" w:history="1">
        <w:r w:rsidRPr="00CF552A">
          <w:rPr>
            <w:rStyle w:val="TextoNormalCaracter"/>
          </w:rPr>
          <w:t>68/1997</w:t>
        </w:r>
      </w:hyperlink>
      <w:r w:rsidRPr="00CF552A">
        <w:rPr>
          <w:rStyle w:val="TextoNormalCaracter"/>
        </w:rPr>
        <w:t>, f. 1.</w:t>
      </w:r>
    </w:p>
    <w:p w:rsidR="00CF552A" w:rsidRPr="00CF552A" w:rsidRDefault="00CF552A" w:rsidP="00CF552A">
      <w:pPr>
        <w:pStyle w:val="TextoNormalSangraFrancesa"/>
        <w:rPr>
          <w:rStyle w:val="TextoNormalCaracter"/>
        </w:rPr>
      </w:pPr>
      <w:bookmarkStart w:id="860" w:name="DESCRIPTORALFABETICO51"/>
      <w:r w:rsidRPr="00CF552A">
        <w:rPr>
          <w:rStyle w:val="TextoNormalNegritaCaracter"/>
        </w:rPr>
        <w:t>Derecho a la presunción de inocencia</w:t>
      </w:r>
      <w:bookmarkEnd w:id="860"/>
      <w:r w:rsidRPr="00CF552A">
        <w:rPr>
          <w:rStyle w:val="TextoNormalCaracter"/>
        </w:rPr>
        <w:t xml:space="preserve">, Sentencias </w:t>
      </w:r>
      <w:hyperlink w:anchor="SENTENCIA_1997_14" w:history="1">
        <w:r w:rsidRPr="00CF552A">
          <w:rPr>
            <w:rStyle w:val="TextoNormalCaracter"/>
          </w:rPr>
          <w:t>14/1997</w:t>
        </w:r>
      </w:hyperlink>
      <w:r w:rsidRPr="00CF552A">
        <w:rPr>
          <w:rStyle w:val="TextoNormalCaracter"/>
        </w:rPr>
        <w:t xml:space="preserve">, ff. 5, 6; </w:t>
      </w:r>
      <w:hyperlink w:anchor="SENTENCIA_1997_24" w:history="1">
        <w:r w:rsidRPr="00CF552A">
          <w:rPr>
            <w:rStyle w:val="TextoNormalCaracter"/>
          </w:rPr>
          <w:t>24/1997</w:t>
        </w:r>
      </w:hyperlink>
      <w:r w:rsidRPr="00CF552A">
        <w:rPr>
          <w:rStyle w:val="TextoNormalCaracter"/>
        </w:rPr>
        <w:t xml:space="preserve">, f. 2; </w:t>
      </w:r>
      <w:hyperlink w:anchor="SENTENCIA_1997_40" w:history="1">
        <w:r w:rsidRPr="00CF552A">
          <w:rPr>
            <w:rStyle w:val="TextoNormalCaracter"/>
          </w:rPr>
          <w:t>40/1997</w:t>
        </w:r>
      </w:hyperlink>
      <w:r w:rsidRPr="00CF552A">
        <w:rPr>
          <w:rStyle w:val="TextoNormalCaracter"/>
        </w:rPr>
        <w:t xml:space="preserve">, f. 2; </w:t>
      </w:r>
      <w:hyperlink w:anchor="SENTENCIA_1997_45" w:history="1">
        <w:r w:rsidRPr="00CF552A">
          <w:rPr>
            <w:rStyle w:val="TextoNormalCaracter"/>
          </w:rPr>
          <w:t>45/1997</w:t>
        </w:r>
      </w:hyperlink>
      <w:r w:rsidRPr="00CF552A">
        <w:rPr>
          <w:rStyle w:val="TextoNormalCaracter"/>
        </w:rPr>
        <w:t>, ff. 3, 6.</w:t>
      </w:r>
    </w:p>
    <w:p w:rsidR="00CF552A" w:rsidRPr="00CF552A" w:rsidRDefault="00CF552A" w:rsidP="00CF552A">
      <w:pPr>
        <w:pStyle w:val="TextoNormalSangraFrancesa"/>
        <w:rPr>
          <w:rStyle w:val="TextoNormalCaracter"/>
        </w:rPr>
      </w:pPr>
      <w:r w:rsidRPr="00CF552A">
        <w:rPr>
          <w:rStyle w:val="TextoNormalCaracter"/>
        </w:rPr>
        <w:t xml:space="preserve">    Autos </w:t>
      </w:r>
      <w:hyperlink w:anchor="AUTO_1997_30" w:history="1">
        <w:r w:rsidRPr="00CF552A">
          <w:rPr>
            <w:rStyle w:val="TextoNormalCaracter"/>
          </w:rPr>
          <w:t>30/1997</w:t>
        </w:r>
      </w:hyperlink>
      <w:r w:rsidRPr="00CF552A">
        <w:rPr>
          <w:rStyle w:val="TextoNormalCaracter"/>
        </w:rPr>
        <w:t xml:space="preserve">; </w:t>
      </w:r>
      <w:hyperlink w:anchor="AUTO_1997_117" w:history="1">
        <w:r w:rsidRPr="00CF552A">
          <w:rPr>
            <w:rStyle w:val="TextoNormalCaracter"/>
          </w:rPr>
          <w:t>117/1997</w:t>
        </w:r>
      </w:hyperlink>
      <w:r w:rsidRPr="00CF552A">
        <w:rPr>
          <w:rStyle w:val="TextoNormalCaracter"/>
        </w:rPr>
        <w:t>.</w:t>
      </w:r>
    </w:p>
    <w:p w:rsidR="00CF552A" w:rsidRPr="00CF552A" w:rsidRDefault="00CF552A" w:rsidP="00CF552A">
      <w:pPr>
        <w:pStyle w:val="TextoNormalSangraFrancesa"/>
        <w:rPr>
          <w:rStyle w:val="TextoNormalCaracter"/>
        </w:rPr>
      </w:pPr>
      <w:r w:rsidRPr="00CF552A">
        <w:rPr>
          <w:rStyle w:val="TextoNormalCursivaCaracter"/>
        </w:rPr>
        <w:t xml:space="preserve">    Doctrina constitucional, </w:t>
      </w:r>
      <w:r w:rsidRPr="00CF552A">
        <w:rPr>
          <w:rStyle w:val="TextoNormalCaracter"/>
        </w:rPr>
        <w:t xml:space="preserve">Sentencia </w:t>
      </w:r>
      <w:hyperlink w:anchor="SENTENCIA_1997_45" w:history="1">
        <w:r w:rsidRPr="00CF552A">
          <w:rPr>
            <w:rStyle w:val="TextoNormalCaracter"/>
          </w:rPr>
          <w:t>45/1997</w:t>
        </w:r>
      </w:hyperlink>
      <w:r w:rsidRPr="00CF552A">
        <w:rPr>
          <w:rStyle w:val="TextoNormalCaracter"/>
        </w:rPr>
        <w:t>, f. 4.</w:t>
      </w:r>
    </w:p>
    <w:p w:rsidR="00CF552A" w:rsidRPr="00CF552A" w:rsidRDefault="00CF552A" w:rsidP="00CF552A">
      <w:pPr>
        <w:pStyle w:val="TextoNormalSangraFrancesa"/>
        <w:rPr>
          <w:rStyle w:val="TextoNormalCaracter"/>
        </w:rPr>
      </w:pPr>
      <w:r w:rsidRPr="00CF552A">
        <w:rPr>
          <w:rStyle w:val="TextoNormalCursivaCaracter"/>
        </w:rPr>
        <w:t xml:space="preserve">    Respetado, </w:t>
      </w:r>
      <w:r w:rsidRPr="00CF552A">
        <w:rPr>
          <w:rStyle w:val="TextoNormalCaracter"/>
        </w:rPr>
        <w:t xml:space="preserve">Auto </w:t>
      </w:r>
      <w:hyperlink w:anchor="AUTO_1997_114" w:history="1">
        <w:r w:rsidRPr="00CF552A">
          <w:rPr>
            <w:rStyle w:val="TextoNormalCaracter"/>
          </w:rPr>
          <w:t>114/1997</w:t>
        </w:r>
      </w:hyperlink>
      <w:r w:rsidRPr="00CF552A">
        <w:rPr>
          <w:rStyle w:val="TextoNormalCaracter"/>
        </w:rPr>
        <w:t>.</w:t>
      </w:r>
    </w:p>
    <w:p w:rsidR="00CF552A" w:rsidRPr="00CF552A" w:rsidRDefault="00CF552A" w:rsidP="00CF552A">
      <w:pPr>
        <w:pStyle w:val="TextoNormalSangraFrancesa"/>
        <w:rPr>
          <w:rStyle w:val="TextoNormalCaracter"/>
        </w:rPr>
      </w:pPr>
      <w:bookmarkStart w:id="861" w:name="DESCRIPTORALFABETICO91"/>
      <w:r w:rsidRPr="00CF552A">
        <w:rPr>
          <w:rStyle w:val="TextoNormalNegritaCaracter"/>
        </w:rPr>
        <w:t>Derecho a la prueba</w:t>
      </w:r>
      <w:bookmarkEnd w:id="861"/>
      <w:r w:rsidRPr="00CF552A">
        <w:rPr>
          <w:rStyle w:val="TextoNormalCaracter"/>
        </w:rPr>
        <w:t xml:space="preserve">, Sentencias </w:t>
      </w:r>
      <w:hyperlink w:anchor="SENTENCIA_1997_14" w:history="1">
        <w:r w:rsidRPr="00CF552A">
          <w:rPr>
            <w:rStyle w:val="TextoNormalCaracter"/>
          </w:rPr>
          <w:t>14/1997</w:t>
        </w:r>
      </w:hyperlink>
      <w:r w:rsidRPr="00CF552A">
        <w:rPr>
          <w:rStyle w:val="TextoNormalCaracter"/>
        </w:rPr>
        <w:t xml:space="preserve">, f. 4; </w:t>
      </w:r>
      <w:hyperlink w:anchor="SENTENCIA_1997_25" w:history="1">
        <w:r w:rsidRPr="00CF552A">
          <w:rPr>
            <w:rStyle w:val="TextoNormalCaracter"/>
          </w:rPr>
          <w:t>25/1997</w:t>
        </w:r>
      </w:hyperlink>
      <w:r w:rsidRPr="00CF552A">
        <w:rPr>
          <w:rStyle w:val="TextoNormalCaracter"/>
        </w:rPr>
        <w:t xml:space="preserve">, f. 5; </w:t>
      </w:r>
      <w:hyperlink w:anchor="SENTENCIA_1997_39" w:history="1">
        <w:r w:rsidRPr="00CF552A">
          <w:rPr>
            <w:rStyle w:val="TextoNormalCaracter"/>
          </w:rPr>
          <w:t>39/1997</w:t>
        </w:r>
      </w:hyperlink>
      <w:r w:rsidRPr="00CF552A">
        <w:rPr>
          <w:rStyle w:val="TextoNormalCaracter"/>
        </w:rPr>
        <w:t xml:space="preserve">, f. 6; </w:t>
      </w:r>
      <w:hyperlink w:anchor="SENTENCIA_1997_83" w:history="1">
        <w:r w:rsidRPr="00CF552A">
          <w:rPr>
            <w:rStyle w:val="TextoNormalCaracter"/>
          </w:rPr>
          <w:t>83/1997</w:t>
        </w:r>
      </w:hyperlink>
      <w:r w:rsidRPr="00CF552A">
        <w:rPr>
          <w:rStyle w:val="TextoNormalCaracter"/>
        </w:rPr>
        <w:t>, f. 4.</w:t>
      </w:r>
    </w:p>
    <w:p w:rsidR="00CF552A" w:rsidRPr="00CF552A" w:rsidRDefault="00CF552A" w:rsidP="00CF552A">
      <w:pPr>
        <w:pStyle w:val="TextoNormalSangraFrancesa"/>
        <w:rPr>
          <w:rStyle w:val="TextoNormalCaracter"/>
        </w:rPr>
      </w:pPr>
      <w:r w:rsidRPr="00CF552A">
        <w:rPr>
          <w:rStyle w:val="TextoNormalCursivaCaracter"/>
        </w:rPr>
        <w:t xml:space="preserve">    Vulnerado, </w:t>
      </w:r>
      <w:r w:rsidRPr="00CF552A">
        <w:rPr>
          <w:rStyle w:val="TextoNormalCaracter"/>
        </w:rPr>
        <w:t xml:space="preserve">Sentencias </w:t>
      </w:r>
      <w:hyperlink w:anchor="SENTENCIA_1997_14" w:history="1">
        <w:r w:rsidRPr="00CF552A">
          <w:rPr>
            <w:rStyle w:val="TextoNormalCaracter"/>
          </w:rPr>
          <w:t>14/1997</w:t>
        </w:r>
      </w:hyperlink>
      <w:r w:rsidRPr="00CF552A">
        <w:rPr>
          <w:rStyle w:val="TextoNormalCaracter"/>
        </w:rPr>
        <w:t xml:space="preserve">, f. 4; </w:t>
      </w:r>
      <w:hyperlink w:anchor="SENTENCIA_1997_25" w:history="1">
        <w:r w:rsidRPr="00CF552A">
          <w:rPr>
            <w:rStyle w:val="TextoNormalCaracter"/>
          </w:rPr>
          <w:t>25/1997</w:t>
        </w:r>
      </w:hyperlink>
      <w:r w:rsidRPr="00CF552A">
        <w:rPr>
          <w:rStyle w:val="TextoNormalCaracter"/>
        </w:rPr>
        <w:t xml:space="preserve">, f. 5; </w:t>
      </w:r>
      <w:hyperlink w:anchor="SENTENCIA_1997_35" w:history="1">
        <w:r w:rsidRPr="00CF552A">
          <w:rPr>
            <w:rStyle w:val="TextoNormalCaracter"/>
          </w:rPr>
          <w:t>35/1997</w:t>
        </w:r>
      </w:hyperlink>
      <w:r w:rsidRPr="00CF552A">
        <w:rPr>
          <w:rStyle w:val="TextoNormalCaracter"/>
        </w:rPr>
        <w:t xml:space="preserve">, f. 5; </w:t>
      </w:r>
      <w:hyperlink w:anchor="SENTENCIA_1997_39" w:history="1">
        <w:r w:rsidRPr="00CF552A">
          <w:rPr>
            <w:rStyle w:val="TextoNormalCaracter"/>
          </w:rPr>
          <w:t>39/1997</w:t>
        </w:r>
      </w:hyperlink>
      <w:r w:rsidRPr="00CF552A">
        <w:rPr>
          <w:rStyle w:val="TextoNormalCaracter"/>
        </w:rPr>
        <w:t>, f. 6.</w:t>
      </w:r>
    </w:p>
    <w:p w:rsidR="00CF552A" w:rsidRPr="00CF552A" w:rsidRDefault="00CF552A" w:rsidP="00CF552A">
      <w:pPr>
        <w:pStyle w:val="TextoNormalSangraFrancesa"/>
        <w:rPr>
          <w:rStyle w:val="TextoNormalCaracter"/>
        </w:rPr>
      </w:pPr>
      <w:bookmarkStart w:id="862" w:name="DESCRIPTORALFABETICO53"/>
      <w:r w:rsidRPr="00CF552A">
        <w:rPr>
          <w:rStyle w:val="TextoNormalNegritaCaracter"/>
        </w:rPr>
        <w:t>Derecho a la tutela judicial efectiva</w:t>
      </w:r>
      <w:bookmarkEnd w:id="862"/>
      <w:r w:rsidRPr="00CF552A">
        <w:rPr>
          <w:rStyle w:val="TextoNormalCaracter"/>
        </w:rPr>
        <w:t xml:space="preserve">, Sentencias </w:t>
      </w:r>
      <w:hyperlink w:anchor="SENTENCIA_1997_12" w:history="1">
        <w:r w:rsidRPr="00CF552A">
          <w:rPr>
            <w:rStyle w:val="TextoNormalCaracter"/>
          </w:rPr>
          <w:t>12/1997</w:t>
        </w:r>
      </w:hyperlink>
      <w:r w:rsidRPr="00CF552A">
        <w:rPr>
          <w:rStyle w:val="TextoNormalCaracter"/>
        </w:rPr>
        <w:t xml:space="preserve">, ff. 1, 2, 3, 4; </w:t>
      </w:r>
      <w:hyperlink w:anchor="SENTENCIA_1997_13" w:history="1">
        <w:r w:rsidRPr="00CF552A">
          <w:rPr>
            <w:rStyle w:val="TextoNormalCaracter"/>
          </w:rPr>
          <w:t>13/1997</w:t>
        </w:r>
      </w:hyperlink>
      <w:r w:rsidRPr="00CF552A">
        <w:rPr>
          <w:rStyle w:val="TextoNormalCaracter"/>
        </w:rPr>
        <w:t xml:space="preserve">, f. 2; </w:t>
      </w:r>
      <w:hyperlink w:anchor="SENTENCIA_1997_17" w:history="1">
        <w:r w:rsidRPr="00CF552A">
          <w:rPr>
            <w:rStyle w:val="TextoNormalCaracter"/>
          </w:rPr>
          <w:t>17/1997</w:t>
        </w:r>
      </w:hyperlink>
      <w:r w:rsidRPr="00CF552A">
        <w:rPr>
          <w:rStyle w:val="TextoNormalCaracter"/>
        </w:rPr>
        <w:t xml:space="preserve">, f. 2; </w:t>
      </w:r>
      <w:hyperlink w:anchor="SENTENCIA_1997_20" w:history="1">
        <w:r w:rsidRPr="00CF552A">
          <w:rPr>
            <w:rStyle w:val="TextoNormalCaracter"/>
          </w:rPr>
          <w:t>20/1997</w:t>
        </w:r>
      </w:hyperlink>
      <w:r w:rsidRPr="00CF552A">
        <w:rPr>
          <w:rStyle w:val="TextoNormalCaracter"/>
        </w:rPr>
        <w:t xml:space="preserve">, ff. 2, 3; </w:t>
      </w:r>
      <w:hyperlink w:anchor="SENTENCIA_1997_22" w:history="1">
        <w:r w:rsidRPr="00CF552A">
          <w:rPr>
            <w:rStyle w:val="TextoNormalCaracter"/>
          </w:rPr>
          <w:t>22/1997</w:t>
        </w:r>
      </w:hyperlink>
      <w:r w:rsidRPr="00CF552A">
        <w:rPr>
          <w:rStyle w:val="TextoNormalCaracter"/>
        </w:rPr>
        <w:t xml:space="preserve">, f. 2; </w:t>
      </w:r>
      <w:hyperlink w:anchor="SENTENCIA_1997_32" w:history="1">
        <w:r w:rsidRPr="00CF552A">
          <w:rPr>
            <w:rStyle w:val="TextoNormalCaracter"/>
          </w:rPr>
          <w:t>32/1997</w:t>
        </w:r>
      </w:hyperlink>
      <w:r w:rsidRPr="00CF552A">
        <w:rPr>
          <w:rStyle w:val="TextoNormalCaracter"/>
        </w:rPr>
        <w:t xml:space="preserve">, f. 2; </w:t>
      </w:r>
      <w:hyperlink w:anchor="SENTENCIA_1997_36" w:history="1">
        <w:r w:rsidRPr="00CF552A">
          <w:rPr>
            <w:rStyle w:val="TextoNormalCaracter"/>
          </w:rPr>
          <w:t>36/1997</w:t>
        </w:r>
      </w:hyperlink>
      <w:r w:rsidRPr="00CF552A">
        <w:rPr>
          <w:rStyle w:val="TextoNormalCaracter"/>
        </w:rPr>
        <w:t xml:space="preserve">, f. 3; </w:t>
      </w:r>
      <w:hyperlink w:anchor="SENTENCIA_1997_43" w:history="1">
        <w:r w:rsidRPr="00CF552A">
          <w:rPr>
            <w:rStyle w:val="TextoNormalCaracter"/>
          </w:rPr>
          <w:t>43/1997</w:t>
        </w:r>
      </w:hyperlink>
      <w:r w:rsidRPr="00CF552A">
        <w:rPr>
          <w:rStyle w:val="TextoNormalCaracter"/>
        </w:rPr>
        <w:t xml:space="preserve">, f. 3; </w:t>
      </w:r>
      <w:hyperlink w:anchor="SENTENCIA_1997_46" w:history="1">
        <w:r w:rsidRPr="00CF552A">
          <w:rPr>
            <w:rStyle w:val="TextoNormalCaracter"/>
          </w:rPr>
          <w:t>46/1997</w:t>
        </w:r>
      </w:hyperlink>
      <w:r w:rsidRPr="00CF552A">
        <w:rPr>
          <w:rStyle w:val="TextoNormalCaracter"/>
        </w:rPr>
        <w:t xml:space="preserve">, ff. 1, 2; </w:t>
      </w:r>
      <w:hyperlink w:anchor="SENTENCIA_1997_49" w:history="1">
        <w:r w:rsidRPr="00CF552A">
          <w:rPr>
            <w:rStyle w:val="TextoNormalCaracter"/>
          </w:rPr>
          <w:t>49/1997</w:t>
        </w:r>
      </w:hyperlink>
      <w:r w:rsidRPr="00CF552A">
        <w:rPr>
          <w:rStyle w:val="TextoNormalCaracter"/>
        </w:rPr>
        <w:t xml:space="preserve">, f. 2; </w:t>
      </w:r>
      <w:hyperlink w:anchor="SENTENCIA_1997_50" w:history="1">
        <w:r w:rsidRPr="00CF552A">
          <w:rPr>
            <w:rStyle w:val="TextoNormalCaracter"/>
          </w:rPr>
          <w:t>50/1997</w:t>
        </w:r>
      </w:hyperlink>
      <w:r w:rsidRPr="00CF552A">
        <w:rPr>
          <w:rStyle w:val="TextoNormalCaracter"/>
        </w:rPr>
        <w:t xml:space="preserve">, ff. 3, 4; </w:t>
      </w:r>
      <w:hyperlink w:anchor="SENTENCIA_1997_54" w:history="1">
        <w:r w:rsidRPr="00CF552A">
          <w:rPr>
            <w:rStyle w:val="TextoNormalCaracter"/>
          </w:rPr>
          <w:t>54/1997</w:t>
        </w:r>
      </w:hyperlink>
      <w:r w:rsidRPr="00CF552A">
        <w:rPr>
          <w:rStyle w:val="TextoNormalCaracter"/>
        </w:rPr>
        <w:t xml:space="preserve">, f. 2; </w:t>
      </w:r>
      <w:hyperlink w:anchor="SENTENCIA_1997_85" w:history="1">
        <w:r w:rsidRPr="00CF552A">
          <w:rPr>
            <w:rStyle w:val="TextoNormalCaracter"/>
          </w:rPr>
          <w:t>85/1997</w:t>
        </w:r>
      </w:hyperlink>
      <w:r w:rsidRPr="00CF552A">
        <w:rPr>
          <w:rStyle w:val="TextoNormalCaracter"/>
        </w:rPr>
        <w:t>, ff. 1, 2, 3, 4.</w:t>
      </w:r>
    </w:p>
    <w:p w:rsidR="00CF552A" w:rsidRPr="00CF552A" w:rsidRDefault="00CF552A" w:rsidP="00CF552A">
      <w:pPr>
        <w:pStyle w:val="TextoNormalSangraFrancesa"/>
        <w:rPr>
          <w:rStyle w:val="TextoNormalCaracter"/>
        </w:rPr>
      </w:pPr>
      <w:r w:rsidRPr="00CF552A">
        <w:rPr>
          <w:rStyle w:val="TextoNormalCaracter"/>
        </w:rPr>
        <w:t xml:space="preserve">    Autos </w:t>
      </w:r>
      <w:hyperlink w:anchor="AUTO_1997_80" w:history="1">
        <w:r w:rsidRPr="00CF552A">
          <w:rPr>
            <w:rStyle w:val="TextoNormalCaracter"/>
          </w:rPr>
          <w:t>80/1997</w:t>
        </w:r>
      </w:hyperlink>
      <w:r w:rsidRPr="00CF552A">
        <w:rPr>
          <w:rStyle w:val="TextoNormalCaracter"/>
        </w:rPr>
        <w:t xml:space="preserve">; </w:t>
      </w:r>
      <w:hyperlink w:anchor="AUTO_1997_105" w:history="1">
        <w:r w:rsidRPr="00CF552A">
          <w:rPr>
            <w:rStyle w:val="TextoNormalCaracter"/>
          </w:rPr>
          <w:t>105/1997</w:t>
        </w:r>
      </w:hyperlink>
      <w:r w:rsidRPr="00CF552A">
        <w:rPr>
          <w:rStyle w:val="TextoNormalCaracter"/>
        </w:rPr>
        <w:t>.</w:t>
      </w:r>
    </w:p>
    <w:p w:rsidR="00CF552A" w:rsidRPr="00CF552A" w:rsidRDefault="00CF552A" w:rsidP="00CF552A">
      <w:pPr>
        <w:pStyle w:val="TextoNormalSangraFrancesa"/>
        <w:rPr>
          <w:rStyle w:val="TextoNormalCaracter"/>
        </w:rPr>
      </w:pPr>
      <w:r w:rsidRPr="00CF552A">
        <w:rPr>
          <w:rStyle w:val="TextoNormalCursivaCaracter"/>
        </w:rPr>
        <w:t xml:space="preserve">    Concepto, </w:t>
      </w:r>
      <w:r w:rsidRPr="00CF552A">
        <w:rPr>
          <w:rStyle w:val="TextoNormalCaracter"/>
        </w:rPr>
        <w:t xml:space="preserve">Sentencia </w:t>
      </w:r>
      <w:hyperlink w:anchor="SENTENCIA_1997_54" w:history="1">
        <w:r w:rsidRPr="00CF552A">
          <w:rPr>
            <w:rStyle w:val="TextoNormalCaracter"/>
          </w:rPr>
          <w:t>54/1997</w:t>
        </w:r>
      </w:hyperlink>
      <w:r w:rsidRPr="00CF552A">
        <w:rPr>
          <w:rStyle w:val="TextoNormalCaracter"/>
        </w:rPr>
        <w:t>, f. 2.</w:t>
      </w:r>
    </w:p>
    <w:p w:rsidR="00CF552A" w:rsidRPr="00CF552A" w:rsidRDefault="00CF552A" w:rsidP="00CF552A">
      <w:pPr>
        <w:pStyle w:val="TextoNormalSangraFrancesa"/>
        <w:rPr>
          <w:rStyle w:val="TextoNormalCaracter"/>
        </w:rPr>
      </w:pPr>
      <w:bookmarkStart w:id="863" w:name="DESCRIPTORALFABETICO79"/>
      <w:r w:rsidRPr="00CF552A">
        <w:rPr>
          <w:rStyle w:val="TextoNormalNegritaCaracter"/>
        </w:rPr>
        <w:t>Derecho a la tutela judicial sin indefensión</w:t>
      </w:r>
      <w:bookmarkEnd w:id="863"/>
      <w:r w:rsidRPr="00CF552A">
        <w:rPr>
          <w:rStyle w:val="TextoNormalCaracter"/>
        </w:rPr>
        <w:t xml:space="preserve">, Sentencia </w:t>
      </w:r>
      <w:hyperlink w:anchor="SENTENCIA_1997_86" w:history="1">
        <w:r w:rsidRPr="00CF552A">
          <w:rPr>
            <w:rStyle w:val="TextoNormalCaracter"/>
          </w:rPr>
          <w:t>86/1997</w:t>
        </w:r>
      </w:hyperlink>
      <w:r w:rsidRPr="00CF552A">
        <w:rPr>
          <w:rStyle w:val="TextoNormalCaracter"/>
        </w:rPr>
        <w:t>, ff. 1, 2, 3, 4.</w:t>
      </w:r>
    </w:p>
    <w:p w:rsidR="00CF552A" w:rsidRPr="00CF552A" w:rsidRDefault="00CF552A" w:rsidP="00CF552A">
      <w:pPr>
        <w:pStyle w:val="TextoNormalSangraFrancesa"/>
        <w:rPr>
          <w:rStyle w:val="TextoNormalCaracter"/>
        </w:rPr>
      </w:pPr>
      <w:bookmarkStart w:id="864" w:name="DESCRIPTORALFABETICO92"/>
      <w:r w:rsidRPr="00CF552A">
        <w:rPr>
          <w:rStyle w:val="TextoNormalNegritaCaracter"/>
        </w:rPr>
        <w:t>Derecho a no declarar contra sí mismo</w:t>
      </w:r>
      <w:bookmarkEnd w:id="864"/>
      <w:r w:rsidRPr="00CF552A">
        <w:rPr>
          <w:rStyle w:val="TextoNormalCaracter"/>
        </w:rPr>
        <w:t xml:space="preserve">, Sentencia </w:t>
      </w:r>
      <w:hyperlink w:anchor="SENTENCIA_1997_45" w:history="1">
        <w:r w:rsidRPr="00CF552A">
          <w:rPr>
            <w:rStyle w:val="TextoNormalCaracter"/>
          </w:rPr>
          <w:t>45/1997</w:t>
        </w:r>
      </w:hyperlink>
      <w:r w:rsidRPr="00CF552A">
        <w:rPr>
          <w:rStyle w:val="TextoNormalCaracter"/>
        </w:rPr>
        <w:t>, f. 7.</w:t>
      </w:r>
    </w:p>
    <w:p w:rsidR="00CF552A" w:rsidRPr="00CF552A" w:rsidRDefault="00CF552A" w:rsidP="00CF552A">
      <w:pPr>
        <w:pStyle w:val="TextoNormalSangraFrancesa"/>
        <w:rPr>
          <w:rStyle w:val="TextoNormalCaracter"/>
        </w:rPr>
      </w:pPr>
      <w:bookmarkStart w:id="865" w:name="DESCRIPTORALFABETICO82"/>
      <w:r w:rsidRPr="00CF552A">
        <w:rPr>
          <w:rStyle w:val="TextoNormalNegritaCaracter"/>
        </w:rPr>
        <w:lastRenderedPageBreak/>
        <w:t>Derecho a no padecer discriminación</w:t>
      </w:r>
      <w:bookmarkEnd w:id="865"/>
      <w:r w:rsidRPr="00CF552A">
        <w:rPr>
          <w:rStyle w:val="TextoNormalCaracter"/>
        </w:rPr>
        <w:t xml:space="preserve">, Sentencia </w:t>
      </w:r>
      <w:hyperlink w:anchor="SENTENCIA_1997_82" w:history="1">
        <w:r w:rsidRPr="00CF552A">
          <w:rPr>
            <w:rStyle w:val="TextoNormalCaracter"/>
          </w:rPr>
          <w:t>82/1997</w:t>
        </w:r>
      </w:hyperlink>
      <w:r w:rsidRPr="00CF552A">
        <w:rPr>
          <w:rStyle w:val="TextoNormalCaracter"/>
        </w:rPr>
        <w:t>, ff. 3, 4.</w:t>
      </w:r>
    </w:p>
    <w:p w:rsidR="00CF552A" w:rsidRPr="00CF552A" w:rsidRDefault="00CF552A" w:rsidP="00CF552A">
      <w:pPr>
        <w:pStyle w:val="TextoNormalSangraFrancesa"/>
        <w:rPr>
          <w:rStyle w:val="TextoNormalCaracter"/>
        </w:rPr>
      </w:pPr>
      <w:bookmarkStart w:id="866" w:name="DESCRIPTORALFABETICO37"/>
      <w:r w:rsidRPr="00CF552A">
        <w:rPr>
          <w:rStyle w:val="TextoNormalNegritaCaracter"/>
        </w:rPr>
        <w:t>Derecho a permanecer en los cargos públicos</w:t>
      </w:r>
      <w:bookmarkEnd w:id="866"/>
      <w:r w:rsidRPr="00CF552A">
        <w:rPr>
          <w:rStyle w:val="TextoNormalCaracter"/>
        </w:rPr>
        <w:t xml:space="preserve">, Sentencias </w:t>
      </w:r>
      <w:hyperlink w:anchor="SENTENCIA_1997_22" w:history="1">
        <w:r w:rsidRPr="00CF552A">
          <w:rPr>
            <w:rStyle w:val="TextoNormalCaracter"/>
          </w:rPr>
          <w:t>22/1997</w:t>
        </w:r>
      </w:hyperlink>
      <w:r w:rsidRPr="00CF552A">
        <w:rPr>
          <w:rStyle w:val="TextoNormalCaracter"/>
        </w:rPr>
        <w:t xml:space="preserve">, ff. 2, 7, 8, VP; </w:t>
      </w:r>
      <w:hyperlink w:anchor="SENTENCIA_1997_30" w:history="1">
        <w:r w:rsidRPr="00CF552A">
          <w:rPr>
            <w:rStyle w:val="TextoNormalCaracter"/>
          </w:rPr>
          <w:t>30/1997</w:t>
        </w:r>
      </w:hyperlink>
      <w:r w:rsidRPr="00CF552A">
        <w:rPr>
          <w:rStyle w:val="TextoNormalCaracter"/>
        </w:rPr>
        <w:t>, f. 4.</w:t>
      </w:r>
    </w:p>
    <w:p w:rsidR="00CF552A" w:rsidRPr="00CF552A" w:rsidRDefault="00CF552A" w:rsidP="00CF552A">
      <w:pPr>
        <w:pStyle w:val="TextoNormalSangraFrancesa"/>
        <w:rPr>
          <w:rStyle w:val="TextoNormalNegritaCaracter"/>
        </w:rPr>
      </w:pPr>
      <w:r w:rsidRPr="00CF552A">
        <w:rPr>
          <w:rStyle w:val="TextoNormalCursivaCaracter"/>
        </w:rPr>
        <w:t>Derecho a promover la persecución penal</w:t>
      </w:r>
      <w:r>
        <w:t xml:space="preserve"> véase </w:t>
      </w:r>
      <w:hyperlink w:anchor="DESCRIPTORALFABETICO55" w:history="1">
        <w:r w:rsidRPr="00CF552A">
          <w:rPr>
            <w:rStyle w:val="TextoNormalNegritaCaracter"/>
            <w:i/>
          </w:rPr>
          <w:t>Ius ut procedatur</w:t>
        </w:r>
      </w:hyperlink>
    </w:p>
    <w:p w:rsidR="00CF552A" w:rsidRPr="00CF552A" w:rsidRDefault="00CF552A" w:rsidP="00CF552A">
      <w:pPr>
        <w:pStyle w:val="TextoNormalSangraFrancesa"/>
        <w:rPr>
          <w:rStyle w:val="TextoNormalCaracter"/>
        </w:rPr>
      </w:pPr>
      <w:bookmarkStart w:id="867" w:name="DESCRIPTORALFABETICO93"/>
      <w:r w:rsidRPr="00CF552A">
        <w:rPr>
          <w:rStyle w:val="TextoNormalNegritaCaracter"/>
        </w:rPr>
        <w:t>Derecho a ser informado de la acusación</w:t>
      </w:r>
      <w:bookmarkEnd w:id="867"/>
      <w:r w:rsidRPr="00CF552A">
        <w:rPr>
          <w:rStyle w:val="TextoNormalCaracter"/>
        </w:rPr>
        <w:t xml:space="preserve">, Sentencia </w:t>
      </w:r>
      <w:hyperlink w:anchor="SENTENCIA_1997_35" w:history="1">
        <w:r w:rsidRPr="00CF552A">
          <w:rPr>
            <w:rStyle w:val="TextoNormalCaracter"/>
          </w:rPr>
          <w:t>35/1997</w:t>
        </w:r>
      </w:hyperlink>
      <w:r w:rsidRPr="00CF552A">
        <w:rPr>
          <w:rStyle w:val="TextoNormalCaracter"/>
        </w:rPr>
        <w:t>, f. 4.</w:t>
      </w:r>
    </w:p>
    <w:p w:rsidR="00CF552A" w:rsidRPr="00CF552A" w:rsidRDefault="00CF552A" w:rsidP="00CF552A">
      <w:pPr>
        <w:pStyle w:val="TextoNormalSangraFrancesa"/>
        <w:rPr>
          <w:rStyle w:val="TextoNormalCaracter"/>
        </w:rPr>
      </w:pPr>
      <w:bookmarkStart w:id="868" w:name="DESCRIPTORALFABETICO95"/>
      <w:r w:rsidRPr="00CF552A">
        <w:rPr>
          <w:rStyle w:val="TextoNormalNegritaCaracter"/>
        </w:rPr>
        <w:t>Derecho a un juez imparcial</w:t>
      </w:r>
      <w:bookmarkEnd w:id="868"/>
      <w:r w:rsidRPr="00CF552A">
        <w:rPr>
          <w:rStyle w:val="TextoNormalCaracter"/>
        </w:rPr>
        <w:t xml:space="preserve">, Sentencia </w:t>
      </w:r>
      <w:hyperlink w:anchor="SENTENCIA_1997_64" w:history="1">
        <w:r w:rsidRPr="00CF552A">
          <w:rPr>
            <w:rStyle w:val="TextoNormalCaracter"/>
          </w:rPr>
          <w:t>64/1997</w:t>
        </w:r>
      </w:hyperlink>
      <w:r w:rsidRPr="00CF552A">
        <w:rPr>
          <w:rStyle w:val="TextoNormalCaracter"/>
        </w:rPr>
        <w:t>, ff. 3, 4.</w:t>
      </w:r>
    </w:p>
    <w:p w:rsidR="00CF552A" w:rsidRPr="00CF552A" w:rsidRDefault="00CF552A" w:rsidP="00CF552A">
      <w:pPr>
        <w:pStyle w:val="TextoNormalSangraFrancesa"/>
        <w:rPr>
          <w:rStyle w:val="TextoNormalCaracter"/>
        </w:rPr>
      </w:pPr>
      <w:r w:rsidRPr="00CF552A">
        <w:rPr>
          <w:rStyle w:val="TextoNormalCaracter"/>
        </w:rPr>
        <w:t xml:space="preserve">    Auto </w:t>
      </w:r>
      <w:hyperlink w:anchor="AUTO_1997_117" w:history="1">
        <w:r w:rsidRPr="00CF552A">
          <w:rPr>
            <w:rStyle w:val="TextoNormalCaracter"/>
          </w:rPr>
          <w:t>117/1997</w:t>
        </w:r>
      </w:hyperlink>
      <w:r w:rsidRPr="00CF552A">
        <w:rPr>
          <w:rStyle w:val="TextoNormalCaracter"/>
        </w:rPr>
        <w:t>.</w:t>
      </w:r>
    </w:p>
    <w:p w:rsidR="00CF552A" w:rsidRPr="00CF552A" w:rsidRDefault="00CF552A" w:rsidP="00CF552A">
      <w:pPr>
        <w:pStyle w:val="TextoNormalSangraFrancesa"/>
        <w:rPr>
          <w:rStyle w:val="TextoNormalCaracter"/>
        </w:rPr>
      </w:pPr>
      <w:bookmarkStart w:id="869" w:name="DESCRIPTORALFABETICO97"/>
      <w:r w:rsidRPr="00CF552A">
        <w:rPr>
          <w:rStyle w:val="TextoNormalNegritaCaracter"/>
        </w:rPr>
        <w:t>Derecho a un proceso sin dilaciones indebidas</w:t>
      </w:r>
      <w:bookmarkEnd w:id="869"/>
      <w:r w:rsidRPr="00CF552A">
        <w:rPr>
          <w:rStyle w:val="TextoNormalCaracter"/>
        </w:rPr>
        <w:t xml:space="preserve">, Sentencia </w:t>
      </w:r>
      <w:hyperlink w:anchor="SENTENCIA_1997_33" w:history="1">
        <w:r w:rsidRPr="00CF552A">
          <w:rPr>
            <w:rStyle w:val="TextoNormalCaracter"/>
          </w:rPr>
          <w:t>33/1997</w:t>
        </w:r>
      </w:hyperlink>
      <w:r w:rsidRPr="00CF552A">
        <w:rPr>
          <w:rStyle w:val="TextoNormalCaracter"/>
        </w:rPr>
        <w:t>, f. 3.</w:t>
      </w:r>
    </w:p>
    <w:p w:rsidR="00CF552A" w:rsidRPr="00CF552A" w:rsidRDefault="00CF552A" w:rsidP="00CF552A">
      <w:pPr>
        <w:pStyle w:val="TextoNormalSangraFrancesa"/>
        <w:rPr>
          <w:rStyle w:val="TextoNormalCaracter"/>
        </w:rPr>
      </w:pPr>
      <w:r w:rsidRPr="00CF552A">
        <w:rPr>
          <w:rStyle w:val="TextoNormalCursivaCaracter"/>
        </w:rPr>
        <w:t xml:space="preserve">    Doctrina constitucional, </w:t>
      </w:r>
      <w:r w:rsidRPr="00CF552A">
        <w:rPr>
          <w:rStyle w:val="TextoNormalCaracter"/>
        </w:rPr>
        <w:t xml:space="preserve">Sentencia </w:t>
      </w:r>
      <w:hyperlink w:anchor="SENTENCIA_1997_10" w:history="1">
        <w:r w:rsidRPr="00CF552A">
          <w:rPr>
            <w:rStyle w:val="TextoNormalCaracter"/>
          </w:rPr>
          <w:t>10/1997</w:t>
        </w:r>
      </w:hyperlink>
      <w:r w:rsidRPr="00CF552A">
        <w:rPr>
          <w:rStyle w:val="TextoNormalCaracter"/>
        </w:rPr>
        <w:t>, f. 2.</w:t>
      </w:r>
    </w:p>
    <w:p w:rsidR="00CF552A" w:rsidRPr="00CF552A" w:rsidRDefault="00CF552A" w:rsidP="00CF552A">
      <w:pPr>
        <w:pStyle w:val="TextoNormalSangraFrancesa"/>
        <w:rPr>
          <w:rStyle w:val="TextoNormalNegritaCaracter"/>
        </w:rPr>
      </w:pPr>
      <w:r w:rsidRPr="00CF552A">
        <w:rPr>
          <w:rStyle w:val="TextoNormalCursivaCaracter"/>
        </w:rPr>
        <w:t>Derecho a utilizar los medios de prueba pertinentes</w:t>
      </w:r>
      <w:r>
        <w:t xml:space="preserve"> véase </w:t>
      </w:r>
      <w:hyperlink w:anchor="DESCRIPTORALFABETICO91" w:history="1">
        <w:r w:rsidRPr="00CF552A">
          <w:rPr>
            <w:rStyle w:val="TextoNormalNegritaCaracter"/>
          </w:rPr>
          <w:t>Derecho a la prueba</w:t>
        </w:r>
      </w:hyperlink>
    </w:p>
    <w:p w:rsidR="00CF552A" w:rsidRPr="00CF552A" w:rsidRDefault="00CF552A" w:rsidP="00CF552A">
      <w:pPr>
        <w:pStyle w:val="TextoNormalSangraFrancesa"/>
        <w:rPr>
          <w:rStyle w:val="TextoNormalCaracter"/>
        </w:rPr>
      </w:pPr>
      <w:bookmarkStart w:id="870" w:name="DESCRIPTORALFABETICO106"/>
      <w:r w:rsidRPr="00CF552A">
        <w:rPr>
          <w:rStyle w:val="TextoNormalNegritaCaracter"/>
        </w:rPr>
        <w:t>Derecho al honor</w:t>
      </w:r>
      <w:bookmarkEnd w:id="870"/>
      <w:r w:rsidRPr="00CF552A">
        <w:rPr>
          <w:rStyle w:val="TextoNormalCaracter"/>
        </w:rPr>
        <w:t xml:space="preserve">, Sentencia </w:t>
      </w:r>
      <w:hyperlink w:anchor="SENTENCIA_1997_3" w:history="1">
        <w:r w:rsidRPr="00CF552A">
          <w:rPr>
            <w:rStyle w:val="TextoNormalCaracter"/>
          </w:rPr>
          <w:t>3/1997</w:t>
        </w:r>
      </w:hyperlink>
      <w:r w:rsidRPr="00CF552A">
        <w:rPr>
          <w:rStyle w:val="TextoNormalCaracter"/>
        </w:rPr>
        <w:t>, ff. 6, 7.</w:t>
      </w:r>
    </w:p>
    <w:p w:rsidR="00CF552A" w:rsidRPr="00CF552A" w:rsidRDefault="00CF552A" w:rsidP="00CF552A">
      <w:pPr>
        <w:pStyle w:val="TextoNormalSangraFrancesa"/>
        <w:rPr>
          <w:rStyle w:val="TextoNormalCaracter"/>
        </w:rPr>
      </w:pPr>
      <w:bookmarkStart w:id="871" w:name="DESCRIPTORALFABETICO103"/>
      <w:r w:rsidRPr="00CF552A">
        <w:rPr>
          <w:rStyle w:val="TextoNormalNegritaCaracter"/>
        </w:rPr>
        <w:t>Derecho al juez legal</w:t>
      </w:r>
      <w:bookmarkEnd w:id="871"/>
      <w:r w:rsidRPr="00CF552A">
        <w:rPr>
          <w:rStyle w:val="TextoNormalCaracter"/>
        </w:rPr>
        <w:t xml:space="preserve">, Sentencias </w:t>
      </w:r>
      <w:hyperlink w:anchor="SENTENCIA_1997_22" w:history="1">
        <w:r w:rsidRPr="00CF552A">
          <w:rPr>
            <w:rStyle w:val="TextoNormalCaracter"/>
          </w:rPr>
          <w:t>22/1997</w:t>
        </w:r>
      </w:hyperlink>
      <w:r w:rsidRPr="00CF552A">
        <w:rPr>
          <w:rStyle w:val="TextoNormalCaracter"/>
        </w:rPr>
        <w:t xml:space="preserve">, ff. 2, 6; </w:t>
      </w:r>
      <w:hyperlink w:anchor="SENTENCIA_1997_64" w:history="1">
        <w:r w:rsidRPr="00CF552A">
          <w:rPr>
            <w:rStyle w:val="TextoNormalCaracter"/>
          </w:rPr>
          <w:t>64/1997</w:t>
        </w:r>
      </w:hyperlink>
      <w:r w:rsidRPr="00CF552A">
        <w:rPr>
          <w:rStyle w:val="TextoNormalCaracter"/>
        </w:rPr>
        <w:t>, ff. 2, 3.</w:t>
      </w:r>
    </w:p>
    <w:p w:rsidR="00CF552A" w:rsidRPr="00CF552A" w:rsidRDefault="00CF552A" w:rsidP="00CF552A">
      <w:pPr>
        <w:pStyle w:val="TextoNormalSangraFrancesa"/>
        <w:rPr>
          <w:rStyle w:val="TextoNormalCaracter"/>
        </w:rPr>
      </w:pPr>
      <w:r w:rsidRPr="00CF552A">
        <w:rPr>
          <w:rStyle w:val="TextoNormalCaracter"/>
        </w:rPr>
        <w:t xml:space="preserve">    Auto </w:t>
      </w:r>
      <w:hyperlink w:anchor="AUTO_1997_94" w:history="1">
        <w:r w:rsidRPr="00CF552A">
          <w:rPr>
            <w:rStyle w:val="TextoNormalCaracter"/>
          </w:rPr>
          <w:t>94/1997</w:t>
        </w:r>
      </w:hyperlink>
      <w:r w:rsidRPr="00CF552A">
        <w:rPr>
          <w:rStyle w:val="TextoNormalCaracter"/>
        </w:rPr>
        <w:t>.</w:t>
      </w:r>
    </w:p>
    <w:p w:rsidR="00CF552A" w:rsidRPr="00CF552A" w:rsidRDefault="00CF552A" w:rsidP="00CF552A">
      <w:pPr>
        <w:pStyle w:val="TextoNormalSangraFrancesa"/>
        <w:rPr>
          <w:rStyle w:val="TextoNormalCaracter"/>
        </w:rPr>
      </w:pPr>
      <w:r w:rsidRPr="00CF552A">
        <w:rPr>
          <w:rStyle w:val="TextoNormalCursivaCaracter"/>
        </w:rPr>
        <w:t xml:space="preserve">    Respetado, </w:t>
      </w:r>
      <w:r w:rsidRPr="00CF552A">
        <w:rPr>
          <w:rStyle w:val="TextoNormalCaracter"/>
        </w:rPr>
        <w:t xml:space="preserve">Sentencia </w:t>
      </w:r>
      <w:hyperlink w:anchor="SENTENCIA_1997_6" w:history="1">
        <w:r w:rsidRPr="00CF552A">
          <w:rPr>
            <w:rStyle w:val="TextoNormalCaracter"/>
          </w:rPr>
          <w:t>6/1997</w:t>
        </w:r>
      </w:hyperlink>
      <w:r w:rsidRPr="00CF552A">
        <w:rPr>
          <w:rStyle w:val="TextoNormalCaracter"/>
        </w:rPr>
        <w:t>, f. 3.</w:t>
      </w:r>
    </w:p>
    <w:p w:rsidR="00CF552A" w:rsidRPr="00CF552A" w:rsidRDefault="00CF552A" w:rsidP="00CF552A">
      <w:pPr>
        <w:pStyle w:val="TextoNormalSangraFrancesa"/>
        <w:rPr>
          <w:rStyle w:val="TextoNormalCaracter"/>
        </w:rPr>
      </w:pPr>
      <w:bookmarkStart w:id="872" w:name="DESCRIPTORALFABETICO63"/>
      <w:r w:rsidRPr="00CF552A">
        <w:rPr>
          <w:rStyle w:val="TextoNormalNegritaCaracter"/>
        </w:rPr>
        <w:t>Derecho al recurso legal</w:t>
      </w:r>
      <w:bookmarkEnd w:id="872"/>
      <w:r w:rsidRPr="00CF552A">
        <w:rPr>
          <w:rStyle w:val="TextoNormalCaracter"/>
        </w:rPr>
        <w:t xml:space="preserve">, Sentencias </w:t>
      </w:r>
      <w:hyperlink w:anchor="SENTENCIA_1997_9" w:history="1">
        <w:r w:rsidRPr="00CF552A">
          <w:rPr>
            <w:rStyle w:val="TextoNormalCaracter"/>
          </w:rPr>
          <w:t>9/1997</w:t>
        </w:r>
      </w:hyperlink>
      <w:r w:rsidRPr="00CF552A">
        <w:rPr>
          <w:rStyle w:val="TextoNormalCaracter"/>
        </w:rPr>
        <w:t xml:space="preserve">, f. 2; </w:t>
      </w:r>
      <w:hyperlink w:anchor="SENTENCIA_1997_76" w:history="1">
        <w:r w:rsidRPr="00CF552A">
          <w:rPr>
            <w:rStyle w:val="TextoNormalCaracter"/>
          </w:rPr>
          <w:t>76/1997</w:t>
        </w:r>
      </w:hyperlink>
      <w:r w:rsidRPr="00CF552A">
        <w:rPr>
          <w:rStyle w:val="TextoNormalCaracter"/>
        </w:rPr>
        <w:t>, f. 2.</w:t>
      </w:r>
    </w:p>
    <w:p w:rsidR="00CF552A" w:rsidRPr="00CF552A" w:rsidRDefault="00CF552A" w:rsidP="00CF552A">
      <w:pPr>
        <w:pStyle w:val="TextoNormalSangraFrancesa"/>
        <w:rPr>
          <w:rStyle w:val="TextoNormalCaracter"/>
        </w:rPr>
      </w:pPr>
      <w:r w:rsidRPr="00CF552A">
        <w:rPr>
          <w:rStyle w:val="TextoNormalCaracter"/>
        </w:rPr>
        <w:t xml:space="preserve">    Autos </w:t>
      </w:r>
      <w:hyperlink w:anchor="AUTO_1997_32" w:history="1">
        <w:r w:rsidRPr="00CF552A">
          <w:rPr>
            <w:rStyle w:val="TextoNormalCaracter"/>
          </w:rPr>
          <w:t>32/1997</w:t>
        </w:r>
      </w:hyperlink>
      <w:r w:rsidRPr="00CF552A">
        <w:rPr>
          <w:rStyle w:val="TextoNormalCaracter"/>
        </w:rPr>
        <w:t xml:space="preserve">; </w:t>
      </w:r>
      <w:hyperlink w:anchor="AUTO_1997_60" w:history="1">
        <w:r w:rsidRPr="00CF552A">
          <w:rPr>
            <w:rStyle w:val="TextoNormalCaracter"/>
          </w:rPr>
          <w:t>60/1997</w:t>
        </w:r>
      </w:hyperlink>
      <w:r w:rsidRPr="00CF552A">
        <w:rPr>
          <w:rStyle w:val="TextoNormalCaracter"/>
        </w:rPr>
        <w:t xml:space="preserve">; </w:t>
      </w:r>
      <w:hyperlink w:anchor="AUTO_1997_80" w:history="1">
        <w:r w:rsidRPr="00CF552A">
          <w:rPr>
            <w:rStyle w:val="TextoNormalCaracter"/>
          </w:rPr>
          <w:t>80/1997</w:t>
        </w:r>
      </w:hyperlink>
      <w:r w:rsidRPr="00CF552A">
        <w:rPr>
          <w:rStyle w:val="TextoNormalCaracter"/>
        </w:rPr>
        <w:t xml:space="preserve">; </w:t>
      </w:r>
      <w:hyperlink w:anchor="AUTO_1997_91" w:history="1">
        <w:r w:rsidRPr="00CF552A">
          <w:rPr>
            <w:rStyle w:val="TextoNormalCaracter"/>
          </w:rPr>
          <w:t>91/1997</w:t>
        </w:r>
      </w:hyperlink>
      <w:r w:rsidRPr="00CF552A">
        <w:rPr>
          <w:rStyle w:val="TextoNormalCaracter"/>
        </w:rPr>
        <w:t xml:space="preserve">; </w:t>
      </w:r>
      <w:hyperlink w:anchor="AUTO_1997_94" w:history="1">
        <w:r w:rsidRPr="00CF552A">
          <w:rPr>
            <w:rStyle w:val="TextoNormalCaracter"/>
          </w:rPr>
          <w:t>94/1997</w:t>
        </w:r>
      </w:hyperlink>
      <w:r w:rsidRPr="00CF552A">
        <w:rPr>
          <w:rStyle w:val="TextoNormalCaracter"/>
        </w:rPr>
        <w:t xml:space="preserve">; </w:t>
      </w:r>
      <w:hyperlink w:anchor="AUTO_1997_121" w:history="1">
        <w:r w:rsidRPr="00CF552A">
          <w:rPr>
            <w:rStyle w:val="TextoNormalCaracter"/>
          </w:rPr>
          <w:t>121/1997</w:t>
        </w:r>
      </w:hyperlink>
      <w:r w:rsidRPr="00CF552A">
        <w:rPr>
          <w:rStyle w:val="TextoNormalCaracter"/>
        </w:rPr>
        <w:t xml:space="preserve">; </w:t>
      </w:r>
      <w:hyperlink w:anchor="AUTO_1997_122" w:history="1">
        <w:r w:rsidRPr="00CF552A">
          <w:rPr>
            <w:rStyle w:val="TextoNormalCaracter"/>
          </w:rPr>
          <w:t>122/1997</w:t>
        </w:r>
      </w:hyperlink>
      <w:r w:rsidRPr="00CF552A">
        <w:rPr>
          <w:rStyle w:val="TextoNormalCaracter"/>
        </w:rPr>
        <w:t>.</w:t>
      </w:r>
    </w:p>
    <w:p w:rsidR="00CF552A" w:rsidRPr="00CF552A" w:rsidRDefault="00CF552A" w:rsidP="00CF552A">
      <w:pPr>
        <w:pStyle w:val="TextoNormalSangraFrancesa"/>
        <w:rPr>
          <w:rStyle w:val="TextoNormalCaracter"/>
        </w:rPr>
      </w:pPr>
      <w:bookmarkStart w:id="873" w:name="DESCRIPTORALFABETICO261"/>
      <w:r w:rsidRPr="00CF552A">
        <w:rPr>
          <w:rStyle w:val="TextoNormalNegritaCaracter"/>
        </w:rPr>
        <w:t>Derecho de alimentos</w:t>
      </w:r>
      <w:bookmarkEnd w:id="873"/>
      <w:r w:rsidRPr="00CF552A">
        <w:rPr>
          <w:rStyle w:val="TextoNormalCaracter"/>
        </w:rPr>
        <w:t xml:space="preserve">, Sentencia </w:t>
      </w:r>
      <w:hyperlink w:anchor="SENTENCIA_1997_74" w:history="1">
        <w:r w:rsidRPr="00CF552A">
          <w:rPr>
            <w:rStyle w:val="TextoNormalCaracter"/>
          </w:rPr>
          <w:t>74/1997</w:t>
        </w:r>
      </w:hyperlink>
      <w:r w:rsidRPr="00CF552A">
        <w:rPr>
          <w:rStyle w:val="TextoNormalCaracter"/>
        </w:rPr>
        <w:t>, f. 2.</w:t>
      </w:r>
    </w:p>
    <w:p w:rsidR="00CF552A" w:rsidRPr="00CF552A" w:rsidRDefault="00CF552A" w:rsidP="00CF552A">
      <w:pPr>
        <w:pStyle w:val="TextoNormalSangraFrancesa"/>
        <w:rPr>
          <w:rStyle w:val="TextoNormalCaracter"/>
        </w:rPr>
      </w:pPr>
      <w:bookmarkStart w:id="874" w:name="DESCRIPTORALFABETICO248"/>
      <w:r w:rsidRPr="00CF552A">
        <w:rPr>
          <w:rStyle w:val="TextoNormalNegritaCaracter"/>
        </w:rPr>
        <w:t>Derecho de propiedad</w:t>
      </w:r>
      <w:bookmarkEnd w:id="874"/>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 9.</w:t>
      </w:r>
    </w:p>
    <w:p w:rsidR="00CF552A" w:rsidRPr="00CF552A" w:rsidRDefault="00CF552A" w:rsidP="00CF552A">
      <w:pPr>
        <w:pStyle w:val="TextoNormalSangraFrancesa"/>
        <w:rPr>
          <w:rStyle w:val="TextoNormalCaracter"/>
        </w:rPr>
      </w:pPr>
      <w:bookmarkStart w:id="875" w:name="DESCRIPTORALFABETICO317"/>
      <w:r w:rsidRPr="00CF552A">
        <w:rPr>
          <w:rStyle w:val="TextoNormalNegritaCaracter"/>
        </w:rPr>
        <w:t>Derecho supletorio</w:t>
      </w:r>
      <w:bookmarkEnd w:id="875"/>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 12.</w:t>
      </w:r>
    </w:p>
    <w:p w:rsidR="00CF552A" w:rsidRPr="00CF552A" w:rsidRDefault="00CF552A" w:rsidP="00CF552A">
      <w:pPr>
        <w:pStyle w:val="TextoNormalSangraFrancesa"/>
        <w:rPr>
          <w:rStyle w:val="TextoNormalCaracter"/>
        </w:rPr>
      </w:pPr>
      <w:r w:rsidRPr="00CF552A">
        <w:rPr>
          <w:rStyle w:val="TextoNormalCursivaCaracter"/>
        </w:rPr>
        <w:t xml:space="preserve">    Doctrina constitucional, </w:t>
      </w:r>
      <w:r w:rsidRPr="00CF552A">
        <w:rPr>
          <w:rStyle w:val="TextoNormalCaracter"/>
        </w:rPr>
        <w:t xml:space="preserve">Sentencia </w:t>
      </w:r>
      <w:hyperlink w:anchor="SENTENCIA_1997_61" w:history="1">
        <w:r w:rsidRPr="00CF552A">
          <w:rPr>
            <w:rStyle w:val="TextoNormalCaracter"/>
          </w:rPr>
          <w:t>61/1997</w:t>
        </w:r>
      </w:hyperlink>
      <w:r w:rsidRPr="00CF552A">
        <w:rPr>
          <w:rStyle w:val="TextoNormalCaracter"/>
        </w:rPr>
        <w:t>, f. 12.</w:t>
      </w:r>
    </w:p>
    <w:p w:rsidR="00CF552A" w:rsidRPr="00CF552A" w:rsidRDefault="00CF552A" w:rsidP="00CF552A">
      <w:pPr>
        <w:pStyle w:val="TextoNormalSangraFrancesa"/>
        <w:rPr>
          <w:rStyle w:val="TextoNormalNegritaCaracter"/>
        </w:rPr>
      </w:pPr>
      <w:r w:rsidRPr="00CF552A">
        <w:rPr>
          <w:rStyle w:val="TextoNormalCursivaCaracter"/>
        </w:rPr>
        <w:t>Derechos &lt;em&gt;ex lege&lt;/em&gt;</w:t>
      </w:r>
      <w:r>
        <w:t xml:space="preserve"> véase </w:t>
      </w:r>
      <w:hyperlink w:anchor="DESCRIPTORALFABETICO107" w:history="1">
        <w:r w:rsidRPr="00CF552A">
          <w:rPr>
            <w:rStyle w:val="TextoNormalNegritaCaracter"/>
          </w:rPr>
          <w:t>Derechos de configuración legal</w:t>
        </w:r>
      </w:hyperlink>
    </w:p>
    <w:p w:rsidR="00CF552A" w:rsidRPr="00CF552A" w:rsidRDefault="00CF552A" w:rsidP="00CF552A">
      <w:pPr>
        <w:pStyle w:val="TextoNormalSangraFrancesa"/>
        <w:rPr>
          <w:rStyle w:val="TextoNormalCaracter"/>
        </w:rPr>
      </w:pPr>
      <w:bookmarkStart w:id="876" w:name="DESCRIPTORALFABETICO119"/>
      <w:r w:rsidRPr="00CF552A">
        <w:rPr>
          <w:rStyle w:val="TextoNormalNegritaCaracter"/>
        </w:rPr>
        <w:t>Derechos de carácter reaccional</w:t>
      </w:r>
      <w:bookmarkEnd w:id="876"/>
      <w:r w:rsidRPr="00CF552A">
        <w:rPr>
          <w:rStyle w:val="TextoNormalCaracter"/>
        </w:rPr>
        <w:t xml:space="preserve">, Auto </w:t>
      </w:r>
      <w:hyperlink w:anchor="AUTO_1997_30" w:history="1">
        <w:r w:rsidRPr="00CF552A">
          <w:rPr>
            <w:rStyle w:val="TextoNormalCaracter"/>
          </w:rPr>
          <w:t>30/1997</w:t>
        </w:r>
      </w:hyperlink>
      <w:r w:rsidRPr="00CF552A">
        <w:rPr>
          <w:rStyle w:val="TextoNormalCaracter"/>
        </w:rPr>
        <w:t>.</w:t>
      </w:r>
    </w:p>
    <w:p w:rsidR="00CF552A" w:rsidRPr="00CF552A" w:rsidRDefault="00CF552A" w:rsidP="00CF552A">
      <w:pPr>
        <w:pStyle w:val="TextoNormalSangraFrancesa"/>
        <w:rPr>
          <w:rStyle w:val="TextoNormalCaracter"/>
        </w:rPr>
      </w:pPr>
      <w:bookmarkStart w:id="877" w:name="DESCRIPTORALFABETICO107"/>
      <w:r w:rsidRPr="00CF552A">
        <w:rPr>
          <w:rStyle w:val="TextoNormalNegritaCaracter"/>
        </w:rPr>
        <w:t>Derechos de configuración legal</w:t>
      </w:r>
      <w:bookmarkEnd w:id="877"/>
      <w:r w:rsidRPr="00CF552A">
        <w:rPr>
          <w:rStyle w:val="TextoNormalCaracter"/>
        </w:rPr>
        <w:t xml:space="preserve">, Sentencias </w:t>
      </w:r>
      <w:hyperlink w:anchor="SENTENCIA_1997_9" w:history="1">
        <w:r w:rsidRPr="00CF552A">
          <w:rPr>
            <w:rStyle w:val="TextoNormalCaracter"/>
          </w:rPr>
          <w:t>9/1997</w:t>
        </w:r>
      </w:hyperlink>
      <w:r w:rsidRPr="00CF552A">
        <w:rPr>
          <w:rStyle w:val="TextoNormalCaracter"/>
        </w:rPr>
        <w:t xml:space="preserve">, f. 2; </w:t>
      </w:r>
      <w:hyperlink w:anchor="SENTENCIA_1997_48" w:history="1">
        <w:r w:rsidRPr="00CF552A">
          <w:rPr>
            <w:rStyle w:val="TextoNormalCaracter"/>
          </w:rPr>
          <w:t>48/1997</w:t>
        </w:r>
      </w:hyperlink>
      <w:r w:rsidRPr="00CF552A">
        <w:rPr>
          <w:rStyle w:val="TextoNormalCaracter"/>
        </w:rPr>
        <w:t xml:space="preserve">, f. 7; </w:t>
      </w:r>
      <w:hyperlink w:anchor="SENTENCIA_1997_75" w:history="1">
        <w:r w:rsidRPr="00CF552A">
          <w:rPr>
            <w:rStyle w:val="TextoNormalCaracter"/>
          </w:rPr>
          <w:t>75/1997</w:t>
        </w:r>
      </w:hyperlink>
      <w:r w:rsidRPr="00CF552A">
        <w:rPr>
          <w:rStyle w:val="TextoNormalCaracter"/>
        </w:rPr>
        <w:t xml:space="preserve">, f. 2; </w:t>
      </w:r>
      <w:hyperlink w:anchor="SENTENCIA_1997_76" w:history="1">
        <w:r w:rsidRPr="00CF552A">
          <w:rPr>
            <w:rStyle w:val="TextoNormalCaracter"/>
          </w:rPr>
          <w:t>76/1997</w:t>
        </w:r>
      </w:hyperlink>
      <w:r w:rsidRPr="00CF552A">
        <w:rPr>
          <w:rStyle w:val="TextoNormalCaracter"/>
        </w:rPr>
        <w:t>, f. 2.</w:t>
      </w:r>
    </w:p>
    <w:p w:rsidR="00CF552A" w:rsidRPr="00CF552A" w:rsidRDefault="00CF552A" w:rsidP="00CF552A">
      <w:pPr>
        <w:pStyle w:val="TextoNormalSangraFrancesa"/>
        <w:rPr>
          <w:rStyle w:val="TextoNormalCaracter"/>
        </w:rPr>
      </w:pPr>
      <w:bookmarkStart w:id="878" w:name="DESCRIPTORALFABETICO254"/>
      <w:r w:rsidRPr="00CF552A">
        <w:rPr>
          <w:rStyle w:val="TextoNormalNegritaCaracter"/>
        </w:rPr>
        <w:t>Derechos prestacionales</w:t>
      </w:r>
      <w:bookmarkEnd w:id="878"/>
      <w:r w:rsidRPr="00CF552A">
        <w:rPr>
          <w:rStyle w:val="TextoNormalCaracter"/>
        </w:rPr>
        <w:t xml:space="preserve">, Sentencia </w:t>
      </w:r>
      <w:hyperlink w:anchor="SENTENCIA_1997_18" w:history="1">
        <w:r w:rsidRPr="00CF552A">
          <w:rPr>
            <w:rStyle w:val="TextoNormalCaracter"/>
          </w:rPr>
          <w:t>18/1997</w:t>
        </w:r>
      </w:hyperlink>
      <w:r w:rsidRPr="00CF552A">
        <w:rPr>
          <w:rStyle w:val="TextoNormalCaracter"/>
        </w:rPr>
        <w:t>, f. 3.</w:t>
      </w:r>
    </w:p>
    <w:p w:rsidR="00CF552A" w:rsidRPr="00CF552A" w:rsidRDefault="00CF552A" w:rsidP="00CF552A">
      <w:pPr>
        <w:pStyle w:val="TextoNormalSangraFrancesa"/>
        <w:rPr>
          <w:rStyle w:val="TextoNormalNegritaCaracter"/>
        </w:rPr>
      </w:pPr>
      <w:r w:rsidRPr="00CF552A">
        <w:rPr>
          <w:rStyle w:val="TextoNormalCursivaCaracter"/>
        </w:rPr>
        <w:t>Derechos y libertades fundamentales</w:t>
      </w:r>
      <w:r>
        <w:t xml:space="preserve"> véase </w:t>
      </w:r>
      <w:hyperlink w:anchor="DESCRIPTORALFABETICO117" w:history="1">
        <w:r w:rsidRPr="00CF552A">
          <w:rPr>
            <w:rStyle w:val="TextoNormalNegritaCaracter"/>
          </w:rPr>
          <w:t>Teoría general de los derechos fundamentales</w:t>
        </w:r>
      </w:hyperlink>
    </w:p>
    <w:p w:rsidR="00CF552A" w:rsidRPr="00CF552A" w:rsidRDefault="00CF552A" w:rsidP="00CF552A">
      <w:pPr>
        <w:pStyle w:val="TextoNormalSangraFrancesa"/>
        <w:rPr>
          <w:rStyle w:val="TextoNormalCaracter"/>
        </w:rPr>
      </w:pPr>
      <w:bookmarkStart w:id="879" w:name="DESCRIPTORALFABETICO319"/>
      <w:r w:rsidRPr="00CF552A">
        <w:rPr>
          <w:rStyle w:val="TextoNormalNegritaCaracter"/>
        </w:rPr>
        <w:t>Derogación de normas jurídicas</w:t>
      </w:r>
      <w:bookmarkEnd w:id="879"/>
      <w:r w:rsidRPr="00CF552A">
        <w:rPr>
          <w:rStyle w:val="TextoNormalCaracter"/>
        </w:rPr>
        <w:t xml:space="preserve">, Sentencia </w:t>
      </w:r>
      <w:hyperlink w:anchor="SENTENCIA_1997_28" w:history="1">
        <w:r w:rsidRPr="00CF552A">
          <w:rPr>
            <w:rStyle w:val="TextoNormalCaracter"/>
          </w:rPr>
          <w:t>28/1997</w:t>
        </w:r>
      </w:hyperlink>
      <w:r w:rsidRPr="00CF552A">
        <w:rPr>
          <w:rStyle w:val="TextoNormalCaracter"/>
        </w:rPr>
        <w:t>, f. 3.</w:t>
      </w:r>
    </w:p>
    <w:p w:rsidR="00CF552A" w:rsidRPr="00CF552A" w:rsidRDefault="00CF552A" w:rsidP="00CF552A">
      <w:pPr>
        <w:pStyle w:val="TextoNormalSangraFrancesa"/>
        <w:rPr>
          <w:rStyle w:val="TextoNormalCaracter"/>
        </w:rPr>
      </w:pPr>
      <w:bookmarkStart w:id="880" w:name="DESCRIPTORALFABETICO320"/>
      <w:r w:rsidRPr="00CF552A">
        <w:rPr>
          <w:rStyle w:val="TextoNormalNegritaCaracter"/>
        </w:rPr>
        <w:t>Derogación mediante normas supletorias</w:t>
      </w:r>
      <w:bookmarkEnd w:id="880"/>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 12.</w:t>
      </w:r>
    </w:p>
    <w:p w:rsidR="00CF552A" w:rsidRPr="00CF552A" w:rsidRDefault="00CF552A" w:rsidP="00CF552A">
      <w:pPr>
        <w:pStyle w:val="TextoNormalSangraFrancesa"/>
        <w:rPr>
          <w:rStyle w:val="TextoNormalCaracter"/>
        </w:rPr>
      </w:pPr>
      <w:bookmarkStart w:id="881" w:name="DESCRIPTORALFABETICO240"/>
      <w:r w:rsidRPr="00CF552A">
        <w:rPr>
          <w:rStyle w:val="TextoNormalNegritaCaracter"/>
        </w:rPr>
        <w:t>Desarrollo del sector del libro</w:t>
      </w:r>
      <w:bookmarkEnd w:id="881"/>
      <w:r w:rsidRPr="00CF552A">
        <w:rPr>
          <w:rStyle w:val="TextoNormalCaracter"/>
        </w:rPr>
        <w:t xml:space="preserve">, Sentencia </w:t>
      </w:r>
      <w:hyperlink w:anchor="SENTENCIA_1997_71" w:history="1">
        <w:r w:rsidRPr="00CF552A">
          <w:rPr>
            <w:rStyle w:val="TextoNormalCaracter"/>
          </w:rPr>
          <w:t>71/1997</w:t>
        </w:r>
      </w:hyperlink>
      <w:r w:rsidRPr="00CF552A">
        <w:rPr>
          <w:rStyle w:val="TextoNormalCaracter"/>
        </w:rPr>
        <w:t>, f. 2.</w:t>
      </w:r>
    </w:p>
    <w:p w:rsidR="00CF552A" w:rsidRPr="00CF552A" w:rsidRDefault="00CF552A" w:rsidP="00CF552A">
      <w:pPr>
        <w:pStyle w:val="TextoNormalSangraFrancesa"/>
        <w:rPr>
          <w:rStyle w:val="TextoNormalCaracter"/>
        </w:rPr>
      </w:pPr>
      <w:bookmarkStart w:id="882" w:name="DESCRIPTORALFABETICO289"/>
      <w:r w:rsidRPr="00CF552A">
        <w:rPr>
          <w:rStyle w:val="TextoNormalNegritaCaracter"/>
        </w:rPr>
        <w:t>Desarrollo urbanístico</w:t>
      </w:r>
      <w:bookmarkEnd w:id="882"/>
      <w:r w:rsidRPr="00CF552A">
        <w:rPr>
          <w:rStyle w:val="TextoNormalCaracter"/>
        </w:rPr>
        <w:t xml:space="preserve">, Sentencia </w:t>
      </w:r>
      <w:hyperlink w:anchor="SENTENCIA_1997_28" w:history="1">
        <w:r w:rsidRPr="00CF552A">
          <w:rPr>
            <w:rStyle w:val="TextoNormalCaracter"/>
          </w:rPr>
          <w:t>28/1997</w:t>
        </w:r>
      </w:hyperlink>
      <w:r w:rsidRPr="00CF552A">
        <w:rPr>
          <w:rStyle w:val="TextoNormalCaracter"/>
        </w:rPr>
        <w:t>, f. 6.</w:t>
      </w:r>
    </w:p>
    <w:p w:rsidR="00CF552A" w:rsidRPr="00CF552A" w:rsidRDefault="00CF552A" w:rsidP="00CF552A">
      <w:pPr>
        <w:pStyle w:val="TextoNormalSangraFrancesa"/>
        <w:rPr>
          <w:rStyle w:val="TextoNormalCaracter"/>
        </w:rPr>
      </w:pPr>
      <w:bookmarkStart w:id="883" w:name="DESCRIPTORALFABETICO450"/>
      <w:r w:rsidRPr="00CF552A">
        <w:rPr>
          <w:rStyle w:val="TextoNormalNegritaCaracter"/>
        </w:rPr>
        <w:t>Desestimación de recurso contencioso-administrativo</w:t>
      </w:r>
      <w:bookmarkEnd w:id="883"/>
      <w:r w:rsidRPr="00CF552A">
        <w:rPr>
          <w:rStyle w:val="TextoNormalCaracter"/>
        </w:rPr>
        <w:t xml:space="preserve">, Sentencia </w:t>
      </w:r>
      <w:hyperlink w:anchor="SENTENCIA_1997_42" w:history="1">
        <w:r w:rsidRPr="00CF552A">
          <w:rPr>
            <w:rStyle w:val="TextoNormalCaracter"/>
          </w:rPr>
          <w:t>42/1997</w:t>
        </w:r>
      </w:hyperlink>
      <w:r w:rsidRPr="00CF552A">
        <w:rPr>
          <w:rStyle w:val="TextoNormalCaracter"/>
        </w:rPr>
        <w:t>, ff. 1, 2, 3, 4, 5, 6.</w:t>
      </w:r>
    </w:p>
    <w:p w:rsidR="00CF552A" w:rsidRPr="00CF552A" w:rsidRDefault="00CF552A" w:rsidP="00CF552A">
      <w:pPr>
        <w:pStyle w:val="TextoNormalSangraFrancesa"/>
        <w:rPr>
          <w:rStyle w:val="TextoNormalCaracter"/>
        </w:rPr>
      </w:pPr>
      <w:bookmarkStart w:id="884" w:name="DESCRIPTORALFABETICO144"/>
      <w:r w:rsidRPr="00CF552A">
        <w:rPr>
          <w:rStyle w:val="TextoNormalNegritaCaracter"/>
        </w:rPr>
        <w:t>Desestimación previa por el Tribunal Constitucional en idéntico supuesto</w:t>
      </w:r>
      <w:bookmarkEnd w:id="884"/>
      <w:r w:rsidRPr="00CF552A">
        <w:rPr>
          <w:rStyle w:val="TextoNormalCaracter"/>
        </w:rPr>
        <w:t xml:space="preserve">, Sentencia </w:t>
      </w:r>
      <w:hyperlink w:anchor="SENTENCIA_1997_72" w:history="1">
        <w:r w:rsidRPr="00CF552A">
          <w:rPr>
            <w:rStyle w:val="TextoNormalCaracter"/>
          </w:rPr>
          <w:t>72/1997</w:t>
        </w:r>
      </w:hyperlink>
      <w:r w:rsidRPr="00CF552A">
        <w:rPr>
          <w:rStyle w:val="TextoNormalCaracter"/>
        </w:rPr>
        <w:t>, f. único.</w:t>
      </w:r>
    </w:p>
    <w:p w:rsidR="00CF552A" w:rsidRPr="00CF552A" w:rsidRDefault="00CF552A" w:rsidP="00CF552A">
      <w:pPr>
        <w:pStyle w:val="TextoNormalSangraFrancesa"/>
        <w:rPr>
          <w:rStyle w:val="TextoNormalCaracter"/>
        </w:rPr>
      </w:pPr>
      <w:r w:rsidRPr="00CF552A">
        <w:rPr>
          <w:rStyle w:val="TextoNormalCaracter"/>
        </w:rPr>
        <w:t xml:space="preserve">    Auto </w:t>
      </w:r>
      <w:hyperlink w:anchor="AUTO_1997_120" w:history="1">
        <w:r w:rsidRPr="00CF552A">
          <w:rPr>
            <w:rStyle w:val="TextoNormalCaracter"/>
          </w:rPr>
          <w:t>120/1997</w:t>
        </w:r>
      </w:hyperlink>
      <w:r w:rsidRPr="00CF552A">
        <w:rPr>
          <w:rStyle w:val="TextoNormalCaracter"/>
        </w:rPr>
        <w:t>.</w:t>
      </w:r>
    </w:p>
    <w:p w:rsidR="00CF552A" w:rsidRPr="00CF552A" w:rsidRDefault="00CF552A" w:rsidP="00CF552A">
      <w:pPr>
        <w:pStyle w:val="TextoNormalSangraFrancesa"/>
        <w:rPr>
          <w:rStyle w:val="TextoNormalCaracter"/>
        </w:rPr>
      </w:pPr>
      <w:bookmarkStart w:id="885" w:name="DESCRIPTORALFABETICO146"/>
      <w:r w:rsidRPr="00CF552A">
        <w:rPr>
          <w:rStyle w:val="TextoNormalNegritaCaracter"/>
        </w:rPr>
        <w:t>Desistimiento en el conflicto positivo de competencia</w:t>
      </w:r>
      <w:bookmarkEnd w:id="885"/>
      <w:r w:rsidRPr="00CF552A">
        <w:rPr>
          <w:rStyle w:val="TextoNormalCaracter"/>
        </w:rPr>
        <w:t xml:space="preserve">, </w:t>
      </w:r>
    </w:p>
    <w:p w:rsidR="00CF552A" w:rsidRPr="00CF552A" w:rsidRDefault="00CF552A" w:rsidP="00CF552A">
      <w:pPr>
        <w:pStyle w:val="TextoNormalSangraFrancesa"/>
        <w:rPr>
          <w:rStyle w:val="TextoNormalCaracter"/>
        </w:rPr>
      </w:pPr>
      <w:r w:rsidRPr="00CF552A">
        <w:rPr>
          <w:rStyle w:val="TextoNormalCursivaCaracter"/>
        </w:rPr>
        <w:t xml:space="preserve">    Procedencia, </w:t>
      </w:r>
      <w:r w:rsidRPr="00CF552A">
        <w:rPr>
          <w:rStyle w:val="TextoNormalCaracter"/>
        </w:rPr>
        <w:t xml:space="preserve">Auto </w:t>
      </w:r>
      <w:hyperlink w:anchor="AUTO_1997_54" w:history="1">
        <w:r w:rsidRPr="00CF552A">
          <w:rPr>
            <w:rStyle w:val="TextoNormalCaracter"/>
          </w:rPr>
          <w:t>54/1997</w:t>
        </w:r>
      </w:hyperlink>
      <w:r w:rsidRPr="00CF552A">
        <w:rPr>
          <w:rStyle w:val="TextoNormalCaracter"/>
        </w:rPr>
        <w:t>.</w:t>
      </w:r>
    </w:p>
    <w:p w:rsidR="00CF552A" w:rsidRPr="00CF552A" w:rsidRDefault="00CF552A" w:rsidP="00CF552A">
      <w:pPr>
        <w:pStyle w:val="TextoNormalSangraFrancesa"/>
        <w:rPr>
          <w:rStyle w:val="TextoNormalCaracter"/>
        </w:rPr>
      </w:pPr>
      <w:bookmarkStart w:id="886" w:name="DESCRIPTORALFABETICO147"/>
      <w:r w:rsidRPr="00CF552A">
        <w:rPr>
          <w:rStyle w:val="TextoNormalNegritaCaracter"/>
        </w:rPr>
        <w:t>Desistimiento en el recurso de amparo</w:t>
      </w:r>
      <w:bookmarkEnd w:id="886"/>
      <w:r w:rsidRPr="00CF552A">
        <w:rPr>
          <w:rStyle w:val="TextoNormalCaracter"/>
        </w:rPr>
        <w:t xml:space="preserve">, </w:t>
      </w:r>
    </w:p>
    <w:p w:rsidR="00CF552A" w:rsidRPr="00CF552A" w:rsidRDefault="00CF552A" w:rsidP="00CF552A">
      <w:pPr>
        <w:pStyle w:val="TextoNormalSangraFrancesa"/>
        <w:rPr>
          <w:rStyle w:val="TextoNormalCaracter"/>
        </w:rPr>
      </w:pPr>
      <w:r w:rsidRPr="00CF552A">
        <w:rPr>
          <w:rStyle w:val="TextoNormalCursivaCaracter"/>
        </w:rPr>
        <w:t xml:space="preserve">    Procedencia, </w:t>
      </w:r>
      <w:r w:rsidRPr="00CF552A">
        <w:rPr>
          <w:rStyle w:val="TextoNormalCaracter"/>
        </w:rPr>
        <w:t xml:space="preserve">Auto </w:t>
      </w:r>
      <w:hyperlink w:anchor="AUTO_1997_21" w:history="1">
        <w:r w:rsidRPr="00CF552A">
          <w:rPr>
            <w:rStyle w:val="TextoNormalCaracter"/>
          </w:rPr>
          <w:t>21/1997</w:t>
        </w:r>
      </w:hyperlink>
      <w:r w:rsidRPr="00CF552A">
        <w:rPr>
          <w:rStyle w:val="TextoNormalCaracter"/>
        </w:rPr>
        <w:t>.</w:t>
      </w:r>
    </w:p>
    <w:p w:rsidR="00CF552A" w:rsidRPr="00CF552A" w:rsidRDefault="00CF552A" w:rsidP="00CF552A">
      <w:pPr>
        <w:pStyle w:val="TextoNormalSangraFrancesa"/>
        <w:rPr>
          <w:rStyle w:val="TextoNormalCaracter"/>
        </w:rPr>
      </w:pPr>
      <w:bookmarkStart w:id="887" w:name="DESCRIPTORALFABETICO360"/>
      <w:r w:rsidRPr="00CF552A">
        <w:rPr>
          <w:rStyle w:val="TextoNormalNegritaCaracter"/>
        </w:rPr>
        <w:t>Despido</w:t>
      </w:r>
      <w:bookmarkEnd w:id="887"/>
      <w:r w:rsidRPr="00CF552A">
        <w:rPr>
          <w:rStyle w:val="TextoNormalCaracter"/>
        </w:rPr>
        <w:t xml:space="preserve">, Sentencia </w:t>
      </w:r>
      <w:hyperlink w:anchor="SENTENCIA_1997_18" w:history="1">
        <w:r w:rsidRPr="00CF552A">
          <w:rPr>
            <w:rStyle w:val="TextoNormalCaracter"/>
          </w:rPr>
          <w:t>18/1997</w:t>
        </w:r>
      </w:hyperlink>
      <w:r w:rsidRPr="00CF552A">
        <w:rPr>
          <w:rStyle w:val="TextoNormalCaracter"/>
        </w:rPr>
        <w:t>, ff. 1, 2, 3, 4, 5, 6, 7, 8, 9.</w:t>
      </w:r>
    </w:p>
    <w:p w:rsidR="00CF552A" w:rsidRPr="00CF552A" w:rsidRDefault="00CF552A" w:rsidP="00CF552A">
      <w:pPr>
        <w:pStyle w:val="TextoNormalSangraFrancesa"/>
        <w:rPr>
          <w:rStyle w:val="TextoNormalCaracter"/>
        </w:rPr>
      </w:pPr>
      <w:bookmarkStart w:id="888" w:name="DESCRIPTORALFABETICO458"/>
      <w:r w:rsidRPr="00CF552A">
        <w:rPr>
          <w:rStyle w:val="TextoNormalNegritaCaracter"/>
        </w:rPr>
        <w:t>Detención ajustada a la normativa internacional</w:t>
      </w:r>
      <w:bookmarkEnd w:id="888"/>
      <w:r w:rsidRPr="00CF552A">
        <w:rPr>
          <w:rStyle w:val="TextoNormalCaracter"/>
        </w:rPr>
        <w:t xml:space="preserve">, Sentencia </w:t>
      </w:r>
      <w:hyperlink w:anchor="SENTENCIA_1997_21" w:history="1">
        <w:r w:rsidRPr="00CF552A">
          <w:rPr>
            <w:rStyle w:val="TextoNormalCaracter"/>
          </w:rPr>
          <w:t>21/1997</w:t>
        </w:r>
      </w:hyperlink>
      <w:r w:rsidRPr="00CF552A">
        <w:rPr>
          <w:rStyle w:val="TextoNormalCaracter"/>
        </w:rPr>
        <w:t>, f. 3.</w:t>
      </w:r>
    </w:p>
    <w:p w:rsidR="00CF552A" w:rsidRPr="00CF552A" w:rsidRDefault="00CF552A" w:rsidP="00CF552A">
      <w:pPr>
        <w:pStyle w:val="TextoNormalSangraFrancesa"/>
        <w:rPr>
          <w:rStyle w:val="TextoNormalCaracter"/>
        </w:rPr>
      </w:pPr>
      <w:bookmarkStart w:id="889" w:name="DESCRIPTORALFABETICO459"/>
      <w:r w:rsidRPr="00CF552A">
        <w:rPr>
          <w:rStyle w:val="TextoNormalNegritaCaracter"/>
        </w:rPr>
        <w:t>Detención practicada en alta mar</w:t>
      </w:r>
      <w:bookmarkEnd w:id="889"/>
      <w:r w:rsidRPr="00CF552A">
        <w:rPr>
          <w:rStyle w:val="TextoNormalCaracter"/>
        </w:rPr>
        <w:t xml:space="preserve">, Sentencia </w:t>
      </w:r>
      <w:hyperlink w:anchor="SENTENCIA_1997_21" w:history="1">
        <w:r w:rsidRPr="00CF552A">
          <w:rPr>
            <w:rStyle w:val="TextoNormalCaracter"/>
          </w:rPr>
          <w:t>21/1997</w:t>
        </w:r>
      </w:hyperlink>
      <w:r w:rsidRPr="00CF552A">
        <w:rPr>
          <w:rStyle w:val="TextoNormalCaracter"/>
        </w:rPr>
        <w:t>, ff. 3, 4.</w:t>
      </w:r>
    </w:p>
    <w:p w:rsidR="00CF552A" w:rsidRPr="00CF552A" w:rsidRDefault="00CF552A" w:rsidP="00CF552A">
      <w:pPr>
        <w:pStyle w:val="TextoNormalSangraFrancesa"/>
        <w:rPr>
          <w:rStyle w:val="TextoNormalCaracter"/>
        </w:rPr>
      </w:pPr>
      <w:bookmarkStart w:id="890" w:name="DESCRIPTORALFABETICO456"/>
      <w:r w:rsidRPr="00CF552A">
        <w:rPr>
          <w:rStyle w:val="TextoNormalNegritaCaracter"/>
        </w:rPr>
        <w:t>Detención preventiva</w:t>
      </w:r>
      <w:bookmarkEnd w:id="890"/>
      <w:r w:rsidRPr="00CF552A">
        <w:rPr>
          <w:rStyle w:val="TextoNormalCaracter"/>
        </w:rPr>
        <w:t xml:space="preserve">, Sentencia </w:t>
      </w:r>
      <w:hyperlink w:anchor="SENTENCIA_1997_68" w:history="1">
        <w:r w:rsidRPr="00CF552A">
          <w:rPr>
            <w:rStyle w:val="TextoNormalCaracter"/>
          </w:rPr>
          <w:t>68/1997</w:t>
        </w:r>
      </w:hyperlink>
      <w:r w:rsidRPr="00CF552A">
        <w:rPr>
          <w:rStyle w:val="TextoNormalCaracter"/>
        </w:rPr>
        <w:t>, f. 1.</w:t>
      </w:r>
    </w:p>
    <w:p w:rsidR="00CF552A" w:rsidRPr="00CF552A" w:rsidRDefault="00CF552A" w:rsidP="00CF552A">
      <w:pPr>
        <w:pStyle w:val="TextoNormalSangraFrancesa"/>
        <w:rPr>
          <w:rStyle w:val="TextoNormalCaracter"/>
        </w:rPr>
      </w:pPr>
      <w:bookmarkStart w:id="891" w:name="DESCRIPTORALFABETICO328"/>
      <w:r w:rsidRPr="00CF552A">
        <w:rPr>
          <w:rStyle w:val="TextoNormalNegritaCaracter"/>
        </w:rPr>
        <w:t>Determinación de la pena mínima</w:t>
      </w:r>
      <w:bookmarkEnd w:id="891"/>
      <w:r w:rsidRPr="00CF552A">
        <w:rPr>
          <w:rStyle w:val="TextoNormalCaracter"/>
        </w:rPr>
        <w:t xml:space="preserve">, Sentencia </w:t>
      </w:r>
      <w:hyperlink w:anchor="SENTENCIA_1997_43" w:history="1">
        <w:r w:rsidRPr="00CF552A">
          <w:rPr>
            <w:rStyle w:val="TextoNormalCaracter"/>
          </w:rPr>
          <w:t>43/1997</w:t>
        </w:r>
      </w:hyperlink>
      <w:r w:rsidRPr="00CF552A">
        <w:rPr>
          <w:rStyle w:val="TextoNormalCaracter"/>
        </w:rPr>
        <w:t>, ff. 5, 6.</w:t>
      </w:r>
    </w:p>
    <w:p w:rsidR="00CF552A" w:rsidRPr="00CF552A" w:rsidRDefault="00CF552A" w:rsidP="00CF552A">
      <w:pPr>
        <w:pStyle w:val="TextoNormalSangraFrancesa"/>
        <w:rPr>
          <w:rStyle w:val="TextoNormalCaracter"/>
        </w:rPr>
      </w:pPr>
      <w:bookmarkStart w:id="892" w:name="DESCRIPTORALFABETICO23"/>
      <w:r w:rsidRPr="00CF552A">
        <w:rPr>
          <w:rStyle w:val="TextoNormalNegritaCaracter"/>
        </w:rPr>
        <w:t>Deuda tributaria</w:t>
      </w:r>
      <w:bookmarkEnd w:id="892"/>
      <w:r w:rsidRPr="00CF552A">
        <w:rPr>
          <w:rStyle w:val="TextoNormalCaracter"/>
        </w:rPr>
        <w:t xml:space="preserve">, Sentencia </w:t>
      </w:r>
      <w:hyperlink w:anchor="SENTENCIA_1997_23" w:history="1">
        <w:r w:rsidRPr="00CF552A">
          <w:rPr>
            <w:rStyle w:val="TextoNormalCaracter"/>
          </w:rPr>
          <w:t>23/1997</w:t>
        </w:r>
      </w:hyperlink>
      <w:r w:rsidRPr="00CF552A">
        <w:rPr>
          <w:rStyle w:val="TextoNormalCaracter"/>
        </w:rPr>
        <w:t>, ff. 1, 2, 3, 4, 5, 6, 7.</w:t>
      </w:r>
    </w:p>
    <w:p w:rsidR="00CF552A" w:rsidRPr="00CF552A" w:rsidRDefault="00CF552A" w:rsidP="00CF552A">
      <w:pPr>
        <w:pStyle w:val="TextoNormalSangraFrancesa"/>
        <w:rPr>
          <w:rStyle w:val="TextoNormalCaracter"/>
        </w:rPr>
      </w:pPr>
      <w:bookmarkStart w:id="893" w:name="DESCRIPTORALFABETICO19"/>
      <w:r w:rsidRPr="00CF552A">
        <w:rPr>
          <w:rStyle w:val="TextoNormalNegritaCaracter"/>
        </w:rPr>
        <w:t>Deudas de la hacienda pública</w:t>
      </w:r>
      <w:bookmarkEnd w:id="893"/>
      <w:r w:rsidRPr="00CF552A">
        <w:rPr>
          <w:rStyle w:val="TextoNormalCaracter"/>
        </w:rPr>
        <w:t xml:space="preserve">, Sentencia </w:t>
      </w:r>
      <w:hyperlink w:anchor="SENTENCIA_1997_23" w:history="1">
        <w:r w:rsidRPr="00CF552A">
          <w:rPr>
            <w:rStyle w:val="TextoNormalCaracter"/>
          </w:rPr>
          <w:t>23/1997</w:t>
        </w:r>
      </w:hyperlink>
      <w:r w:rsidRPr="00CF552A">
        <w:rPr>
          <w:rStyle w:val="TextoNormalCaracter"/>
        </w:rPr>
        <w:t>, f. 2.</w:t>
      </w:r>
    </w:p>
    <w:p w:rsidR="00CF552A" w:rsidRPr="00CF552A" w:rsidRDefault="00CF552A" w:rsidP="00CF552A">
      <w:pPr>
        <w:pStyle w:val="TextoNormalSangraFrancesa"/>
        <w:rPr>
          <w:rStyle w:val="TextoNormalNegritaCaracter"/>
        </w:rPr>
      </w:pPr>
      <w:r w:rsidRPr="00CF552A">
        <w:rPr>
          <w:rStyle w:val="TextoNormalCursivaCaracter"/>
        </w:rPr>
        <w:lastRenderedPageBreak/>
        <w:t>Diferencia de retribuciones entre trabajadores de una empresa</w:t>
      </w:r>
      <w:r>
        <w:t xml:space="preserve"> véase </w:t>
      </w:r>
      <w:hyperlink w:anchor="DESCRIPTORALFABETICO359" w:history="1">
        <w:r w:rsidRPr="00CF552A">
          <w:rPr>
            <w:rStyle w:val="TextoNormalNegritaCaracter"/>
          </w:rPr>
          <w:t>Diferencias salariales</w:t>
        </w:r>
      </w:hyperlink>
    </w:p>
    <w:p w:rsidR="00CF552A" w:rsidRPr="00CF552A" w:rsidRDefault="00CF552A" w:rsidP="00CF552A">
      <w:pPr>
        <w:pStyle w:val="TextoNormalSangraFrancesa"/>
        <w:rPr>
          <w:rStyle w:val="TextoNormalNegritaCaracter"/>
        </w:rPr>
      </w:pPr>
      <w:r w:rsidRPr="00CF552A">
        <w:rPr>
          <w:rStyle w:val="TextoNormalCursivaCaracter"/>
        </w:rPr>
        <w:t>Diferencia de trato salarial</w:t>
      </w:r>
      <w:r>
        <w:t xml:space="preserve"> véase </w:t>
      </w:r>
      <w:hyperlink w:anchor="DESCRIPTORALFABETICO359" w:history="1">
        <w:r w:rsidRPr="00CF552A">
          <w:rPr>
            <w:rStyle w:val="TextoNormalNegritaCaracter"/>
          </w:rPr>
          <w:t>Diferencias salariales</w:t>
        </w:r>
      </w:hyperlink>
    </w:p>
    <w:p w:rsidR="00CF552A" w:rsidRPr="00CF552A" w:rsidRDefault="00CF552A" w:rsidP="00CF552A">
      <w:pPr>
        <w:pStyle w:val="TextoNormalSangraFrancesa"/>
        <w:rPr>
          <w:rStyle w:val="TextoNormalNegritaCaracter"/>
        </w:rPr>
      </w:pPr>
      <w:r w:rsidRPr="00CF552A">
        <w:rPr>
          <w:rStyle w:val="TextoNormalCursivaCaracter"/>
        </w:rPr>
        <w:t>Diferencias retributivas</w:t>
      </w:r>
      <w:r>
        <w:t xml:space="preserve"> véase </w:t>
      </w:r>
      <w:hyperlink w:anchor="DESCRIPTORALFABETICO359" w:history="1">
        <w:r w:rsidRPr="00CF552A">
          <w:rPr>
            <w:rStyle w:val="TextoNormalNegritaCaracter"/>
          </w:rPr>
          <w:t>Diferencias salariales</w:t>
        </w:r>
      </w:hyperlink>
    </w:p>
    <w:p w:rsidR="00CF552A" w:rsidRPr="00CF552A" w:rsidRDefault="00CF552A" w:rsidP="00CF552A">
      <w:pPr>
        <w:pStyle w:val="TextoNormalSangraFrancesa"/>
        <w:rPr>
          <w:rStyle w:val="TextoNormalCaracter"/>
        </w:rPr>
      </w:pPr>
      <w:bookmarkStart w:id="894" w:name="DESCRIPTORALFABETICO359"/>
      <w:r w:rsidRPr="00CF552A">
        <w:rPr>
          <w:rStyle w:val="TextoNormalNegritaCaracter"/>
        </w:rPr>
        <w:t>Diferencias salariales</w:t>
      </w:r>
      <w:bookmarkEnd w:id="894"/>
      <w:r w:rsidRPr="00CF552A">
        <w:rPr>
          <w:rStyle w:val="TextoNormalCaracter"/>
        </w:rPr>
        <w:t xml:space="preserve">, Sentencia </w:t>
      </w:r>
      <w:hyperlink w:anchor="SENTENCIA_1997_82" w:history="1">
        <w:r w:rsidRPr="00CF552A">
          <w:rPr>
            <w:rStyle w:val="TextoNormalCaracter"/>
          </w:rPr>
          <w:t>82/1997</w:t>
        </w:r>
      </w:hyperlink>
      <w:r w:rsidRPr="00CF552A">
        <w:rPr>
          <w:rStyle w:val="TextoNormalCaracter"/>
        </w:rPr>
        <w:t>, ff. 3, 4.</w:t>
      </w:r>
    </w:p>
    <w:p w:rsidR="00CF552A" w:rsidRPr="00CF552A" w:rsidRDefault="00CF552A" w:rsidP="00CF552A">
      <w:pPr>
        <w:pStyle w:val="TextoNormalSangraFrancesa"/>
        <w:rPr>
          <w:rStyle w:val="TextoNormalCaracter"/>
        </w:rPr>
      </w:pPr>
      <w:bookmarkStart w:id="895" w:name="DESCRIPTORALFABETICO394"/>
      <w:r w:rsidRPr="00CF552A">
        <w:rPr>
          <w:rStyle w:val="TextoNormalNegritaCaracter"/>
        </w:rPr>
        <w:t>Dilaciones en ejecución de sentencia</w:t>
      </w:r>
      <w:bookmarkEnd w:id="895"/>
      <w:r w:rsidRPr="00CF552A">
        <w:rPr>
          <w:rStyle w:val="TextoNormalCaracter"/>
        </w:rPr>
        <w:t xml:space="preserve">, Sentencia </w:t>
      </w:r>
      <w:hyperlink w:anchor="SENTENCIA_1997_33" w:history="1">
        <w:r w:rsidRPr="00CF552A">
          <w:rPr>
            <w:rStyle w:val="TextoNormalCaracter"/>
          </w:rPr>
          <w:t>33/1997</w:t>
        </w:r>
      </w:hyperlink>
      <w:r w:rsidRPr="00CF552A">
        <w:rPr>
          <w:rStyle w:val="TextoNormalCaracter"/>
        </w:rPr>
        <w:t>, f. 2.</w:t>
      </w:r>
    </w:p>
    <w:p w:rsidR="00CF552A" w:rsidRPr="00CF552A" w:rsidRDefault="00CF552A" w:rsidP="00CF552A">
      <w:pPr>
        <w:pStyle w:val="TextoNormalSangraFrancesa"/>
        <w:rPr>
          <w:rStyle w:val="TextoNormalCaracter"/>
        </w:rPr>
      </w:pPr>
      <w:bookmarkStart w:id="896" w:name="DESCRIPTORALFABETICO101"/>
      <w:r w:rsidRPr="00CF552A">
        <w:rPr>
          <w:rStyle w:val="TextoNormalNegritaCaracter"/>
        </w:rPr>
        <w:t>Dilaciones imputables al órgano judicial</w:t>
      </w:r>
      <w:bookmarkEnd w:id="896"/>
      <w:r w:rsidRPr="00CF552A">
        <w:rPr>
          <w:rStyle w:val="TextoNormalCaracter"/>
        </w:rPr>
        <w:t xml:space="preserve">, Sentencia </w:t>
      </w:r>
      <w:hyperlink w:anchor="SENTENCIA_1997_31" w:history="1">
        <w:r w:rsidRPr="00CF552A">
          <w:rPr>
            <w:rStyle w:val="TextoNormalCaracter"/>
          </w:rPr>
          <w:t>31/1997</w:t>
        </w:r>
      </w:hyperlink>
      <w:r w:rsidRPr="00CF552A">
        <w:rPr>
          <w:rStyle w:val="TextoNormalCaracter"/>
        </w:rPr>
        <w:t>, f. 2.</w:t>
      </w:r>
    </w:p>
    <w:p w:rsidR="00CF552A" w:rsidRPr="00CF552A" w:rsidRDefault="00CF552A" w:rsidP="00CF552A">
      <w:pPr>
        <w:pStyle w:val="TextoNormalSangraFrancesa"/>
        <w:rPr>
          <w:rStyle w:val="TextoNormalCaracter"/>
        </w:rPr>
      </w:pPr>
      <w:bookmarkStart w:id="897" w:name="DESCRIPTORALFABETICO393"/>
      <w:r w:rsidRPr="00CF552A">
        <w:rPr>
          <w:rStyle w:val="TextoNormalNegritaCaracter"/>
        </w:rPr>
        <w:t>Dilaciones indebidas en el procedimiento</w:t>
      </w:r>
      <w:bookmarkEnd w:id="897"/>
      <w:r w:rsidRPr="00CF552A">
        <w:rPr>
          <w:rStyle w:val="TextoNormalCaracter"/>
        </w:rPr>
        <w:t xml:space="preserve">, Sentencias </w:t>
      </w:r>
      <w:hyperlink w:anchor="SENTENCIA_1997_31" w:history="1">
        <w:r w:rsidRPr="00CF552A">
          <w:rPr>
            <w:rStyle w:val="TextoNormalCaracter"/>
          </w:rPr>
          <w:t>31/1997</w:t>
        </w:r>
      </w:hyperlink>
      <w:r w:rsidRPr="00CF552A">
        <w:rPr>
          <w:rStyle w:val="TextoNormalCaracter"/>
        </w:rPr>
        <w:t xml:space="preserve">, ff. 1, 2, 3; </w:t>
      </w:r>
      <w:hyperlink w:anchor="SENTENCIA_1997_33" w:history="1">
        <w:r w:rsidRPr="00CF552A">
          <w:rPr>
            <w:rStyle w:val="TextoNormalCaracter"/>
          </w:rPr>
          <w:t>33/1997</w:t>
        </w:r>
      </w:hyperlink>
      <w:r w:rsidRPr="00CF552A">
        <w:rPr>
          <w:rStyle w:val="TextoNormalCaracter"/>
        </w:rPr>
        <w:t>, f. 3.</w:t>
      </w:r>
    </w:p>
    <w:p w:rsidR="00CF552A" w:rsidRPr="00CF552A" w:rsidRDefault="00CF552A" w:rsidP="00CF552A">
      <w:pPr>
        <w:pStyle w:val="TextoNormalSangraFrancesa"/>
        <w:rPr>
          <w:rStyle w:val="TextoNormalCaracter"/>
        </w:rPr>
      </w:pPr>
      <w:bookmarkStart w:id="898" w:name="DESCRIPTORALFABETICO395"/>
      <w:r w:rsidRPr="00CF552A">
        <w:rPr>
          <w:rStyle w:val="TextoNormalNegritaCaracter"/>
        </w:rPr>
        <w:t>Diligencia de los órganos judiciales</w:t>
      </w:r>
      <w:bookmarkEnd w:id="898"/>
      <w:r w:rsidRPr="00CF552A">
        <w:rPr>
          <w:rStyle w:val="TextoNormalCaracter"/>
        </w:rPr>
        <w:t xml:space="preserve">, Sentencia </w:t>
      </w:r>
      <w:hyperlink w:anchor="SENTENCIA_1997_18" w:history="1">
        <w:r w:rsidRPr="00CF552A">
          <w:rPr>
            <w:rStyle w:val="TextoNormalCaracter"/>
          </w:rPr>
          <w:t>18/1997</w:t>
        </w:r>
      </w:hyperlink>
      <w:r w:rsidRPr="00CF552A">
        <w:rPr>
          <w:rStyle w:val="TextoNormalCaracter"/>
        </w:rPr>
        <w:t>, ff. 1, 2, 3, 4, 5, 6, 7, 8, 9.</w:t>
      </w:r>
    </w:p>
    <w:p w:rsidR="00CF552A" w:rsidRPr="00CF552A" w:rsidRDefault="00CF552A" w:rsidP="00CF552A">
      <w:pPr>
        <w:pStyle w:val="TextoNormalSangraFrancesa"/>
        <w:rPr>
          <w:rStyle w:val="TextoNormalCaracter"/>
        </w:rPr>
      </w:pPr>
      <w:bookmarkStart w:id="899" w:name="DESCRIPTORALFABETICO460"/>
      <w:r w:rsidRPr="00CF552A">
        <w:rPr>
          <w:rStyle w:val="TextoNormalNegritaCaracter"/>
        </w:rPr>
        <w:t>Diligencias policiales</w:t>
      </w:r>
      <w:bookmarkEnd w:id="899"/>
      <w:r w:rsidRPr="00CF552A">
        <w:rPr>
          <w:rStyle w:val="TextoNormalCaracter"/>
        </w:rPr>
        <w:t xml:space="preserve">, Sentencia </w:t>
      </w:r>
      <w:hyperlink w:anchor="SENTENCIA_1997_40" w:history="1">
        <w:r w:rsidRPr="00CF552A">
          <w:rPr>
            <w:rStyle w:val="TextoNormalCaracter"/>
          </w:rPr>
          <w:t>40/1997</w:t>
        </w:r>
      </w:hyperlink>
      <w:r w:rsidRPr="00CF552A">
        <w:rPr>
          <w:rStyle w:val="TextoNormalCaracter"/>
        </w:rPr>
        <w:t>, f. 4.</w:t>
      </w:r>
    </w:p>
    <w:p w:rsidR="00CF552A" w:rsidRPr="00CF552A" w:rsidRDefault="00CF552A" w:rsidP="00CF552A">
      <w:pPr>
        <w:pStyle w:val="TextoNormalSangraFrancesa"/>
        <w:rPr>
          <w:rStyle w:val="TextoNormalCaracter"/>
        </w:rPr>
      </w:pPr>
      <w:bookmarkStart w:id="900" w:name="DESCRIPTORALFABETICO84"/>
      <w:r w:rsidRPr="00CF552A">
        <w:rPr>
          <w:rStyle w:val="TextoNormalNegritaCaracter"/>
        </w:rPr>
        <w:t>Discriminación de hijos extramatrimoniales</w:t>
      </w:r>
      <w:bookmarkEnd w:id="900"/>
      <w:r w:rsidRPr="00CF552A">
        <w:rPr>
          <w:rStyle w:val="TextoNormalCaracter"/>
        </w:rPr>
        <w:t xml:space="preserve">, Sentencia </w:t>
      </w:r>
      <w:hyperlink w:anchor="SENTENCIA_1997_74" w:history="1">
        <w:r w:rsidRPr="00CF552A">
          <w:rPr>
            <w:rStyle w:val="TextoNormalCaracter"/>
          </w:rPr>
          <w:t>74/1997</w:t>
        </w:r>
      </w:hyperlink>
      <w:r w:rsidRPr="00CF552A">
        <w:rPr>
          <w:rStyle w:val="TextoNormalCaracter"/>
        </w:rPr>
        <w:t>, f. 3.</w:t>
      </w:r>
    </w:p>
    <w:p w:rsidR="00CF552A" w:rsidRPr="00CF552A" w:rsidRDefault="00CF552A" w:rsidP="00CF552A">
      <w:pPr>
        <w:pStyle w:val="TextoNormalSangraFrancesa"/>
        <w:rPr>
          <w:rStyle w:val="TextoNormalCaracter"/>
        </w:rPr>
      </w:pPr>
      <w:bookmarkStart w:id="901" w:name="DESCRIPTORALFABETICO83"/>
      <w:r w:rsidRPr="00CF552A">
        <w:rPr>
          <w:rStyle w:val="TextoNormalNegritaCaracter"/>
        </w:rPr>
        <w:t>Discriminación por razón de nacimiento</w:t>
      </w:r>
      <w:bookmarkEnd w:id="901"/>
      <w:r w:rsidRPr="00CF552A">
        <w:rPr>
          <w:rStyle w:val="TextoNormalCaracter"/>
        </w:rPr>
        <w:t xml:space="preserve">, Sentencia </w:t>
      </w:r>
      <w:hyperlink w:anchor="SENTENCIA_1997_74" w:history="1">
        <w:r w:rsidRPr="00CF552A">
          <w:rPr>
            <w:rStyle w:val="TextoNormalCaracter"/>
          </w:rPr>
          <w:t>74/1997</w:t>
        </w:r>
      </w:hyperlink>
      <w:r w:rsidRPr="00CF552A">
        <w:rPr>
          <w:rStyle w:val="TextoNormalCaracter"/>
        </w:rPr>
        <w:t>, f. 3, VP.</w:t>
      </w:r>
    </w:p>
    <w:p w:rsidR="00CF552A" w:rsidRPr="00CF552A" w:rsidRDefault="00CF552A" w:rsidP="00CF552A">
      <w:pPr>
        <w:pStyle w:val="TextoNormalSangraFrancesa"/>
        <w:rPr>
          <w:rStyle w:val="TextoNormalNegritaCaracter"/>
        </w:rPr>
      </w:pPr>
      <w:r w:rsidRPr="00CF552A">
        <w:rPr>
          <w:rStyle w:val="TextoNormalCursivaCaracter"/>
        </w:rPr>
        <w:t>Distribución de competencias</w:t>
      </w:r>
      <w:r>
        <w:t xml:space="preserve"> véase </w:t>
      </w:r>
      <w:hyperlink w:anchor="DESCRIPTORALFABETICO1" w:history="1">
        <w:r w:rsidRPr="00CF552A">
          <w:rPr>
            <w:rStyle w:val="TextoNormalNegritaCaracter"/>
          </w:rPr>
          <w:t>Orden constitucional de competencias</w:t>
        </w:r>
      </w:hyperlink>
    </w:p>
    <w:p w:rsidR="00CF552A" w:rsidRPr="00CF552A" w:rsidRDefault="00CF552A" w:rsidP="00CF552A">
      <w:pPr>
        <w:pStyle w:val="TextoNormalSangraFrancesa"/>
        <w:rPr>
          <w:rStyle w:val="TextoNormalCaracter"/>
        </w:rPr>
      </w:pPr>
      <w:bookmarkStart w:id="902" w:name="DESCRIPTORALFABETICO266"/>
      <w:r w:rsidRPr="00CF552A">
        <w:rPr>
          <w:rStyle w:val="TextoNormalNegritaCaracter"/>
        </w:rPr>
        <w:t>Divorcio</w:t>
      </w:r>
      <w:bookmarkEnd w:id="902"/>
      <w:r w:rsidRPr="00CF552A">
        <w:rPr>
          <w:rStyle w:val="TextoNormalCaracter"/>
        </w:rPr>
        <w:t xml:space="preserve">, Sentencia </w:t>
      </w:r>
      <w:hyperlink w:anchor="SENTENCIA_1997_6" w:history="1">
        <w:r w:rsidRPr="00CF552A">
          <w:rPr>
            <w:rStyle w:val="TextoNormalCaracter"/>
          </w:rPr>
          <w:t>6/1997</w:t>
        </w:r>
      </w:hyperlink>
      <w:r w:rsidRPr="00CF552A">
        <w:rPr>
          <w:rStyle w:val="TextoNormalCaracter"/>
        </w:rPr>
        <w:t>, f. 6.</w:t>
      </w:r>
    </w:p>
    <w:p w:rsidR="00CF552A" w:rsidRPr="00CF552A" w:rsidRDefault="00CF552A" w:rsidP="00CF552A">
      <w:pPr>
        <w:pStyle w:val="TextoNormalSangraFrancesa"/>
        <w:rPr>
          <w:rStyle w:val="TextoNormalCaracter"/>
        </w:rPr>
      </w:pPr>
      <w:bookmarkStart w:id="903" w:name="DESCRIPTORALFABETICO64"/>
      <w:r w:rsidRPr="00CF552A">
        <w:rPr>
          <w:rStyle w:val="TextoNormalNegritaCaracter"/>
        </w:rPr>
        <w:t>Doble instancia</w:t>
      </w:r>
      <w:bookmarkEnd w:id="903"/>
      <w:r w:rsidRPr="00CF552A">
        <w:rPr>
          <w:rStyle w:val="TextoNormalCaracter"/>
        </w:rPr>
        <w:t xml:space="preserve">, </w:t>
      </w:r>
    </w:p>
    <w:p w:rsidR="00CF552A" w:rsidRPr="00CF552A" w:rsidRDefault="00CF552A" w:rsidP="00CF552A">
      <w:pPr>
        <w:pStyle w:val="TextoNormalSangraFrancesa"/>
        <w:rPr>
          <w:rStyle w:val="TextoNormalCaracter"/>
        </w:rPr>
      </w:pPr>
      <w:r w:rsidRPr="00CF552A">
        <w:rPr>
          <w:rStyle w:val="TextoNormalCursivaCaracter"/>
        </w:rPr>
        <w:t xml:space="preserve">    Reconocimiento constitucional, </w:t>
      </w:r>
      <w:r w:rsidRPr="00CF552A">
        <w:rPr>
          <w:rStyle w:val="TextoNormalCaracter"/>
        </w:rPr>
        <w:t xml:space="preserve">Sentencia </w:t>
      </w:r>
      <w:hyperlink w:anchor="SENTENCIA_1997_76" w:history="1">
        <w:r w:rsidRPr="00CF552A">
          <w:rPr>
            <w:rStyle w:val="TextoNormalCaracter"/>
          </w:rPr>
          <w:t>76/1997</w:t>
        </w:r>
      </w:hyperlink>
      <w:r w:rsidRPr="00CF552A">
        <w:rPr>
          <w:rStyle w:val="TextoNormalCaracter"/>
        </w:rPr>
        <w:t>, f. 2.</w:t>
      </w:r>
    </w:p>
    <w:p w:rsidR="00CF552A" w:rsidRPr="00CF552A" w:rsidRDefault="00CF552A" w:rsidP="00CF552A">
      <w:pPr>
        <w:pStyle w:val="TextoNormalSangraFrancesa"/>
        <w:rPr>
          <w:rStyle w:val="TextoNormalCaracter"/>
        </w:rPr>
      </w:pPr>
      <w:bookmarkStart w:id="904" w:name="DESCRIPTORALFABETICO255"/>
      <w:r w:rsidRPr="00CF552A">
        <w:rPr>
          <w:rStyle w:val="TextoNormalNegritaCaracter"/>
        </w:rPr>
        <w:t>Dominio público</w:t>
      </w:r>
      <w:bookmarkEnd w:id="904"/>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 28.</w:t>
      </w:r>
    </w:p>
    <w:p w:rsidR="00CF552A" w:rsidRPr="00CF552A" w:rsidRDefault="00CF552A" w:rsidP="00CF552A">
      <w:pPr>
        <w:pStyle w:val="TextoNormalSangraFrancesa"/>
        <w:rPr>
          <w:rStyle w:val="TextoNormalCaracter"/>
        </w:rPr>
      </w:pPr>
      <w:bookmarkStart w:id="905" w:name="DESCRIPTORALFABETICO99"/>
      <w:r w:rsidRPr="00CF552A">
        <w:rPr>
          <w:rStyle w:val="TextoNormalNegritaCaracter"/>
        </w:rPr>
        <w:t>Duración desproporcionada del procedimiento</w:t>
      </w:r>
      <w:bookmarkEnd w:id="905"/>
      <w:r w:rsidRPr="00CF552A">
        <w:rPr>
          <w:rStyle w:val="TextoNormalCaracter"/>
        </w:rPr>
        <w:t xml:space="preserve">, Sentencias </w:t>
      </w:r>
      <w:hyperlink w:anchor="SENTENCIA_1997_31" w:history="1">
        <w:r w:rsidRPr="00CF552A">
          <w:rPr>
            <w:rStyle w:val="TextoNormalCaracter"/>
          </w:rPr>
          <w:t>31/1997</w:t>
        </w:r>
      </w:hyperlink>
      <w:r w:rsidRPr="00CF552A">
        <w:rPr>
          <w:rStyle w:val="TextoNormalCaracter"/>
        </w:rPr>
        <w:t xml:space="preserve">, f. 3; </w:t>
      </w:r>
      <w:hyperlink w:anchor="SENTENCIA_1997_33" w:history="1">
        <w:r w:rsidRPr="00CF552A">
          <w:rPr>
            <w:rStyle w:val="TextoNormalCaracter"/>
          </w:rPr>
          <w:t>33/1997</w:t>
        </w:r>
      </w:hyperlink>
      <w:r w:rsidRPr="00CF552A">
        <w:rPr>
          <w:rStyle w:val="TextoNormalCaracter"/>
        </w:rPr>
        <w:t xml:space="preserve">, f. 2; </w:t>
      </w:r>
      <w:hyperlink w:anchor="SENTENCIA_1997_66" w:history="1">
        <w:r w:rsidRPr="00CF552A">
          <w:rPr>
            <w:rStyle w:val="TextoNormalCaracter"/>
          </w:rPr>
          <w:t>66/1997</w:t>
        </w:r>
      </w:hyperlink>
      <w:r w:rsidRPr="00CF552A">
        <w:rPr>
          <w:rStyle w:val="TextoNormalCaracter"/>
        </w:rPr>
        <w:t>, f. 2.</w:t>
      </w:r>
    </w:p>
    <w:p w:rsidR="00CF552A" w:rsidRPr="00CF552A" w:rsidRDefault="00CF552A" w:rsidP="00CF552A">
      <w:pPr>
        <w:pStyle w:val="TextoNormalSangraFrancesa"/>
        <w:rPr>
          <w:rStyle w:val="TextoNormalNegritaCaracter"/>
        </w:rPr>
      </w:pPr>
      <w:r w:rsidRPr="00CF552A">
        <w:rPr>
          <w:rStyle w:val="TextoNormalCursivaCaracter"/>
        </w:rPr>
        <w:t>Duración máxima de la prisión provisional</w:t>
      </w:r>
      <w:r>
        <w:t xml:space="preserve"> véase </w:t>
      </w:r>
      <w:hyperlink w:anchor="DESCRIPTORALFABETICO470" w:history="1">
        <w:r w:rsidRPr="00CF552A">
          <w:rPr>
            <w:rStyle w:val="TextoNormalNegritaCaracter"/>
          </w:rPr>
          <w:t>Plazo máximo de prisión provisional</w:t>
        </w:r>
      </w:hyperlink>
    </w:p>
    <w:p w:rsidR="00CF552A" w:rsidRDefault="00CF552A" w:rsidP="00CF552A">
      <w:pPr>
        <w:pStyle w:val="TextoNormalSangraFrancesa"/>
      </w:pPr>
    </w:p>
    <w:p w:rsidR="00CF552A" w:rsidRDefault="00CF552A" w:rsidP="00CF552A">
      <w:pPr>
        <w:pStyle w:val="TextoNormalSangraFrancesa"/>
      </w:pPr>
    </w:p>
    <w:p w:rsidR="00CF552A" w:rsidRDefault="00CF552A" w:rsidP="00CF552A">
      <w:pPr>
        <w:pStyle w:val="TextoNormalNegritaCentrado"/>
      </w:pPr>
      <w:r>
        <w:t>E</w:t>
      </w:r>
    </w:p>
    <w:p w:rsidR="00CF552A" w:rsidRDefault="00CF552A" w:rsidP="00CF552A">
      <w:pPr>
        <w:pStyle w:val="TextoNormalNegritaCentrado"/>
      </w:pPr>
    </w:p>
    <w:p w:rsidR="00CF552A" w:rsidRDefault="00CF552A" w:rsidP="00CF552A">
      <w:pPr>
        <w:pStyle w:val="TextoNormalNegritaCentrado"/>
      </w:pPr>
    </w:p>
    <w:p w:rsidR="00CF552A" w:rsidRDefault="00CF552A" w:rsidP="00CF552A">
      <w:pPr>
        <w:pStyle w:val="TextoNormalNegritaCentrado"/>
      </w:pPr>
    </w:p>
    <w:p w:rsidR="00CF552A" w:rsidRPr="00CF552A" w:rsidRDefault="00CF552A" w:rsidP="00CF552A">
      <w:pPr>
        <w:pStyle w:val="TextoNormalSangraFrancesa"/>
        <w:rPr>
          <w:rStyle w:val="TextoNormalCaracter"/>
        </w:rPr>
      </w:pPr>
      <w:bookmarkStart w:id="906" w:name="DESCRIPTORALFABETICO102"/>
      <w:r w:rsidRPr="00CF552A">
        <w:rPr>
          <w:rStyle w:val="TextoNormalNegritaCaracter"/>
        </w:rPr>
        <w:t>Efectos del reconocimiento de dilaciones indebidas</w:t>
      </w:r>
      <w:bookmarkEnd w:id="906"/>
      <w:r w:rsidRPr="00CF552A">
        <w:rPr>
          <w:rStyle w:val="TextoNormalCaracter"/>
        </w:rPr>
        <w:t xml:space="preserve">, Sentencia </w:t>
      </w:r>
      <w:hyperlink w:anchor="SENTENCIA_1997_53" w:history="1">
        <w:r w:rsidRPr="00CF552A">
          <w:rPr>
            <w:rStyle w:val="TextoNormalCaracter"/>
          </w:rPr>
          <w:t>53/1997</w:t>
        </w:r>
      </w:hyperlink>
      <w:r w:rsidRPr="00CF552A">
        <w:rPr>
          <w:rStyle w:val="TextoNormalCaracter"/>
        </w:rPr>
        <w:t>, f. único.</w:t>
      </w:r>
    </w:p>
    <w:p w:rsidR="00CF552A" w:rsidRPr="00CF552A" w:rsidRDefault="00CF552A" w:rsidP="00CF552A">
      <w:pPr>
        <w:pStyle w:val="TextoNormalSangraFrancesa"/>
        <w:rPr>
          <w:rStyle w:val="TextoNormalCaracter"/>
        </w:rPr>
      </w:pPr>
      <w:bookmarkStart w:id="907" w:name="DESCRIPTORALFABETICO297"/>
      <w:r w:rsidRPr="00CF552A">
        <w:rPr>
          <w:rStyle w:val="TextoNormalNegritaCaracter"/>
        </w:rPr>
        <w:t>Eficacia civil de sentencias canónicas</w:t>
      </w:r>
      <w:bookmarkEnd w:id="907"/>
      <w:r w:rsidRPr="00CF552A">
        <w:rPr>
          <w:rStyle w:val="TextoNormalCaracter"/>
        </w:rPr>
        <w:t xml:space="preserve">, Sentencia </w:t>
      </w:r>
      <w:hyperlink w:anchor="SENTENCIA_1997_6" w:history="1">
        <w:r w:rsidRPr="00CF552A">
          <w:rPr>
            <w:rStyle w:val="TextoNormalCaracter"/>
          </w:rPr>
          <w:t>6/1997</w:t>
        </w:r>
      </w:hyperlink>
      <w:r w:rsidRPr="00CF552A">
        <w:rPr>
          <w:rStyle w:val="TextoNormalCaracter"/>
        </w:rPr>
        <w:t>, ff. 5, 6.</w:t>
      </w:r>
    </w:p>
    <w:p w:rsidR="00CF552A" w:rsidRPr="00CF552A" w:rsidRDefault="00CF552A" w:rsidP="00CF552A">
      <w:pPr>
        <w:pStyle w:val="TextoNormalSangraFrancesa"/>
        <w:rPr>
          <w:rStyle w:val="TextoNormalCaracter"/>
        </w:rPr>
      </w:pPr>
      <w:bookmarkStart w:id="908" w:name="DESCRIPTORALFABETICO396"/>
      <w:r w:rsidRPr="00CF552A">
        <w:rPr>
          <w:rStyle w:val="TextoNormalNegritaCaracter"/>
        </w:rPr>
        <w:t>Ejecución de sentencias</w:t>
      </w:r>
      <w:bookmarkEnd w:id="908"/>
      <w:r w:rsidRPr="00CF552A">
        <w:rPr>
          <w:rStyle w:val="TextoNormalCaracter"/>
        </w:rPr>
        <w:t xml:space="preserve">, Sentencia </w:t>
      </w:r>
      <w:hyperlink w:anchor="SENTENCIA_1997_18" w:history="1">
        <w:r w:rsidRPr="00CF552A">
          <w:rPr>
            <w:rStyle w:val="TextoNormalCaracter"/>
          </w:rPr>
          <w:t>18/1997</w:t>
        </w:r>
      </w:hyperlink>
      <w:r w:rsidRPr="00CF552A">
        <w:rPr>
          <w:rStyle w:val="TextoNormalCaracter"/>
        </w:rPr>
        <w:t>, ff. 1, 2, 3, 4, 5, 6, 7, 8, 9.</w:t>
      </w:r>
    </w:p>
    <w:p w:rsidR="00CF552A" w:rsidRPr="00CF552A" w:rsidRDefault="00CF552A" w:rsidP="00CF552A">
      <w:pPr>
        <w:pStyle w:val="TextoNormalSangraFrancesa"/>
        <w:rPr>
          <w:rStyle w:val="TextoNormalCaracter"/>
        </w:rPr>
      </w:pPr>
      <w:r w:rsidRPr="00CF552A">
        <w:rPr>
          <w:rStyle w:val="TextoNormalCursivaCaracter"/>
        </w:rPr>
        <w:t xml:space="preserve">    Contenido, </w:t>
      </w:r>
      <w:r w:rsidRPr="00CF552A">
        <w:rPr>
          <w:rStyle w:val="TextoNormalCaracter"/>
        </w:rPr>
        <w:t xml:space="preserve">Sentencia </w:t>
      </w:r>
      <w:hyperlink w:anchor="SENTENCIA_1997_18" w:history="1">
        <w:r w:rsidRPr="00CF552A">
          <w:rPr>
            <w:rStyle w:val="TextoNormalCaracter"/>
          </w:rPr>
          <w:t>18/1997</w:t>
        </w:r>
      </w:hyperlink>
      <w:r w:rsidRPr="00CF552A">
        <w:rPr>
          <w:rStyle w:val="TextoNormalCaracter"/>
        </w:rPr>
        <w:t>, f. 3.</w:t>
      </w:r>
    </w:p>
    <w:p w:rsidR="00CF552A" w:rsidRPr="00CF552A" w:rsidRDefault="00CF552A" w:rsidP="00CF552A">
      <w:pPr>
        <w:pStyle w:val="TextoNormalSangraFrancesa"/>
        <w:rPr>
          <w:rStyle w:val="TextoNormalCaracter"/>
        </w:rPr>
      </w:pPr>
      <w:r w:rsidRPr="00CF552A">
        <w:rPr>
          <w:rStyle w:val="TextoNormalCursivaCaracter"/>
        </w:rPr>
        <w:t xml:space="preserve">    Doctrina constitucional, </w:t>
      </w:r>
      <w:r w:rsidRPr="00CF552A">
        <w:rPr>
          <w:rStyle w:val="TextoNormalCaracter"/>
        </w:rPr>
        <w:t xml:space="preserve">Sentencia </w:t>
      </w:r>
      <w:hyperlink w:anchor="SENTENCIA_1997_1" w:history="1">
        <w:r w:rsidRPr="00CF552A">
          <w:rPr>
            <w:rStyle w:val="TextoNormalCaracter"/>
          </w:rPr>
          <w:t>1/1997</w:t>
        </w:r>
      </w:hyperlink>
      <w:r w:rsidRPr="00CF552A">
        <w:rPr>
          <w:rStyle w:val="TextoNormalCaracter"/>
        </w:rPr>
        <w:t>, f. 3.</w:t>
      </w:r>
    </w:p>
    <w:p w:rsidR="00CF552A" w:rsidRPr="00CF552A" w:rsidRDefault="00CF552A" w:rsidP="00CF552A">
      <w:pPr>
        <w:pStyle w:val="TextoNormalSangraFrancesa"/>
        <w:rPr>
          <w:rStyle w:val="TextoNormalCaracter"/>
        </w:rPr>
      </w:pPr>
      <w:bookmarkStart w:id="909" w:name="DESCRIPTORALFABETICO397"/>
      <w:r w:rsidRPr="00CF552A">
        <w:rPr>
          <w:rStyle w:val="TextoNormalNegritaCaracter"/>
        </w:rPr>
        <w:t>Ejecución de sentencias sobre bienes de Estado extranjero</w:t>
      </w:r>
      <w:bookmarkEnd w:id="909"/>
      <w:r w:rsidRPr="00CF552A">
        <w:rPr>
          <w:rStyle w:val="TextoNormalCaracter"/>
        </w:rPr>
        <w:t xml:space="preserve">, Sentencia </w:t>
      </w:r>
      <w:hyperlink w:anchor="SENTENCIA_1997_18" w:history="1">
        <w:r w:rsidRPr="00CF552A">
          <w:rPr>
            <w:rStyle w:val="TextoNormalCaracter"/>
          </w:rPr>
          <w:t>18/1997</w:t>
        </w:r>
      </w:hyperlink>
      <w:r w:rsidRPr="00CF552A">
        <w:rPr>
          <w:rStyle w:val="TextoNormalCaracter"/>
        </w:rPr>
        <w:t>, ff. 1, 2, 3, 4, 5, 6, 7, 8, 9.</w:t>
      </w:r>
    </w:p>
    <w:p w:rsidR="00CF552A" w:rsidRPr="00CF552A" w:rsidRDefault="00CF552A" w:rsidP="00CF552A">
      <w:pPr>
        <w:pStyle w:val="TextoNormalSangraFrancesa"/>
        <w:rPr>
          <w:rStyle w:val="TextoNormalCaracter"/>
        </w:rPr>
      </w:pPr>
      <w:bookmarkStart w:id="910" w:name="DESCRIPTORALFABETICO291"/>
      <w:r w:rsidRPr="00CF552A">
        <w:rPr>
          <w:rStyle w:val="TextoNormalNegritaCaracter"/>
        </w:rPr>
        <w:t>Ejecución del planeamiento urbanístico</w:t>
      </w:r>
      <w:bookmarkEnd w:id="910"/>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 27.</w:t>
      </w:r>
    </w:p>
    <w:p w:rsidR="00CF552A" w:rsidRPr="00CF552A" w:rsidRDefault="00CF552A" w:rsidP="00CF552A">
      <w:pPr>
        <w:pStyle w:val="TextoNormalSangraFrancesa"/>
        <w:rPr>
          <w:rStyle w:val="TextoNormalNegritaCaracter"/>
        </w:rPr>
      </w:pPr>
      <w:r w:rsidRPr="00CF552A">
        <w:rPr>
          <w:rStyle w:val="TextoNormalCursivaCaracter"/>
        </w:rPr>
        <w:t>Ejecutividad de las sentencias</w:t>
      </w:r>
      <w:r>
        <w:t xml:space="preserve"> véase </w:t>
      </w:r>
      <w:hyperlink w:anchor="DESCRIPTORALFABETICO396" w:history="1">
        <w:r w:rsidRPr="00CF552A">
          <w:rPr>
            <w:rStyle w:val="TextoNormalNegritaCaracter"/>
          </w:rPr>
          <w:t>Ejecución de sentencias</w:t>
        </w:r>
      </w:hyperlink>
    </w:p>
    <w:p w:rsidR="00CF552A" w:rsidRPr="00CF552A" w:rsidRDefault="00CF552A" w:rsidP="00CF552A">
      <w:pPr>
        <w:pStyle w:val="TextoNormalSangraFrancesa"/>
        <w:rPr>
          <w:rStyle w:val="TextoNormalCaracter"/>
        </w:rPr>
      </w:pPr>
      <w:bookmarkStart w:id="911" w:name="DESCRIPTORALFABETICO109"/>
      <w:r w:rsidRPr="00CF552A">
        <w:rPr>
          <w:rStyle w:val="TextoNormalNegritaCaracter"/>
        </w:rPr>
        <w:t>Ejercicio de la libertad de expresión</w:t>
      </w:r>
      <w:bookmarkEnd w:id="911"/>
      <w:r w:rsidRPr="00CF552A">
        <w:rPr>
          <w:rStyle w:val="TextoNormalCaracter"/>
        </w:rPr>
        <w:t xml:space="preserve">, Sentencia </w:t>
      </w:r>
      <w:hyperlink w:anchor="SENTENCIA_1997_3" w:history="1">
        <w:r w:rsidRPr="00CF552A">
          <w:rPr>
            <w:rStyle w:val="TextoNormalCaracter"/>
          </w:rPr>
          <w:t>3/1997</w:t>
        </w:r>
      </w:hyperlink>
      <w:r w:rsidRPr="00CF552A">
        <w:rPr>
          <w:rStyle w:val="TextoNormalCaracter"/>
        </w:rPr>
        <w:t>, f. 5.</w:t>
      </w:r>
    </w:p>
    <w:p w:rsidR="00CF552A" w:rsidRPr="00CF552A" w:rsidRDefault="00CF552A" w:rsidP="00CF552A">
      <w:pPr>
        <w:pStyle w:val="TextoNormalSangraFrancesa"/>
        <w:rPr>
          <w:rStyle w:val="TextoNormalCaracter"/>
        </w:rPr>
      </w:pPr>
      <w:bookmarkStart w:id="912" w:name="DESCRIPTORALFABETICO352"/>
      <w:r w:rsidRPr="00CF552A">
        <w:rPr>
          <w:rStyle w:val="TextoNormalNegritaCaracter"/>
        </w:rPr>
        <w:t>Elecciones sindicales</w:t>
      </w:r>
      <w:bookmarkEnd w:id="912"/>
      <w:r w:rsidRPr="00CF552A">
        <w:rPr>
          <w:rStyle w:val="TextoNormalCaracter"/>
        </w:rPr>
        <w:t xml:space="preserve">, Sentencias </w:t>
      </w:r>
      <w:hyperlink w:anchor="SENTENCIA_1997_13" w:history="1">
        <w:r w:rsidRPr="00CF552A">
          <w:rPr>
            <w:rStyle w:val="TextoNormalCaracter"/>
          </w:rPr>
          <w:t>13/1997</w:t>
        </w:r>
      </w:hyperlink>
      <w:r w:rsidRPr="00CF552A">
        <w:rPr>
          <w:rStyle w:val="TextoNormalCaracter"/>
        </w:rPr>
        <w:t xml:space="preserve">, ff. 3, 4; </w:t>
      </w:r>
      <w:hyperlink w:anchor="SENTENCIA_1997_52" w:history="1">
        <w:r w:rsidRPr="00CF552A">
          <w:rPr>
            <w:rStyle w:val="TextoNormalCaracter"/>
          </w:rPr>
          <w:t>52/1997</w:t>
        </w:r>
      </w:hyperlink>
      <w:r w:rsidRPr="00CF552A">
        <w:rPr>
          <w:rStyle w:val="TextoNormalCaracter"/>
        </w:rPr>
        <w:t>, ff. 2, 4.</w:t>
      </w:r>
    </w:p>
    <w:p w:rsidR="00CF552A" w:rsidRPr="00CF552A" w:rsidRDefault="00CF552A" w:rsidP="00CF552A">
      <w:pPr>
        <w:pStyle w:val="TextoNormalSangraFrancesa"/>
        <w:rPr>
          <w:rStyle w:val="TextoNormalCaracter"/>
        </w:rPr>
      </w:pPr>
      <w:bookmarkStart w:id="913" w:name="DESCRIPTORALFABETICO379"/>
      <w:r w:rsidRPr="00CF552A">
        <w:rPr>
          <w:rStyle w:val="TextoNormalNegritaCaracter"/>
        </w:rPr>
        <w:t>Emplazamiento edictal</w:t>
      </w:r>
      <w:bookmarkEnd w:id="913"/>
      <w:r w:rsidRPr="00CF552A">
        <w:rPr>
          <w:rStyle w:val="TextoNormalCaracter"/>
        </w:rPr>
        <w:t xml:space="preserve">, Sentencia </w:t>
      </w:r>
      <w:hyperlink w:anchor="SENTENCIA_1997_86" w:history="1">
        <w:r w:rsidRPr="00CF552A">
          <w:rPr>
            <w:rStyle w:val="TextoNormalCaracter"/>
          </w:rPr>
          <w:t>86/1997</w:t>
        </w:r>
      </w:hyperlink>
      <w:r w:rsidRPr="00CF552A">
        <w:rPr>
          <w:rStyle w:val="TextoNormalCaracter"/>
        </w:rPr>
        <w:t>, ff. 1, 2, 3, 4.</w:t>
      </w:r>
    </w:p>
    <w:p w:rsidR="00CF552A" w:rsidRPr="00CF552A" w:rsidRDefault="00CF552A" w:rsidP="00CF552A">
      <w:pPr>
        <w:pStyle w:val="TextoNormalSangraFrancesa"/>
        <w:rPr>
          <w:rStyle w:val="TextoNormalCaracter"/>
        </w:rPr>
      </w:pPr>
      <w:r w:rsidRPr="00CF552A">
        <w:rPr>
          <w:rStyle w:val="TextoNormalCursivaCaracter"/>
        </w:rPr>
        <w:t xml:space="preserve">    Doctrina constitucional, </w:t>
      </w:r>
      <w:r w:rsidRPr="00CF552A">
        <w:rPr>
          <w:rStyle w:val="TextoNormalCaracter"/>
        </w:rPr>
        <w:t xml:space="preserve">Sentencias </w:t>
      </w:r>
      <w:hyperlink w:anchor="SENTENCIA_1997_5" w:history="1">
        <w:r w:rsidRPr="00CF552A">
          <w:rPr>
            <w:rStyle w:val="TextoNormalCaracter"/>
          </w:rPr>
          <w:t>5/1997</w:t>
        </w:r>
      </w:hyperlink>
      <w:r w:rsidRPr="00CF552A">
        <w:rPr>
          <w:rStyle w:val="TextoNormalCaracter"/>
        </w:rPr>
        <w:t xml:space="preserve">, f. 3; </w:t>
      </w:r>
      <w:hyperlink w:anchor="SENTENCIA_1997_8" w:history="1">
        <w:r w:rsidRPr="00CF552A">
          <w:rPr>
            <w:rStyle w:val="TextoNormalCaracter"/>
          </w:rPr>
          <w:t>8/1997</w:t>
        </w:r>
      </w:hyperlink>
      <w:r w:rsidRPr="00CF552A">
        <w:rPr>
          <w:rStyle w:val="TextoNormalCaracter"/>
        </w:rPr>
        <w:t xml:space="preserve">, f. 4; </w:t>
      </w:r>
      <w:hyperlink w:anchor="SENTENCIA_1997_29" w:history="1">
        <w:r w:rsidRPr="00CF552A">
          <w:rPr>
            <w:rStyle w:val="TextoNormalCaracter"/>
          </w:rPr>
          <w:t>29/1997</w:t>
        </w:r>
      </w:hyperlink>
      <w:r w:rsidRPr="00CF552A">
        <w:rPr>
          <w:rStyle w:val="TextoNormalCaracter"/>
        </w:rPr>
        <w:t xml:space="preserve">, f. 3; </w:t>
      </w:r>
      <w:hyperlink w:anchor="SENTENCIA_1997_86" w:history="1">
        <w:r w:rsidRPr="00CF552A">
          <w:rPr>
            <w:rStyle w:val="TextoNormalCaracter"/>
          </w:rPr>
          <w:t>86/1997</w:t>
        </w:r>
      </w:hyperlink>
      <w:r w:rsidRPr="00CF552A">
        <w:rPr>
          <w:rStyle w:val="TextoNormalCaracter"/>
        </w:rPr>
        <w:t>, f. 1.</w:t>
      </w:r>
    </w:p>
    <w:p w:rsidR="00CF552A" w:rsidRPr="00CF552A" w:rsidRDefault="00CF552A" w:rsidP="00CF552A">
      <w:pPr>
        <w:pStyle w:val="TextoNormalSangraFrancesa"/>
        <w:rPr>
          <w:rStyle w:val="TextoNormalCaracter"/>
        </w:rPr>
      </w:pPr>
      <w:r w:rsidRPr="00CF552A">
        <w:rPr>
          <w:rStyle w:val="TextoNormalCaracter"/>
        </w:rPr>
        <w:t xml:space="preserve">    Auto </w:t>
      </w:r>
      <w:hyperlink w:anchor="AUTO_1997_24" w:history="1">
        <w:r w:rsidRPr="00CF552A">
          <w:rPr>
            <w:rStyle w:val="TextoNormalCaracter"/>
          </w:rPr>
          <w:t>24/1997</w:t>
        </w:r>
      </w:hyperlink>
      <w:r w:rsidRPr="00CF552A">
        <w:rPr>
          <w:rStyle w:val="TextoNormalCaracter"/>
        </w:rPr>
        <w:t>.</w:t>
      </w:r>
    </w:p>
    <w:p w:rsidR="00CF552A" w:rsidRPr="00CF552A" w:rsidRDefault="00CF552A" w:rsidP="00CF552A">
      <w:pPr>
        <w:pStyle w:val="TextoNormalSangraFrancesa"/>
        <w:rPr>
          <w:rStyle w:val="TextoNormalNegritaCaracter"/>
        </w:rPr>
      </w:pPr>
      <w:r w:rsidRPr="00CF552A">
        <w:rPr>
          <w:rStyle w:val="TextoNormalCursivaCaracter"/>
        </w:rPr>
        <w:t>Empleados laborales</w:t>
      </w:r>
      <w:r>
        <w:t xml:space="preserve"> véase </w:t>
      </w:r>
      <w:hyperlink w:anchor="DESCRIPTORALFABETICO361" w:history="1">
        <w:r w:rsidRPr="00CF552A">
          <w:rPr>
            <w:rStyle w:val="TextoNormalNegritaCaracter"/>
          </w:rPr>
          <w:t>Trabajadores</w:t>
        </w:r>
      </w:hyperlink>
    </w:p>
    <w:p w:rsidR="00CF552A" w:rsidRPr="00CF552A" w:rsidRDefault="00CF552A" w:rsidP="00CF552A">
      <w:pPr>
        <w:pStyle w:val="TextoNormalSangraFrancesa"/>
        <w:rPr>
          <w:rStyle w:val="TextoNormalCaracter"/>
        </w:rPr>
      </w:pPr>
      <w:bookmarkStart w:id="914" w:name="DESCRIPTORALFABETICO399"/>
      <w:r w:rsidRPr="00CF552A">
        <w:rPr>
          <w:rStyle w:val="TextoNormalNegritaCaracter"/>
        </w:rPr>
        <w:t>Error irrelevante</w:t>
      </w:r>
      <w:bookmarkEnd w:id="914"/>
      <w:r w:rsidRPr="00CF552A">
        <w:rPr>
          <w:rStyle w:val="TextoNormalCaracter"/>
        </w:rPr>
        <w:t xml:space="preserve">, Sentencia </w:t>
      </w:r>
      <w:hyperlink w:anchor="SENTENCIA_1997_58" w:history="1">
        <w:r w:rsidRPr="00CF552A">
          <w:rPr>
            <w:rStyle w:val="TextoNormalCaracter"/>
          </w:rPr>
          <w:t>58/1997</w:t>
        </w:r>
      </w:hyperlink>
      <w:r w:rsidRPr="00CF552A">
        <w:rPr>
          <w:rStyle w:val="TextoNormalCaracter"/>
        </w:rPr>
        <w:t>, f. 3.</w:t>
      </w:r>
    </w:p>
    <w:p w:rsidR="00CF552A" w:rsidRPr="00CF552A" w:rsidRDefault="00CF552A" w:rsidP="00CF552A">
      <w:pPr>
        <w:pStyle w:val="TextoNormalSangraFrancesa"/>
        <w:rPr>
          <w:rStyle w:val="TextoNormalCaracter"/>
        </w:rPr>
      </w:pPr>
      <w:bookmarkStart w:id="915" w:name="DESCRIPTORALFABETICO400"/>
      <w:r w:rsidRPr="00CF552A">
        <w:rPr>
          <w:rStyle w:val="TextoNormalNegritaCaracter"/>
        </w:rPr>
        <w:t>Error material</w:t>
      </w:r>
      <w:bookmarkEnd w:id="915"/>
      <w:r w:rsidRPr="00CF552A">
        <w:rPr>
          <w:rStyle w:val="TextoNormalCaracter"/>
        </w:rPr>
        <w:t xml:space="preserve">, Sentencia </w:t>
      </w:r>
      <w:hyperlink w:anchor="SENTENCIA_1997_58" w:history="1">
        <w:r w:rsidRPr="00CF552A">
          <w:rPr>
            <w:rStyle w:val="TextoNormalCaracter"/>
          </w:rPr>
          <w:t>58/1997</w:t>
        </w:r>
      </w:hyperlink>
      <w:r w:rsidRPr="00CF552A">
        <w:rPr>
          <w:rStyle w:val="TextoNormalCaracter"/>
        </w:rPr>
        <w:t>, ff. 1, 2, 3.</w:t>
      </w:r>
    </w:p>
    <w:p w:rsidR="00CF552A" w:rsidRPr="00CF552A" w:rsidRDefault="00CF552A" w:rsidP="00CF552A">
      <w:pPr>
        <w:pStyle w:val="TextoNormalSangraFrancesa"/>
        <w:rPr>
          <w:rStyle w:val="TextoNormalCaracter"/>
        </w:rPr>
      </w:pPr>
      <w:bookmarkStart w:id="916" w:name="DESCRIPTORALFABETICO280"/>
      <w:r w:rsidRPr="00CF552A">
        <w:rPr>
          <w:rStyle w:val="TextoNormalNegritaCaracter"/>
        </w:rPr>
        <w:t>Espacios naturales protegidos</w:t>
      </w:r>
      <w:bookmarkEnd w:id="916"/>
      <w:r w:rsidRPr="00CF552A">
        <w:rPr>
          <w:rStyle w:val="TextoNormalCaracter"/>
        </w:rPr>
        <w:t xml:space="preserve">, Sentencia </w:t>
      </w:r>
      <w:hyperlink w:anchor="SENTENCIA_1997_28" w:history="1">
        <w:r w:rsidRPr="00CF552A">
          <w:rPr>
            <w:rStyle w:val="TextoNormalCaracter"/>
          </w:rPr>
          <w:t>28/1997</w:t>
        </w:r>
      </w:hyperlink>
      <w:r w:rsidRPr="00CF552A">
        <w:rPr>
          <w:rStyle w:val="TextoNormalCaracter"/>
        </w:rPr>
        <w:t>, ff. 1, 2, 3, 4, 5, 6, 7.</w:t>
      </w:r>
    </w:p>
    <w:p w:rsidR="00CF552A" w:rsidRPr="00CF552A" w:rsidRDefault="00CF552A" w:rsidP="00CF552A">
      <w:pPr>
        <w:pStyle w:val="TextoNormalSangraFrancesa"/>
        <w:rPr>
          <w:rStyle w:val="TextoNormalCaracter"/>
        </w:rPr>
      </w:pPr>
      <w:bookmarkStart w:id="917" w:name="DESCRIPTORALFABETICO226"/>
      <w:r w:rsidRPr="00CF552A">
        <w:rPr>
          <w:rStyle w:val="TextoNormalNegritaCaracter"/>
        </w:rPr>
        <w:t>Estado democrático</w:t>
      </w:r>
      <w:bookmarkEnd w:id="917"/>
      <w:r w:rsidRPr="00CF552A">
        <w:rPr>
          <w:rStyle w:val="TextoNormalCaracter"/>
        </w:rPr>
        <w:t xml:space="preserve">, Sentencia </w:t>
      </w:r>
      <w:hyperlink w:anchor="SENTENCIA_1997_22" w:history="1">
        <w:r w:rsidRPr="00CF552A">
          <w:rPr>
            <w:rStyle w:val="TextoNormalCaracter"/>
          </w:rPr>
          <w:t>22/1997</w:t>
        </w:r>
      </w:hyperlink>
      <w:r w:rsidRPr="00CF552A">
        <w:rPr>
          <w:rStyle w:val="TextoNormalCaracter"/>
        </w:rPr>
        <w:t>, f. 5.</w:t>
      </w:r>
    </w:p>
    <w:p w:rsidR="00CF552A" w:rsidRPr="00CF552A" w:rsidRDefault="00CF552A" w:rsidP="00CF552A">
      <w:pPr>
        <w:pStyle w:val="TextoNormalSangraFrancesa"/>
        <w:rPr>
          <w:rStyle w:val="TextoNormalCaracter"/>
        </w:rPr>
      </w:pPr>
      <w:bookmarkStart w:id="918" w:name="DESCRIPTORALFABETICO300"/>
      <w:r w:rsidRPr="00CF552A">
        <w:rPr>
          <w:rStyle w:val="TextoNormalNegritaCaracter"/>
        </w:rPr>
        <w:t>Estados extranjeros</w:t>
      </w:r>
      <w:bookmarkEnd w:id="918"/>
      <w:r w:rsidRPr="00CF552A">
        <w:rPr>
          <w:rStyle w:val="TextoNormalCaracter"/>
        </w:rPr>
        <w:t xml:space="preserve">, Sentencias </w:t>
      </w:r>
      <w:hyperlink w:anchor="SENTENCIA_1997_18" w:history="1">
        <w:r w:rsidRPr="00CF552A">
          <w:rPr>
            <w:rStyle w:val="TextoNormalCaracter"/>
          </w:rPr>
          <w:t>18/1997</w:t>
        </w:r>
      </w:hyperlink>
      <w:r w:rsidRPr="00CF552A">
        <w:rPr>
          <w:rStyle w:val="TextoNormalCaracter"/>
        </w:rPr>
        <w:t xml:space="preserve">, ff. 1, 2, 3, 4, 5, 6, 7, 8, 9; </w:t>
      </w:r>
      <w:hyperlink w:anchor="SENTENCIA_1997_21" w:history="1">
        <w:r w:rsidRPr="00CF552A">
          <w:rPr>
            <w:rStyle w:val="TextoNormalCaracter"/>
          </w:rPr>
          <w:t>21/1997</w:t>
        </w:r>
      </w:hyperlink>
      <w:r w:rsidRPr="00CF552A">
        <w:rPr>
          <w:rStyle w:val="TextoNormalCaracter"/>
        </w:rPr>
        <w:t>, f. 3.</w:t>
      </w:r>
    </w:p>
    <w:p w:rsidR="00CF552A" w:rsidRPr="00CF552A" w:rsidRDefault="00CF552A" w:rsidP="00CF552A">
      <w:pPr>
        <w:pStyle w:val="TextoNormalSangraFrancesa"/>
        <w:rPr>
          <w:rStyle w:val="TextoNormalCaracter"/>
        </w:rPr>
      </w:pPr>
      <w:bookmarkStart w:id="919" w:name="DESCRIPTORALFABETICO257"/>
      <w:r w:rsidRPr="00CF552A">
        <w:rPr>
          <w:rStyle w:val="TextoNormalNegritaCaracter"/>
        </w:rPr>
        <w:t>Estatutos universitarios</w:t>
      </w:r>
      <w:bookmarkEnd w:id="919"/>
      <w:r w:rsidRPr="00CF552A">
        <w:rPr>
          <w:rStyle w:val="TextoNormalCaracter"/>
        </w:rPr>
        <w:t xml:space="preserve">, Sentencia </w:t>
      </w:r>
      <w:hyperlink w:anchor="SENTENCIA_1997_75" w:history="1">
        <w:r w:rsidRPr="00CF552A">
          <w:rPr>
            <w:rStyle w:val="TextoNormalCaracter"/>
          </w:rPr>
          <w:t>75/1997</w:t>
        </w:r>
      </w:hyperlink>
      <w:r w:rsidRPr="00CF552A">
        <w:rPr>
          <w:rStyle w:val="TextoNormalCaracter"/>
        </w:rPr>
        <w:t>, f. 4.</w:t>
      </w:r>
    </w:p>
    <w:p w:rsidR="00CF552A" w:rsidRPr="00CF552A" w:rsidRDefault="00CF552A" w:rsidP="00CF552A">
      <w:pPr>
        <w:pStyle w:val="TextoNormalSangraFrancesa"/>
        <w:rPr>
          <w:rStyle w:val="TextoNormalCaracter"/>
        </w:rPr>
      </w:pPr>
      <w:r w:rsidRPr="00CF552A">
        <w:rPr>
          <w:rStyle w:val="TextoNormalCursivaCaracter"/>
        </w:rPr>
        <w:lastRenderedPageBreak/>
        <w:t xml:space="preserve">    Naturaleza, </w:t>
      </w:r>
      <w:r w:rsidRPr="00CF552A">
        <w:rPr>
          <w:rStyle w:val="TextoNormalCaracter"/>
        </w:rPr>
        <w:t xml:space="preserve">Sentencia </w:t>
      </w:r>
      <w:hyperlink w:anchor="SENTENCIA_1997_75" w:history="1">
        <w:r w:rsidRPr="00CF552A">
          <w:rPr>
            <w:rStyle w:val="TextoNormalCaracter"/>
          </w:rPr>
          <w:t>75/1997</w:t>
        </w:r>
      </w:hyperlink>
      <w:r w:rsidRPr="00CF552A">
        <w:rPr>
          <w:rStyle w:val="TextoNormalCaracter"/>
        </w:rPr>
        <w:t>, f. 3.</w:t>
      </w:r>
    </w:p>
    <w:p w:rsidR="00CF552A" w:rsidRPr="00CF552A" w:rsidRDefault="00CF552A" w:rsidP="00CF552A">
      <w:pPr>
        <w:pStyle w:val="TextoNormalSangraFrancesa"/>
        <w:rPr>
          <w:rStyle w:val="TextoNormalCaracter"/>
        </w:rPr>
      </w:pPr>
      <w:bookmarkStart w:id="920" w:name="DESCRIPTORALFABETICO145"/>
      <w:r w:rsidRPr="00CF552A">
        <w:rPr>
          <w:rStyle w:val="TextoNormalNegritaCaracter"/>
        </w:rPr>
        <w:t>Estimación de recurso de súplica contra providencias del Tribunal Constitucional</w:t>
      </w:r>
      <w:bookmarkEnd w:id="920"/>
      <w:r w:rsidRPr="00CF552A">
        <w:rPr>
          <w:rStyle w:val="TextoNormalCaracter"/>
        </w:rPr>
        <w:t xml:space="preserve">, Auto </w:t>
      </w:r>
      <w:hyperlink w:anchor="AUTO_1997_92" w:history="1">
        <w:r w:rsidRPr="00CF552A">
          <w:rPr>
            <w:rStyle w:val="TextoNormalCaracter"/>
          </w:rPr>
          <w:t>92/1997</w:t>
        </w:r>
      </w:hyperlink>
      <w:r w:rsidRPr="00CF552A">
        <w:rPr>
          <w:rStyle w:val="TextoNormalCaracter"/>
        </w:rPr>
        <w:t>.</w:t>
      </w:r>
    </w:p>
    <w:p w:rsidR="00CF552A" w:rsidRPr="00CF552A" w:rsidRDefault="00CF552A" w:rsidP="00CF552A">
      <w:pPr>
        <w:pStyle w:val="TextoNormalSangraFrancesa"/>
        <w:rPr>
          <w:rStyle w:val="TextoNormalCaracter"/>
        </w:rPr>
      </w:pPr>
      <w:bookmarkStart w:id="921" w:name="DESCRIPTORALFABETICO120"/>
      <w:r w:rsidRPr="00CF552A">
        <w:rPr>
          <w:rStyle w:val="TextoNormalNegritaCaracter"/>
        </w:rPr>
        <w:t>Exclusión de pretensiones punitivas</w:t>
      </w:r>
      <w:bookmarkEnd w:id="921"/>
      <w:r w:rsidRPr="00CF552A">
        <w:rPr>
          <w:rStyle w:val="TextoNormalCaracter"/>
        </w:rPr>
        <w:t xml:space="preserve">, Sentencia </w:t>
      </w:r>
      <w:hyperlink w:anchor="SENTENCIA_1997_41" w:history="1">
        <w:r w:rsidRPr="00CF552A">
          <w:rPr>
            <w:rStyle w:val="TextoNormalCaracter"/>
          </w:rPr>
          <w:t>41/1997</w:t>
        </w:r>
      </w:hyperlink>
      <w:r w:rsidRPr="00CF552A">
        <w:rPr>
          <w:rStyle w:val="TextoNormalCaracter"/>
        </w:rPr>
        <w:t>, f. 4.</w:t>
      </w:r>
    </w:p>
    <w:p w:rsidR="00CF552A" w:rsidRPr="00CF552A" w:rsidRDefault="00CF552A" w:rsidP="00CF552A">
      <w:pPr>
        <w:pStyle w:val="TextoNormalSangraFrancesa"/>
        <w:rPr>
          <w:rStyle w:val="TextoNormalCaracter"/>
        </w:rPr>
      </w:pPr>
      <w:bookmarkStart w:id="922" w:name="DESCRIPTORALFABETICO29"/>
      <w:r w:rsidRPr="00CF552A">
        <w:rPr>
          <w:rStyle w:val="TextoNormalNegritaCaracter"/>
        </w:rPr>
        <w:t>Exclusión del censo electoral</w:t>
      </w:r>
      <w:bookmarkEnd w:id="922"/>
      <w:r w:rsidRPr="00CF552A">
        <w:rPr>
          <w:rStyle w:val="TextoNormalCaracter"/>
        </w:rPr>
        <w:t xml:space="preserve">, Auto </w:t>
      </w:r>
      <w:hyperlink w:anchor="AUTO_1997_32" w:history="1">
        <w:r w:rsidRPr="00CF552A">
          <w:rPr>
            <w:rStyle w:val="TextoNormalCaracter"/>
          </w:rPr>
          <w:t>32/1997</w:t>
        </w:r>
      </w:hyperlink>
      <w:r w:rsidRPr="00CF552A">
        <w:rPr>
          <w:rStyle w:val="TextoNormalCaracter"/>
        </w:rPr>
        <w:t>.</w:t>
      </w:r>
    </w:p>
    <w:p w:rsidR="00CF552A" w:rsidRPr="00CF552A" w:rsidRDefault="00CF552A" w:rsidP="00CF552A">
      <w:pPr>
        <w:pStyle w:val="TextoNormalSangraFrancesa"/>
        <w:rPr>
          <w:rStyle w:val="TextoNormalCaracter"/>
        </w:rPr>
      </w:pPr>
      <w:bookmarkStart w:id="923" w:name="DESCRIPTORALFABETICO58"/>
      <w:r w:rsidRPr="00CF552A">
        <w:rPr>
          <w:rStyle w:val="TextoNormalNegritaCaracter"/>
        </w:rPr>
        <w:t>Exclusión legal de acceso a la jurisdicción</w:t>
      </w:r>
      <w:bookmarkEnd w:id="923"/>
      <w:r w:rsidRPr="00CF552A">
        <w:rPr>
          <w:rStyle w:val="TextoNormalCaracter"/>
        </w:rPr>
        <w:t xml:space="preserve">, Sentencia </w:t>
      </w:r>
      <w:hyperlink w:anchor="SENTENCIA_1997_30" w:history="1">
        <w:r w:rsidRPr="00CF552A">
          <w:rPr>
            <w:rStyle w:val="TextoNormalCaracter"/>
          </w:rPr>
          <w:t>30/1997</w:t>
        </w:r>
      </w:hyperlink>
      <w:r w:rsidRPr="00CF552A">
        <w:rPr>
          <w:rStyle w:val="TextoNormalCaracter"/>
        </w:rPr>
        <w:t>, ff. 1, 2, 3, 4, 5, 6, 7.</w:t>
      </w:r>
    </w:p>
    <w:p w:rsidR="00CF552A" w:rsidRPr="00CF552A" w:rsidRDefault="00CF552A" w:rsidP="00CF552A">
      <w:pPr>
        <w:pStyle w:val="TextoNormalSangraFrancesa"/>
        <w:rPr>
          <w:rStyle w:val="TextoNormalNegritaCaracter"/>
        </w:rPr>
      </w:pPr>
      <w:r w:rsidRPr="00CF552A">
        <w:rPr>
          <w:rStyle w:val="TextoNormalCursivaCaracter"/>
        </w:rPr>
        <w:t>Exención de impuestos</w:t>
      </w:r>
      <w:r>
        <w:t xml:space="preserve"> véase </w:t>
      </w:r>
      <w:hyperlink w:anchor="DESCRIPTORALFABETICO24" w:history="1">
        <w:r w:rsidRPr="00CF552A">
          <w:rPr>
            <w:rStyle w:val="TextoNormalNegritaCaracter"/>
          </w:rPr>
          <w:t>Exenciones tributarias</w:t>
        </w:r>
      </w:hyperlink>
    </w:p>
    <w:p w:rsidR="00CF552A" w:rsidRPr="00CF552A" w:rsidRDefault="00CF552A" w:rsidP="00CF552A">
      <w:pPr>
        <w:pStyle w:val="TextoNormalSangraFrancesa"/>
        <w:rPr>
          <w:rStyle w:val="TextoNormalCaracter"/>
        </w:rPr>
      </w:pPr>
      <w:bookmarkStart w:id="924" w:name="DESCRIPTORALFABETICO24"/>
      <w:r w:rsidRPr="00CF552A">
        <w:rPr>
          <w:rStyle w:val="TextoNormalNegritaCaracter"/>
        </w:rPr>
        <w:t>Exenciones tributarias</w:t>
      </w:r>
      <w:bookmarkEnd w:id="924"/>
      <w:r w:rsidRPr="00CF552A">
        <w:rPr>
          <w:rStyle w:val="TextoNormalCaracter"/>
        </w:rPr>
        <w:t xml:space="preserve">, Sentencia </w:t>
      </w:r>
      <w:hyperlink w:anchor="SENTENCIA_1997_80" w:history="1">
        <w:r w:rsidRPr="00CF552A">
          <w:rPr>
            <w:rStyle w:val="TextoNormalCaracter"/>
          </w:rPr>
          <w:t>80/1997</w:t>
        </w:r>
      </w:hyperlink>
      <w:r w:rsidRPr="00CF552A">
        <w:rPr>
          <w:rStyle w:val="TextoNormalCaracter"/>
        </w:rPr>
        <w:t>, f. único.</w:t>
      </w:r>
    </w:p>
    <w:p w:rsidR="00CF552A" w:rsidRPr="00CF552A" w:rsidRDefault="00CF552A" w:rsidP="00CF552A">
      <w:pPr>
        <w:pStyle w:val="TextoNormalSangraFrancesa"/>
        <w:rPr>
          <w:rStyle w:val="TextoNormalCaracter"/>
        </w:rPr>
      </w:pPr>
      <w:bookmarkStart w:id="925" w:name="DESCRIPTORALFABETICO156"/>
      <w:r w:rsidRPr="00CF552A">
        <w:rPr>
          <w:rStyle w:val="TextoNormalNegritaCaracter"/>
        </w:rPr>
        <w:t>Exigencias del juicio de relevancia</w:t>
      </w:r>
      <w:bookmarkEnd w:id="925"/>
      <w:r w:rsidRPr="00CF552A">
        <w:rPr>
          <w:rStyle w:val="TextoNormalCaracter"/>
        </w:rPr>
        <w:t xml:space="preserve">, Sentencia </w:t>
      </w:r>
      <w:hyperlink w:anchor="SENTENCIA_1997_38" w:history="1">
        <w:r w:rsidRPr="00CF552A">
          <w:rPr>
            <w:rStyle w:val="TextoNormalCaracter"/>
          </w:rPr>
          <w:t>38/1997</w:t>
        </w:r>
      </w:hyperlink>
      <w:r w:rsidRPr="00CF552A">
        <w:rPr>
          <w:rStyle w:val="TextoNormalCaracter"/>
        </w:rPr>
        <w:t>, f. 1.</w:t>
      </w:r>
    </w:p>
    <w:p w:rsidR="00CF552A" w:rsidRPr="00CF552A" w:rsidRDefault="00CF552A" w:rsidP="00CF552A">
      <w:pPr>
        <w:pStyle w:val="TextoNormalSangraFrancesa"/>
        <w:rPr>
          <w:rStyle w:val="TextoNormalCaracter"/>
        </w:rPr>
      </w:pPr>
      <w:bookmarkStart w:id="926" w:name="DESCRIPTORALFABETICO52"/>
      <w:r w:rsidRPr="00CF552A">
        <w:rPr>
          <w:rStyle w:val="TextoNormalNegritaCaracter"/>
        </w:rPr>
        <w:t>Exigencias para desvirtuar la presunción de inocencia</w:t>
      </w:r>
      <w:bookmarkEnd w:id="926"/>
      <w:r w:rsidRPr="00CF552A">
        <w:rPr>
          <w:rStyle w:val="TextoNormalCaracter"/>
        </w:rPr>
        <w:t xml:space="preserve">, Sentencia </w:t>
      </w:r>
      <w:hyperlink w:anchor="SENTENCIA_1997_45" w:history="1">
        <w:r w:rsidRPr="00CF552A">
          <w:rPr>
            <w:rStyle w:val="TextoNormalCaracter"/>
          </w:rPr>
          <w:t>45/1997</w:t>
        </w:r>
      </w:hyperlink>
      <w:r w:rsidRPr="00CF552A">
        <w:rPr>
          <w:rStyle w:val="TextoNormalCaracter"/>
        </w:rPr>
        <w:t>, ff. 6, 7.</w:t>
      </w:r>
    </w:p>
    <w:p w:rsidR="00CF552A" w:rsidRPr="00CF552A" w:rsidRDefault="00CF552A" w:rsidP="00CF552A">
      <w:pPr>
        <w:pStyle w:val="TextoNormalSangraFrancesa"/>
        <w:rPr>
          <w:rStyle w:val="TextoNormalCaracter"/>
        </w:rPr>
      </w:pPr>
      <w:bookmarkStart w:id="927" w:name="DESCRIPTORALFABETICO180"/>
      <w:r w:rsidRPr="00CF552A">
        <w:rPr>
          <w:rStyle w:val="TextoNormalNegritaCaracter"/>
        </w:rPr>
        <w:t>Existencia de agotamiento</w:t>
      </w:r>
      <w:bookmarkEnd w:id="927"/>
      <w:r w:rsidRPr="00CF552A">
        <w:rPr>
          <w:rStyle w:val="TextoNormalCaracter"/>
        </w:rPr>
        <w:t xml:space="preserve">, Sentencias </w:t>
      </w:r>
      <w:hyperlink w:anchor="SENTENCIA_1997_35" w:history="1">
        <w:r w:rsidRPr="00CF552A">
          <w:rPr>
            <w:rStyle w:val="TextoNormalCaracter"/>
          </w:rPr>
          <w:t>35/1997</w:t>
        </w:r>
      </w:hyperlink>
      <w:r w:rsidRPr="00CF552A">
        <w:rPr>
          <w:rStyle w:val="TextoNormalCaracter"/>
        </w:rPr>
        <w:t xml:space="preserve">, f. 3; </w:t>
      </w:r>
      <w:hyperlink w:anchor="SENTENCIA_1997_79" w:history="1">
        <w:r w:rsidRPr="00CF552A">
          <w:rPr>
            <w:rStyle w:val="TextoNormalCaracter"/>
          </w:rPr>
          <w:t>79/1997</w:t>
        </w:r>
      </w:hyperlink>
      <w:r w:rsidRPr="00CF552A">
        <w:rPr>
          <w:rStyle w:val="TextoNormalCaracter"/>
        </w:rPr>
        <w:t>, f. 2.</w:t>
      </w:r>
    </w:p>
    <w:p w:rsidR="00CF552A" w:rsidRPr="00CF552A" w:rsidRDefault="00CF552A" w:rsidP="00CF552A">
      <w:pPr>
        <w:pStyle w:val="TextoNormalSangraFrancesa"/>
        <w:rPr>
          <w:rStyle w:val="TextoNormalCaracter"/>
        </w:rPr>
      </w:pPr>
      <w:bookmarkStart w:id="928" w:name="DESCRIPTORALFABETICO163"/>
      <w:r w:rsidRPr="00CF552A">
        <w:rPr>
          <w:rStyle w:val="TextoNormalNegritaCaracter"/>
        </w:rPr>
        <w:t>Existencia de invocación del derecho vulnerado</w:t>
      </w:r>
      <w:bookmarkEnd w:id="928"/>
      <w:r w:rsidRPr="00CF552A">
        <w:rPr>
          <w:rStyle w:val="TextoNormalCaracter"/>
        </w:rPr>
        <w:t xml:space="preserve">, Sentencias </w:t>
      </w:r>
      <w:hyperlink w:anchor="SENTENCIA_1997_36" w:history="1">
        <w:r w:rsidRPr="00CF552A">
          <w:rPr>
            <w:rStyle w:val="TextoNormalCaracter"/>
          </w:rPr>
          <w:t>36/1997</w:t>
        </w:r>
      </w:hyperlink>
      <w:r w:rsidRPr="00CF552A">
        <w:rPr>
          <w:rStyle w:val="TextoNormalCaracter"/>
        </w:rPr>
        <w:t xml:space="preserve">, f. 2; </w:t>
      </w:r>
      <w:hyperlink w:anchor="SENTENCIA_1997_82" w:history="1">
        <w:r w:rsidRPr="00CF552A">
          <w:rPr>
            <w:rStyle w:val="TextoNormalCaracter"/>
          </w:rPr>
          <w:t>82/1997</w:t>
        </w:r>
      </w:hyperlink>
      <w:r w:rsidRPr="00CF552A">
        <w:rPr>
          <w:rStyle w:val="TextoNormalCaracter"/>
        </w:rPr>
        <w:t>, f. 2.</w:t>
      </w:r>
    </w:p>
    <w:p w:rsidR="00CF552A" w:rsidRPr="00CF552A" w:rsidRDefault="00CF552A" w:rsidP="00CF552A">
      <w:pPr>
        <w:pStyle w:val="TextoNormalSangraFrancesa"/>
        <w:rPr>
          <w:rStyle w:val="TextoNormalCaracter"/>
        </w:rPr>
      </w:pPr>
      <w:bookmarkStart w:id="929" w:name="DESCRIPTORALFABETICO259"/>
      <w:r w:rsidRPr="00CF552A">
        <w:rPr>
          <w:rStyle w:val="TextoNormalNegritaCaracter"/>
        </w:rPr>
        <w:t>Expropiación forzosa</w:t>
      </w:r>
      <w:bookmarkEnd w:id="929"/>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ff. 17, 21, 30, 31.</w:t>
      </w:r>
    </w:p>
    <w:p w:rsidR="00CF552A" w:rsidRPr="00CF552A" w:rsidRDefault="00CF552A" w:rsidP="00CF552A">
      <w:pPr>
        <w:pStyle w:val="TextoNormalSangraFrancesa"/>
        <w:rPr>
          <w:rStyle w:val="TextoNormalCaracter"/>
        </w:rPr>
      </w:pPr>
      <w:bookmarkStart w:id="930" w:name="DESCRIPTORALFABETICO225"/>
      <w:r w:rsidRPr="00CF552A">
        <w:rPr>
          <w:rStyle w:val="TextoNormalNegritaCaracter"/>
        </w:rPr>
        <w:t>Expulsión de extranjeros a petición propia</w:t>
      </w:r>
      <w:bookmarkEnd w:id="930"/>
      <w:r w:rsidRPr="00CF552A">
        <w:rPr>
          <w:rStyle w:val="TextoNormalCaracter"/>
        </w:rPr>
        <w:t xml:space="preserve">, Auto </w:t>
      </w:r>
      <w:hyperlink w:anchor="AUTO_1997_33" w:history="1">
        <w:r w:rsidRPr="00CF552A">
          <w:rPr>
            <w:rStyle w:val="TextoNormalCaracter"/>
          </w:rPr>
          <w:t>33/1997</w:t>
        </w:r>
      </w:hyperlink>
      <w:r w:rsidRPr="00CF552A">
        <w:rPr>
          <w:rStyle w:val="TextoNormalCaracter"/>
        </w:rPr>
        <w:t>.</w:t>
      </w:r>
    </w:p>
    <w:p w:rsidR="00CF552A" w:rsidRPr="00CF552A" w:rsidRDefault="00CF552A" w:rsidP="00CF552A">
      <w:pPr>
        <w:pStyle w:val="TextoNormalSangraFrancesa"/>
        <w:rPr>
          <w:rStyle w:val="TextoNormalCaracter"/>
        </w:rPr>
      </w:pPr>
      <w:bookmarkStart w:id="931" w:name="DESCRIPTORALFABETICO364"/>
      <w:r w:rsidRPr="00CF552A">
        <w:rPr>
          <w:rStyle w:val="TextoNormalNegritaCaracter"/>
        </w:rPr>
        <w:t>Extensión y límites de la jurisdicción</w:t>
      </w:r>
      <w:bookmarkEnd w:id="931"/>
      <w:r w:rsidRPr="00CF552A">
        <w:rPr>
          <w:rStyle w:val="TextoNormalCaracter"/>
        </w:rPr>
        <w:t xml:space="preserve">, Sentencia </w:t>
      </w:r>
      <w:hyperlink w:anchor="SENTENCIA_1997_21" w:history="1">
        <w:r w:rsidRPr="00CF552A">
          <w:rPr>
            <w:rStyle w:val="TextoNormalCaracter"/>
          </w:rPr>
          <w:t>21/1997</w:t>
        </w:r>
      </w:hyperlink>
      <w:r w:rsidRPr="00CF552A">
        <w:rPr>
          <w:rStyle w:val="TextoNormalCaracter"/>
        </w:rPr>
        <w:t>, f. 3.</w:t>
      </w:r>
    </w:p>
    <w:p w:rsidR="00CF552A" w:rsidRDefault="00CF552A" w:rsidP="00CF552A">
      <w:pPr>
        <w:pStyle w:val="TextoNormalSangraFrancesa"/>
      </w:pPr>
    </w:p>
    <w:p w:rsidR="00CF552A" w:rsidRDefault="00CF552A" w:rsidP="00CF552A">
      <w:pPr>
        <w:pStyle w:val="TextoNormalSangraFrancesa"/>
      </w:pPr>
    </w:p>
    <w:p w:rsidR="00CF552A" w:rsidRDefault="00CF552A" w:rsidP="00CF552A">
      <w:pPr>
        <w:pStyle w:val="TextoNormalNegritaCentrado"/>
      </w:pPr>
      <w:r>
        <w:t>F</w:t>
      </w:r>
    </w:p>
    <w:p w:rsidR="00CF552A" w:rsidRDefault="00CF552A" w:rsidP="00CF552A">
      <w:pPr>
        <w:pStyle w:val="TextoNormalNegritaCentrado"/>
      </w:pPr>
    </w:p>
    <w:p w:rsidR="00CF552A" w:rsidRDefault="00CF552A" w:rsidP="00CF552A">
      <w:pPr>
        <w:pStyle w:val="TextoNormalNegritaCentrado"/>
      </w:pPr>
    </w:p>
    <w:p w:rsidR="00CF552A" w:rsidRDefault="00CF552A" w:rsidP="00CF552A">
      <w:pPr>
        <w:pStyle w:val="TextoNormalNegritaCentrado"/>
      </w:pPr>
    </w:p>
    <w:p w:rsidR="00CF552A" w:rsidRPr="00CF552A" w:rsidRDefault="00CF552A" w:rsidP="00CF552A">
      <w:pPr>
        <w:pStyle w:val="TextoNormalSangraFrancesa"/>
        <w:rPr>
          <w:rStyle w:val="TextoNormalCaracter"/>
        </w:rPr>
      </w:pPr>
      <w:bookmarkStart w:id="932" w:name="DESCRIPTORALFABETICO186"/>
      <w:r w:rsidRPr="00CF552A">
        <w:rPr>
          <w:rStyle w:val="TextoNormalNegritaCaracter"/>
        </w:rPr>
        <w:t>Falta de agotamiento de la vía judicial</w:t>
      </w:r>
      <w:bookmarkEnd w:id="932"/>
      <w:r w:rsidRPr="00CF552A">
        <w:rPr>
          <w:rStyle w:val="TextoNormalCaracter"/>
        </w:rPr>
        <w:t xml:space="preserve">, Sentencia </w:t>
      </w:r>
      <w:hyperlink w:anchor="SENTENCIA_1997_5" w:history="1">
        <w:r w:rsidRPr="00CF552A">
          <w:rPr>
            <w:rStyle w:val="TextoNormalCaracter"/>
          </w:rPr>
          <w:t>5/1997</w:t>
        </w:r>
      </w:hyperlink>
      <w:r w:rsidRPr="00CF552A">
        <w:rPr>
          <w:rStyle w:val="TextoNormalCaracter"/>
        </w:rPr>
        <w:t>, f. 4.</w:t>
      </w:r>
    </w:p>
    <w:p w:rsidR="00CF552A" w:rsidRPr="00CF552A" w:rsidRDefault="00CF552A" w:rsidP="00CF552A">
      <w:pPr>
        <w:pStyle w:val="TextoNormalSangraFrancesa"/>
        <w:rPr>
          <w:rStyle w:val="TextoNormalCaracter"/>
        </w:rPr>
      </w:pPr>
      <w:r w:rsidRPr="00CF552A">
        <w:rPr>
          <w:rStyle w:val="TextoNormalCaracter"/>
        </w:rPr>
        <w:t xml:space="preserve">    Autos </w:t>
      </w:r>
      <w:hyperlink w:anchor="AUTO_1997_90" w:history="1">
        <w:r w:rsidRPr="00CF552A">
          <w:rPr>
            <w:rStyle w:val="TextoNormalCaracter"/>
          </w:rPr>
          <w:t>90/1997</w:t>
        </w:r>
      </w:hyperlink>
      <w:r w:rsidRPr="00CF552A">
        <w:rPr>
          <w:rStyle w:val="TextoNormalCaracter"/>
        </w:rPr>
        <w:t xml:space="preserve">; </w:t>
      </w:r>
      <w:hyperlink w:anchor="AUTO_1997_111" w:history="1">
        <w:r w:rsidRPr="00CF552A">
          <w:rPr>
            <w:rStyle w:val="TextoNormalCaracter"/>
          </w:rPr>
          <w:t>111/1997</w:t>
        </w:r>
      </w:hyperlink>
      <w:r w:rsidRPr="00CF552A">
        <w:rPr>
          <w:rStyle w:val="TextoNormalCaracter"/>
        </w:rPr>
        <w:t>.</w:t>
      </w:r>
    </w:p>
    <w:p w:rsidR="00CF552A" w:rsidRPr="00CF552A" w:rsidRDefault="00CF552A" w:rsidP="00CF552A">
      <w:pPr>
        <w:pStyle w:val="TextoNormalSangraFrancesa"/>
        <w:rPr>
          <w:rStyle w:val="TextoNormalCaracter"/>
        </w:rPr>
      </w:pPr>
      <w:bookmarkStart w:id="933" w:name="DESCRIPTORALFABETICO100"/>
      <w:r w:rsidRPr="00CF552A">
        <w:rPr>
          <w:rStyle w:val="TextoNormalNegritaCaracter"/>
        </w:rPr>
        <w:t>Falta de denuncia de las dilaciones</w:t>
      </w:r>
      <w:bookmarkEnd w:id="933"/>
      <w:r w:rsidRPr="00CF552A">
        <w:rPr>
          <w:rStyle w:val="TextoNormalCaracter"/>
        </w:rPr>
        <w:t xml:space="preserve">, Sentencia </w:t>
      </w:r>
      <w:hyperlink w:anchor="SENTENCIA_1997_22" w:history="1">
        <w:r w:rsidRPr="00CF552A">
          <w:rPr>
            <w:rStyle w:val="TextoNormalCaracter"/>
          </w:rPr>
          <w:t>22/1997</w:t>
        </w:r>
      </w:hyperlink>
      <w:r w:rsidRPr="00CF552A">
        <w:rPr>
          <w:rStyle w:val="TextoNormalCaracter"/>
        </w:rPr>
        <w:t>, f. 3.</w:t>
      </w:r>
    </w:p>
    <w:p w:rsidR="00CF552A" w:rsidRPr="00CF552A" w:rsidRDefault="00CF552A" w:rsidP="00CF552A">
      <w:pPr>
        <w:pStyle w:val="TextoNormalSangraFrancesa"/>
        <w:rPr>
          <w:rStyle w:val="TextoNormalCaracter"/>
        </w:rPr>
      </w:pPr>
      <w:r w:rsidRPr="00CF552A">
        <w:rPr>
          <w:rStyle w:val="TextoNormalCaracter"/>
        </w:rPr>
        <w:t xml:space="preserve">    Auto </w:t>
      </w:r>
      <w:hyperlink w:anchor="AUTO_1997_117" w:history="1">
        <w:r w:rsidRPr="00CF552A">
          <w:rPr>
            <w:rStyle w:val="TextoNormalCaracter"/>
          </w:rPr>
          <w:t>117/1997</w:t>
        </w:r>
      </w:hyperlink>
      <w:r w:rsidRPr="00CF552A">
        <w:rPr>
          <w:rStyle w:val="TextoNormalCaracter"/>
        </w:rPr>
        <w:t>.</w:t>
      </w:r>
    </w:p>
    <w:p w:rsidR="00CF552A" w:rsidRPr="00CF552A" w:rsidRDefault="00CF552A" w:rsidP="00CF552A">
      <w:pPr>
        <w:pStyle w:val="TextoNormalSangraFrancesa"/>
        <w:rPr>
          <w:rStyle w:val="TextoNormalCaracter"/>
        </w:rPr>
      </w:pPr>
      <w:bookmarkStart w:id="934" w:name="DESCRIPTORALFABETICO164"/>
      <w:r w:rsidRPr="00CF552A">
        <w:rPr>
          <w:rStyle w:val="TextoNormalNegritaCaracter"/>
        </w:rPr>
        <w:t>Falta de invocación del derecho vulnerado</w:t>
      </w:r>
      <w:bookmarkEnd w:id="934"/>
      <w:r w:rsidRPr="00CF552A">
        <w:rPr>
          <w:rStyle w:val="TextoNormalCaracter"/>
        </w:rPr>
        <w:t xml:space="preserve">, Sentencia </w:t>
      </w:r>
      <w:hyperlink w:anchor="SENTENCIA_1997_74" w:history="1">
        <w:r w:rsidRPr="00CF552A">
          <w:rPr>
            <w:rStyle w:val="TextoNormalCaracter"/>
          </w:rPr>
          <w:t>74/1997</w:t>
        </w:r>
      </w:hyperlink>
      <w:r w:rsidRPr="00CF552A">
        <w:rPr>
          <w:rStyle w:val="TextoNormalCaracter"/>
        </w:rPr>
        <w:t>, f. 1.</w:t>
      </w:r>
    </w:p>
    <w:p w:rsidR="00CF552A" w:rsidRPr="00CF552A" w:rsidRDefault="00CF552A" w:rsidP="00CF552A">
      <w:pPr>
        <w:pStyle w:val="TextoNormalSangraFrancesa"/>
        <w:rPr>
          <w:rStyle w:val="TextoNormalCaracter"/>
        </w:rPr>
      </w:pPr>
      <w:r w:rsidRPr="00CF552A">
        <w:rPr>
          <w:rStyle w:val="TextoNormalCaracter"/>
        </w:rPr>
        <w:t xml:space="preserve">    Auto </w:t>
      </w:r>
      <w:hyperlink w:anchor="AUTO_1997_114" w:history="1">
        <w:r w:rsidRPr="00CF552A">
          <w:rPr>
            <w:rStyle w:val="TextoNormalCaracter"/>
          </w:rPr>
          <w:t>114/1997</w:t>
        </w:r>
      </w:hyperlink>
      <w:r w:rsidRPr="00CF552A">
        <w:rPr>
          <w:rStyle w:val="TextoNormalCaracter"/>
        </w:rPr>
        <w:t>.</w:t>
      </w:r>
    </w:p>
    <w:p w:rsidR="00CF552A" w:rsidRPr="00CF552A" w:rsidRDefault="00CF552A" w:rsidP="00CF552A">
      <w:pPr>
        <w:pStyle w:val="TextoNormalSangraFrancesa"/>
        <w:rPr>
          <w:rStyle w:val="TextoNormalCaracter"/>
        </w:rPr>
      </w:pPr>
      <w:bookmarkStart w:id="935" w:name="DESCRIPTORALFABETICO71"/>
      <w:r w:rsidRPr="00CF552A">
        <w:rPr>
          <w:rStyle w:val="TextoNormalNegritaCaracter"/>
        </w:rPr>
        <w:t>Falta de motivación de las resoluciones judiciales</w:t>
      </w:r>
      <w:bookmarkEnd w:id="935"/>
      <w:r w:rsidRPr="00CF552A">
        <w:rPr>
          <w:rStyle w:val="TextoNormalCaracter"/>
        </w:rPr>
        <w:t xml:space="preserve">, Sentencia </w:t>
      </w:r>
      <w:hyperlink w:anchor="SENTENCIA_1997_60" w:history="1">
        <w:r w:rsidRPr="00CF552A">
          <w:rPr>
            <w:rStyle w:val="TextoNormalCaracter"/>
          </w:rPr>
          <w:t>60/1997</w:t>
        </w:r>
      </w:hyperlink>
      <w:r w:rsidRPr="00CF552A">
        <w:rPr>
          <w:rStyle w:val="TextoNormalCaracter"/>
        </w:rPr>
        <w:t>, f. 6.</w:t>
      </w:r>
    </w:p>
    <w:p w:rsidR="00CF552A" w:rsidRPr="00CF552A" w:rsidRDefault="00CF552A" w:rsidP="00CF552A">
      <w:pPr>
        <w:pStyle w:val="TextoNormalSangraFrancesa"/>
        <w:rPr>
          <w:rStyle w:val="TextoNormalCaracter"/>
        </w:rPr>
      </w:pPr>
      <w:bookmarkStart w:id="936" w:name="DESCRIPTORALFABETICO378"/>
      <w:r w:rsidRPr="00CF552A">
        <w:rPr>
          <w:rStyle w:val="TextoNormalNegritaCaracter"/>
        </w:rPr>
        <w:t>Falta imputable al órgano judicial</w:t>
      </w:r>
      <w:bookmarkEnd w:id="936"/>
      <w:r w:rsidRPr="00CF552A">
        <w:rPr>
          <w:rStyle w:val="TextoNormalCaracter"/>
        </w:rPr>
        <w:t xml:space="preserve">, Sentencia </w:t>
      </w:r>
      <w:hyperlink w:anchor="SENTENCIA_1997_49" w:history="1">
        <w:r w:rsidRPr="00CF552A">
          <w:rPr>
            <w:rStyle w:val="TextoNormalCaracter"/>
          </w:rPr>
          <w:t>49/1997</w:t>
        </w:r>
      </w:hyperlink>
      <w:r w:rsidRPr="00CF552A">
        <w:rPr>
          <w:rStyle w:val="TextoNormalCaracter"/>
        </w:rPr>
        <w:t>, f. 3.</w:t>
      </w:r>
    </w:p>
    <w:p w:rsidR="00CF552A" w:rsidRPr="00CF552A" w:rsidRDefault="00CF552A" w:rsidP="00CF552A">
      <w:pPr>
        <w:pStyle w:val="TextoNormalSangraFrancesa"/>
        <w:rPr>
          <w:rStyle w:val="TextoNormalCaracter"/>
        </w:rPr>
      </w:pPr>
      <w:bookmarkStart w:id="937" w:name="DESCRIPTORALFABETICO417"/>
      <w:r w:rsidRPr="00CF552A">
        <w:rPr>
          <w:rStyle w:val="TextoNormalNegritaCaracter"/>
        </w:rPr>
        <w:t>Fianza</w:t>
      </w:r>
      <w:bookmarkEnd w:id="937"/>
      <w:r w:rsidRPr="00CF552A">
        <w:rPr>
          <w:rStyle w:val="TextoNormalCaracter"/>
        </w:rPr>
        <w:t xml:space="preserve">, Sentencia </w:t>
      </w:r>
      <w:hyperlink w:anchor="SENTENCIA_1997_27" w:history="1">
        <w:r w:rsidRPr="00CF552A">
          <w:rPr>
            <w:rStyle w:val="TextoNormalCaracter"/>
          </w:rPr>
          <w:t>27/1997</w:t>
        </w:r>
      </w:hyperlink>
      <w:r w:rsidRPr="00CF552A">
        <w:rPr>
          <w:rStyle w:val="TextoNormalCaracter"/>
        </w:rPr>
        <w:t>, VP.</w:t>
      </w:r>
    </w:p>
    <w:p w:rsidR="00CF552A" w:rsidRPr="00CF552A" w:rsidRDefault="00CF552A" w:rsidP="00CF552A">
      <w:pPr>
        <w:pStyle w:val="TextoNormalSangraFrancesa"/>
        <w:rPr>
          <w:rStyle w:val="TextoNormalCaracter"/>
        </w:rPr>
      </w:pPr>
      <w:bookmarkStart w:id="938" w:name="DESCRIPTORALFABETICO262"/>
      <w:r w:rsidRPr="00CF552A">
        <w:rPr>
          <w:rStyle w:val="TextoNormalNegritaCaracter"/>
        </w:rPr>
        <w:t>Filiación</w:t>
      </w:r>
      <w:bookmarkEnd w:id="938"/>
      <w:r w:rsidRPr="00CF552A">
        <w:rPr>
          <w:rStyle w:val="TextoNormalCaracter"/>
        </w:rPr>
        <w:t xml:space="preserve">, Sentencia </w:t>
      </w:r>
      <w:hyperlink w:anchor="SENTENCIA_1997_74" w:history="1">
        <w:r w:rsidRPr="00CF552A">
          <w:rPr>
            <w:rStyle w:val="TextoNormalCaracter"/>
          </w:rPr>
          <w:t>74/1997</w:t>
        </w:r>
      </w:hyperlink>
      <w:r w:rsidRPr="00CF552A">
        <w:rPr>
          <w:rStyle w:val="TextoNormalCaracter"/>
        </w:rPr>
        <w:t>, f. 3, VP.</w:t>
      </w:r>
    </w:p>
    <w:p w:rsidR="00CF552A" w:rsidRPr="00CF552A" w:rsidRDefault="00CF552A" w:rsidP="00CF552A">
      <w:pPr>
        <w:pStyle w:val="TextoNormalSangraFrancesa"/>
        <w:rPr>
          <w:rStyle w:val="TextoNormalCaracter"/>
        </w:rPr>
      </w:pPr>
      <w:bookmarkStart w:id="939" w:name="DESCRIPTORALFABETICO330"/>
      <w:r w:rsidRPr="00CF552A">
        <w:rPr>
          <w:rStyle w:val="TextoNormalNegritaCaracter"/>
        </w:rPr>
        <w:t>Finalidad de las penas privativas de libertad</w:t>
      </w:r>
      <w:bookmarkEnd w:id="939"/>
      <w:r w:rsidRPr="00CF552A">
        <w:rPr>
          <w:rStyle w:val="TextoNormalCaracter"/>
        </w:rPr>
        <w:t xml:space="preserve">, Sentencia </w:t>
      </w:r>
      <w:hyperlink w:anchor="SENTENCIA_1997_81" w:history="1">
        <w:r w:rsidRPr="00CF552A">
          <w:rPr>
            <w:rStyle w:val="TextoNormalCaracter"/>
          </w:rPr>
          <w:t>81/1997</w:t>
        </w:r>
      </w:hyperlink>
      <w:r w:rsidRPr="00CF552A">
        <w:rPr>
          <w:rStyle w:val="TextoNormalCaracter"/>
        </w:rPr>
        <w:t>, f. 3.</w:t>
      </w:r>
    </w:p>
    <w:p w:rsidR="00CF552A" w:rsidRPr="00CF552A" w:rsidRDefault="00CF552A" w:rsidP="00CF552A">
      <w:pPr>
        <w:pStyle w:val="TextoNormalSangraFrancesa"/>
        <w:rPr>
          <w:rStyle w:val="TextoNormalCaracter"/>
        </w:rPr>
      </w:pPr>
      <w:bookmarkStart w:id="940" w:name="DESCRIPTORALFABETICO466"/>
      <w:r w:rsidRPr="00CF552A">
        <w:rPr>
          <w:rStyle w:val="TextoNormalNegritaCaracter"/>
        </w:rPr>
        <w:t>Finalidad legitimadora de la prisión provisional</w:t>
      </w:r>
      <w:bookmarkEnd w:id="940"/>
      <w:r w:rsidRPr="00CF552A">
        <w:rPr>
          <w:rStyle w:val="TextoNormalCaracter"/>
        </w:rPr>
        <w:t xml:space="preserve">, Sentencia </w:t>
      </w:r>
      <w:hyperlink w:anchor="SENTENCIA_1997_66" w:history="1">
        <w:r w:rsidRPr="00CF552A">
          <w:rPr>
            <w:rStyle w:val="TextoNormalCaracter"/>
          </w:rPr>
          <w:t>66/1997</w:t>
        </w:r>
      </w:hyperlink>
      <w:r w:rsidRPr="00CF552A">
        <w:rPr>
          <w:rStyle w:val="TextoNormalCaracter"/>
        </w:rPr>
        <w:t>, f. 6.</w:t>
      </w:r>
    </w:p>
    <w:p w:rsidR="00CF552A" w:rsidRPr="00CF552A" w:rsidRDefault="00CF552A" w:rsidP="00CF552A">
      <w:pPr>
        <w:pStyle w:val="TextoNormalSangraFrancesa"/>
        <w:rPr>
          <w:rStyle w:val="TextoNormalNegritaCaracter"/>
        </w:rPr>
      </w:pPr>
      <w:r w:rsidRPr="00CF552A">
        <w:rPr>
          <w:rStyle w:val="TextoNormalCursivaCaracter"/>
        </w:rPr>
        <w:t>Finalidad retributiva de la prisión provisional</w:t>
      </w:r>
      <w:r>
        <w:t xml:space="preserve"> véase </w:t>
      </w:r>
      <w:hyperlink w:anchor="DESCRIPTORALFABETICO466" w:history="1">
        <w:r w:rsidRPr="00CF552A">
          <w:rPr>
            <w:rStyle w:val="TextoNormalNegritaCaracter"/>
          </w:rPr>
          <w:t>Finalidad legitimadora de la prisión provisional</w:t>
        </w:r>
      </w:hyperlink>
    </w:p>
    <w:p w:rsidR="00CF552A" w:rsidRPr="00CF552A" w:rsidRDefault="00CF552A" w:rsidP="00CF552A">
      <w:pPr>
        <w:pStyle w:val="TextoNormalSangraFrancesa"/>
        <w:rPr>
          <w:rStyle w:val="TextoNormalCaracter"/>
        </w:rPr>
      </w:pPr>
      <w:bookmarkStart w:id="941" w:name="DESCRIPTORALFABETICO215"/>
      <w:r w:rsidRPr="00CF552A">
        <w:rPr>
          <w:rStyle w:val="TextoNormalNegritaCaracter"/>
        </w:rPr>
        <w:t>Fondo Europeo de Orientación y Garantía Agrícola</w:t>
      </w:r>
      <w:bookmarkEnd w:id="941"/>
      <w:r w:rsidRPr="00CF552A">
        <w:rPr>
          <w:rStyle w:val="TextoNormalCaracter"/>
        </w:rPr>
        <w:t xml:space="preserve">, Sentencia </w:t>
      </w:r>
      <w:hyperlink w:anchor="SENTENCIA_1997_70" w:history="1">
        <w:r w:rsidRPr="00CF552A">
          <w:rPr>
            <w:rStyle w:val="TextoNormalCaracter"/>
          </w:rPr>
          <w:t>70/1997</w:t>
        </w:r>
      </w:hyperlink>
      <w:r w:rsidRPr="00CF552A">
        <w:rPr>
          <w:rStyle w:val="TextoNormalCaracter"/>
        </w:rPr>
        <w:t>, ff. 1, 2, 3, 4, 5.</w:t>
      </w:r>
    </w:p>
    <w:p w:rsidR="00CF552A" w:rsidRPr="00CF552A" w:rsidRDefault="00CF552A" w:rsidP="00CF552A">
      <w:pPr>
        <w:pStyle w:val="TextoNormalSangraFrancesa"/>
        <w:rPr>
          <w:rStyle w:val="TextoNormalCaracter"/>
        </w:rPr>
      </w:pPr>
      <w:bookmarkStart w:id="942" w:name="DESCRIPTORALFABETICO121"/>
      <w:r w:rsidRPr="00CF552A">
        <w:rPr>
          <w:rStyle w:val="TextoNormalNegritaCaracter"/>
        </w:rPr>
        <w:t>Fuerza expansiva de los derechos fundamentales</w:t>
      </w:r>
      <w:bookmarkEnd w:id="942"/>
      <w:r w:rsidRPr="00CF552A">
        <w:rPr>
          <w:rStyle w:val="TextoNormalCaracter"/>
        </w:rPr>
        <w:t xml:space="preserve">, Sentencia </w:t>
      </w:r>
      <w:hyperlink w:anchor="SENTENCIA_1997_3" w:history="1">
        <w:r w:rsidRPr="00CF552A">
          <w:rPr>
            <w:rStyle w:val="TextoNormalCaracter"/>
          </w:rPr>
          <w:t>3/1997</w:t>
        </w:r>
      </w:hyperlink>
      <w:r w:rsidRPr="00CF552A">
        <w:rPr>
          <w:rStyle w:val="TextoNormalCaracter"/>
        </w:rPr>
        <w:t>, f. 6.</w:t>
      </w:r>
    </w:p>
    <w:p w:rsidR="00CF552A" w:rsidRPr="00CF552A" w:rsidRDefault="00CF552A" w:rsidP="00CF552A">
      <w:pPr>
        <w:pStyle w:val="TextoNormalSangraFrancesa"/>
        <w:rPr>
          <w:rStyle w:val="TextoNormalCaracter"/>
        </w:rPr>
      </w:pPr>
      <w:bookmarkStart w:id="943" w:name="DESCRIPTORALFABETICO349"/>
      <w:r w:rsidRPr="00CF552A">
        <w:rPr>
          <w:rStyle w:val="TextoNormalNegritaCaracter"/>
        </w:rPr>
        <w:t>Funcionamiento anormal de la Administración de justicia</w:t>
      </w:r>
      <w:bookmarkEnd w:id="943"/>
      <w:r w:rsidRPr="00CF552A">
        <w:rPr>
          <w:rStyle w:val="TextoNormalCaracter"/>
        </w:rPr>
        <w:t xml:space="preserve">, Sentencias </w:t>
      </w:r>
      <w:hyperlink w:anchor="SENTENCIA_1997_31" w:history="1">
        <w:r w:rsidRPr="00CF552A">
          <w:rPr>
            <w:rStyle w:val="TextoNormalCaracter"/>
          </w:rPr>
          <w:t>31/1997</w:t>
        </w:r>
      </w:hyperlink>
      <w:r w:rsidRPr="00CF552A">
        <w:rPr>
          <w:rStyle w:val="TextoNormalCaracter"/>
        </w:rPr>
        <w:t xml:space="preserve">, ff. 1, 2, 3; </w:t>
      </w:r>
      <w:hyperlink w:anchor="SENTENCIA_1997_33" w:history="1">
        <w:r w:rsidRPr="00CF552A">
          <w:rPr>
            <w:rStyle w:val="TextoNormalCaracter"/>
          </w:rPr>
          <w:t>33/1997</w:t>
        </w:r>
      </w:hyperlink>
      <w:r w:rsidRPr="00CF552A">
        <w:rPr>
          <w:rStyle w:val="TextoNormalCaracter"/>
        </w:rPr>
        <w:t>, f. 3, VP.</w:t>
      </w:r>
    </w:p>
    <w:p w:rsidR="00CF552A" w:rsidRPr="00CF552A" w:rsidRDefault="00CF552A" w:rsidP="00CF552A">
      <w:pPr>
        <w:pStyle w:val="TextoNormalSangraFrancesa"/>
        <w:rPr>
          <w:rStyle w:val="TextoNormalCaracter"/>
        </w:rPr>
      </w:pPr>
      <w:bookmarkStart w:id="944" w:name="DESCRIPTORALFABETICO273"/>
      <w:r w:rsidRPr="00CF552A">
        <w:rPr>
          <w:rStyle w:val="TextoNormalNegritaCaracter"/>
        </w:rPr>
        <w:t>Funcionarios públicos</w:t>
      </w:r>
      <w:bookmarkEnd w:id="944"/>
      <w:r w:rsidRPr="00CF552A">
        <w:rPr>
          <w:rStyle w:val="TextoNormalCaracter"/>
        </w:rPr>
        <w:t xml:space="preserve">, Sentencia </w:t>
      </w:r>
      <w:hyperlink w:anchor="SENTENCIA_1997_80" w:history="1">
        <w:r w:rsidRPr="00CF552A">
          <w:rPr>
            <w:rStyle w:val="TextoNormalCaracter"/>
          </w:rPr>
          <w:t>80/1997</w:t>
        </w:r>
      </w:hyperlink>
      <w:r w:rsidRPr="00CF552A">
        <w:rPr>
          <w:rStyle w:val="TextoNormalCaracter"/>
        </w:rPr>
        <w:t>, f. único.</w:t>
      </w:r>
    </w:p>
    <w:p w:rsidR="00CF552A" w:rsidRDefault="00CF552A" w:rsidP="00CF552A">
      <w:pPr>
        <w:pStyle w:val="TextoNormalSangraFrancesa"/>
      </w:pPr>
    </w:p>
    <w:p w:rsidR="00CF552A" w:rsidRDefault="00CF552A" w:rsidP="00CF552A">
      <w:pPr>
        <w:pStyle w:val="TextoNormalSangraFrancesa"/>
      </w:pPr>
    </w:p>
    <w:p w:rsidR="00CF552A" w:rsidRDefault="00CF552A" w:rsidP="00CF552A">
      <w:pPr>
        <w:pStyle w:val="TextoNormalNegritaCentrado"/>
      </w:pPr>
      <w:r>
        <w:t>G</w:t>
      </w:r>
    </w:p>
    <w:p w:rsidR="00CF552A" w:rsidRDefault="00CF552A" w:rsidP="00CF552A">
      <w:pPr>
        <w:pStyle w:val="TextoNormalNegritaCentrado"/>
      </w:pPr>
    </w:p>
    <w:p w:rsidR="00CF552A" w:rsidRDefault="00CF552A" w:rsidP="00CF552A">
      <w:pPr>
        <w:pStyle w:val="TextoNormalNegritaCentrado"/>
      </w:pPr>
    </w:p>
    <w:p w:rsidR="00CF552A" w:rsidRDefault="00CF552A" w:rsidP="00CF552A">
      <w:pPr>
        <w:pStyle w:val="TextoNormalNegritaCentrado"/>
      </w:pPr>
    </w:p>
    <w:p w:rsidR="00CF552A" w:rsidRPr="00CF552A" w:rsidRDefault="00CF552A" w:rsidP="00CF552A">
      <w:pPr>
        <w:pStyle w:val="TextoNormalSangraFrancesa"/>
        <w:rPr>
          <w:rStyle w:val="TextoNormalNegritaCaracter"/>
        </w:rPr>
      </w:pPr>
      <w:r w:rsidRPr="00CF552A">
        <w:rPr>
          <w:rStyle w:val="TextoNormalCursivaCaracter"/>
        </w:rPr>
        <w:t>Garantía indemnizatoria</w:t>
      </w:r>
      <w:r>
        <w:t xml:space="preserve"> véase </w:t>
      </w:r>
      <w:hyperlink w:anchor="DESCRIPTORALFABETICO346" w:history="1">
        <w:r w:rsidRPr="00CF552A">
          <w:rPr>
            <w:rStyle w:val="TextoNormalNegritaCaracter"/>
          </w:rPr>
          <w:t>Indemnización</w:t>
        </w:r>
      </w:hyperlink>
    </w:p>
    <w:p w:rsidR="00CF552A" w:rsidRPr="00CF552A" w:rsidRDefault="00CF552A" w:rsidP="00CF552A">
      <w:pPr>
        <w:pStyle w:val="TextoNormalSangraFrancesa"/>
        <w:rPr>
          <w:rStyle w:val="TextoNormalCaracter"/>
        </w:rPr>
      </w:pPr>
      <w:bookmarkStart w:id="945" w:name="DESCRIPTORALFABETICO223"/>
      <w:r w:rsidRPr="00CF552A">
        <w:rPr>
          <w:rStyle w:val="TextoNormalNegritaCaracter"/>
        </w:rPr>
        <w:t>Garantías constitucionales</w:t>
      </w:r>
      <w:bookmarkEnd w:id="945"/>
      <w:r w:rsidRPr="00CF552A">
        <w:rPr>
          <w:rStyle w:val="TextoNormalCaracter"/>
        </w:rPr>
        <w:t xml:space="preserve">, Sentencia </w:t>
      </w:r>
      <w:hyperlink w:anchor="SENTENCIA_1997_56" w:history="1">
        <w:r w:rsidRPr="00CF552A">
          <w:rPr>
            <w:rStyle w:val="TextoNormalCaracter"/>
          </w:rPr>
          <w:t>56/1997</w:t>
        </w:r>
      </w:hyperlink>
      <w:r w:rsidRPr="00CF552A">
        <w:rPr>
          <w:rStyle w:val="TextoNormalCaracter"/>
        </w:rPr>
        <w:t>, f. 4.</w:t>
      </w:r>
    </w:p>
    <w:p w:rsidR="00CF552A" w:rsidRPr="00CF552A" w:rsidRDefault="00CF552A" w:rsidP="00CF552A">
      <w:pPr>
        <w:pStyle w:val="TextoNormalSangraFrancesa"/>
        <w:rPr>
          <w:rStyle w:val="TextoNormalCaracter"/>
        </w:rPr>
      </w:pPr>
      <w:bookmarkStart w:id="946" w:name="DESCRIPTORALFABETICO196"/>
      <w:r w:rsidRPr="00CF552A">
        <w:rPr>
          <w:rStyle w:val="TextoNormalNegritaCaracter"/>
        </w:rPr>
        <w:lastRenderedPageBreak/>
        <w:t>Garantías de los derechos fundamentales de los reclusos</w:t>
      </w:r>
      <w:bookmarkEnd w:id="946"/>
      <w:r w:rsidRPr="00CF552A">
        <w:rPr>
          <w:rStyle w:val="TextoNormalCaracter"/>
        </w:rPr>
        <w:t xml:space="preserve">, Sentencias </w:t>
      </w:r>
      <w:hyperlink w:anchor="SENTENCIA_1997_35" w:history="1">
        <w:r w:rsidRPr="00CF552A">
          <w:rPr>
            <w:rStyle w:val="TextoNormalCaracter"/>
          </w:rPr>
          <w:t>35/1997</w:t>
        </w:r>
      </w:hyperlink>
      <w:r w:rsidRPr="00CF552A">
        <w:rPr>
          <w:rStyle w:val="TextoNormalCaracter"/>
        </w:rPr>
        <w:t xml:space="preserve">, f. 5; </w:t>
      </w:r>
      <w:hyperlink w:anchor="SENTENCIA_1997_60" w:history="1">
        <w:r w:rsidRPr="00CF552A">
          <w:rPr>
            <w:rStyle w:val="TextoNormalCaracter"/>
          </w:rPr>
          <w:t>60/1997</w:t>
        </w:r>
      </w:hyperlink>
      <w:r w:rsidRPr="00CF552A">
        <w:rPr>
          <w:rStyle w:val="TextoNormalCaracter"/>
        </w:rPr>
        <w:t>, f. 2.</w:t>
      </w:r>
    </w:p>
    <w:p w:rsidR="00CF552A" w:rsidRPr="00CF552A" w:rsidRDefault="00CF552A" w:rsidP="00CF552A">
      <w:pPr>
        <w:pStyle w:val="TextoNormalSangraFrancesa"/>
        <w:rPr>
          <w:rStyle w:val="TextoNormalCaracter"/>
        </w:rPr>
      </w:pPr>
      <w:bookmarkStart w:id="947" w:name="DESCRIPTORALFABETICO341"/>
      <w:r w:rsidRPr="00CF552A">
        <w:rPr>
          <w:rStyle w:val="TextoNormalNegritaCaracter"/>
        </w:rPr>
        <w:t>Garantías en el procedimiento disciplinario penitenciario</w:t>
      </w:r>
      <w:bookmarkEnd w:id="947"/>
      <w:r w:rsidRPr="00CF552A">
        <w:rPr>
          <w:rStyle w:val="TextoNormalCaracter"/>
        </w:rPr>
        <w:t xml:space="preserve">, Sentencia </w:t>
      </w:r>
      <w:hyperlink w:anchor="SENTENCIA_1997_83" w:history="1">
        <w:r w:rsidRPr="00CF552A">
          <w:rPr>
            <w:rStyle w:val="TextoNormalCaracter"/>
          </w:rPr>
          <w:t>83/1997</w:t>
        </w:r>
      </w:hyperlink>
      <w:r w:rsidRPr="00CF552A">
        <w:rPr>
          <w:rStyle w:val="TextoNormalCaracter"/>
        </w:rPr>
        <w:t>, f. 2.</w:t>
      </w:r>
    </w:p>
    <w:p w:rsidR="00CF552A" w:rsidRPr="00CF552A" w:rsidRDefault="00CF552A" w:rsidP="00CF552A">
      <w:pPr>
        <w:pStyle w:val="TextoNormalSangraFrancesa"/>
        <w:rPr>
          <w:rStyle w:val="TextoNormalCaracter"/>
        </w:rPr>
      </w:pPr>
      <w:bookmarkStart w:id="948" w:name="DESCRIPTORALFABETICO461"/>
      <w:r w:rsidRPr="00CF552A">
        <w:rPr>
          <w:rStyle w:val="TextoNormalNegritaCaracter"/>
        </w:rPr>
        <w:t>Garantías en procedimiento de extradición</w:t>
      </w:r>
      <w:bookmarkEnd w:id="948"/>
      <w:r w:rsidRPr="00CF552A">
        <w:rPr>
          <w:rStyle w:val="TextoNormalCaracter"/>
        </w:rPr>
        <w:t xml:space="preserve">, Auto </w:t>
      </w:r>
      <w:hyperlink w:anchor="AUTO_1997_23" w:history="1">
        <w:r w:rsidRPr="00CF552A">
          <w:rPr>
            <w:rStyle w:val="TextoNormalCaracter"/>
          </w:rPr>
          <w:t>23/1997</w:t>
        </w:r>
      </w:hyperlink>
      <w:r w:rsidRPr="00CF552A">
        <w:rPr>
          <w:rStyle w:val="TextoNormalCaracter"/>
        </w:rPr>
        <w:t>.</w:t>
      </w:r>
    </w:p>
    <w:p w:rsidR="00CF552A" w:rsidRPr="00CF552A" w:rsidRDefault="00CF552A" w:rsidP="00CF552A">
      <w:pPr>
        <w:pStyle w:val="TextoNormalSangraFrancesa"/>
        <w:rPr>
          <w:rStyle w:val="TextoNormalNegritaCaracter"/>
        </w:rPr>
      </w:pPr>
      <w:r w:rsidRPr="00CF552A">
        <w:rPr>
          <w:rStyle w:val="TextoNormalCursivaCaracter"/>
        </w:rPr>
        <w:t>Garantías jurisdiccionales</w:t>
      </w:r>
      <w:r>
        <w:t xml:space="preserve"> véase </w:t>
      </w:r>
      <w:hyperlink w:anchor="DESCRIPTORALFABETICO105" w:history="1">
        <w:r w:rsidRPr="00CF552A">
          <w:rPr>
            <w:rStyle w:val="TextoNormalNegritaCaracter"/>
          </w:rPr>
          <w:t>Garantías procesales</w:t>
        </w:r>
      </w:hyperlink>
    </w:p>
    <w:p w:rsidR="00CF552A" w:rsidRPr="00CF552A" w:rsidRDefault="00CF552A" w:rsidP="00CF552A">
      <w:pPr>
        <w:pStyle w:val="TextoNormalSangraFrancesa"/>
        <w:rPr>
          <w:rStyle w:val="TextoNormalCaracter"/>
        </w:rPr>
      </w:pPr>
      <w:bookmarkStart w:id="949" w:name="DESCRIPTORALFABETICO105"/>
      <w:r w:rsidRPr="00CF552A">
        <w:rPr>
          <w:rStyle w:val="TextoNormalNegritaCaracter"/>
        </w:rPr>
        <w:t>Garantías procesales</w:t>
      </w:r>
      <w:bookmarkEnd w:id="949"/>
      <w:r w:rsidRPr="00CF552A">
        <w:rPr>
          <w:rStyle w:val="TextoNormalCaracter"/>
        </w:rPr>
        <w:t xml:space="preserve">, Sentencias </w:t>
      </w:r>
      <w:hyperlink w:anchor="SENTENCIA_1997_12" w:history="1">
        <w:r w:rsidRPr="00CF552A">
          <w:rPr>
            <w:rStyle w:val="TextoNormalCaracter"/>
          </w:rPr>
          <w:t>12/1997</w:t>
        </w:r>
      </w:hyperlink>
      <w:r w:rsidRPr="00CF552A">
        <w:rPr>
          <w:rStyle w:val="TextoNormalCaracter"/>
        </w:rPr>
        <w:t xml:space="preserve">, ff. 2, 3; </w:t>
      </w:r>
      <w:hyperlink w:anchor="SENTENCIA_1997_20" w:history="1">
        <w:r w:rsidRPr="00CF552A">
          <w:rPr>
            <w:rStyle w:val="TextoNormalCaracter"/>
          </w:rPr>
          <w:t>20/1997</w:t>
        </w:r>
      </w:hyperlink>
      <w:r w:rsidRPr="00CF552A">
        <w:rPr>
          <w:rStyle w:val="TextoNormalCaracter"/>
        </w:rPr>
        <w:t xml:space="preserve">, ff. 2, 4; </w:t>
      </w:r>
      <w:hyperlink w:anchor="SENTENCIA_1997_45" w:history="1">
        <w:r w:rsidRPr="00CF552A">
          <w:rPr>
            <w:rStyle w:val="TextoNormalCaracter"/>
          </w:rPr>
          <w:t>45/1997</w:t>
        </w:r>
      </w:hyperlink>
      <w:r w:rsidRPr="00CF552A">
        <w:rPr>
          <w:rStyle w:val="TextoNormalCaracter"/>
        </w:rPr>
        <w:t>, ff. 6, 7.</w:t>
      </w:r>
    </w:p>
    <w:p w:rsidR="00CF552A" w:rsidRPr="00CF552A" w:rsidRDefault="00CF552A" w:rsidP="00CF552A">
      <w:pPr>
        <w:pStyle w:val="TextoNormalSangraFrancesa"/>
        <w:rPr>
          <w:rStyle w:val="TextoNormalCaracter"/>
        </w:rPr>
      </w:pPr>
      <w:r w:rsidRPr="00CF552A">
        <w:rPr>
          <w:rStyle w:val="TextoNormalCaracter"/>
        </w:rPr>
        <w:t xml:space="preserve">    Auto </w:t>
      </w:r>
      <w:hyperlink w:anchor="AUTO_1997_117" w:history="1">
        <w:r w:rsidRPr="00CF552A">
          <w:rPr>
            <w:rStyle w:val="TextoNormalCaracter"/>
          </w:rPr>
          <w:t>117/1997</w:t>
        </w:r>
      </w:hyperlink>
      <w:r w:rsidRPr="00CF552A">
        <w:rPr>
          <w:rStyle w:val="TextoNormalCaracter"/>
        </w:rPr>
        <w:t>.</w:t>
      </w:r>
    </w:p>
    <w:p w:rsidR="00CF552A" w:rsidRPr="00CF552A" w:rsidRDefault="00CF552A" w:rsidP="00CF552A">
      <w:pPr>
        <w:pStyle w:val="TextoNormalSangraFrancesa"/>
        <w:rPr>
          <w:rStyle w:val="TextoNormalCaracter"/>
        </w:rPr>
      </w:pPr>
      <w:bookmarkStart w:id="950" w:name="DESCRIPTORALFABETICO270"/>
      <w:r w:rsidRPr="00CF552A">
        <w:rPr>
          <w:rStyle w:val="TextoNormalNegritaCaracter"/>
        </w:rPr>
        <w:t>Gestión de subvenciones públicas</w:t>
      </w:r>
      <w:bookmarkEnd w:id="950"/>
      <w:r w:rsidRPr="00CF552A">
        <w:rPr>
          <w:rStyle w:val="TextoNormalCaracter"/>
        </w:rPr>
        <w:t xml:space="preserve">, Sentencia </w:t>
      </w:r>
      <w:hyperlink w:anchor="SENTENCIA_1997_71" w:history="1">
        <w:r w:rsidRPr="00CF552A">
          <w:rPr>
            <w:rStyle w:val="TextoNormalCaracter"/>
          </w:rPr>
          <w:t>71/1997</w:t>
        </w:r>
      </w:hyperlink>
      <w:r w:rsidRPr="00CF552A">
        <w:rPr>
          <w:rStyle w:val="TextoNormalCaracter"/>
        </w:rPr>
        <w:t>, ff. 5, 6.</w:t>
      </w:r>
    </w:p>
    <w:p w:rsidR="00CF552A" w:rsidRDefault="00CF552A" w:rsidP="00CF552A">
      <w:pPr>
        <w:pStyle w:val="TextoNormalSangraFrancesa"/>
      </w:pPr>
    </w:p>
    <w:p w:rsidR="00CF552A" w:rsidRDefault="00CF552A" w:rsidP="00CF552A">
      <w:pPr>
        <w:pStyle w:val="TextoNormalSangraFrancesa"/>
      </w:pPr>
    </w:p>
    <w:p w:rsidR="00CF552A" w:rsidRDefault="00CF552A" w:rsidP="00CF552A">
      <w:pPr>
        <w:pStyle w:val="TextoNormalNegritaCentrado"/>
      </w:pPr>
      <w:r>
        <w:t>H</w:t>
      </w:r>
    </w:p>
    <w:p w:rsidR="00CF552A" w:rsidRDefault="00CF552A" w:rsidP="00CF552A">
      <w:pPr>
        <w:pStyle w:val="TextoNormalNegritaCentrado"/>
      </w:pPr>
    </w:p>
    <w:p w:rsidR="00CF552A" w:rsidRDefault="00CF552A" w:rsidP="00CF552A">
      <w:pPr>
        <w:pStyle w:val="TextoNormalNegritaCentrado"/>
      </w:pPr>
    </w:p>
    <w:p w:rsidR="00CF552A" w:rsidRDefault="00CF552A" w:rsidP="00CF552A">
      <w:pPr>
        <w:pStyle w:val="TextoNormalNegritaCentrado"/>
      </w:pPr>
    </w:p>
    <w:p w:rsidR="00CF552A" w:rsidRPr="00CF552A" w:rsidRDefault="00CF552A" w:rsidP="00CF552A">
      <w:pPr>
        <w:pStyle w:val="TextoNormalSangraFrancesa"/>
        <w:rPr>
          <w:rStyle w:val="TextoNormalCaracter"/>
        </w:rPr>
      </w:pPr>
      <w:bookmarkStart w:id="951" w:name="DESCRIPTORALFABETICO48"/>
      <w:r w:rsidRPr="00CF552A">
        <w:rPr>
          <w:rStyle w:val="TextoNormalNegritaCaracter"/>
          <w:i/>
        </w:rPr>
        <w:t>Habeas corpus</w:t>
      </w:r>
      <w:bookmarkEnd w:id="951"/>
      <w:r w:rsidRPr="00CF552A">
        <w:rPr>
          <w:rStyle w:val="TextoNormalCaracter"/>
        </w:rPr>
        <w:t xml:space="preserve">, Sentencia </w:t>
      </w:r>
      <w:hyperlink w:anchor="SENTENCIA_1997_21" w:history="1">
        <w:r w:rsidRPr="00CF552A">
          <w:rPr>
            <w:rStyle w:val="TextoNormalCaracter"/>
          </w:rPr>
          <w:t>21/1997</w:t>
        </w:r>
      </w:hyperlink>
      <w:r w:rsidRPr="00CF552A">
        <w:rPr>
          <w:rStyle w:val="TextoNormalCaracter"/>
        </w:rPr>
        <w:t>, f. 6.</w:t>
      </w:r>
    </w:p>
    <w:p w:rsidR="00CF552A" w:rsidRPr="00CF552A" w:rsidRDefault="00CF552A" w:rsidP="00CF552A">
      <w:pPr>
        <w:pStyle w:val="TextoNormalSangraFrancesa"/>
        <w:rPr>
          <w:rStyle w:val="TextoNormalCaracter"/>
        </w:rPr>
      </w:pPr>
      <w:bookmarkStart w:id="952" w:name="DESCRIPTORALFABETICO235"/>
      <w:r w:rsidRPr="00CF552A">
        <w:rPr>
          <w:rStyle w:val="TextoNormalNegritaCaracter"/>
        </w:rPr>
        <w:t>Herbáceos</w:t>
      </w:r>
      <w:bookmarkEnd w:id="952"/>
      <w:r w:rsidRPr="00CF552A">
        <w:rPr>
          <w:rStyle w:val="TextoNormalCaracter"/>
        </w:rPr>
        <w:t xml:space="preserve">, Sentencia </w:t>
      </w:r>
      <w:hyperlink w:anchor="SENTENCIA_1997_70" w:history="1">
        <w:r w:rsidRPr="00CF552A">
          <w:rPr>
            <w:rStyle w:val="TextoNormalCaracter"/>
          </w:rPr>
          <w:t>70/1997</w:t>
        </w:r>
      </w:hyperlink>
      <w:r w:rsidRPr="00CF552A">
        <w:rPr>
          <w:rStyle w:val="TextoNormalCaracter"/>
        </w:rPr>
        <w:t>, ff. 1, 2, 3, 4, 5.</w:t>
      </w:r>
    </w:p>
    <w:p w:rsidR="00CF552A" w:rsidRPr="00CF552A" w:rsidRDefault="00CF552A" w:rsidP="00CF552A">
      <w:pPr>
        <w:pStyle w:val="TextoNormalSangraFrancesa"/>
        <w:rPr>
          <w:rStyle w:val="TextoNormalCaracter"/>
        </w:rPr>
      </w:pPr>
      <w:bookmarkStart w:id="953" w:name="DESCRIPTORALFABETICO263"/>
      <w:r w:rsidRPr="00CF552A">
        <w:rPr>
          <w:rStyle w:val="TextoNormalNegritaCaracter"/>
        </w:rPr>
        <w:t>Hijos extramatrimoniales</w:t>
      </w:r>
      <w:bookmarkEnd w:id="953"/>
      <w:r w:rsidRPr="00CF552A">
        <w:rPr>
          <w:rStyle w:val="TextoNormalCaracter"/>
        </w:rPr>
        <w:t xml:space="preserve">, Sentencia </w:t>
      </w:r>
      <w:hyperlink w:anchor="SENTENCIA_1997_74" w:history="1">
        <w:r w:rsidRPr="00CF552A">
          <w:rPr>
            <w:rStyle w:val="TextoNormalCaracter"/>
          </w:rPr>
          <w:t>74/1997</w:t>
        </w:r>
      </w:hyperlink>
      <w:r w:rsidRPr="00CF552A">
        <w:rPr>
          <w:rStyle w:val="TextoNormalCaracter"/>
        </w:rPr>
        <w:t>, f. 3, VP.</w:t>
      </w:r>
    </w:p>
    <w:p w:rsidR="00CF552A" w:rsidRDefault="00CF552A" w:rsidP="00CF552A">
      <w:pPr>
        <w:pStyle w:val="TextoNormalSangraFrancesa"/>
      </w:pPr>
    </w:p>
    <w:p w:rsidR="00CF552A" w:rsidRDefault="00CF552A" w:rsidP="00CF552A">
      <w:pPr>
        <w:pStyle w:val="TextoNormalSangraFrancesa"/>
      </w:pPr>
    </w:p>
    <w:p w:rsidR="00CF552A" w:rsidRDefault="00CF552A" w:rsidP="00CF552A">
      <w:pPr>
        <w:pStyle w:val="TextoNormalNegritaCentrado"/>
      </w:pPr>
      <w:r>
        <w:t>I</w:t>
      </w:r>
    </w:p>
    <w:p w:rsidR="00CF552A" w:rsidRDefault="00CF552A" w:rsidP="00CF552A">
      <w:pPr>
        <w:pStyle w:val="TextoNormalNegritaCentrado"/>
      </w:pPr>
    </w:p>
    <w:p w:rsidR="00CF552A" w:rsidRDefault="00CF552A" w:rsidP="00CF552A">
      <w:pPr>
        <w:pStyle w:val="TextoNormalNegritaCentrado"/>
      </w:pPr>
    </w:p>
    <w:p w:rsidR="00CF552A" w:rsidRDefault="00CF552A" w:rsidP="00CF552A">
      <w:pPr>
        <w:pStyle w:val="TextoNormalNegritaCentrado"/>
      </w:pPr>
    </w:p>
    <w:p w:rsidR="00CF552A" w:rsidRPr="00CF552A" w:rsidRDefault="00CF552A" w:rsidP="00CF552A">
      <w:pPr>
        <w:pStyle w:val="TextoNormalSangraFrancesa"/>
        <w:rPr>
          <w:rStyle w:val="TextoNormalNegritaCaracter"/>
        </w:rPr>
      </w:pPr>
      <w:r w:rsidRPr="00CF552A">
        <w:rPr>
          <w:rStyle w:val="TextoNormalCursivaCaracter"/>
        </w:rPr>
        <w:t>Igualdad básica de los españoles</w:t>
      </w:r>
      <w:r>
        <w:t xml:space="preserve"> véase </w:t>
      </w:r>
      <w:hyperlink w:anchor="DESCRIPTORALFABETICO17" w:history="1">
        <w:r w:rsidRPr="00CF552A">
          <w:rPr>
            <w:rStyle w:val="TextoNormalNegritaCaracter"/>
          </w:rPr>
          <w:t>Competencias en materia de regulación de condiciones básicas de igualdad</w:t>
        </w:r>
      </w:hyperlink>
    </w:p>
    <w:p w:rsidR="00CF552A" w:rsidRPr="00CF552A" w:rsidRDefault="00CF552A" w:rsidP="00CF552A">
      <w:pPr>
        <w:pStyle w:val="TextoNormalSangraFrancesa"/>
        <w:rPr>
          <w:rStyle w:val="TextoNormalNegritaCaracter"/>
        </w:rPr>
      </w:pPr>
      <w:r w:rsidRPr="00CF552A">
        <w:rPr>
          <w:rStyle w:val="TextoNormalCursivaCaracter"/>
        </w:rPr>
        <w:t>Igualdad contra la ley</w:t>
      </w:r>
      <w:r>
        <w:t xml:space="preserve"> véase </w:t>
      </w:r>
      <w:hyperlink w:anchor="DESCRIPTORALFABETICO41" w:history="1">
        <w:r w:rsidRPr="00CF552A">
          <w:rPr>
            <w:rStyle w:val="TextoNormalNegritaCaracter"/>
          </w:rPr>
          <w:t>Igualdad en la ilegalidad</w:t>
        </w:r>
      </w:hyperlink>
    </w:p>
    <w:p w:rsidR="00CF552A" w:rsidRPr="00CF552A" w:rsidRDefault="00CF552A" w:rsidP="00CF552A">
      <w:pPr>
        <w:pStyle w:val="TextoNormalSangraFrancesa"/>
        <w:rPr>
          <w:rStyle w:val="TextoNormalCaracter"/>
        </w:rPr>
      </w:pPr>
      <w:bookmarkStart w:id="954" w:name="DESCRIPTORALFABETICO33"/>
      <w:r w:rsidRPr="00CF552A">
        <w:rPr>
          <w:rStyle w:val="TextoNormalNegritaCaracter"/>
        </w:rPr>
        <w:t>Igualdad en el acceso a la función pública</w:t>
      </w:r>
      <w:bookmarkEnd w:id="954"/>
      <w:r w:rsidRPr="00CF552A">
        <w:rPr>
          <w:rStyle w:val="TextoNormalCaracter"/>
        </w:rPr>
        <w:t xml:space="preserve">, Auto </w:t>
      </w:r>
      <w:hyperlink w:anchor="AUTO_1997_30" w:history="1">
        <w:r w:rsidRPr="00CF552A">
          <w:rPr>
            <w:rStyle w:val="TextoNormalCaracter"/>
          </w:rPr>
          <w:t>30/1997</w:t>
        </w:r>
      </w:hyperlink>
      <w:r w:rsidRPr="00CF552A">
        <w:rPr>
          <w:rStyle w:val="TextoNormalCaracter"/>
        </w:rPr>
        <w:t>.</w:t>
      </w:r>
    </w:p>
    <w:p w:rsidR="00CF552A" w:rsidRPr="00CF552A" w:rsidRDefault="00CF552A" w:rsidP="00CF552A">
      <w:pPr>
        <w:pStyle w:val="TextoNormalSangraFrancesa"/>
        <w:rPr>
          <w:rStyle w:val="TextoNormalCaracter"/>
        </w:rPr>
      </w:pPr>
      <w:bookmarkStart w:id="955" w:name="DESCRIPTORALFABETICO35"/>
      <w:r w:rsidRPr="00CF552A">
        <w:rPr>
          <w:rStyle w:val="TextoNormalNegritaCaracter"/>
        </w:rPr>
        <w:t>Igualdad en el ejercicio de cargos públicos</w:t>
      </w:r>
      <w:bookmarkEnd w:id="955"/>
      <w:r w:rsidRPr="00CF552A">
        <w:rPr>
          <w:rStyle w:val="TextoNormalCaracter"/>
        </w:rPr>
        <w:t xml:space="preserve">, Auto </w:t>
      </w:r>
      <w:hyperlink w:anchor="AUTO_1997_30" w:history="1">
        <w:r w:rsidRPr="00CF552A">
          <w:rPr>
            <w:rStyle w:val="TextoNormalCaracter"/>
          </w:rPr>
          <w:t>30/1997</w:t>
        </w:r>
      </w:hyperlink>
      <w:r w:rsidRPr="00CF552A">
        <w:rPr>
          <w:rStyle w:val="TextoNormalCaracter"/>
        </w:rPr>
        <w:t>.</w:t>
      </w:r>
    </w:p>
    <w:p w:rsidR="00CF552A" w:rsidRPr="00CF552A" w:rsidRDefault="00CF552A" w:rsidP="00CF552A">
      <w:pPr>
        <w:pStyle w:val="TextoNormalSangraFrancesa"/>
        <w:rPr>
          <w:rStyle w:val="TextoNormalCaracter"/>
        </w:rPr>
      </w:pPr>
      <w:bookmarkStart w:id="956" w:name="DESCRIPTORALFABETICO39"/>
      <w:r w:rsidRPr="00CF552A">
        <w:rPr>
          <w:rStyle w:val="TextoNormalNegritaCaracter"/>
        </w:rPr>
        <w:t>Igualdad en la aplicación de la ley</w:t>
      </w:r>
      <w:bookmarkEnd w:id="956"/>
      <w:r w:rsidRPr="00CF552A">
        <w:rPr>
          <w:rStyle w:val="TextoNormalCaracter"/>
        </w:rPr>
        <w:t xml:space="preserve">, Sentencia </w:t>
      </w:r>
      <w:hyperlink w:anchor="SENTENCIA_1997_79" w:history="1">
        <w:r w:rsidRPr="00CF552A">
          <w:rPr>
            <w:rStyle w:val="TextoNormalCaracter"/>
          </w:rPr>
          <w:t>79/1997</w:t>
        </w:r>
      </w:hyperlink>
      <w:r w:rsidRPr="00CF552A">
        <w:rPr>
          <w:rStyle w:val="TextoNormalCaracter"/>
        </w:rPr>
        <w:t>, f. 3.</w:t>
      </w:r>
    </w:p>
    <w:p w:rsidR="00CF552A" w:rsidRPr="00CF552A" w:rsidRDefault="00CF552A" w:rsidP="00CF552A">
      <w:pPr>
        <w:pStyle w:val="TextoNormalSangraFrancesa"/>
        <w:rPr>
          <w:rStyle w:val="TextoNormalCaracter"/>
        </w:rPr>
      </w:pPr>
      <w:r w:rsidRPr="00CF552A">
        <w:rPr>
          <w:rStyle w:val="TextoNormalCaracter"/>
        </w:rPr>
        <w:t xml:space="preserve">    Auto </w:t>
      </w:r>
      <w:hyperlink w:anchor="AUTO_1997_100" w:history="1">
        <w:r w:rsidRPr="00CF552A">
          <w:rPr>
            <w:rStyle w:val="TextoNormalCaracter"/>
          </w:rPr>
          <w:t>100/1997</w:t>
        </w:r>
      </w:hyperlink>
      <w:r w:rsidRPr="00CF552A">
        <w:rPr>
          <w:rStyle w:val="TextoNormalCaracter"/>
        </w:rPr>
        <w:t>.</w:t>
      </w:r>
    </w:p>
    <w:p w:rsidR="00CF552A" w:rsidRPr="00CF552A" w:rsidRDefault="00CF552A" w:rsidP="00CF552A">
      <w:pPr>
        <w:pStyle w:val="TextoNormalSangraFrancesa"/>
        <w:rPr>
          <w:rStyle w:val="TextoNormalCaracter"/>
        </w:rPr>
      </w:pPr>
      <w:bookmarkStart w:id="957" w:name="DESCRIPTORALFABETICO41"/>
      <w:r w:rsidRPr="00CF552A">
        <w:rPr>
          <w:rStyle w:val="TextoNormalNegritaCaracter"/>
        </w:rPr>
        <w:t>Igualdad en la ilegalidad</w:t>
      </w:r>
      <w:bookmarkEnd w:id="957"/>
      <w:r w:rsidRPr="00CF552A">
        <w:rPr>
          <w:rStyle w:val="TextoNormalCaracter"/>
        </w:rPr>
        <w:t xml:space="preserve">, Sentencia </w:t>
      </w:r>
      <w:hyperlink w:anchor="SENTENCIA_1997_78" w:history="1">
        <w:r w:rsidRPr="00CF552A">
          <w:rPr>
            <w:rStyle w:val="TextoNormalCaracter"/>
          </w:rPr>
          <w:t>78/1997</w:t>
        </w:r>
      </w:hyperlink>
      <w:r w:rsidRPr="00CF552A">
        <w:rPr>
          <w:rStyle w:val="TextoNormalCaracter"/>
        </w:rPr>
        <w:t>, f. 5.</w:t>
      </w:r>
    </w:p>
    <w:p w:rsidR="00CF552A" w:rsidRPr="00CF552A" w:rsidRDefault="00CF552A" w:rsidP="00CF552A">
      <w:pPr>
        <w:pStyle w:val="TextoNormalSangraFrancesa"/>
        <w:rPr>
          <w:rStyle w:val="TextoNormalCaracter"/>
        </w:rPr>
      </w:pPr>
      <w:bookmarkStart w:id="958" w:name="DESCRIPTORALFABETICO42"/>
      <w:r w:rsidRPr="00CF552A">
        <w:rPr>
          <w:rStyle w:val="TextoNormalNegritaCaracter"/>
        </w:rPr>
        <w:t>Igualdad en la ley</w:t>
      </w:r>
      <w:bookmarkEnd w:id="958"/>
      <w:r w:rsidRPr="00CF552A">
        <w:rPr>
          <w:rStyle w:val="TextoNormalCaracter"/>
        </w:rPr>
        <w:t xml:space="preserve">, Auto </w:t>
      </w:r>
      <w:hyperlink w:anchor="AUTO_1997_94" w:history="1">
        <w:r w:rsidRPr="00CF552A">
          <w:rPr>
            <w:rStyle w:val="TextoNormalCaracter"/>
          </w:rPr>
          <w:t>94/1997</w:t>
        </w:r>
      </w:hyperlink>
      <w:r w:rsidRPr="00CF552A">
        <w:rPr>
          <w:rStyle w:val="TextoNormalCaracter"/>
        </w:rPr>
        <w:t>.</w:t>
      </w:r>
    </w:p>
    <w:p w:rsidR="00CF552A" w:rsidRPr="00CF552A" w:rsidRDefault="00CF552A" w:rsidP="00CF552A">
      <w:pPr>
        <w:pStyle w:val="TextoNormalSangraFrancesa"/>
        <w:rPr>
          <w:rStyle w:val="TextoNormalCaracter"/>
        </w:rPr>
      </w:pPr>
      <w:bookmarkStart w:id="959" w:name="DESCRIPTORALFABETICO26"/>
      <w:r w:rsidRPr="00CF552A">
        <w:rPr>
          <w:rStyle w:val="TextoNormalNegritaCaracter"/>
        </w:rPr>
        <w:t>Impuesto sobre la renta de las personas físicas</w:t>
      </w:r>
      <w:bookmarkEnd w:id="959"/>
      <w:r w:rsidRPr="00CF552A">
        <w:rPr>
          <w:rStyle w:val="TextoNormalCaracter"/>
        </w:rPr>
        <w:t xml:space="preserve">, Sentencias </w:t>
      </w:r>
      <w:hyperlink w:anchor="SENTENCIA_1997_38" w:history="1">
        <w:r w:rsidRPr="00CF552A">
          <w:rPr>
            <w:rStyle w:val="TextoNormalCaracter"/>
          </w:rPr>
          <w:t>38/1997</w:t>
        </w:r>
      </w:hyperlink>
      <w:r w:rsidRPr="00CF552A">
        <w:rPr>
          <w:rStyle w:val="TextoNormalCaracter"/>
        </w:rPr>
        <w:t xml:space="preserve">, ff. 1, 2, 3, 4, 5, 6; </w:t>
      </w:r>
      <w:hyperlink w:anchor="SENTENCIA_1997_63" w:history="1">
        <w:r w:rsidRPr="00CF552A">
          <w:rPr>
            <w:rStyle w:val="TextoNormalCaracter"/>
          </w:rPr>
          <w:t>63/1997</w:t>
        </w:r>
      </w:hyperlink>
      <w:r w:rsidRPr="00CF552A">
        <w:rPr>
          <w:rStyle w:val="TextoNormalCaracter"/>
        </w:rPr>
        <w:t xml:space="preserve">, f. 1; </w:t>
      </w:r>
      <w:hyperlink w:anchor="SENTENCIA_1997_80" w:history="1">
        <w:r w:rsidRPr="00CF552A">
          <w:rPr>
            <w:rStyle w:val="TextoNormalCaracter"/>
          </w:rPr>
          <w:t>80/1997</w:t>
        </w:r>
      </w:hyperlink>
      <w:r w:rsidRPr="00CF552A">
        <w:rPr>
          <w:rStyle w:val="TextoNormalCaracter"/>
        </w:rPr>
        <w:t>, f. único.</w:t>
      </w:r>
    </w:p>
    <w:p w:rsidR="00CF552A" w:rsidRPr="00CF552A" w:rsidRDefault="00CF552A" w:rsidP="00CF552A">
      <w:pPr>
        <w:pStyle w:val="TextoNormalSangraFrancesa"/>
        <w:rPr>
          <w:rStyle w:val="TextoNormalCaracter"/>
        </w:rPr>
      </w:pPr>
      <w:bookmarkStart w:id="960" w:name="DESCRIPTORALFABETICO343"/>
      <w:r w:rsidRPr="00CF552A">
        <w:rPr>
          <w:rStyle w:val="TextoNormalNegritaCaracter"/>
        </w:rPr>
        <w:t>Impugnación de sanciones penitenciarias</w:t>
      </w:r>
      <w:bookmarkEnd w:id="960"/>
      <w:r w:rsidRPr="00CF552A">
        <w:rPr>
          <w:rStyle w:val="TextoNormalCaracter"/>
        </w:rPr>
        <w:t xml:space="preserve">, Sentencias </w:t>
      </w:r>
      <w:hyperlink w:anchor="SENTENCIA_1997_35" w:history="1">
        <w:r w:rsidRPr="00CF552A">
          <w:rPr>
            <w:rStyle w:val="TextoNormalCaracter"/>
          </w:rPr>
          <w:t>35/1997</w:t>
        </w:r>
      </w:hyperlink>
      <w:r w:rsidRPr="00CF552A">
        <w:rPr>
          <w:rStyle w:val="TextoNormalCaracter"/>
        </w:rPr>
        <w:t xml:space="preserve">, f. 3; </w:t>
      </w:r>
      <w:hyperlink w:anchor="SENTENCIA_1997_39" w:history="1">
        <w:r w:rsidRPr="00CF552A">
          <w:rPr>
            <w:rStyle w:val="TextoNormalCaracter"/>
          </w:rPr>
          <w:t>39/1997</w:t>
        </w:r>
      </w:hyperlink>
      <w:r w:rsidRPr="00CF552A">
        <w:rPr>
          <w:rStyle w:val="TextoNormalCaracter"/>
        </w:rPr>
        <w:t>, f. 3.</w:t>
      </w:r>
    </w:p>
    <w:p w:rsidR="00CF552A" w:rsidRPr="00CF552A" w:rsidRDefault="00CF552A" w:rsidP="00CF552A">
      <w:pPr>
        <w:pStyle w:val="TextoNormalSangraFrancesa"/>
        <w:rPr>
          <w:rStyle w:val="TextoNormalCaracter"/>
        </w:rPr>
      </w:pPr>
      <w:bookmarkStart w:id="961" w:name="DESCRIPTORALFABETICO448"/>
      <w:r w:rsidRPr="00CF552A">
        <w:rPr>
          <w:rStyle w:val="TextoNormalNegritaCaracter"/>
        </w:rPr>
        <w:t>Inadmisión de recurso contencioso-administrativo</w:t>
      </w:r>
      <w:bookmarkEnd w:id="961"/>
      <w:r w:rsidRPr="00CF552A">
        <w:rPr>
          <w:rStyle w:val="TextoNormalCaracter"/>
        </w:rPr>
        <w:t xml:space="preserve">, Sentencias </w:t>
      </w:r>
      <w:hyperlink w:anchor="SENTENCIA_1997_55" w:history="1">
        <w:r w:rsidRPr="00CF552A">
          <w:rPr>
            <w:rStyle w:val="TextoNormalCaracter"/>
          </w:rPr>
          <w:t>55/1997</w:t>
        </w:r>
      </w:hyperlink>
      <w:r w:rsidRPr="00CF552A">
        <w:rPr>
          <w:rStyle w:val="TextoNormalCaracter"/>
        </w:rPr>
        <w:t xml:space="preserve">, ff. 1, 2, 3, VP; </w:t>
      </w:r>
      <w:hyperlink w:anchor="SENTENCIA_1997_79" w:history="1">
        <w:r w:rsidRPr="00CF552A">
          <w:rPr>
            <w:rStyle w:val="TextoNormalCaracter"/>
          </w:rPr>
          <w:t>79/1997</w:t>
        </w:r>
      </w:hyperlink>
      <w:r w:rsidRPr="00CF552A">
        <w:rPr>
          <w:rStyle w:val="TextoNormalCaracter"/>
        </w:rPr>
        <w:t>, ff. 4, 5.</w:t>
      </w:r>
    </w:p>
    <w:p w:rsidR="00CF552A" w:rsidRPr="00CF552A" w:rsidRDefault="00CF552A" w:rsidP="00CF552A">
      <w:pPr>
        <w:pStyle w:val="TextoNormalSangraFrancesa"/>
        <w:rPr>
          <w:rStyle w:val="TextoNormalCaracter"/>
        </w:rPr>
      </w:pPr>
      <w:bookmarkStart w:id="962" w:name="DESCRIPTORALFABETICO184"/>
      <w:r w:rsidRPr="00CF552A">
        <w:rPr>
          <w:rStyle w:val="TextoNormalNegritaCaracter"/>
        </w:rPr>
        <w:t>Inadmisión de recurso de amparo</w:t>
      </w:r>
      <w:bookmarkEnd w:id="962"/>
      <w:r w:rsidRPr="00CF552A">
        <w:rPr>
          <w:rStyle w:val="TextoNormalCaracter"/>
        </w:rPr>
        <w:t xml:space="preserve">, Sentencia </w:t>
      </w:r>
      <w:hyperlink w:anchor="SENTENCIA_1997_5" w:history="1">
        <w:r w:rsidRPr="00CF552A">
          <w:rPr>
            <w:rStyle w:val="TextoNormalCaracter"/>
          </w:rPr>
          <w:t>5/1997</w:t>
        </w:r>
      </w:hyperlink>
      <w:r w:rsidRPr="00CF552A">
        <w:rPr>
          <w:rStyle w:val="TextoNormalCaracter"/>
        </w:rPr>
        <w:t>, f. 4.</w:t>
      </w:r>
    </w:p>
    <w:p w:rsidR="00CF552A" w:rsidRPr="00CF552A" w:rsidRDefault="00CF552A" w:rsidP="00CF552A">
      <w:pPr>
        <w:pStyle w:val="TextoNormalSangraFrancesa"/>
        <w:rPr>
          <w:rStyle w:val="TextoNormalCaracter"/>
        </w:rPr>
      </w:pPr>
      <w:r w:rsidRPr="00CF552A">
        <w:rPr>
          <w:rStyle w:val="TextoNormalCaracter"/>
        </w:rPr>
        <w:t xml:space="preserve">    Autos </w:t>
      </w:r>
      <w:hyperlink w:anchor="AUTO_1997_4" w:history="1">
        <w:r w:rsidRPr="00CF552A">
          <w:rPr>
            <w:rStyle w:val="TextoNormalCaracter"/>
          </w:rPr>
          <w:t>4/1997</w:t>
        </w:r>
      </w:hyperlink>
      <w:r w:rsidRPr="00CF552A">
        <w:rPr>
          <w:rStyle w:val="TextoNormalCaracter"/>
        </w:rPr>
        <w:t xml:space="preserve">; </w:t>
      </w:r>
      <w:hyperlink w:anchor="AUTO_1997_13" w:history="1">
        <w:r w:rsidRPr="00CF552A">
          <w:rPr>
            <w:rStyle w:val="TextoNormalCaracter"/>
          </w:rPr>
          <w:t>13/1997</w:t>
        </w:r>
      </w:hyperlink>
      <w:r w:rsidRPr="00CF552A">
        <w:rPr>
          <w:rStyle w:val="TextoNormalCaracter"/>
        </w:rPr>
        <w:t xml:space="preserve">; </w:t>
      </w:r>
      <w:hyperlink w:anchor="AUTO_1997_15" w:history="1">
        <w:r w:rsidRPr="00CF552A">
          <w:rPr>
            <w:rStyle w:val="TextoNormalCaracter"/>
          </w:rPr>
          <w:t>15/1997</w:t>
        </w:r>
      </w:hyperlink>
      <w:r w:rsidRPr="00CF552A">
        <w:rPr>
          <w:rStyle w:val="TextoNormalCaracter"/>
        </w:rPr>
        <w:t xml:space="preserve">; </w:t>
      </w:r>
      <w:hyperlink w:anchor="AUTO_1997_23" w:history="1">
        <w:r w:rsidRPr="00CF552A">
          <w:rPr>
            <w:rStyle w:val="TextoNormalCaracter"/>
          </w:rPr>
          <w:t>23/1997</w:t>
        </w:r>
      </w:hyperlink>
      <w:r w:rsidRPr="00CF552A">
        <w:rPr>
          <w:rStyle w:val="TextoNormalCaracter"/>
        </w:rPr>
        <w:t xml:space="preserve">; </w:t>
      </w:r>
      <w:hyperlink w:anchor="AUTO_1997_24" w:history="1">
        <w:r w:rsidRPr="00CF552A">
          <w:rPr>
            <w:rStyle w:val="TextoNormalCaracter"/>
          </w:rPr>
          <w:t>24/1997</w:t>
        </w:r>
      </w:hyperlink>
      <w:r w:rsidRPr="00CF552A">
        <w:rPr>
          <w:rStyle w:val="TextoNormalCaracter"/>
        </w:rPr>
        <w:t xml:space="preserve">; </w:t>
      </w:r>
      <w:hyperlink w:anchor="AUTO_1997_30" w:history="1">
        <w:r w:rsidRPr="00CF552A">
          <w:rPr>
            <w:rStyle w:val="TextoNormalCaracter"/>
          </w:rPr>
          <w:t>30/1997</w:t>
        </w:r>
      </w:hyperlink>
      <w:r w:rsidRPr="00CF552A">
        <w:rPr>
          <w:rStyle w:val="TextoNormalCaracter"/>
        </w:rPr>
        <w:t xml:space="preserve">; </w:t>
      </w:r>
      <w:hyperlink w:anchor="AUTO_1997_32" w:history="1">
        <w:r w:rsidRPr="00CF552A">
          <w:rPr>
            <w:rStyle w:val="TextoNormalCaracter"/>
          </w:rPr>
          <w:t>32/1997</w:t>
        </w:r>
      </w:hyperlink>
      <w:r w:rsidRPr="00CF552A">
        <w:rPr>
          <w:rStyle w:val="TextoNormalCaracter"/>
        </w:rPr>
        <w:t xml:space="preserve">; </w:t>
      </w:r>
      <w:hyperlink w:anchor="AUTO_1997_33" w:history="1">
        <w:r w:rsidRPr="00CF552A">
          <w:rPr>
            <w:rStyle w:val="TextoNormalCaracter"/>
          </w:rPr>
          <w:t>33/1997</w:t>
        </w:r>
      </w:hyperlink>
      <w:r w:rsidRPr="00CF552A">
        <w:rPr>
          <w:rStyle w:val="TextoNormalCaracter"/>
        </w:rPr>
        <w:t xml:space="preserve">; </w:t>
      </w:r>
      <w:hyperlink w:anchor="AUTO_1997_42" w:history="1">
        <w:r w:rsidRPr="00CF552A">
          <w:rPr>
            <w:rStyle w:val="TextoNormalCaracter"/>
          </w:rPr>
          <w:t>42/1997</w:t>
        </w:r>
      </w:hyperlink>
      <w:r w:rsidRPr="00CF552A">
        <w:rPr>
          <w:rStyle w:val="TextoNormalCaracter"/>
        </w:rPr>
        <w:t xml:space="preserve">; </w:t>
      </w:r>
      <w:hyperlink w:anchor="AUTO_1997_59" w:history="1">
        <w:r w:rsidRPr="00CF552A">
          <w:rPr>
            <w:rStyle w:val="TextoNormalCaracter"/>
          </w:rPr>
          <w:t>59/1997</w:t>
        </w:r>
      </w:hyperlink>
      <w:r w:rsidRPr="00CF552A">
        <w:rPr>
          <w:rStyle w:val="TextoNormalCaracter"/>
        </w:rPr>
        <w:t xml:space="preserve">; </w:t>
      </w:r>
      <w:hyperlink w:anchor="AUTO_1997_60" w:history="1">
        <w:r w:rsidRPr="00CF552A">
          <w:rPr>
            <w:rStyle w:val="TextoNormalCaracter"/>
          </w:rPr>
          <w:t>60/1997</w:t>
        </w:r>
      </w:hyperlink>
      <w:r w:rsidRPr="00CF552A">
        <w:rPr>
          <w:rStyle w:val="TextoNormalCaracter"/>
        </w:rPr>
        <w:t xml:space="preserve">; </w:t>
      </w:r>
      <w:hyperlink w:anchor="AUTO_1997_79" w:history="1">
        <w:r w:rsidRPr="00CF552A">
          <w:rPr>
            <w:rStyle w:val="TextoNormalCaracter"/>
          </w:rPr>
          <w:t>79/1997</w:t>
        </w:r>
      </w:hyperlink>
      <w:r w:rsidRPr="00CF552A">
        <w:rPr>
          <w:rStyle w:val="TextoNormalCaracter"/>
        </w:rPr>
        <w:t xml:space="preserve">; </w:t>
      </w:r>
      <w:hyperlink w:anchor="AUTO_1997_80" w:history="1">
        <w:r w:rsidRPr="00CF552A">
          <w:rPr>
            <w:rStyle w:val="TextoNormalCaracter"/>
          </w:rPr>
          <w:t>80/1997</w:t>
        </w:r>
      </w:hyperlink>
      <w:r w:rsidRPr="00CF552A">
        <w:rPr>
          <w:rStyle w:val="TextoNormalCaracter"/>
        </w:rPr>
        <w:t xml:space="preserve">; </w:t>
      </w:r>
      <w:hyperlink w:anchor="AUTO_1997_90" w:history="1">
        <w:r w:rsidRPr="00CF552A">
          <w:rPr>
            <w:rStyle w:val="TextoNormalCaracter"/>
          </w:rPr>
          <w:t>90/1997</w:t>
        </w:r>
      </w:hyperlink>
      <w:r w:rsidRPr="00CF552A">
        <w:rPr>
          <w:rStyle w:val="TextoNormalCaracter"/>
        </w:rPr>
        <w:t xml:space="preserve">; </w:t>
      </w:r>
      <w:hyperlink w:anchor="AUTO_1997_91" w:history="1">
        <w:r w:rsidRPr="00CF552A">
          <w:rPr>
            <w:rStyle w:val="TextoNormalCaracter"/>
          </w:rPr>
          <w:t>91/1997</w:t>
        </w:r>
      </w:hyperlink>
      <w:r w:rsidRPr="00CF552A">
        <w:rPr>
          <w:rStyle w:val="TextoNormalCaracter"/>
        </w:rPr>
        <w:t xml:space="preserve">; </w:t>
      </w:r>
      <w:hyperlink w:anchor="AUTO_1997_94" w:history="1">
        <w:r w:rsidRPr="00CF552A">
          <w:rPr>
            <w:rStyle w:val="TextoNormalCaracter"/>
          </w:rPr>
          <w:t>94/1997</w:t>
        </w:r>
      </w:hyperlink>
      <w:r w:rsidRPr="00CF552A">
        <w:rPr>
          <w:rStyle w:val="TextoNormalCaracter"/>
        </w:rPr>
        <w:t xml:space="preserve">; </w:t>
      </w:r>
      <w:hyperlink w:anchor="AUTO_1997_95" w:history="1">
        <w:r w:rsidRPr="00CF552A">
          <w:rPr>
            <w:rStyle w:val="TextoNormalCaracter"/>
          </w:rPr>
          <w:t>95/1997</w:t>
        </w:r>
      </w:hyperlink>
      <w:r w:rsidRPr="00CF552A">
        <w:rPr>
          <w:rStyle w:val="TextoNormalCaracter"/>
        </w:rPr>
        <w:t xml:space="preserve">; </w:t>
      </w:r>
      <w:hyperlink w:anchor="AUTO_1997_105" w:history="1">
        <w:r w:rsidRPr="00CF552A">
          <w:rPr>
            <w:rStyle w:val="TextoNormalCaracter"/>
          </w:rPr>
          <w:t>105/1997</w:t>
        </w:r>
      </w:hyperlink>
      <w:r w:rsidRPr="00CF552A">
        <w:rPr>
          <w:rStyle w:val="TextoNormalCaracter"/>
        </w:rPr>
        <w:t xml:space="preserve">; </w:t>
      </w:r>
      <w:hyperlink w:anchor="AUTO_1997_108" w:history="1">
        <w:r w:rsidRPr="00CF552A">
          <w:rPr>
            <w:rStyle w:val="TextoNormalCaracter"/>
          </w:rPr>
          <w:t>108/1997</w:t>
        </w:r>
      </w:hyperlink>
      <w:r w:rsidRPr="00CF552A">
        <w:rPr>
          <w:rStyle w:val="TextoNormalCaracter"/>
        </w:rPr>
        <w:t xml:space="preserve">; </w:t>
      </w:r>
      <w:hyperlink w:anchor="AUTO_1997_111" w:history="1">
        <w:r w:rsidRPr="00CF552A">
          <w:rPr>
            <w:rStyle w:val="TextoNormalCaracter"/>
          </w:rPr>
          <w:t>111/1997</w:t>
        </w:r>
      </w:hyperlink>
      <w:r w:rsidRPr="00CF552A">
        <w:rPr>
          <w:rStyle w:val="TextoNormalCaracter"/>
        </w:rPr>
        <w:t xml:space="preserve">; </w:t>
      </w:r>
      <w:hyperlink w:anchor="AUTO_1997_114" w:history="1">
        <w:r w:rsidRPr="00CF552A">
          <w:rPr>
            <w:rStyle w:val="TextoNormalCaracter"/>
          </w:rPr>
          <w:t>114/1997</w:t>
        </w:r>
      </w:hyperlink>
      <w:r w:rsidRPr="00CF552A">
        <w:rPr>
          <w:rStyle w:val="TextoNormalCaracter"/>
        </w:rPr>
        <w:t xml:space="preserve">; </w:t>
      </w:r>
      <w:hyperlink w:anchor="AUTO_1997_115" w:history="1">
        <w:r w:rsidRPr="00CF552A">
          <w:rPr>
            <w:rStyle w:val="TextoNormalCaracter"/>
          </w:rPr>
          <w:t>115/1997</w:t>
        </w:r>
      </w:hyperlink>
      <w:r w:rsidRPr="00CF552A">
        <w:rPr>
          <w:rStyle w:val="TextoNormalCaracter"/>
        </w:rPr>
        <w:t xml:space="preserve">; </w:t>
      </w:r>
      <w:hyperlink w:anchor="AUTO_1997_117" w:history="1">
        <w:r w:rsidRPr="00CF552A">
          <w:rPr>
            <w:rStyle w:val="TextoNormalCaracter"/>
          </w:rPr>
          <w:t>117/1997</w:t>
        </w:r>
      </w:hyperlink>
      <w:r w:rsidRPr="00CF552A">
        <w:rPr>
          <w:rStyle w:val="TextoNormalCaracter"/>
        </w:rPr>
        <w:t xml:space="preserve">; </w:t>
      </w:r>
      <w:hyperlink w:anchor="AUTO_1997_118" w:history="1">
        <w:r w:rsidRPr="00CF552A">
          <w:rPr>
            <w:rStyle w:val="TextoNormalCaracter"/>
          </w:rPr>
          <w:t>118/1997</w:t>
        </w:r>
      </w:hyperlink>
      <w:r w:rsidRPr="00CF552A">
        <w:rPr>
          <w:rStyle w:val="TextoNormalCaracter"/>
        </w:rPr>
        <w:t xml:space="preserve">; </w:t>
      </w:r>
      <w:hyperlink w:anchor="AUTO_1997_119" w:history="1">
        <w:r w:rsidRPr="00CF552A">
          <w:rPr>
            <w:rStyle w:val="TextoNormalCaracter"/>
          </w:rPr>
          <w:t>119/1997</w:t>
        </w:r>
      </w:hyperlink>
      <w:r w:rsidRPr="00CF552A">
        <w:rPr>
          <w:rStyle w:val="TextoNormalCaracter"/>
        </w:rPr>
        <w:t xml:space="preserve">; </w:t>
      </w:r>
      <w:hyperlink w:anchor="AUTO_1997_121" w:history="1">
        <w:r w:rsidRPr="00CF552A">
          <w:rPr>
            <w:rStyle w:val="TextoNormalCaracter"/>
          </w:rPr>
          <w:t>121/1997</w:t>
        </w:r>
      </w:hyperlink>
      <w:r w:rsidRPr="00CF552A">
        <w:rPr>
          <w:rStyle w:val="TextoNormalCaracter"/>
        </w:rPr>
        <w:t xml:space="preserve">; </w:t>
      </w:r>
      <w:hyperlink w:anchor="AUTO_1997_122" w:history="1">
        <w:r w:rsidRPr="00CF552A">
          <w:rPr>
            <w:rStyle w:val="TextoNormalCaracter"/>
          </w:rPr>
          <w:t>122/1997</w:t>
        </w:r>
      </w:hyperlink>
      <w:r w:rsidRPr="00CF552A">
        <w:rPr>
          <w:rStyle w:val="TextoNormalCaracter"/>
        </w:rPr>
        <w:t>.</w:t>
      </w:r>
    </w:p>
    <w:p w:rsidR="00CF552A" w:rsidRPr="00CF552A" w:rsidRDefault="00CF552A" w:rsidP="00CF552A">
      <w:pPr>
        <w:pStyle w:val="TextoNormalSangraFrancesa"/>
        <w:rPr>
          <w:rStyle w:val="TextoNormalCaracter"/>
        </w:rPr>
      </w:pPr>
      <w:bookmarkStart w:id="963" w:name="DESCRIPTORALFABETICO430"/>
      <w:r w:rsidRPr="00CF552A">
        <w:rPr>
          <w:rStyle w:val="TextoNormalNegritaCaracter"/>
        </w:rPr>
        <w:t>Inadmisión de recurso de apelación</w:t>
      </w:r>
      <w:bookmarkEnd w:id="963"/>
      <w:r w:rsidRPr="00CF552A">
        <w:rPr>
          <w:rStyle w:val="TextoNormalCaracter"/>
        </w:rPr>
        <w:t xml:space="preserve">, Auto </w:t>
      </w:r>
      <w:hyperlink w:anchor="AUTO_1997_80" w:history="1">
        <w:r w:rsidRPr="00CF552A">
          <w:rPr>
            <w:rStyle w:val="TextoNormalCaracter"/>
          </w:rPr>
          <w:t>80/1997</w:t>
        </w:r>
      </w:hyperlink>
      <w:r w:rsidRPr="00CF552A">
        <w:rPr>
          <w:rStyle w:val="TextoNormalCaracter"/>
        </w:rPr>
        <w:t>.</w:t>
      </w:r>
    </w:p>
    <w:p w:rsidR="00CF552A" w:rsidRPr="00CF552A" w:rsidRDefault="00CF552A" w:rsidP="00CF552A">
      <w:pPr>
        <w:pStyle w:val="TextoNormalSangraFrancesa"/>
        <w:rPr>
          <w:rStyle w:val="TextoNormalCaracter"/>
        </w:rPr>
      </w:pPr>
      <w:bookmarkStart w:id="964" w:name="DESCRIPTORALFABETICO446"/>
      <w:r w:rsidRPr="00CF552A">
        <w:rPr>
          <w:rStyle w:val="TextoNormalNegritaCaracter"/>
        </w:rPr>
        <w:t>Inadmisión de recurso de casación civil</w:t>
      </w:r>
      <w:bookmarkEnd w:id="964"/>
      <w:r w:rsidRPr="00CF552A">
        <w:rPr>
          <w:rStyle w:val="TextoNormalCaracter"/>
        </w:rPr>
        <w:t xml:space="preserve">, Auto </w:t>
      </w:r>
      <w:hyperlink w:anchor="AUTO_1997_91" w:history="1">
        <w:r w:rsidRPr="00CF552A">
          <w:rPr>
            <w:rStyle w:val="TextoNormalCaracter"/>
          </w:rPr>
          <w:t>91/1997</w:t>
        </w:r>
      </w:hyperlink>
      <w:r w:rsidRPr="00CF552A">
        <w:rPr>
          <w:rStyle w:val="TextoNormalCaracter"/>
        </w:rPr>
        <w:t>.</w:t>
      </w:r>
    </w:p>
    <w:p w:rsidR="00CF552A" w:rsidRPr="00CF552A" w:rsidRDefault="00CF552A" w:rsidP="00CF552A">
      <w:pPr>
        <w:pStyle w:val="TextoNormalSangraFrancesa"/>
        <w:rPr>
          <w:rStyle w:val="TextoNormalCaracter"/>
        </w:rPr>
      </w:pPr>
      <w:bookmarkStart w:id="965" w:name="DESCRIPTORALFABETICO435"/>
      <w:r w:rsidRPr="00CF552A">
        <w:rPr>
          <w:rStyle w:val="TextoNormalNegritaCaracter"/>
        </w:rPr>
        <w:t>Inadmisión de recurso de casación para la unificación de doctrina</w:t>
      </w:r>
      <w:bookmarkEnd w:id="965"/>
      <w:r w:rsidRPr="00CF552A">
        <w:rPr>
          <w:rStyle w:val="TextoNormalCaracter"/>
        </w:rPr>
        <w:t xml:space="preserve">, Sentencia </w:t>
      </w:r>
      <w:hyperlink w:anchor="SENTENCIA_1997_57" w:history="1">
        <w:r w:rsidRPr="00CF552A">
          <w:rPr>
            <w:rStyle w:val="TextoNormalCaracter"/>
          </w:rPr>
          <w:t>57/1997</w:t>
        </w:r>
      </w:hyperlink>
      <w:r w:rsidRPr="00CF552A">
        <w:rPr>
          <w:rStyle w:val="TextoNormalCaracter"/>
        </w:rPr>
        <w:t>, f. 4.</w:t>
      </w:r>
    </w:p>
    <w:p w:rsidR="00CF552A" w:rsidRPr="00CF552A" w:rsidRDefault="00CF552A" w:rsidP="00CF552A">
      <w:pPr>
        <w:pStyle w:val="TextoNormalSangraFrancesa"/>
        <w:rPr>
          <w:rStyle w:val="TextoNormalCaracter"/>
        </w:rPr>
      </w:pPr>
      <w:bookmarkStart w:id="966" w:name="DESCRIPTORALFABETICO436"/>
      <w:r w:rsidRPr="00CF552A">
        <w:rPr>
          <w:rStyle w:val="TextoNormalNegritaCaracter"/>
        </w:rPr>
        <w:t>Inadmisión de recurso de reposición</w:t>
      </w:r>
      <w:bookmarkEnd w:id="966"/>
      <w:r w:rsidRPr="00CF552A">
        <w:rPr>
          <w:rStyle w:val="TextoNormalCaracter"/>
        </w:rPr>
        <w:t xml:space="preserve">, Auto </w:t>
      </w:r>
      <w:hyperlink w:anchor="AUTO_1997_60" w:history="1">
        <w:r w:rsidRPr="00CF552A">
          <w:rPr>
            <w:rStyle w:val="TextoNormalCaracter"/>
          </w:rPr>
          <w:t>60/1997</w:t>
        </w:r>
      </w:hyperlink>
      <w:r w:rsidRPr="00CF552A">
        <w:rPr>
          <w:rStyle w:val="TextoNormalCaracter"/>
        </w:rPr>
        <w:t>.</w:t>
      </w:r>
    </w:p>
    <w:p w:rsidR="00CF552A" w:rsidRPr="00CF552A" w:rsidRDefault="00CF552A" w:rsidP="00CF552A">
      <w:pPr>
        <w:pStyle w:val="TextoNormalSangraFrancesa"/>
        <w:rPr>
          <w:rStyle w:val="TextoNormalCaracter"/>
        </w:rPr>
      </w:pPr>
      <w:bookmarkStart w:id="967" w:name="DESCRIPTORALFABETICO275"/>
      <w:r w:rsidRPr="00CF552A">
        <w:rPr>
          <w:rStyle w:val="TextoNormalNegritaCaracter"/>
        </w:rPr>
        <w:lastRenderedPageBreak/>
        <w:t>Incompatibilidades del personal al servicio de las Administraciones públicas</w:t>
      </w:r>
      <w:bookmarkEnd w:id="967"/>
      <w:r w:rsidRPr="00CF552A">
        <w:rPr>
          <w:rStyle w:val="TextoNormalCaracter"/>
        </w:rPr>
        <w:t xml:space="preserve">, Sentencia </w:t>
      </w:r>
      <w:hyperlink w:anchor="SENTENCIA_1997_73" w:history="1">
        <w:r w:rsidRPr="00CF552A">
          <w:rPr>
            <w:rStyle w:val="TextoNormalCaracter"/>
          </w:rPr>
          <w:t>73/1997</w:t>
        </w:r>
      </w:hyperlink>
      <w:r w:rsidRPr="00CF552A">
        <w:rPr>
          <w:rStyle w:val="TextoNormalCaracter"/>
        </w:rPr>
        <w:t>, ff. 1, 2, 3, 4, 5.</w:t>
      </w:r>
    </w:p>
    <w:p w:rsidR="00CF552A" w:rsidRPr="00CF552A" w:rsidRDefault="00CF552A" w:rsidP="00CF552A">
      <w:pPr>
        <w:pStyle w:val="TextoNormalSangraFrancesa"/>
        <w:rPr>
          <w:rStyle w:val="TextoNormalCaracter"/>
        </w:rPr>
      </w:pPr>
      <w:bookmarkStart w:id="968" w:name="DESCRIPTORALFABETICO65"/>
      <w:r w:rsidRPr="00CF552A">
        <w:rPr>
          <w:rStyle w:val="TextoNormalNegritaCaracter"/>
        </w:rPr>
        <w:t>Incongruencia de las sentencias</w:t>
      </w:r>
      <w:bookmarkEnd w:id="968"/>
      <w:r w:rsidRPr="00CF552A">
        <w:rPr>
          <w:rStyle w:val="TextoNormalCaracter"/>
        </w:rPr>
        <w:t xml:space="preserve">, </w:t>
      </w:r>
    </w:p>
    <w:p w:rsidR="00CF552A" w:rsidRPr="00CF552A" w:rsidRDefault="00CF552A" w:rsidP="00CF552A">
      <w:pPr>
        <w:pStyle w:val="TextoNormalSangraFrancesa"/>
        <w:rPr>
          <w:rStyle w:val="TextoNormalCaracter"/>
        </w:rPr>
      </w:pPr>
      <w:r w:rsidRPr="00CF552A">
        <w:rPr>
          <w:rStyle w:val="TextoNormalCursivaCaracter"/>
        </w:rPr>
        <w:t xml:space="preserve">    Concepto, </w:t>
      </w:r>
      <w:r w:rsidRPr="00CF552A">
        <w:rPr>
          <w:rStyle w:val="TextoNormalCaracter"/>
        </w:rPr>
        <w:t xml:space="preserve">Sentencia </w:t>
      </w:r>
      <w:hyperlink w:anchor="SENTENCIA_1997_47" w:history="1">
        <w:r w:rsidRPr="00CF552A">
          <w:rPr>
            <w:rStyle w:val="TextoNormalCaracter"/>
          </w:rPr>
          <w:t>47/1997</w:t>
        </w:r>
      </w:hyperlink>
      <w:r w:rsidRPr="00CF552A">
        <w:rPr>
          <w:rStyle w:val="TextoNormalCaracter"/>
        </w:rPr>
        <w:t>, ff. 1, 2, 3, 4.</w:t>
      </w:r>
    </w:p>
    <w:p w:rsidR="00CF552A" w:rsidRPr="00CF552A" w:rsidRDefault="00CF552A" w:rsidP="00CF552A">
      <w:pPr>
        <w:pStyle w:val="TextoNormalSangraFrancesa"/>
        <w:rPr>
          <w:rStyle w:val="TextoNormalCaracter"/>
        </w:rPr>
      </w:pPr>
      <w:bookmarkStart w:id="969" w:name="DESCRIPTORALFABETICO68"/>
      <w:r w:rsidRPr="00CF552A">
        <w:rPr>
          <w:rStyle w:val="TextoNormalNegritaCaracter"/>
        </w:rPr>
        <w:t>Incongruencia omisiva</w:t>
      </w:r>
      <w:bookmarkEnd w:id="969"/>
      <w:r w:rsidRPr="00CF552A">
        <w:rPr>
          <w:rStyle w:val="TextoNormalCaracter"/>
        </w:rPr>
        <w:t xml:space="preserve">, Sentencias </w:t>
      </w:r>
      <w:hyperlink w:anchor="SENTENCIA_1997_26" w:history="1">
        <w:r w:rsidRPr="00CF552A">
          <w:rPr>
            <w:rStyle w:val="TextoNormalCaracter"/>
          </w:rPr>
          <w:t>26/1997</w:t>
        </w:r>
      </w:hyperlink>
      <w:r w:rsidRPr="00CF552A">
        <w:rPr>
          <w:rStyle w:val="TextoNormalCaracter"/>
        </w:rPr>
        <w:t xml:space="preserve">, f. 4; </w:t>
      </w:r>
      <w:hyperlink w:anchor="SENTENCIA_1997_34" w:history="1">
        <w:r w:rsidRPr="00CF552A">
          <w:rPr>
            <w:rStyle w:val="TextoNormalCaracter"/>
          </w:rPr>
          <w:t>34/1997</w:t>
        </w:r>
      </w:hyperlink>
      <w:r w:rsidRPr="00CF552A">
        <w:rPr>
          <w:rStyle w:val="TextoNormalCaracter"/>
        </w:rPr>
        <w:t xml:space="preserve">, f. 2; </w:t>
      </w:r>
      <w:hyperlink w:anchor="SENTENCIA_1997_39" w:history="1">
        <w:r w:rsidRPr="00CF552A">
          <w:rPr>
            <w:rStyle w:val="TextoNormalCaracter"/>
          </w:rPr>
          <w:t>39/1997</w:t>
        </w:r>
      </w:hyperlink>
      <w:r w:rsidRPr="00CF552A">
        <w:rPr>
          <w:rStyle w:val="TextoNormalCaracter"/>
        </w:rPr>
        <w:t xml:space="preserve">, ff. 4, 6; </w:t>
      </w:r>
      <w:hyperlink w:anchor="SENTENCIA_1997_47" w:history="1">
        <w:r w:rsidRPr="00CF552A">
          <w:rPr>
            <w:rStyle w:val="TextoNormalCaracter"/>
          </w:rPr>
          <w:t>47/1997</w:t>
        </w:r>
      </w:hyperlink>
      <w:r w:rsidRPr="00CF552A">
        <w:rPr>
          <w:rStyle w:val="TextoNormalCaracter"/>
        </w:rPr>
        <w:t>, ff. 2, 3.</w:t>
      </w:r>
    </w:p>
    <w:p w:rsidR="00CF552A" w:rsidRPr="00CF552A" w:rsidRDefault="00CF552A" w:rsidP="00CF552A">
      <w:pPr>
        <w:pStyle w:val="TextoNormalSangraFrancesa"/>
        <w:rPr>
          <w:rStyle w:val="TextoNormalCaracter"/>
        </w:rPr>
      </w:pPr>
      <w:bookmarkStart w:id="970" w:name="DESCRIPTORALFABETICO413"/>
      <w:r w:rsidRPr="00CF552A">
        <w:rPr>
          <w:rStyle w:val="TextoNormalNegritaCaracter"/>
        </w:rPr>
        <w:t>Indefensión</w:t>
      </w:r>
      <w:bookmarkEnd w:id="970"/>
      <w:r w:rsidRPr="00CF552A">
        <w:rPr>
          <w:rStyle w:val="TextoNormalCaracter"/>
        </w:rPr>
        <w:t xml:space="preserve">, Sentencia </w:t>
      </w:r>
      <w:hyperlink w:anchor="SENTENCIA_1997_52" w:history="1">
        <w:r w:rsidRPr="00CF552A">
          <w:rPr>
            <w:rStyle w:val="TextoNormalCaracter"/>
          </w:rPr>
          <w:t>52/1997</w:t>
        </w:r>
      </w:hyperlink>
      <w:r w:rsidRPr="00CF552A">
        <w:rPr>
          <w:rStyle w:val="TextoNormalCaracter"/>
        </w:rPr>
        <w:t>, f. 4.</w:t>
      </w:r>
    </w:p>
    <w:p w:rsidR="00CF552A" w:rsidRPr="00CF552A" w:rsidRDefault="00CF552A" w:rsidP="00CF552A">
      <w:pPr>
        <w:pStyle w:val="TextoNormalSangraFrancesa"/>
        <w:rPr>
          <w:rStyle w:val="TextoNormalCaracter"/>
        </w:rPr>
      </w:pPr>
      <w:bookmarkStart w:id="971" w:name="DESCRIPTORALFABETICO80"/>
      <w:r w:rsidRPr="00CF552A">
        <w:rPr>
          <w:rStyle w:val="TextoNormalNegritaCaracter"/>
        </w:rPr>
        <w:t>Indefensión imputable al órgano judicial</w:t>
      </w:r>
      <w:bookmarkEnd w:id="971"/>
      <w:r w:rsidRPr="00CF552A">
        <w:rPr>
          <w:rStyle w:val="TextoNormalCaracter"/>
        </w:rPr>
        <w:t xml:space="preserve">, Sentencias </w:t>
      </w:r>
      <w:hyperlink w:anchor="SENTENCIA_1997_8" w:history="1">
        <w:r w:rsidRPr="00CF552A">
          <w:rPr>
            <w:rStyle w:val="TextoNormalCaracter"/>
          </w:rPr>
          <w:t>8/1997</w:t>
        </w:r>
      </w:hyperlink>
      <w:r w:rsidRPr="00CF552A">
        <w:rPr>
          <w:rStyle w:val="TextoNormalCaracter"/>
        </w:rPr>
        <w:t xml:space="preserve">, f. 4; </w:t>
      </w:r>
      <w:hyperlink w:anchor="SENTENCIA_1997_9" w:history="1">
        <w:r w:rsidRPr="00CF552A">
          <w:rPr>
            <w:rStyle w:val="TextoNormalCaracter"/>
          </w:rPr>
          <w:t>9/1997</w:t>
        </w:r>
      </w:hyperlink>
      <w:r w:rsidRPr="00CF552A">
        <w:rPr>
          <w:rStyle w:val="TextoNormalCaracter"/>
        </w:rPr>
        <w:t xml:space="preserve">, f. 4; </w:t>
      </w:r>
      <w:hyperlink w:anchor="SENTENCIA_1997_17" w:history="1">
        <w:r w:rsidRPr="00CF552A">
          <w:rPr>
            <w:rStyle w:val="TextoNormalCaracter"/>
          </w:rPr>
          <w:t>17/1997</w:t>
        </w:r>
      </w:hyperlink>
      <w:r w:rsidRPr="00CF552A">
        <w:rPr>
          <w:rStyle w:val="TextoNormalCaracter"/>
        </w:rPr>
        <w:t xml:space="preserve">, f. 2; </w:t>
      </w:r>
      <w:hyperlink w:anchor="SENTENCIA_1997_29" w:history="1">
        <w:r w:rsidRPr="00CF552A">
          <w:rPr>
            <w:rStyle w:val="TextoNormalCaracter"/>
          </w:rPr>
          <w:t>29/1997</w:t>
        </w:r>
      </w:hyperlink>
      <w:r w:rsidRPr="00CF552A">
        <w:rPr>
          <w:rStyle w:val="TextoNormalCaracter"/>
        </w:rPr>
        <w:t xml:space="preserve">, f. 3; </w:t>
      </w:r>
      <w:hyperlink w:anchor="SENTENCIA_1997_52" w:history="1">
        <w:r w:rsidRPr="00CF552A">
          <w:rPr>
            <w:rStyle w:val="TextoNormalCaracter"/>
          </w:rPr>
          <w:t>52/1997</w:t>
        </w:r>
      </w:hyperlink>
      <w:r w:rsidRPr="00CF552A">
        <w:rPr>
          <w:rStyle w:val="TextoNormalCaracter"/>
        </w:rPr>
        <w:t xml:space="preserve">, f. 4; </w:t>
      </w:r>
      <w:hyperlink w:anchor="SENTENCIA_1997_77" w:history="1">
        <w:r w:rsidRPr="00CF552A">
          <w:rPr>
            <w:rStyle w:val="TextoNormalCaracter"/>
          </w:rPr>
          <w:t>77/1997</w:t>
        </w:r>
      </w:hyperlink>
      <w:r w:rsidRPr="00CF552A">
        <w:rPr>
          <w:rStyle w:val="TextoNormalCaracter"/>
        </w:rPr>
        <w:t>, f. 3.</w:t>
      </w:r>
    </w:p>
    <w:p w:rsidR="00CF552A" w:rsidRPr="00CF552A" w:rsidRDefault="00CF552A" w:rsidP="00CF552A">
      <w:pPr>
        <w:pStyle w:val="TextoNormalSangraFrancesa"/>
        <w:rPr>
          <w:rStyle w:val="TextoNormalCaracter"/>
        </w:rPr>
      </w:pPr>
      <w:bookmarkStart w:id="972" w:name="DESCRIPTORALFABETICO81"/>
      <w:r w:rsidRPr="00CF552A">
        <w:rPr>
          <w:rStyle w:val="TextoNormalNegritaCaracter"/>
        </w:rPr>
        <w:t>Indefensión imputable al recurrente</w:t>
      </w:r>
      <w:bookmarkEnd w:id="972"/>
      <w:r w:rsidRPr="00CF552A">
        <w:rPr>
          <w:rStyle w:val="TextoNormalCaracter"/>
        </w:rPr>
        <w:t xml:space="preserve">, Sentencia </w:t>
      </w:r>
      <w:hyperlink w:anchor="SENTENCIA_1997_25" w:history="1">
        <w:r w:rsidRPr="00CF552A">
          <w:rPr>
            <w:rStyle w:val="TextoNormalCaracter"/>
          </w:rPr>
          <w:t>25/1997</w:t>
        </w:r>
      </w:hyperlink>
      <w:r w:rsidRPr="00CF552A">
        <w:rPr>
          <w:rStyle w:val="TextoNormalCaracter"/>
        </w:rPr>
        <w:t>, f. 3.</w:t>
      </w:r>
    </w:p>
    <w:p w:rsidR="00CF552A" w:rsidRPr="00CF552A" w:rsidRDefault="00CF552A" w:rsidP="00CF552A">
      <w:pPr>
        <w:pStyle w:val="TextoNormalSangraFrancesa"/>
        <w:rPr>
          <w:rStyle w:val="TextoNormalCaracter"/>
        </w:rPr>
      </w:pPr>
      <w:r w:rsidRPr="00CF552A">
        <w:rPr>
          <w:rStyle w:val="TextoNormalCaracter"/>
        </w:rPr>
        <w:t xml:space="preserve">    Autos </w:t>
      </w:r>
      <w:hyperlink w:anchor="AUTO_1997_79" w:history="1">
        <w:r w:rsidRPr="00CF552A">
          <w:rPr>
            <w:rStyle w:val="TextoNormalCaracter"/>
          </w:rPr>
          <w:t>79/1997</w:t>
        </w:r>
      </w:hyperlink>
      <w:r w:rsidRPr="00CF552A">
        <w:rPr>
          <w:rStyle w:val="TextoNormalCaracter"/>
        </w:rPr>
        <w:t xml:space="preserve">; </w:t>
      </w:r>
      <w:hyperlink w:anchor="AUTO_1997_99" w:history="1">
        <w:r w:rsidRPr="00CF552A">
          <w:rPr>
            <w:rStyle w:val="TextoNormalCaracter"/>
          </w:rPr>
          <w:t>99/1997</w:t>
        </w:r>
      </w:hyperlink>
      <w:r w:rsidRPr="00CF552A">
        <w:rPr>
          <w:rStyle w:val="TextoNormalCaracter"/>
        </w:rPr>
        <w:t xml:space="preserve">; </w:t>
      </w:r>
      <w:hyperlink w:anchor="AUTO_1997_111" w:history="1">
        <w:r w:rsidRPr="00CF552A">
          <w:rPr>
            <w:rStyle w:val="TextoNormalCaracter"/>
          </w:rPr>
          <w:t>111/1997</w:t>
        </w:r>
      </w:hyperlink>
      <w:r w:rsidRPr="00CF552A">
        <w:rPr>
          <w:rStyle w:val="TextoNormalCaracter"/>
        </w:rPr>
        <w:t>.</w:t>
      </w:r>
    </w:p>
    <w:p w:rsidR="00CF552A" w:rsidRPr="00CF552A" w:rsidRDefault="00CF552A" w:rsidP="00CF552A">
      <w:pPr>
        <w:pStyle w:val="TextoNormalSangraFrancesa"/>
        <w:rPr>
          <w:rStyle w:val="TextoNormalCaracter"/>
        </w:rPr>
      </w:pPr>
      <w:bookmarkStart w:id="973" w:name="DESCRIPTORALFABETICO346"/>
      <w:r w:rsidRPr="00CF552A">
        <w:rPr>
          <w:rStyle w:val="TextoNormalNegritaCaracter"/>
        </w:rPr>
        <w:t>Indemnización</w:t>
      </w:r>
      <w:bookmarkEnd w:id="973"/>
      <w:r w:rsidRPr="00CF552A">
        <w:rPr>
          <w:rStyle w:val="TextoNormalCaracter"/>
        </w:rPr>
        <w:t xml:space="preserve">, Sentencia </w:t>
      </w:r>
      <w:hyperlink w:anchor="SENTENCIA_1997_33" w:history="1">
        <w:r w:rsidRPr="00CF552A">
          <w:rPr>
            <w:rStyle w:val="TextoNormalCaracter"/>
          </w:rPr>
          <w:t>33/1997</w:t>
        </w:r>
      </w:hyperlink>
      <w:r w:rsidRPr="00CF552A">
        <w:rPr>
          <w:rStyle w:val="TextoNormalCaracter"/>
        </w:rPr>
        <w:t>, f. 3.</w:t>
      </w:r>
    </w:p>
    <w:p w:rsidR="00CF552A" w:rsidRPr="00CF552A" w:rsidRDefault="00CF552A" w:rsidP="00CF552A">
      <w:pPr>
        <w:pStyle w:val="TextoNormalSangraFrancesa"/>
        <w:rPr>
          <w:rStyle w:val="TextoNormalCaracter"/>
        </w:rPr>
      </w:pPr>
      <w:bookmarkStart w:id="974" w:name="DESCRIPTORALFABETICO348"/>
      <w:r w:rsidRPr="00CF552A">
        <w:rPr>
          <w:rStyle w:val="TextoNormalNegritaCaracter"/>
        </w:rPr>
        <w:t>Indemnización frente a la Administración</w:t>
      </w:r>
      <w:bookmarkEnd w:id="974"/>
      <w:r w:rsidRPr="00CF552A">
        <w:rPr>
          <w:rStyle w:val="TextoNormalCaracter"/>
        </w:rPr>
        <w:t xml:space="preserve">, Sentencia </w:t>
      </w:r>
      <w:hyperlink w:anchor="SENTENCIA_1997_33" w:history="1">
        <w:r w:rsidRPr="00CF552A">
          <w:rPr>
            <w:rStyle w:val="TextoNormalCaracter"/>
          </w:rPr>
          <w:t>33/1997</w:t>
        </w:r>
      </w:hyperlink>
      <w:r w:rsidRPr="00CF552A">
        <w:rPr>
          <w:rStyle w:val="TextoNormalCaracter"/>
        </w:rPr>
        <w:t>, f. 3, VP.</w:t>
      </w:r>
    </w:p>
    <w:p w:rsidR="00CF552A" w:rsidRPr="00CF552A" w:rsidRDefault="00CF552A" w:rsidP="00CF552A">
      <w:pPr>
        <w:pStyle w:val="TextoNormalSangraFrancesa"/>
        <w:rPr>
          <w:rStyle w:val="TextoNormalCaracter"/>
        </w:rPr>
      </w:pPr>
      <w:bookmarkStart w:id="975" w:name="DESCRIPTORALFABETICO426"/>
      <w:r w:rsidRPr="00CF552A">
        <w:rPr>
          <w:rStyle w:val="TextoNormalNegritaCaracter"/>
        </w:rPr>
        <w:t>Indicación errónea de recursos</w:t>
      </w:r>
      <w:bookmarkEnd w:id="975"/>
      <w:r w:rsidRPr="00CF552A">
        <w:rPr>
          <w:rStyle w:val="TextoNormalCaracter"/>
        </w:rPr>
        <w:t xml:space="preserve">, Auto </w:t>
      </w:r>
      <w:hyperlink w:anchor="AUTO_1997_95" w:history="1">
        <w:r w:rsidRPr="00CF552A">
          <w:rPr>
            <w:rStyle w:val="TextoNormalCaracter"/>
          </w:rPr>
          <w:t>95/1997</w:t>
        </w:r>
      </w:hyperlink>
      <w:r w:rsidRPr="00CF552A">
        <w:rPr>
          <w:rStyle w:val="TextoNormalCaracter"/>
        </w:rPr>
        <w:t>.</w:t>
      </w:r>
    </w:p>
    <w:p w:rsidR="00CF552A" w:rsidRPr="00CF552A" w:rsidRDefault="00CF552A" w:rsidP="00CF552A">
      <w:pPr>
        <w:pStyle w:val="TextoNormalSangraFrancesa"/>
        <w:rPr>
          <w:rStyle w:val="TextoNormalCaracter"/>
        </w:rPr>
      </w:pPr>
      <w:bookmarkStart w:id="976" w:name="DESCRIPTORALFABETICO416"/>
      <w:r w:rsidRPr="00CF552A">
        <w:rPr>
          <w:rStyle w:val="TextoNormalNegritaCaracter"/>
        </w:rPr>
        <w:t>Inembargabilidad de bienes y derechos</w:t>
      </w:r>
      <w:bookmarkEnd w:id="976"/>
      <w:r w:rsidRPr="00CF552A">
        <w:rPr>
          <w:rStyle w:val="TextoNormalCaracter"/>
        </w:rPr>
        <w:t xml:space="preserve">, Sentencia </w:t>
      </w:r>
      <w:hyperlink w:anchor="SENTENCIA_1997_18" w:history="1">
        <w:r w:rsidRPr="00CF552A">
          <w:rPr>
            <w:rStyle w:val="TextoNormalCaracter"/>
          </w:rPr>
          <w:t>18/1997</w:t>
        </w:r>
      </w:hyperlink>
      <w:r w:rsidRPr="00CF552A">
        <w:rPr>
          <w:rStyle w:val="TextoNormalCaracter"/>
        </w:rPr>
        <w:t>, f. 2.</w:t>
      </w:r>
    </w:p>
    <w:p w:rsidR="00CF552A" w:rsidRPr="00CF552A" w:rsidRDefault="00CF552A" w:rsidP="00CF552A">
      <w:pPr>
        <w:pStyle w:val="TextoNormalSangraFrancesa"/>
        <w:rPr>
          <w:rStyle w:val="TextoNormalCaracter"/>
        </w:rPr>
      </w:pPr>
      <w:bookmarkStart w:id="977" w:name="DESCRIPTORALFABETICO335"/>
      <w:r w:rsidRPr="00CF552A">
        <w:rPr>
          <w:rStyle w:val="TextoNormalNegritaCaracter"/>
        </w:rPr>
        <w:t>Información pública</w:t>
      </w:r>
      <w:bookmarkEnd w:id="977"/>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ff. 25, 26.</w:t>
      </w:r>
    </w:p>
    <w:p w:rsidR="00CF552A" w:rsidRPr="00CF552A" w:rsidRDefault="00CF552A" w:rsidP="00CF552A">
      <w:pPr>
        <w:pStyle w:val="TextoNormalSangraFrancesa"/>
        <w:rPr>
          <w:rStyle w:val="TextoNormalCaracter"/>
        </w:rPr>
      </w:pPr>
      <w:bookmarkStart w:id="978" w:name="DESCRIPTORALFABETICO69"/>
      <w:r w:rsidRPr="00CF552A">
        <w:rPr>
          <w:rStyle w:val="TextoNormalNegritaCaracter"/>
        </w:rPr>
        <w:t>Inmodificabilidad de las sentencias</w:t>
      </w:r>
      <w:bookmarkEnd w:id="978"/>
      <w:r w:rsidRPr="00CF552A">
        <w:rPr>
          <w:rStyle w:val="TextoNormalCaracter"/>
        </w:rPr>
        <w:t xml:space="preserve">, Sentencia </w:t>
      </w:r>
      <w:hyperlink w:anchor="SENTENCIA_1997_1" w:history="1">
        <w:r w:rsidRPr="00CF552A">
          <w:rPr>
            <w:rStyle w:val="TextoNormalCaracter"/>
          </w:rPr>
          <w:t>1/1997</w:t>
        </w:r>
      </w:hyperlink>
      <w:r w:rsidRPr="00CF552A">
        <w:rPr>
          <w:rStyle w:val="TextoNormalCaracter"/>
        </w:rPr>
        <w:t>, ff. 3, 4.</w:t>
      </w:r>
    </w:p>
    <w:p w:rsidR="00CF552A" w:rsidRPr="00CF552A" w:rsidRDefault="00CF552A" w:rsidP="00CF552A">
      <w:pPr>
        <w:pStyle w:val="TextoNormalSangraFrancesa"/>
        <w:rPr>
          <w:rStyle w:val="TextoNormalCaracter"/>
        </w:rPr>
      </w:pPr>
      <w:bookmarkStart w:id="979" w:name="DESCRIPTORALFABETICO302"/>
      <w:r w:rsidRPr="00CF552A">
        <w:rPr>
          <w:rStyle w:val="TextoNormalNegritaCaracter"/>
        </w:rPr>
        <w:t>Inmunidad de ejecución</w:t>
      </w:r>
      <w:bookmarkEnd w:id="979"/>
      <w:r w:rsidRPr="00CF552A">
        <w:rPr>
          <w:rStyle w:val="TextoNormalCaracter"/>
        </w:rPr>
        <w:t xml:space="preserve">, </w:t>
      </w:r>
    </w:p>
    <w:p w:rsidR="00CF552A" w:rsidRPr="00CF552A" w:rsidRDefault="00CF552A" w:rsidP="00CF552A">
      <w:pPr>
        <w:pStyle w:val="TextoNormalSangraFrancesa"/>
        <w:rPr>
          <w:rStyle w:val="TextoNormalCaracter"/>
        </w:rPr>
      </w:pPr>
      <w:r w:rsidRPr="00CF552A">
        <w:rPr>
          <w:rStyle w:val="TextoNormalCursivaCaracter"/>
        </w:rPr>
        <w:t xml:space="preserve">    Régimen jurídico, </w:t>
      </w:r>
      <w:r w:rsidRPr="00CF552A">
        <w:rPr>
          <w:rStyle w:val="TextoNormalCaracter"/>
        </w:rPr>
        <w:t xml:space="preserve">Sentencia </w:t>
      </w:r>
      <w:hyperlink w:anchor="SENTENCIA_1997_18" w:history="1">
        <w:r w:rsidRPr="00CF552A">
          <w:rPr>
            <w:rStyle w:val="TextoNormalCaracter"/>
          </w:rPr>
          <w:t>18/1997</w:t>
        </w:r>
      </w:hyperlink>
      <w:r w:rsidRPr="00CF552A">
        <w:rPr>
          <w:rStyle w:val="TextoNormalCaracter"/>
        </w:rPr>
        <w:t>, f. 6.</w:t>
      </w:r>
    </w:p>
    <w:p w:rsidR="00CF552A" w:rsidRPr="00CF552A" w:rsidRDefault="00CF552A" w:rsidP="00CF552A">
      <w:pPr>
        <w:pStyle w:val="TextoNormalSangraFrancesa"/>
        <w:rPr>
          <w:rStyle w:val="TextoNormalNegritaCaracter"/>
        </w:rPr>
      </w:pPr>
      <w:r w:rsidRPr="00CF552A">
        <w:rPr>
          <w:rStyle w:val="TextoNormalCursivaCaracter"/>
        </w:rPr>
        <w:t>Interés público de la información</w:t>
      </w:r>
      <w:r>
        <w:t xml:space="preserve"> véase </w:t>
      </w:r>
      <w:hyperlink w:anchor="DESCRIPTORALFABETICO113" w:history="1">
        <w:r w:rsidRPr="00CF552A">
          <w:rPr>
            <w:rStyle w:val="TextoNormalNegritaCaracter"/>
          </w:rPr>
          <w:t>Relevancia pública de la información</w:t>
        </w:r>
      </w:hyperlink>
    </w:p>
    <w:p w:rsidR="00CF552A" w:rsidRPr="00CF552A" w:rsidRDefault="00CF552A" w:rsidP="00CF552A">
      <w:pPr>
        <w:pStyle w:val="TextoNormalSangraFrancesa"/>
        <w:rPr>
          <w:rStyle w:val="TextoNormalCaracter"/>
        </w:rPr>
      </w:pPr>
      <w:bookmarkStart w:id="980" w:name="DESCRIPTORALFABETICO237"/>
      <w:r w:rsidRPr="00CF552A">
        <w:rPr>
          <w:rStyle w:val="TextoNormalNegritaCaracter"/>
        </w:rPr>
        <w:t>Intereses de demora</w:t>
      </w:r>
      <w:bookmarkEnd w:id="980"/>
      <w:r w:rsidRPr="00CF552A">
        <w:rPr>
          <w:rStyle w:val="TextoNormalCaracter"/>
        </w:rPr>
        <w:t xml:space="preserve">, Sentencia </w:t>
      </w:r>
      <w:hyperlink w:anchor="SENTENCIA_1997_23" w:history="1">
        <w:r w:rsidRPr="00CF552A">
          <w:rPr>
            <w:rStyle w:val="TextoNormalCaracter"/>
          </w:rPr>
          <w:t>23/1997</w:t>
        </w:r>
      </w:hyperlink>
      <w:r w:rsidRPr="00CF552A">
        <w:rPr>
          <w:rStyle w:val="TextoNormalCaracter"/>
        </w:rPr>
        <w:t>, f. 2.</w:t>
      </w:r>
    </w:p>
    <w:p w:rsidR="00CF552A" w:rsidRPr="00CF552A" w:rsidRDefault="00CF552A" w:rsidP="00CF552A">
      <w:pPr>
        <w:pStyle w:val="TextoNormalSangraFrancesa"/>
        <w:rPr>
          <w:rStyle w:val="TextoNormalCaracter"/>
        </w:rPr>
      </w:pPr>
      <w:bookmarkStart w:id="981" w:name="DESCRIPTORALFABETICO324"/>
      <w:r w:rsidRPr="00CF552A">
        <w:rPr>
          <w:rStyle w:val="TextoNormalNegritaCaracter"/>
        </w:rPr>
        <w:t>Interpretación analógica</w:t>
      </w:r>
      <w:bookmarkEnd w:id="981"/>
      <w:r w:rsidRPr="00CF552A">
        <w:rPr>
          <w:rStyle w:val="TextoNormalCaracter"/>
        </w:rPr>
        <w:t xml:space="preserve">, Sentencia </w:t>
      </w:r>
      <w:hyperlink w:anchor="SENTENCIA_1997_74" w:history="1">
        <w:r w:rsidRPr="00CF552A">
          <w:rPr>
            <w:rStyle w:val="TextoNormalCaracter"/>
          </w:rPr>
          <w:t>74/1997</w:t>
        </w:r>
      </w:hyperlink>
      <w:r w:rsidRPr="00CF552A">
        <w:rPr>
          <w:rStyle w:val="TextoNormalCaracter"/>
        </w:rPr>
        <w:t>, f. 5.</w:t>
      </w:r>
    </w:p>
    <w:p w:rsidR="00CF552A" w:rsidRPr="00CF552A" w:rsidRDefault="00CF552A" w:rsidP="00CF552A">
      <w:pPr>
        <w:pStyle w:val="TextoNormalSangraFrancesa"/>
        <w:rPr>
          <w:rStyle w:val="TextoNormalCaracter"/>
        </w:rPr>
      </w:pPr>
      <w:bookmarkStart w:id="982" w:name="DESCRIPTORALFABETICO325"/>
      <w:r w:rsidRPr="00CF552A">
        <w:rPr>
          <w:rStyle w:val="TextoNormalNegritaCaracter"/>
        </w:rPr>
        <w:t>Interpretación conforme a la Constitución</w:t>
      </w:r>
      <w:bookmarkEnd w:id="982"/>
      <w:r w:rsidRPr="00CF552A">
        <w:rPr>
          <w:rStyle w:val="TextoNormalCaracter"/>
        </w:rPr>
        <w:t xml:space="preserve">, </w:t>
      </w:r>
    </w:p>
    <w:p w:rsidR="00CF552A" w:rsidRPr="00CF552A" w:rsidRDefault="00CF552A" w:rsidP="00CF552A">
      <w:pPr>
        <w:pStyle w:val="TextoNormalSangraFrancesa"/>
        <w:rPr>
          <w:rStyle w:val="TextoNormalCaracter"/>
        </w:rPr>
      </w:pPr>
      <w:r w:rsidRPr="00CF552A">
        <w:rPr>
          <w:rStyle w:val="TextoNormalCursivaCaracter"/>
        </w:rPr>
        <w:t xml:space="preserve">    Límites, </w:t>
      </w:r>
      <w:r w:rsidRPr="00CF552A">
        <w:rPr>
          <w:rStyle w:val="TextoNormalCaracter"/>
        </w:rPr>
        <w:t xml:space="preserve">Sentencia </w:t>
      </w:r>
      <w:hyperlink w:anchor="SENTENCIA_1997_16" w:history="1">
        <w:r w:rsidRPr="00CF552A">
          <w:rPr>
            <w:rStyle w:val="TextoNormalCaracter"/>
          </w:rPr>
          <w:t>16/1997</w:t>
        </w:r>
      </w:hyperlink>
      <w:r w:rsidRPr="00CF552A">
        <w:rPr>
          <w:rStyle w:val="TextoNormalCaracter"/>
        </w:rPr>
        <w:t>, f. 4.</w:t>
      </w:r>
    </w:p>
    <w:p w:rsidR="00CF552A" w:rsidRPr="00CF552A" w:rsidRDefault="00CF552A" w:rsidP="00CF552A">
      <w:pPr>
        <w:pStyle w:val="TextoNormalSangraFrancesa"/>
        <w:rPr>
          <w:rStyle w:val="TextoNormalCaracter"/>
        </w:rPr>
      </w:pPr>
      <w:bookmarkStart w:id="983" w:name="DESCRIPTORALFABETICO323"/>
      <w:r w:rsidRPr="00CF552A">
        <w:rPr>
          <w:rStyle w:val="TextoNormalNegritaCaracter"/>
        </w:rPr>
        <w:t>Interpretación de las normas jurídicas</w:t>
      </w:r>
      <w:bookmarkEnd w:id="983"/>
      <w:r w:rsidRPr="00CF552A">
        <w:rPr>
          <w:rStyle w:val="TextoNormalCaracter"/>
        </w:rPr>
        <w:t xml:space="preserve">, Sentencia </w:t>
      </w:r>
      <w:hyperlink w:anchor="SENTENCIA_1997_42" w:history="1">
        <w:r w:rsidRPr="00CF552A">
          <w:rPr>
            <w:rStyle w:val="TextoNormalCaracter"/>
          </w:rPr>
          <w:t>42/1997</w:t>
        </w:r>
      </w:hyperlink>
      <w:r w:rsidRPr="00CF552A">
        <w:rPr>
          <w:rStyle w:val="TextoNormalCaracter"/>
        </w:rPr>
        <w:t>, f. 2.</w:t>
      </w:r>
    </w:p>
    <w:p w:rsidR="00CF552A" w:rsidRPr="00CF552A" w:rsidRDefault="00CF552A" w:rsidP="00CF552A">
      <w:pPr>
        <w:pStyle w:val="TextoNormalSangraFrancesa"/>
        <w:rPr>
          <w:rStyle w:val="TextoNormalCaracter"/>
        </w:rPr>
      </w:pPr>
      <w:bookmarkStart w:id="984" w:name="DESCRIPTORALFABETICO403"/>
      <w:r w:rsidRPr="00CF552A">
        <w:rPr>
          <w:rStyle w:val="TextoNormalNegritaCaracter"/>
        </w:rPr>
        <w:t>Inversión de la carga de la prueba</w:t>
      </w:r>
      <w:bookmarkEnd w:id="984"/>
      <w:r w:rsidRPr="00CF552A">
        <w:rPr>
          <w:rStyle w:val="TextoNormalCaracter"/>
        </w:rPr>
        <w:t xml:space="preserve">, Sentencia </w:t>
      </w:r>
      <w:hyperlink w:anchor="SENTENCIA_1997_82" w:history="1">
        <w:r w:rsidRPr="00CF552A">
          <w:rPr>
            <w:rStyle w:val="TextoNormalCaracter"/>
          </w:rPr>
          <w:t>82/1997</w:t>
        </w:r>
      </w:hyperlink>
      <w:r w:rsidRPr="00CF552A">
        <w:rPr>
          <w:rStyle w:val="TextoNormalCaracter"/>
        </w:rPr>
        <w:t>, ff. 3, 4.</w:t>
      </w:r>
    </w:p>
    <w:p w:rsidR="00CF552A" w:rsidRPr="00CF552A" w:rsidRDefault="00CF552A" w:rsidP="00CF552A">
      <w:pPr>
        <w:pStyle w:val="TextoNormalSangraFrancesa"/>
        <w:rPr>
          <w:rStyle w:val="TextoNormalNegritaCaracter"/>
        </w:rPr>
      </w:pPr>
      <w:r w:rsidRPr="00CF552A">
        <w:rPr>
          <w:rStyle w:val="TextoNormalCursivaCaracter"/>
        </w:rPr>
        <w:t>Inviolabilidad de Diputados y Senadores</w:t>
      </w:r>
      <w:r>
        <w:t xml:space="preserve"> véase </w:t>
      </w:r>
      <w:hyperlink w:anchor="DESCRIPTORALFABETICO211" w:history="1">
        <w:r w:rsidRPr="00CF552A">
          <w:rPr>
            <w:rStyle w:val="TextoNormalNegritaCaracter"/>
          </w:rPr>
          <w:t>Inviolabilidad parlamentaria</w:t>
        </w:r>
      </w:hyperlink>
    </w:p>
    <w:p w:rsidR="00CF552A" w:rsidRPr="00CF552A" w:rsidRDefault="00CF552A" w:rsidP="00CF552A">
      <w:pPr>
        <w:pStyle w:val="TextoNormalSangraFrancesa"/>
        <w:rPr>
          <w:rStyle w:val="TextoNormalCaracter"/>
        </w:rPr>
      </w:pPr>
      <w:bookmarkStart w:id="985" w:name="DESCRIPTORALFABETICO211"/>
      <w:r w:rsidRPr="00CF552A">
        <w:rPr>
          <w:rStyle w:val="TextoNormalNegritaCaracter"/>
        </w:rPr>
        <w:t>Inviolabilidad parlamentaria</w:t>
      </w:r>
      <w:bookmarkEnd w:id="985"/>
      <w:r w:rsidRPr="00CF552A">
        <w:rPr>
          <w:rStyle w:val="TextoNormalCaracter"/>
        </w:rPr>
        <w:t xml:space="preserve">, Sentencia </w:t>
      </w:r>
      <w:hyperlink w:anchor="SENTENCIA_1997_30" w:history="1">
        <w:r w:rsidRPr="00CF552A">
          <w:rPr>
            <w:rStyle w:val="TextoNormalCaracter"/>
          </w:rPr>
          <w:t>30/1997</w:t>
        </w:r>
      </w:hyperlink>
      <w:r w:rsidRPr="00CF552A">
        <w:rPr>
          <w:rStyle w:val="TextoNormalCaracter"/>
        </w:rPr>
        <w:t>, f. 5.</w:t>
      </w:r>
    </w:p>
    <w:p w:rsidR="00CF552A" w:rsidRPr="00CF552A" w:rsidRDefault="00CF552A" w:rsidP="00CF552A">
      <w:pPr>
        <w:pStyle w:val="TextoNormalSangraFrancesa"/>
        <w:rPr>
          <w:rStyle w:val="TextoNormalCaracter"/>
        </w:rPr>
      </w:pPr>
      <w:bookmarkStart w:id="986" w:name="DESCRIPTORALFABETICO162"/>
      <w:r w:rsidRPr="00CF552A">
        <w:rPr>
          <w:rStyle w:val="TextoNormalNegritaCaracter"/>
        </w:rPr>
        <w:t>Invocación del derecho vulnerado</w:t>
      </w:r>
      <w:bookmarkEnd w:id="986"/>
      <w:r w:rsidRPr="00CF552A">
        <w:rPr>
          <w:rStyle w:val="TextoNormalCaracter"/>
        </w:rPr>
        <w:t xml:space="preserve">, Sentencia </w:t>
      </w:r>
      <w:hyperlink w:anchor="SENTENCIA_1997_7" w:history="1">
        <w:r w:rsidRPr="00CF552A">
          <w:rPr>
            <w:rStyle w:val="TextoNormalCaracter"/>
          </w:rPr>
          <w:t>7/1997</w:t>
        </w:r>
      </w:hyperlink>
      <w:r w:rsidRPr="00CF552A">
        <w:rPr>
          <w:rStyle w:val="TextoNormalCaracter"/>
        </w:rPr>
        <w:t>, f. 2.</w:t>
      </w:r>
    </w:p>
    <w:p w:rsidR="00CF552A" w:rsidRPr="00CF552A" w:rsidRDefault="00CF552A" w:rsidP="00CF552A">
      <w:pPr>
        <w:pStyle w:val="TextoNormalSangraFrancesa"/>
        <w:rPr>
          <w:rStyle w:val="TextoNormalCaracter"/>
        </w:rPr>
      </w:pPr>
      <w:r w:rsidRPr="00CF552A">
        <w:rPr>
          <w:rStyle w:val="TextoNormalCursivaCaracter"/>
        </w:rPr>
        <w:t xml:space="preserve">    Respetado, </w:t>
      </w:r>
      <w:r w:rsidRPr="00CF552A">
        <w:rPr>
          <w:rStyle w:val="TextoNormalCaracter"/>
        </w:rPr>
        <w:t xml:space="preserve">Sentencia </w:t>
      </w:r>
      <w:hyperlink w:anchor="SENTENCIA_1997_7" w:history="1">
        <w:r w:rsidRPr="00CF552A">
          <w:rPr>
            <w:rStyle w:val="TextoNormalCaracter"/>
          </w:rPr>
          <w:t>7/1997</w:t>
        </w:r>
      </w:hyperlink>
      <w:r w:rsidRPr="00CF552A">
        <w:rPr>
          <w:rStyle w:val="TextoNormalCaracter"/>
        </w:rPr>
        <w:t>, f. 3.</w:t>
      </w:r>
    </w:p>
    <w:p w:rsidR="00CF552A" w:rsidRPr="00CF552A" w:rsidRDefault="00CF552A" w:rsidP="00CF552A">
      <w:pPr>
        <w:pStyle w:val="TextoNormalSangraFrancesa"/>
        <w:rPr>
          <w:rStyle w:val="TextoNormalCaracter"/>
        </w:rPr>
      </w:pPr>
      <w:bookmarkStart w:id="987" w:name="DESCRIPTORALFABETICO165"/>
      <w:r w:rsidRPr="00CF552A">
        <w:rPr>
          <w:rStyle w:val="TextoNormalNegritaCaracter"/>
        </w:rPr>
        <w:t>Invocación implícita</w:t>
      </w:r>
      <w:bookmarkEnd w:id="987"/>
      <w:r w:rsidRPr="00CF552A">
        <w:rPr>
          <w:rStyle w:val="TextoNormalCaracter"/>
        </w:rPr>
        <w:t xml:space="preserve">, Sentencia </w:t>
      </w:r>
      <w:hyperlink w:anchor="SENTENCIA_1997_69" w:history="1">
        <w:r w:rsidRPr="00CF552A">
          <w:rPr>
            <w:rStyle w:val="TextoNormalCaracter"/>
          </w:rPr>
          <w:t>69/1997</w:t>
        </w:r>
      </w:hyperlink>
      <w:r w:rsidRPr="00CF552A">
        <w:rPr>
          <w:rStyle w:val="TextoNormalCaracter"/>
        </w:rPr>
        <w:t>, f. 3.</w:t>
      </w:r>
    </w:p>
    <w:p w:rsidR="00CF552A" w:rsidRPr="00CF552A" w:rsidRDefault="00CF552A" w:rsidP="00CF552A">
      <w:pPr>
        <w:pStyle w:val="TextoNormalSangraFrancesa"/>
        <w:rPr>
          <w:rStyle w:val="TextoNormalCaracter"/>
        </w:rPr>
      </w:pPr>
      <w:bookmarkStart w:id="988" w:name="DESCRIPTORALFABETICO166"/>
      <w:r w:rsidRPr="00CF552A">
        <w:rPr>
          <w:rStyle w:val="TextoNormalNegritaCaracter"/>
        </w:rPr>
        <w:t>Invocación retórica</w:t>
      </w:r>
      <w:bookmarkEnd w:id="988"/>
      <w:r w:rsidRPr="00CF552A">
        <w:rPr>
          <w:rStyle w:val="TextoNormalCaracter"/>
        </w:rPr>
        <w:t xml:space="preserve">, Auto </w:t>
      </w:r>
      <w:hyperlink w:anchor="AUTO_1997_117" w:history="1">
        <w:r w:rsidRPr="00CF552A">
          <w:rPr>
            <w:rStyle w:val="TextoNormalCaracter"/>
          </w:rPr>
          <w:t>117/1997</w:t>
        </w:r>
      </w:hyperlink>
      <w:r w:rsidRPr="00CF552A">
        <w:rPr>
          <w:rStyle w:val="TextoNormalCaracter"/>
        </w:rPr>
        <w:t>.</w:t>
      </w:r>
    </w:p>
    <w:p w:rsidR="00CF552A" w:rsidRPr="00CF552A" w:rsidRDefault="00CF552A" w:rsidP="00CF552A">
      <w:pPr>
        <w:pStyle w:val="TextoNormalSangraFrancesa"/>
        <w:rPr>
          <w:rStyle w:val="TextoNormalNegritaCaracter"/>
        </w:rPr>
      </w:pPr>
      <w:r w:rsidRPr="00CF552A">
        <w:rPr>
          <w:rStyle w:val="TextoNormalCursivaCaracter"/>
        </w:rPr>
        <w:t>Invocación tácita</w:t>
      </w:r>
      <w:r>
        <w:t xml:space="preserve"> véase </w:t>
      </w:r>
      <w:hyperlink w:anchor="DESCRIPTORALFABETICO165" w:history="1">
        <w:r w:rsidRPr="00CF552A">
          <w:rPr>
            <w:rStyle w:val="TextoNormalNegritaCaracter"/>
          </w:rPr>
          <w:t>Invocación implícita</w:t>
        </w:r>
      </w:hyperlink>
    </w:p>
    <w:p w:rsidR="00CF552A" w:rsidRPr="00CF552A" w:rsidRDefault="00CF552A" w:rsidP="00CF552A">
      <w:pPr>
        <w:pStyle w:val="TextoNormalSangraFrancesa"/>
        <w:rPr>
          <w:rStyle w:val="TextoNormalCaracter"/>
        </w:rPr>
      </w:pPr>
      <w:bookmarkStart w:id="989" w:name="DESCRIPTORALFABETICO427"/>
      <w:r w:rsidRPr="00CF552A">
        <w:rPr>
          <w:rStyle w:val="TextoNormalNegritaCaracter"/>
        </w:rPr>
        <w:t>Irrecurribilidad de sentencias absolutorias firmes</w:t>
      </w:r>
      <w:bookmarkEnd w:id="989"/>
      <w:r w:rsidRPr="00CF552A">
        <w:rPr>
          <w:rStyle w:val="TextoNormalCaracter"/>
        </w:rPr>
        <w:t xml:space="preserve">, Sentencia </w:t>
      </w:r>
      <w:hyperlink w:anchor="SENTENCIA_1997_41" w:history="1">
        <w:r w:rsidRPr="00CF552A">
          <w:rPr>
            <w:rStyle w:val="TextoNormalCaracter"/>
          </w:rPr>
          <w:t>41/1997</w:t>
        </w:r>
      </w:hyperlink>
      <w:r w:rsidRPr="00CF552A">
        <w:rPr>
          <w:rStyle w:val="TextoNormalCaracter"/>
        </w:rPr>
        <w:t>, ff. 3, 6.</w:t>
      </w:r>
    </w:p>
    <w:p w:rsidR="00CF552A" w:rsidRPr="00CF552A" w:rsidRDefault="00CF552A" w:rsidP="00CF552A">
      <w:pPr>
        <w:pStyle w:val="TextoNormalSangraFrancesa"/>
        <w:rPr>
          <w:rStyle w:val="TextoNormalCaracter"/>
        </w:rPr>
      </w:pPr>
      <w:bookmarkStart w:id="990" w:name="DESCRIPTORALFABETICO428"/>
      <w:r w:rsidRPr="00CF552A">
        <w:rPr>
          <w:rStyle w:val="TextoNormalNegritaCaracter"/>
        </w:rPr>
        <w:t>Irrecurribilidad de sentencias recaídas en procesos electorales</w:t>
      </w:r>
      <w:bookmarkEnd w:id="990"/>
      <w:r w:rsidRPr="00CF552A">
        <w:rPr>
          <w:rStyle w:val="TextoNormalCaracter"/>
        </w:rPr>
        <w:t xml:space="preserve">, Auto </w:t>
      </w:r>
      <w:hyperlink w:anchor="AUTO_1997_32" w:history="1">
        <w:r w:rsidRPr="00CF552A">
          <w:rPr>
            <w:rStyle w:val="TextoNormalCaracter"/>
          </w:rPr>
          <w:t>32/1997</w:t>
        </w:r>
      </w:hyperlink>
      <w:r w:rsidRPr="00CF552A">
        <w:rPr>
          <w:rStyle w:val="TextoNormalCaracter"/>
        </w:rPr>
        <w:t>.</w:t>
      </w:r>
    </w:p>
    <w:p w:rsidR="00CF552A" w:rsidRPr="00CF552A" w:rsidRDefault="00CF552A" w:rsidP="00CF552A">
      <w:pPr>
        <w:pStyle w:val="TextoNormalSangraFrancesa"/>
        <w:rPr>
          <w:rStyle w:val="TextoNormalNegritaCaracter"/>
        </w:rPr>
      </w:pPr>
      <w:r w:rsidRPr="00CF552A">
        <w:rPr>
          <w:rStyle w:val="TextoNormalCursivaCaracter"/>
        </w:rPr>
        <w:t>Irregularidades procesales</w:t>
      </w:r>
      <w:r>
        <w:t xml:space="preserve"> véase </w:t>
      </w:r>
      <w:hyperlink w:anchor="DESCRIPTORALFABETICO387" w:history="1">
        <w:r w:rsidRPr="00CF552A">
          <w:rPr>
            <w:rStyle w:val="TextoNormalNegritaCaracter"/>
          </w:rPr>
          <w:t>Defectos procesales</w:t>
        </w:r>
      </w:hyperlink>
    </w:p>
    <w:p w:rsidR="00CF552A" w:rsidRPr="00CF552A" w:rsidRDefault="00CF552A" w:rsidP="00CF552A">
      <w:pPr>
        <w:pStyle w:val="TextoNormalSangraFrancesa"/>
        <w:rPr>
          <w:rStyle w:val="TextoNormalCaracter"/>
        </w:rPr>
      </w:pPr>
      <w:bookmarkStart w:id="991" w:name="DESCRIPTORALFABETICO245"/>
      <w:r w:rsidRPr="00CF552A">
        <w:rPr>
          <w:rStyle w:val="TextoNormalNegritaCaracter"/>
        </w:rPr>
        <w:t>Irretroactividad de las normas sancionadoras desfavorables</w:t>
      </w:r>
      <w:bookmarkEnd w:id="991"/>
      <w:r w:rsidRPr="00CF552A">
        <w:rPr>
          <w:rStyle w:val="TextoNormalCaracter"/>
        </w:rPr>
        <w:t xml:space="preserve">, Sentencias </w:t>
      </w:r>
      <w:hyperlink w:anchor="SENTENCIA_1997_38" w:history="1">
        <w:r w:rsidRPr="00CF552A">
          <w:rPr>
            <w:rStyle w:val="TextoNormalCaracter"/>
          </w:rPr>
          <w:t>38/1997</w:t>
        </w:r>
      </w:hyperlink>
      <w:r w:rsidRPr="00CF552A">
        <w:rPr>
          <w:rStyle w:val="TextoNormalCaracter"/>
        </w:rPr>
        <w:t xml:space="preserve">, f. 6; </w:t>
      </w:r>
      <w:hyperlink w:anchor="SENTENCIA_1997_62" w:history="1">
        <w:r w:rsidRPr="00CF552A">
          <w:rPr>
            <w:rStyle w:val="TextoNormalCaracter"/>
          </w:rPr>
          <w:t>62/1997</w:t>
        </w:r>
      </w:hyperlink>
      <w:r w:rsidRPr="00CF552A">
        <w:rPr>
          <w:rStyle w:val="TextoNormalCaracter"/>
        </w:rPr>
        <w:t xml:space="preserve">, f. 4; </w:t>
      </w:r>
      <w:hyperlink w:anchor="SENTENCIA_1997_63" w:history="1">
        <w:r w:rsidRPr="00CF552A">
          <w:rPr>
            <w:rStyle w:val="TextoNormalCaracter"/>
          </w:rPr>
          <w:t>63/1997</w:t>
        </w:r>
      </w:hyperlink>
      <w:r w:rsidRPr="00CF552A">
        <w:rPr>
          <w:rStyle w:val="TextoNormalCaracter"/>
        </w:rPr>
        <w:t>, f. 1.</w:t>
      </w:r>
    </w:p>
    <w:p w:rsidR="00CF552A" w:rsidRPr="00CF552A" w:rsidRDefault="00CF552A" w:rsidP="00CF552A">
      <w:pPr>
        <w:pStyle w:val="TextoNormalSangraFrancesa"/>
        <w:rPr>
          <w:rStyle w:val="TextoNormalNegritaCaracter"/>
        </w:rPr>
      </w:pPr>
      <w:r w:rsidRPr="00CF552A">
        <w:rPr>
          <w:rStyle w:val="TextoNormalCursivaCaracter"/>
        </w:rPr>
        <w:t>Ius aedificandi</w:t>
      </w:r>
      <w:r>
        <w:t xml:space="preserve"> véase </w:t>
      </w:r>
      <w:hyperlink w:anchor="DESCRIPTORALFABETICO252" w:history="1">
        <w:r w:rsidRPr="00CF552A">
          <w:rPr>
            <w:rStyle w:val="TextoNormalNegritaCaracter"/>
          </w:rPr>
          <w:t>Derecho a edificar</w:t>
        </w:r>
      </w:hyperlink>
    </w:p>
    <w:p w:rsidR="00CF552A" w:rsidRPr="00CF552A" w:rsidRDefault="00CF552A" w:rsidP="00CF552A">
      <w:pPr>
        <w:pStyle w:val="TextoNormalSangraFrancesa"/>
        <w:rPr>
          <w:rStyle w:val="TextoNormalCaracter"/>
        </w:rPr>
      </w:pPr>
      <w:bookmarkStart w:id="992" w:name="DESCRIPTORALFABETICO36"/>
      <w:r w:rsidRPr="00CF552A">
        <w:rPr>
          <w:rStyle w:val="TextoNormalNegritaCaracter"/>
          <w:i/>
        </w:rPr>
        <w:t>Ius in officium</w:t>
      </w:r>
      <w:bookmarkEnd w:id="992"/>
      <w:r w:rsidRPr="00CF552A">
        <w:rPr>
          <w:rStyle w:val="TextoNormalCaracter"/>
        </w:rPr>
        <w:t xml:space="preserve">, Sentencia </w:t>
      </w:r>
      <w:hyperlink w:anchor="SENTENCIA_1997_30" w:history="1">
        <w:r w:rsidRPr="00CF552A">
          <w:rPr>
            <w:rStyle w:val="TextoNormalCaracter"/>
          </w:rPr>
          <w:t>30/1997</w:t>
        </w:r>
      </w:hyperlink>
      <w:r w:rsidRPr="00CF552A">
        <w:rPr>
          <w:rStyle w:val="TextoNormalCaracter"/>
        </w:rPr>
        <w:t>, f. 4.</w:t>
      </w:r>
    </w:p>
    <w:p w:rsidR="00CF552A" w:rsidRPr="00CF552A" w:rsidRDefault="00CF552A" w:rsidP="00CF552A">
      <w:pPr>
        <w:pStyle w:val="TextoNormalSangraFrancesa"/>
        <w:rPr>
          <w:rStyle w:val="TextoNormalCaracter"/>
        </w:rPr>
      </w:pPr>
      <w:bookmarkStart w:id="993" w:name="DESCRIPTORALFABETICO305"/>
      <w:r w:rsidRPr="00CF552A">
        <w:rPr>
          <w:rStyle w:val="TextoNormalNegritaCaracter"/>
          <w:i/>
        </w:rPr>
        <w:t>Ius puniendi</w:t>
      </w:r>
      <w:bookmarkEnd w:id="993"/>
      <w:r w:rsidRPr="00CF552A">
        <w:rPr>
          <w:rStyle w:val="TextoNormalCaracter"/>
        </w:rPr>
        <w:t xml:space="preserve">, Sentencia </w:t>
      </w:r>
      <w:hyperlink w:anchor="SENTENCIA_1997_74" w:history="1">
        <w:r w:rsidRPr="00CF552A">
          <w:rPr>
            <w:rStyle w:val="TextoNormalCaracter"/>
          </w:rPr>
          <w:t>74/1997</w:t>
        </w:r>
      </w:hyperlink>
      <w:r w:rsidRPr="00CF552A">
        <w:rPr>
          <w:rStyle w:val="TextoNormalCaracter"/>
        </w:rPr>
        <w:t>, f. 5. VP.</w:t>
      </w:r>
    </w:p>
    <w:p w:rsidR="00CF552A" w:rsidRPr="00CF552A" w:rsidRDefault="00CF552A" w:rsidP="00CF552A">
      <w:pPr>
        <w:pStyle w:val="TextoNormalSangraFrancesa"/>
        <w:rPr>
          <w:rStyle w:val="TextoNormalCaracter"/>
        </w:rPr>
      </w:pPr>
      <w:bookmarkStart w:id="994" w:name="DESCRIPTORALFABETICO306"/>
      <w:r w:rsidRPr="00CF552A">
        <w:rPr>
          <w:rStyle w:val="TextoNormalNegritaCaracter"/>
          <w:i/>
        </w:rPr>
        <w:t>Ius puniendi</w:t>
      </w:r>
      <w:r w:rsidRPr="00CF552A">
        <w:rPr>
          <w:rStyle w:val="TextoNormalNegritaCaracter"/>
        </w:rPr>
        <w:t xml:space="preserve"> no ejercitable por la víctima</w:t>
      </w:r>
      <w:bookmarkEnd w:id="994"/>
      <w:r w:rsidRPr="00CF552A">
        <w:rPr>
          <w:rStyle w:val="TextoNormalCaracter"/>
        </w:rPr>
        <w:t xml:space="preserve">, Sentencia </w:t>
      </w:r>
      <w:hyperlink w:anchor="SENTENCIA_1997_41" w:history="1">
        <w:r w:rsidRPr="00CF552A">
          <w:rPr>
            <w:rStyle w:val="TextoNormalCaracter"/>
          </w:rPr>
          <w:t>41/1997</w:t>
        </w:r>
      </w:hyperlink>
      <w:r w:rsidRPr="00CF552A">
        <w:rPr>
          <w:rStyle w:val="TextoNormalCaracter"/>
        </w:rPr>
        <w:t>, f. 4.</w:t>
      </w:r>
    </w:p>
    <w:p w:rsidR="00CF552A" w:rsidRPr="00CF552A" w:rsidRDefault="00CF552A" w:rsidP="00CF552A">
      <w:pPr>
        <w:pStyle w:val="TextoNormalSangraFrancesa"/>
        <w:rPr>
          <w:rStyle w:val="TextoNormalCaracter"/>
        </w:rPr>
      </w:pPr>
      <w:bookmarkStart w:id="995" w:name="DESCRIPTORALFABETICO55"/>
      <w:r w:rsidRPr="00CF552A">
        <w:rPr>
          <w:rStyle w:val="TextoNormalNegritaCaracter"/>
          <w:i/>
        </w:rPr>
        <w:t>Ius ut procedatur</w:t>
      </w:r>
      <w:bookmarkEnd w:id="995"/>
      <w:r w:rsidRPr="00CF552A">
        <w:rPr>
          <w:rStyle w:val="TextoNormalCaracter"/>
        </w:rPr>
        <w:t xml:space="preserve">, Sentencias </w:t>
      </w:r>
      <w:hyperlink w:anchor="SENTENCIA_1997_41" w:history="1">
        <w:r w:rsidRPr="00CF552A">
          <w:rPr>
            <w:rStyle w:val="TextoNormalCaracter"/>
          </w:rPr>
          <w:t>41/1997</w:t>
        </w:r>
      </w:hyperlink>
      <w:r w:rsidRPr="00CF552A">
        <w:rPr>
          <w:rStyle w:val="TextoNormalCaracter"/>
        </w:rPr>
        <w:t xml:space="preserve">, f. 5; </w:t>
      </w:r>
      <w:hyperlink w:anchor="SENTENCIA_1997_74" w:history="1">
        <w:r w:rsidRPr="00CF552A">
          <w:rPr>
            <w:rStyle w:val="TextoNormalCaracter"/>
          </w:rPr>
          <w:t>74/1997</w:t>
        </w:r>
      </w:hyperlink>
      <w:r w:rsidRPr="00CF552A">
        <w:rPr>
          <w:rStyle w:val="TextoNormalCaracter"/>
        </w:rPr>
        <w:t>, f. 5.</w:t>
      </w:r>
    </w:p>
    <w:p w:rsidR="00CF552A" w:rsidRDefault="00CF552A" w:rsidP="00CF552A">
      <w:pPr>
        <w:pStyle w:val="TextoNormalSangraFrancesa"/>
      </w:pPr>
    </w:p>
    <w:p w:rsidR="00CF552A" w:rsidRDefault="00CF552A" w:rsidP="00CF552A">
      <w:pPr>
        <w:pStyle w:val="TextoNormalSangraFrancesa"/>
      </w:pPr>
    </w:p>
    <w:p w:rsidR="00CF552A" w:rsidRDefault="00CF552A" w:rsidP="00CF552A">
      <w:pPr>
        <w:pStyle w:val="TextoNormalNegritaCentrado"/>
      </w:pPr>
      <w:r>
        <w:t>J</w:t>
      </w:r>
    </w:p>
    <w:p w:rsidR="00CF552A" w:rsidRDefault="00CF552A" w:rsidP="00CF552A">
      <w:pPr>
        <w:pStyle w:val="TextoNormalNegritaCentrado"/>
      </w:pPr>
    </w:p>
    <w:p w:rsidR="00CF552A" w:rsidRDefault="00CF552A" w:rsidP="00CF552A">
      <w:pPr>
        <w:pStyle w:val="TextoNormalNegritaCentrado"/>
      </w:pPr>
    </w:p>
    <w:p w:rsidR="00CF552A" w:rsidRDefault="00CF552A" w:rsidP="00CF552A">
      <w:pPr>
        <w:pStyle w:val="TextoNormalNegritaCentrado"/>
      </w:pPr>
    </w:p>
    <w:p w:rsidR="00CF552A" w:rsidRPr="00CF552A" w:rsidRDefault="00CF552A" w:rsidP="00CF552A">
      <w:pPr>
        <w:pStyle w:val="TextoNormalSangraFrancesa"/>
        <w:rPr>
          <w:rStyle w:val="TextoNormalNegritaCaracter"/>
        </w:rPr>
      </w:pPr>
      <w:r w:rsidRPr="00CF552A">
        <w:rPr>
          <w:rStyle w:val="TextoNormalCursivaCaracter"/>
        </w:rPr>
        <w:t>Juicio de constitucionalidad</w:t>
      </w:r>
      <w:r>
        <w:t xml:space="preserve"> véase </w:t>
      </w:r>
      <w:hyperlink w:anchor="DESCRIPTORALFABETICO129" w:history="1">
        <w:r w:rsidRPr="00CF552A">
          <w:rPr>
            <w:rStyle w:val="TextoNormalNegritaCaracter"/>
          </w:rPr>
          <w:t>Control de constitucionalidad de las normas jurídicas</w:t>
        </w:r>
      </w:hyperlink>
    </w:p>
    <w:p w:rsidR="00CF552A" w:rsidRPr="00CF552A" w:rsidRDefault="00CF552A" w:rsidP="00CF552A">
      <w:pPr>
        <w:pStyle w:val="TextoNormalSangraFrancesa"/>
        <w:rPr>
          <w:rStyle w:val="TextoNormalNegritaCaracter"/>
        </w:rPr>
      </w:pPr>
      <w:r w:rsidRPr="00CF552A">
        <w:rPr>
          <w:rStyle w:val="TextoNormalCursivaCaracter"/>
        </w:rPr>
        <w:t>Juicio de inconstitucionalidad</w:t>
      </w:r>
      <w:r>
        <w:t xml:space="preserve"> véase </w:t>
      </w:r>
      <w:hyperlink w:anchor="DESCRIPTORALFABETICO129" w:history="1">
        <w:r w:rsidRPr="00CF552A">
          <w:rPr>
            <w:rStyle w:val="TextoNormalNegritaCaracter"/>
          </w:rPr>
          <w:t>Control de constitucionalidad de las normas jurídicas</w:t>
        </w:r>
      </w:hyperlink>
    </w:p>
    <w:p w:rsidR="00CF552A" w:rsidRPr="00CF552A" w:rsidRDefault="00CF552A" w:rsidP="00CF552A">
      <w:pPr>
        <w:pStyle w:val="TextoNormalSangraFrancesa"/>
        <w:rPr>
          <w:rStyle w:val="TextoNormalCaracter"/>
        </w:rPr>
      </w:pPr>
      <w:bookmarkStart w:id="996" w:name="DESCRIPTORALFABETICO222"/>
      <w:r w:rsidRPr="00CF552A">
        <w:rPr>
          <w:rStyle w:val="TextoNormalNegritaCaracter"/>
        </w:rPr>
        <w:t>Juicio de razonabilidad</w:t>
      </w:r>
      <w:bookmarkEnd w:id="996"/>
      <w:r w:rsidRPr="00CF552A">
        <w:rPr>
          <w:rStyle w:val="TextoNormalCaracter"/>
        </w:rPr>
        <w:t xml:space="preserve">, Sentencia </w:t>
      </w:r>
      <w:hyperlink w:anchor="SENTENCIA_1997_27" w:history="1">
        <w:r w:rsidRPr="00CF552A">
          <w:rPr>
            <w:rStyle w:val="TextoNormalCaracter"/>
          </w:rPr>
          <w:t>27/1997</w:t>
        </w:r>
      </w:hyperlink>
      <w:r w:rsidRPr="00CF552A">
        <w:rPr>
          <w:rStyle w:val="TextoNormalCaracter"/>
        </w:rPr>
        <w:t>, VP.</w:t>
      </w:r>
    </w:p>
    <w:p w:rsidR="00CF552A" w:rsidRPr="00CF552A" w:rsidRDefault="00CF552A" w:rsidP="00CF552A">
      <w:pPr>
        <w:pStyle w:val="TextoNormalSangraFrancesa"/>
        <w:rPr>
          <w:rStyle w:val="TextoNormalCaracter"/>
        </w:rPr>
      </w:pPr>
      <w:bookmarkStart w:id="997" w:name="DESCRIPTORALFABETICO155"/>
      <w:r w:rsidRPr="00CF552A">
        <w:rPr>
          <w:rStyle w:val="TextoNormalNegritaCaracter"/>
        </w:rPr>
        <w:t>Juicio de relevancia</w:t>
      </w:r>
      <w:bookmarkEnd w:id="997"/>
      <w:r w:rsidRPr="00CF552A">
        <w:rPr>
          <w:rStyle w:val="TextoNormalCaracter"/>
        </w:rPr>
        <w:t xml:space="preserve">, Sentencias </w:t>
      </w:r>
      <w:hyperlink w:anchor="SENTENCIA_1997_28" w:history="1">
        <w:r w:rsidRPr="00CF552A">
          <w:rPr>
            <w:rStyle w:val="TextoNormalCaracter"/>
          </w:rPr>
          <w:t>28/1997</w:t>
        </w:r>
      </w:hyperlink>
      <w:r w:rsidRPr="00CF552A">
        <w:rPr>
          <w:rStyle w:val="TextoNormalCaracter"/>
        </w:rPr>
        <w:t xml:space="preserve">, f. 3; </w:t>
      </w:r>
      <w:hyperlink w:anchor="SENTENCIA_1997_38" w:history="1">
        <w:r w:rsidRPr="00CF552A">
          <w:rPr>
            <w:rStyle w:val="TextoNormalCaracter"/>
          </w:rPr>
          <w:t>38/1997</w:t>
        </w:r>
      </w:hyperlink>
      <w:r w:rsidRPr="00CF552A">
        <w:rPr>
          <w:rStyle w:val="TextoNormalCaracter"/>
        </w:rPr>
        <w:t>, f. 1.</w:t>
      </w:r>
    </w:p>
    <w:p w:rsidR="00CF552A" w:rsidRPr="00CF552A" w:rsidRDefault="00CF552A" w:rsidP="00CF552A">
      <w:pPr>
        <w:pStyle w:val="TextoNormalSangraFrancesa"/>
        <w:rPr>
          <w:rStyle w:val="TextoNormalNegritaCaracter"/>
        </w:rPr>
      </w:pPr>
      <w:r w:rsidRPr="00CF552A">
        <w:rPr>
          <w:rStyle w:val="TextoNormalCursivaCaracter"/>
        </w:rPr>
        <w:t>Juicio incidental de protección de derechos fundamentales</w:t>
      </w:r>
      <w:r>
        <w:t xml:space="preserve"> véase </w:t>
      </w:r>
      <w:hyperlink w:anchor="DESCRIPTORALFABETICO366" w:history="1">
        <w:r w:rsidRPr="00CF552A">
          <w:rPr>
            <w:rStyle w:val="TextoNormalNegritaCaracter"/>
          </w:rPr>
          <w:t>Procedimiento especial de la ley de protección jurisdiccional de los derechos fundamentales</w:t>
        </w:r>
      </w:hyperlink>
    </w:p>
    <w:p w:rsidR="00CF552A" w:rsidRPr="00CF552A" w:rsidRDefault="00CF552A" w:rsidP="00CF552A">
      <w:pPr>
        <w:pStyle w:val="TextoNormalSangraFrancesa"/>
        <w:rPr>
          <w:rStyle w:val="TextoNormalCaracter"/>
        </w:rPr>
      </w:pPr>
      <w:bookmarkStart w:id="998" w:name="DESCRIPTORALFABETICO445"/>
      <w:r w:rsidRPr="00CF552A">
        <w:rPr>
          <w:rStyle w:val="TextoNormalNegritaCaracter"/>
        </w:rPr>
        <w:t>Juicios sumarios</w:t>
      </w:r>
      <w:bookmarkEnd w:id="998"/>
      <w:r w:rsidRPr="00CF552A">
        <w:rPr>
          <w:rStyle w:val="TextoNormalCaracter"/>
        </w:rPr>
        <w:t xml:space="preserve">, Auto </w:t>
      </w:r>
      <w:hyperlink w:anchor="AUTO_1997_32" w:history="1">
        <w:r w:rsidRPr="00CF552A">
          <w:rPr>
            <w:rStyle w:val="TextoNormalCaracter"/>
          </w:rPr>
          <w:t>32/1997</w:t>
        </w:r>
      </w:hyperlink>
      <w:r w:rsidRPr="00CF552A">
        <w:rPr>
          <w:rStyle w:val="TextoNormalCaracter"/>
        </w:rPr>
        <w:t>.</w:t>
      </w:r>
    </w:p>
    <w:p w:rsidR="00CF552A" w:rsidRPr="00CF552A" w:rsidRDefault="00CF552A" w:rsidP="00CF552A">
      <w:pPr>
        <w:pStyle w:val="TextoNormalSangraFrancesa"/>
        <w:rPr>
          <w:rStyle w:val="TextoNormalCaracter"/>
        </w:rPr>
      </w:pPr>
      <w:bookmarkStart w:id="999" w:name="DESCRIPTORALFABETICO420"/>
      <w:r w:rsidRPr="00CF552A">
        <w:rPr>
          <w:rStyle w:val="TextoNormalNegritaCaracter"/>
        </w:rPr>
        <w:t>Jura de cuentas</w:t>
      </w:r>
      <w:bookmarkEnd w:id="999"/>
      <w:r w:rsidRPr="00CF552A">
        <w:rPr>
          <w:rStyle w:val="TextoNormalCaracter"/>
        </w:rPr>
        <w:t xml:space="preserve">, Sentencias </w:t>
      </w:r>
      <w:hyperlink w:anchor="SENTENCIA_1997_12" w:history="1">
        <w:r w:rsidRPr="00CF552A">
          <w:rPr>
            <w:rStyle w:val="TextoNormalCaracter"/>
          </w:rPr>
          <w:t>12/1997</w:t>
        </w:r>
      </w:hyperlink>
      <w:r w:rsidRPr="00CF552A">
        <w:rPr>
          <w:rStyle w:val="TextoNormalCaracter"/>
        </w:rPr>
        <w:t xml:space="preserve">, ff. 1, 2, 3, 4; </w:t>
      </w:r>
      <w:hyperlink w:anchor="SENTENCIA_1997_20" w:history="1">
        <w:r w:rsidRPr="00CF552A">
          <w:rPr>
            <w:rStyle w:val="TextoNormalCaracter"/>
          </w:rPr>
          <w:t>20/1997</w:t>
        </w:r>
      </w:hyperlink>
      <w:r w:rsidRPr="00CF552A">
        <w:rPr>
          <w:rStyle w:val="TextoNormalCaracter"/>
        </w:rPr>
        <w:t>, ff. 1, 2, 3, 4.</w:t>
      </w:r>
    </w:p>
    <w:p w:rsidR="00CF552A" w:rsidRPr="00CF552A" w:rsidRDefault="00CF552A" w:rsidP="00CF552A">
      <w:pPr>
        <w:pStyle w:val="TextoNormalSangraFrancesa"/>
        <w:rPr>
          <w:rStyle w:val="TextoNormalCaracter"/>
        </w:rPr>
      </w:pPr>
      <w:r w:rsidRPr="00CF552A">
        <w:rPr>
          <w:rStyle w:val="TextoNormalCursivaCaracter"/>
        </w:rPr>
        <w:t xml:space="preserve">    Doctrina constitucional, </w:t>
      </w:r>
      <w:r w:rsidRPr="00CF552A">
        <w:rPr>
          <w:rStyle w:val="TextoNormalCaracter"/>
        </w:rPr>
        <w:t xml:space="preserve">Autos </w:t>
      </w:r>
      <w:hyperlink w:anchor="AUTO_1997_17" w:history="1">
        <w:r w:rsidRPr="00CF552A">
          <w:rPr>
            <w:rStyle w:val="TextoNormalCaracter"/>
          </w:rPr>
          <w:t>17/1997</w:t>
        </w:r>
      </w:hyperlink>
      <w:r w:rsidRPr="00CF552A">
        <w:rPr>
          <w:rStyle w:val="TextoNormalCaracter"/>
        </w:rPr>
        <w:t xml:space="preserve">; </w:t>
      </w:r>
      <w:hyperlink w:anchor="AUTO_1997_45" w:history="1">
        <w:r w:rsidRPr="00CF552A">
          <w:rPr>
            <w:rStyle w:val="TextoNormalCaracter"/>
          </w:rPr>
          <w:t>45/1997</w:t>
        </w:r>
      </w:hyperlink>
      <w:r w:rsidRPr="00CF552A">
        <w:rPr>
          <w:rStyle w:val="TextoNormalCaracter"/>
        </w:rPr>
        <w:t xml:space="preserve">; </w:t>
      </w:r>
      <w:hyperlink w:anchor="AUTO_1997_65" w:history="1">
        <w:r w:rsidRPr="00CF552A">
          <w:rPr>
            <w:rStyle w:val="TextoNormalCaracter"/>
          </w:rPr>
          <w:t>65/1997</w:t>
        </w:r>
      </w:hyperlink>
      <w:r w:rsidRPr="00CF552A">
        <w:rPr>
          <w:rStyle w:val="TextoNormalCaracter"/>
        </w:rPr>
        <w:t xml:space="preserve">; </w:t>
      </w:r>
      <w:hyperlink w:anchor="AUTO_1997_66" w:history="1">
        <w:r w:rsidRPr="00CF552A">
          <w:rPr>
            <w:rStyle w:val="TextoNormalCaracter"/>
          </w:rPr>
          <w:t>66/1997</w:t>
        </w:r>
      </w:hyperlink>
      <w:r w:rsidRPr="00CF552A">
        <w:rPr>
          <w:rStyle w:val="TextoNormalCaracter"/>
        </w:rPr>
        <w:t xml:space="preserve">; </w:t>
      </w:r>
      <w:hyperlink w:anchor="AUTO_1997_107" w:history="1">
        <w:r w:rsidRPr="00CF552A">
          <w:rPr>
            <w:rStyle w:val="TextoNormalCaracter"/>
          </w:rPr>
          <w:t>107/1997</w:t>
        </w:r>
      </w:hyperlink>
      <w:r w:rsidRPr="00CF552A">
        <w:rPr>
          <w:rStyle w:val="TextoNormalCaracter"/>
        </w:rPr>
        <w:t>.</w:t>
      </w:r>
    </w:p>
    <w:p w:rsidR="00CF552A" w:rsidRPr="00CF552A" w:rsidRDefault="00CF552A" w:rsidP="00CF552A">
      <w:pPr>
        <w:pStyle w:val="TextoNormalSangraFrancesa"/>
        <w:rPr>
          <w:rStyle w:val="TextoNormalCaracter"/>
        </w:rPr>
      </w:pPr>
      <w:bookmarkStart w:id="1000" w:name="DESCRIPTORALFABETICO134"/>
      <w:r w:rsidRPr="00CF552A">
        <w:rPr>
          <w:rStyle w:val="TextoNormalNegritaCaracter"/>
        </w:rPr>
        <w:t xml:space="preserve">Jurisdicción constitucional </w:t>
      </w:r>
      <w:r w:rsidRPr="00CF552A">
        <w:rPr>
          <w:rStyle w:val="TextoNormalNegritaCaracter"/>
          <w:i/>
        </w:rPr>
        <w:t>versus</w:t>
      </w:r>
      <w:r w:rsidRPr="00CF552A">
        <w:rPr>
          <w:rStyle w:val="TextoNormalNegritaCaracter"/>
        </w:rPr>
        <w:t xml:space="preserve"> jurisdicción penal</w:t>
      </w:r>
      <w:bookmarkEnd w:id="1000"/>
      <w:r w:rsidRPr="00CF552A">
        <w:rPr>
          <w:rStyle w:val="TextoNormalCaracter"/>
        </w:rPr>
        <w:t xml:space="preserve">, Sentencia </w:t>
      </w:r>
      <w:hyperlink w:anchor="SENTENCIA_1997_41" w:history="1">
        <w:r w:rsidRPr="00CF552A">
          <w:rPr>
            <w:rStyle w:val="TextoNormalCaracter"/>
          </w:rPr>
          <w:t>41/1997</w:t>
        </w:r>
      </w:hyperlink>
      <w:r w:rsidRPr="00CF552A">
        <w:rPr>
          <w:rStyle w:val="TextoNormalCaracter"/>
        </w:rPr>
        <w:t>, f. 3.</w:t>
      </w:r>
    </w:p>
    <w:p w:rsidR="00CF552A" w:rsidRPr="00CF552A" w:rsidRDefault="00CF552A" w:rsidP="00CF552A">
      <w:pPr>
        <w:pStyle w:val="TextoNormalSangraFrancesa"/>
        <w:rPr>
          <w:rStyle w:val="TextoNormalCaracter"/>
        </w:rPr>
      </w:pPr>
      <w:bookmarkStart w:id="1001" w:name="DESCRIPTORALFABETICO365"/>
      <w:r w:rsidRPr="00CF552A">
        <w:rPr>
          <w:rStyle w:val="TextoNormalNegritaCaracter"/>
        </w:rPr>
        <w:t>Jurisdicción contencioso-administrativa</w:t>
      </w:r>
      <w:bookmarkEnd w:id="1001"/>
      <w:r w:rsidRPr="00CF552A">
        <w:rPr>
          <w:rStyle w:val="TextoNormalCaracter"/>
        </w:rPr>
        <w:t xml:space="preserve">, Sentencia </w:t>
      </w:r>
      <w:hyperlink w:anchor="SENTENCIA_1997_87" w:history="1">
        <w:r w:rsidRPr="00CF552A">
          <w:rPr>
            <w:rStyle w:val="TextoNormalCaracter"/>
          </w:rPr>
          <w:t>87/1997</w:t>
        </w:r>
      </w:hyperlink>
      <w:r w:rsidRPr="00CF552A">
        <w:rPr>
          <w:rStyle w:val="TextoNormalCaracter"/>
        </w:rPr>
        <w:t>, ff. 1, 2.</w:t>
      </w:r>
    </w:p>
    <w:p w:rsidR="00CF552A" w:rsidRPr="00CF552A" w:rsidRDefault="00CF552A" w:rsidP="00CF552A">
      <w:pPr>
        <w:pStyle w:val="TextoNormalSangraFrancesa"/>
        <w:rPr>
          <w:rStyle w:val="TextoNormalCaracter"/>
        </w:rPr>
      </w:pPr>
      <w:bookmarkStart w:id="1002" w:name="DESCRIPTORALFABETICO316"/>
      <w:r w:rsidRPr="00CF552A">
        <w:rPr>
          <w:rStyle w:val="TextoNormalNegritaCaracter"/>
        </w:rPr>
        <w:t>Jurisprudencia</w:t>
      </w:r>
      <w:bookmarkEnd w:id="1002"/>
      <w:r w:rsidRPr="00CF552A">
        <w:rPr>
          <w:rStyle w:val="TextoNormalCaracter"/>
        </w:rPr>
        <w:t xml:space="preserve">, Sentencia </w:t>
      </w:r>
      <w:hyperlink w:anchor="SENTENCIA_1997_79" w:history="1">
        <w:r w:rsidRPr="00CF552A">
          <w:rPr>
            <w:rStyle w:val="TextoNormalCaracter"/>
          </w:rPr>
          <w:t>79/1997</w:t>
        </w:r>
      </w:hyperlink>
      <w:r w:rsidRPr="00CF552A">
        <w:rPr>
          <w:rStyle w:val="TextoNormalCaracter"/>
        </w:rPr>
        <w:t>, f. 3.</w:t>
      </w:r>
    </w:p>
    <w:p w:rsidR="00CF552A" w:rsidRPr="00CF552A" w:rsidRDefault="00CF552A" w:rsidP="00CF552A">
      <w:pPr>
        <w:pStyle w:val="TextoNormalSangraFrancesa"/>
        <w:rPr>
          <w:rStyle w:val="TextoNormalCaracter"/>
        </w:rPr>
      </w:pPr>
      <w:bookmarkStart w:id="1003" w:name="DESCRIPTORALFABETICO45"/>
      <w:r w:rsidRPr="00CF552A">
        <w:rPr>
          <w:rStyle w:val="TextoNormalNegritaCaracter"/>
        </w:rPr>
        <w:t>Justificación razonable del tratamiento legal diferenciado</w:t>
      </w:r>
      <w:bookmarkEnd w:id="1003"/>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 17.</w:t>
      </w:r>
    </w:p>
    <w:p w:rsidR="00CF552A" w:rsidRPr="00CF552A" w:rsidRDefault="00CF552A" w:rsidP="00CF552A">
      <w:pPr>
        <w:pStyle w:val="TextoNormalSangraFrancesa"/>
        <w:rPr>
          <w:rStyle w:val="TextoNormalCaracter"/>
        </w:rPr>
      </w:pPr>
      <w:bookmarkStart w:id="1004" w:name="DESCRIPTORALFABETICO202"/>
      <w:r w:rsidRPr="00CF552A">
        <w:rPr>
          <w:rStyle w:val="TextoNormalNegritaCaracter"/>
        </w:rPr>
        <w:t>Juzgado de Vigilancia Penitenciaria</w:t>
      </w:r>
      <w:bookmarkEnd w:id="1004"/>
      <w:r w:rsidRPr="00CF552A">
        <w:rPr>
          <w:rStyle w:val="TextoNormalCaracter"/>
        </w:rPr>
        <w:t xml:space="preserve">, Sentencias </w:t>
      </w:r>
      <w:hyperlink w:anchor="SENTENCIA_1997_35" w:history="1">
        <w:r w:rsidRPr="00CF552A">
          <w:rPr>
            <w:rStyle w:val="TextoNormalCaracter"/>
          </w:rPr>
          <w:t>35/1997</w:t>
        </w:r>
      </w:hyperlink>
      <w:r w:rsidRPr="00CF552A">
        <w:rPr>
          <w:rStyle w:val="TextoNormalCaracter"/>
        </w:rPr>
        <w:t xml:space="preserve">, f. 5; </w:t>
      </w:r>
      <w:hyperlink w:anchor="SENTENCIA_1997_60" w:history="1">
        <w:r w:rsidRPr="00CF552A">
          <w:rPr>
            <w:rStyle w:val="TextoNormalCaracter"/>
          </w:rPr>
          <w:t>60/1997</w:t>
        </w:r>
      </w:hyperlink>
      <w:r w:rsidRPr="00CF552A">
        <w:rPr>
          <w:rStyle w:val="TextoNormalCaracter"/>
        </w:rPr>
        <w:t>, f. 2.</w:t>
      </w:r>
    </w:p>
    <w:p w:rsidR="00CF552A" w:rsidRDefault="00CF552A" w:rsidP="00CF552A">
      <w:pPr>
        <w:pStyle w:val="TextoNormalSangraFrancesa"/>
      </w:pPr>
    </w:p>
    <w:p w:rsidR="00CF552A" w:rsidRDefault="00CF552A" w:rsidP="00CF552A">
      <w:pPr>
        <w:pStyle w:val="TextoNormalSangraFrancesa"/>
      </w:pPr>
    </w:p>
    <w:p w:rsidR="00CF552A" w:rsidRDefault="00CF552A" w:rsidP="00CF552A">
      <w:pPr>
        <w:pStyle w:val="TextoNormalNegritaCentrado"/>
      </w:pPr>
      <w:r>
        <w:t>L</w:t>
      </w:r>
    </w:p>
    <w:p w:rsidR="00CF552A" w:rsidRDefault="00CF552A" w:rsidP="00CF552A">
      <w:pPr>
        <w:pStyle w:val="TextoNormalNegritaCentrado"/>
      </w:pPr>
    </w:p>
    <w:p w:rsidR="00CF552A" w:rsidRDefault="00CF552A" w:rsidP="00CF552A">
      <w:pPr>
        <w:pStyle w:val="TextoNormalNegritaCentrado"/>
      </w:pPr>
    </w:p>
    <w:p w:rsidR="00CF552A" w:rsidRDefault="00CF552A" w:rsidP="00CF552A">
      <w:pPr>
        <w:pStyle w:val="TextoNormalNegritaCentrado"/>
      </w:pPr>
    </w:p>
    <w:p w:rsidR="00CF552A" w:rsidRPr="00CF552A" w:rsidRDefault="00CF552A" w:rsidP="00CF552A">
      <w:pPr>
        <w:pStyle w:val="TextoNormalSangraFrancesa"/>
        <w:rPr>
          <w:rStyle w:val="TextoNormalCaracter"/>
        </w:rPr>
      </w:pPr>
      <w:bookmarkStart w:id="1005" w:name="DESCRIPTORALFABETICO326"/>
      <w:r w:rsidRPr="00CF552A">
        <w:rPr>
          <w:rStyle w:val="TextoNormalNegritaCaracter"/>
        </w:rPr>
        <w:t>Lagunas legales</w:t>
      </w:r>
      <w:bookmarkEnd w:id="1005"/>
      <w:r w:rsidRPr="00CF552A">
        <w:rPr>
          <w:rStyle w:val="TextoNormalCaracter"/>
        </w:rPr>
        <w:t xml:space="preserve">, Sentencias </w:t>
      </w:r>
      <w:hyperlink w:anchor="SENTENCIA_1997_38" w:history="1">
        <w:r w:rsidRPr="00CF552A">
          <w:rPr>
            <w:rStyle w:val="TextoNormalCaracter"/>
          </w:rPr>
          <w:t>38/1997</w:t>
        </w:r>
      </w:hyperlink>
      <w:r w:rsidRPr="00CF552A">
        <w:rPr>
          <w:rStyle w:val="TextoNormalCaracter"/>
        </w:rPr>
        <w:t xml:space="preserve">, f. 3; </w:t>
      </w:r>
      <w:hyperlink w:anchor="SENTENCIA_1997_62" w:history="1">
        <w:r w:rsidRPr="00CF552A">
          <w:rPr>
            <w:rStyle w:val="TextoNormalCaracter"/>
          </w:rPr>
          <w:t>62/1997</w:t>
        </w:r>
      </w:hyperlink>
      <w:r w:rsidRPr="00CF552A">
        <w:rPr>
          <w:rStyle w:val="TextoNormalCaracter"/>
        </w:rPr>
        <w:t xml:space="preserve">, f. 4; </w:t>
      </w:r>
      <w:hyperlink w:anchor="SENTENCIA_1997_63" w:history="1">
        <w:r w:rsidRPr="00CF552A">
          <w:rPr>
            <w:rStyle w:val="TextoNormalCaracter"/>
          </w:rPr>
          <w:t>63/1997</w:t>
        </w:r>
      </w:hyperlink>
      <w:r w:rsidRPr="00CF552A">
        <w:rPr>
          <w:rStyle w:val="TextoNormalCaracter"/>
        </w:rPr>
        <w:t>, f. 1.</w:t>
      </w:r>
    </w:p>
    <w:p w:rsidR="00CF552A" w:rsidRPr="00CF552A" w:rsidRDefault="00CF552A" w:rsidP="00CF552A">
      <w:pPr>
        <w:pStyle w:val="TextoNormalSangraFrancesa"/>
        <w:rPr>
          <w:rStyle w:val="TextoNormalCaracter"/>
        </w:rPr>
      </w:pPr>
      <w:bookmarkStart w:id="1006" w:name="DESCRIPTORALFABETICO311"/>
      <w:r w:rsidRPr="00CF552A">
        <w:rPr>
          <w:rStyle w:val="TextoNormalNegritaCaracter"/>
        </w:rPr>
        <w:t>Legislación básica</w:t>
      </w:r>
      <w:bookmarkEnd w:id="1006"/>
      <w:r w:rsidRPr="00CF552A">
        <w:rPr>
          <w:rStyle w:val="TextoNormalCaracter"/>
        </w:rPr>
        <w:t xml:space="preserve">, Sentencias </w:t>
      </w:r>
      <w:hyperlink w:anchor="SENTENCIA_1997_16" w:history="1">
        <w:r w:rsidRPr="00CF552A">
          <w:rPr>
            <w:rStyle w:val="TextoNormalCaracter"/>
          </w:rPr>
          <w:t>16/1997</w:t>
        </w:r>
      </w:hyperlink>
      <w:r w:rsidRPr="00CF552A">
        <w:rPr>
          <w:rStyle w:val="TextoNormalCaracter"/>
        </w:rPr>
        <w:t xml:space="preserve">, ff. 2, 3; </w:t>
      </w:r>
      <w:hyperlink w:anchor="SENTENCIA_1997_28" w:history="1">
        <w:r w:rsidRPr="00CF552A">
          <w:rPr>
            <w:rStyle w:val="TextoNormalCaracter"/>
          </w:rPr>
          <w:t>28/1997</w:t>
        </w:r>
      </w:hyperlink>
      <w:r w:rsidRPr="00CF552A">
        <w:rPr>
          <w:rStyle w:val="TextoNormalCaracter"/>
        </w:rPr>
        <w:t xml:space="preserve">, f. 2; </w:t>
      </w:r>
      <w:hyperlink w:anchor="SENTENCIA_1997_37" w:history="1">
        <w:r w:rsidRPr="00CF552A">
          <w:rPr>
            <w:rStyle w:val="TextoNormalCaracter"/>
          </w:rPr>
          <w:t>37/1997</w:t>
        </w:r>
      </w:hyperlink>
      <w:r w:rsidRPr="00CF552A">
        <w:rPr>
          <w:rStyle w:val="TextoNormalCaracter"/>
        </w:rPr>
        <w:t xml:space="preserve">, f. 4; </w:t>
      </w:r>
      <w:hyperlink w:anchor="SENTENCIA_1997_73" w:history="1">
        <w:r w:rsidRPr="00CF552A">
          <w:rPr>
            <w:rStyle w:val="TextoNormalCaracter"/>
          </w:rPr>
          <w:t>73/1997</w:t>
        </w:r>
      </w:hyperlink>
      <w:r w:rsidRPr="00CF552A">
        <w:rPr>
          <w:rStyle w:val="TextoNormalCaracter"/>
        </w:rPr>
        <w:t>, ff. 4, 5.</w:t>
      </w:r>
    </w:p>
    <w:p w:rsidR="00CF552A" w:rsidRPr="00CF552A" w:rsidRDefault="00CF552A" w:rsidP="00CF552A">
      <w:pPr>
        <w:pStyle w:val="TextoNormalSangraFrancesa"/>
        <w:rPr>
          <w:rStyle w:val="TextoNormalCaracter"/>
        </w:rPr>
      </w:pPr>
      <w:bookmarkStart w:id="1007" w:name="DESCRIPTORALFABETICO313"/>
      <w:r w:rsidRPr="00CF552A">
        <w:rPr>
          <w:rStyle w:val="TextoNormalNegritaCaracter"/>
        </w:rPr>
        <w:t>Legislación electoral</w:t>
      </w:r>
      <w:bookmarkEnd w:id="1007"/>
      <w:r w:rsidRPr="00CF552A">
        <w:rPr>
          <w:rStyle w:val="TextoNormalCaracter"/>
        </w:rPr>
        <w:t xml:space="preserve">, Sentencias </w:t>
      </w:r>
      <w:hyperlink w:anchor="SENTENCIA_1997_13" w:history="1">
        <w:r w:rsidRPr="00CF552A">
          <w:rPr>
            <w:rStyle w:val="TextoNormalCaracter"/>
          </w:rPr>
          <w:t>13/1997</w:t>
        </w:r>
      </w:hyperlink>
      <w:r w:rsidRPr="00CF552A">
        <w:rPr>
          <w:rStyle w:val="TextoNormalCaracter"/>
        </w:rPr>
        <w:t xml:space="preserve">, f. 4; </w:t>
      </w:r>
      <w:hyperlink w:anchor="SENTENCIA_1997_52" w:history="1">
        <w:r w:rsidRPr="00CF552A">
          <w:rPr>
            <w:rStyle w:val="TextoNormalCaracter"/>
          </w:rPr>
          <w:t>52/1997</w:t>
        </w:r>
      </w:hyperlink>
      <w:r w:rsidRPr="00CF552A">
        <w:rPr>
          <w:rStyle w:val="TextoNormalCaracter"/>
        </w:rPr>
        <w:t>, f. 2.</w:t>
      </w:r>
    </w:p>
    <w:p w:rsidR="00CF552A" w:rsidRPr="00CF552A" w:rsidRDefault="00CF552A" w:rsidP="00CF552A">
      <w:pPr>
        <w:pStyle w:val="TextoNormalSangraFrancesa"/>
        <w:rPr>
          <w:rStyle w:val="TextoNormalCaracter"/>
        </w:rPr>
      </w:pPr>
      <w:bookmarkStart w:id="1008" w:name="DESCRIPTORALFABETICO314"/>
      <w:r w:rsidRPr="00CF552A">
        <w:rPr>
          <w:rStyle w:val="TextoNormalNegritaCaracter"/>
        </w:rPr>
        <w:t>Legislación laboral</w:t>
      </w:r>
      <w:bookmarkEnd w:id="1008"/>
      <w:r w:rsidRPr="00CF552A">
        <w:rPr>
          <w:rStyle w:val="TextoNormalCaracter"/>
        </w:rPr>
        <w:t xml:space="preserve">, Sentencia </w:t>
      </w:r>
      <w:hyperlink w:anchor="SENTENCIA_1997_18" w:history="1">
        <w:r w:rsidRPr="00CF552A">
          <w:rPr>
            <w:rStyle w:val="TextoNormalCaracter"/>
          </w:rPr>
          <w:t>18/1997</w:t>
        </w:r>
      </w:hyperlink>
      <w:r w:rsidRPr="00CF552A">
        <w:rPr>
          <w:rStyle w:val="TextoNormalCaracter"/>
        </w:rPr>
        <w:t>, f. 4.</w:t>
      </w:r>
    </w:p>
    <w:p w:rsidR="00CF552A" w:rsidRPr="00CF552A" w:rsidRDefault="00CF552A" w:rsidP="00CF552A">
      <w:pPr>
        <w:pStyle w:val="TextoNormalSangraFrancesa"/>
        <w:rPr>
          <w:rStyle w:val="TextoNormalCaracter"/>
        </w:rPr>
      </w:pPr>
      <w:bookmarkStart w:id="1009" w:name="DESCRIPTORALFABETICO315"/>
      <w:r w:rsidRPr="00CF552A">
        <w:rPr>
          <w:rStyle w:val="TextoNormalNegritaCaracter"/>
        </w:rPr>
        <w:t>Legislación mercantil</w:t>
      </w:r>
      <w:bookmarkEnd w:id="1009"/>
      <w:r w:rsidRPr="00CF552A">
        <w:rPr>
          <w:rStyle w:val="TextoNormalCaracter"/>
        </w:rPr>
        <w:t xml:space="preserve">, </w:t>
      </w:r>
    </w:p>
    <w:p w:rsidR="00CF552A" w:rsidRPr="00CF552A" w:rsidRDefault="00CF552A" w:rsidP="00CF552A">
      <w:pPr>
        <w:pStyle w:val="TextoNormalSangraFrancesa"/>
        <w:rPr>
          <w:rStyle w:val="TextoNormalCaracter"/>
        </w:rPr>
      </w:pPr>
      <w:r w:rsidRPr="00CF552A">
        <w:rPr>
          <w:rStyle w:val="TextoNormalCursivaCaracter"/>
        </w:rPr>
        <w:t xml:space="preserve">    Alcance, </w:t>
      </w:r>
      <w:r w:rsidRPr="00CF552A">
        <w:rPr>
          <w:rStyle w:val="TextoNormalCaracter"/>
        </w:rPr>
        <w:t xml:space="preserve">Sentencia </w:t>
      </w:r>
      <w:hyperlink w:anchor="SENTENCIA_1997_37" w:history="1">
        <w:r w:rsidRPr="00CF552A">
          <w:rPr>
            <w:rStyle w:val="TextoNormalCaracter"/>
          </w:rPr>
          <w:t>37/1997</w:t>
        </w:r>
      </w:hyperlink>
      <w:r w:rsidRPr="00CF552A">
        <w:rPr>
          <w:rStyle w:val="TextoNormalCaracter"/>
        </w:rPr>
        <w:t>, ff. 2, 3.</w:t>
      </w:r>
    </w:p>
    <w:p w:rsidR="00CF552A" w:rsidRPr="00CF552A" w:rsidRDefault="00CF552A" w:rsidP="00CF552A">
      <w:pPr>
        <w:pStyle w:val="TextoNormalSangraFrancesa"/>
        <w:rPr>
          <w:rStyle w:val="TextoNormalCaracter"/>
        </w:rPr>
      </w:pPr>
      <w:bookmarkStart w:id="1010" w:name="DESCRIPTORALFABETICO175"/>
      <w:r w:rsidRPr="00CF552A">
        <w:rPr>
          <w:rStyle w:val="TextoNormalNegritaCaracter"/>
        </w:rPr>
        <w:t>Legitimación en el recurso de amparo</w:t>
      </w:r>
      <w:bookmarkEnd w:id="1010"/>
      <w:r w:rsidRPr="00CF552A">
        <w:rPr>
          <w:rStyle w:val="TextoNormalCaracter"/>
        </w:rPr>
        <w:t xml:space="preserve">, Autos </w:t>
      </w:r>
      <w:hyperlink w:anchor="AUTO_1997_63" w:history="1">
        <w:r w:rsidRPr="00CF552A">
          <w:rPr>
            <w:rStyle w:val="TextoNormalCaracter"/>
          </w:rPr>
          <w:t>63/1997</w:t>
        </w:r>
      </w:hyperlink>
      <w:r w:rsidRPr="00CF552A">
        <w:rPr>
          <w:rStyle w:val="TextoNormalCaracter"/>
        </w:rPr>
        <w:t xml:space="preserve">; </w:t>
      </w:r>
      <w:hyperlink w:anchor="AUTO_1997_68" w:history="1">
        <w:r w:rsidRPr="00CF552A">
          <w:rPr>
            <w:rStyle w:val="TextoNormalCaracter"/>
          </w:rPr>
          <w:t>68/1997</w:t>
        </w:r>
      </w:hyperlink>
      <w:r w:rsidRPr="00CF552A">
        <w:rPr>
          <w:rStyle w:val="TextoNormalCaracter"/>
        </w:rPr>
        <w:t>.</w:t>
      </w:r>
    </w:p>
    <w:p w:rsidR="00CF552A" w:rsidRPr="00CF552A" w:rsidRDefault="00CF552A" w:rsidP="00CF552A">
      <w:pPr>
        <w:pStyle w:val="TextoNormalSangraFrancesa"/>
        <w:rPr>
          <w:rStyle w:val="TextoNormalCaracter"/>
        </w:rPr>
      </w:pPr>
      <w:bookmarkStart w:id="1011" w:name="DESCRIPTORALFABETICO142"/>
      <w:r w:rsidRPr="00CF552A">
        <w:rPr>
          <w:rStyle w:val="TextoNormalNegritaCaracter"/>
        </w:rPr>
        <w:t>Legitimación en recurso de inconstitucionalidad</w:t>
      </w:r>
      <w:bookmarkEnd w:id="1011"/>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 4.</w:t>
      </w:r>
    </w:p>
    <w:p w:rsidR="00CF552A" w:rsidRPr="00CF552A" w:rsidRDefault="00CF552A" w:rsidP="00CF552A">
      <w:pPr>
        <w:pStyle w:val="TextoNormalSangraFrancesa"/>
        <w:rPr>
          <w:rStyle w:val="TextoNormalCaracter"/>
        </w:rPr>
      </w:pPr>
      <w:bookmarkStart w:id="1012" w:name="DESCRIPTORALFABETICO227"/>
      <w:r w:rsidRPr="00CF552A">
        <w:rPr>
          <w:rStyle w:val="TextoNormalNegritaCaracter"/>
        </w:rPr>
        <w:t>Lenguas españolas</w:t>
      </w:r>
      <w:bookmarkEnd w:id="1012"/>
      <w:r w:rsidRPr="00CF552A">
        <w:rPr>
          <w:rStyle w:val="TextoNormalCaracter"/>
        </w:rPr>
        <w:t xml:space="preserve">, Sentencia </w:t>
      </w:r>
      <w:hyperlink w:anchor="SENTENCIA_1997_87" w:history="1">
        <w:r w:rsidRPr="00CF552A">
          <w:rPr>
            <w:rStyle w:val="TextoNormalCaracter"/>
          </w:rPr>
          <w:t>87/1997</w:t>
        </w:r>
      </w:hyperlink>
      <w:r w:rsidRPr="00CF552A">
        <w:rPr>
          <w:rStyle w:val="TextoNormalCaracter"/>
        </w:rPr>
        <w:t>, f. 4.</w:t>
      </w:r>
    </w:p>
    <w:p w:rsidR="00CF552A" w:rsidRPr="00CF552A" w:rsidRDefault="00CF552A" w:rsidP="00CF552A">
      <w:pPr>
        <w:pStyle w:val="TextoNormalSangraFrancesa"/>
        <w:rPr>
          <w:rStyle w:val="TextoNormalCaracter"/>
        </w:rPr>
      </w:pPr>
      <w:bookmarkStart w:id="1013" w:name="DESCRIPTORALFABETICO229"/>
      <w:r w:rsidRPr="00CF552A">
        <w:rPr>
          <w:rStyle w:val="TextoNormalNegritaCaracter"/>
        </w:rPr>
        <w:t>Lenguas oficiales</w:t>
      </w:r>
      <w:bookmarkEnd w:id="1013"/>
      <w:r w:rsidRPr="00CF552A">
        <w:rPr>
          <w:rStyle w:val="TextoNormalCaracter"/>
        </w:rPr>
        <w:t xml:space="preserve">, Sentencia </w:t>
      </w:r>
      <w:hyperlink w:anchor="SENTENCIA_1997_87" w:history="1">
        <w:r w:rsidRPr="00CF552A">
          <w:rPr>
            <w:rStyle w:val="TextoNormalCaracter"/>
          </w:rPr>
          <w:t>87/1997</w:t>
        </w:r>
      </w:hyperlink>
      <w:r w:rsidRPr="00CF552A">
        <w:rPr>
          <w:rStyle w:val="TextoNormalCaracter"/>
        </w:rPr>
        <w:t>, ff. 1, 2, 3, 4, 5, 6.</w:t>
      </w:r>
    </w:p>
    <w:p w:rsidR="00CF552A" w:rsidRPr="00CF552A" w:rsidRDefault="00CF552A" w:rsidP="00CF552A">
      <w:pPr>
        <w:pStyle w:val="TextoNormalSangraFrancesa"/>
        <w:rPr>
          <w:rStyle w:val="TextoNormalCaracter"/>
        </w:rPr>
      </w:pPr>
      <w:bookmarkStart w:id="1014" w:name="DESCRIPTORALFABETICO169"/>
      <w:r w:rsidRPr="00CF552A">
        <w:rPr>
          <w:rStyle w:val="TextoNormalNegritaCaracter"/>
        </w:rPr>
        <w:t>Lesión hipotética del derecho fundamental</w:t>
      </w:r>
      <w:bookmarkEnd w:id="1014"/>
      <w:r w:rsidRPr="00CF552A">
        <w:rPr>
          <w:rStyle w:val="TextoNormalCaracter"/>
        </w:rPr>
        <w:t xml:space="preserve">, Sentencia </w:t>
      </w:r>
      <w:hyperlink w:anchor="SENTENCIA_1997_27" w:history="1">
        <w:r w:rsidRPr="00CF552A">
          <w:rPr>
            <w:rStyle w:val="TextoNormalCaracter"/>
          </w:rPr>
          <w:t>27/1997</w:t>
        </w:r>
      </w:hyperlink>
      <w:r w:rsidRPr="00CF552A">
        <w:rPr>
          <w:rStyle w:val="TextoNormalCaracter"/>
        </w:rPr>
        <w:t>, f. 4.</w:t>
      </w:r>
    </w:p>
    <w:p w:rsidR="00CF552A" w:rsidRPr="00CF552A" w:rsidRDefault="00CF552A" w:rsidP="00CF552A">
      <w:pPr>
        <w:pStyle w:val="TextoNormalSangraFrancesa"/>
        <w:rPr>
          <w:rStyle w:val="TextoNormalCaracter"/>
        </w:rPr>
      </w:pPr>
      <w:bookmarkStart w:id="1015" w:name="DESCRIPTORALFABETICO140"/>
      <w:r w:rsidRPr="00CF552A">
        <w:rPr>
          <w:rStyle w:val="TextoNormalNegritaCaracter"/>
        </w:rPr>
        <w:t>Levantamiento de la suspensión de disposiciones de las Comunidades Autónomas</w:t>
      </w:r>
      <w:bookmarkEnd w:id="1015"/>
      <w:r w:rsidRPr="00CF552A">
        <w:rPr>
          <w:rStyle w:val="TextoNormalCaracter"/>
        </w:rPr>
        <w:t xml:space="preserve">, Auto </w:t>
      </w:r>
      <w:hyperlink w:anchor="AUTO_1997_78" w:history="1">
        <w:r w:rsidRPr="00CF552A">
          <w:rPr>
            <w:rStyle w:val="TextoNormalCaracter"/>
          </w:rPr>
          <w:t>78/1997</w:t>
        </w:r>
      </w:hyperlink>
      <w:r w:rsidRPr="00CF552A">
        <w:rPr>
          <w:rStyle w:val="TextoNormalCaracter"/>
        </w:rPr>
        <w:t>.</w:t>
      </w:r>
    </w:p>
    <w:p w:rsidR="00CF552A" w:rsidRPr="00CF552A" w:rsidRDefault="00CF552A" w:rsidP="00CF552A">
      <w:pPr>
        <w:pStyle w:val="TextoNormalSangraFrancesa"/>
        <w:rPr>
          <w:rStyle w:val="TextoNormalNegritaCaracter"/>
        </w:rPr>
      </w:pPr>
      <w:r w:rsidRPr="00CF552A">
        <w:rPr>
          <w:rStyle w:val="TextoNormalCursivaCaracter"/>
        </w:rPr>
        <w:t>Leyes de bases</w:t>
      </w:r>
      <w:r>
        <w:t xml:space="preserve"> véase </w:t>
      </w:r>
      <w:hyperlink w:anchor="DESCRIPTORALFABETICO311" w:history="1">
        <w:r w:rsidRPr="00CF552A">
          <w:rPr>
            <w:rStyle w:val="TextoNormalNegritaCaracter"/>
          </w:rPr>
          <w:t>Legislación básica</w:t>
        </w:r>
      </w:hyperlink>
    </w:p>
    <w:p w:rsidR="00CF552A" w:rsidRPr="00CF552A" w:rsidRDefault="00CF552A" w:rsidP="00CF552A">
      <w:pPr>
        <w:pStyle w:val="TextoNormalSangraFrancesa"/>
        <w:rPr>
          <w:rStyle w:val="TextoNormalNegritaCaracter"/>
        </w:rPr>
      </w:pPr>
      <w:r w:rsidRPr="00CF552A">
        <w:rPr>
          <w:rStyle w:val="TextoNormalCursivaCaracter"/>
        </w:rPr>
        <w:t>Libertad de comunicación</w:t>
      </w:r>
      <w:r>
        <w:t xml:space="preserve"> véase </w:t>
      </w:r>
      <w:hyperlink w:anchor="DESCRIPTORALFABETICO111" w:history="1">
        <w:r w:rsidRPr="00CF552A">
          <w:rPr>
            <w:rStyle w:val="TextoNormalNegritaCaracter"/>
          </w:rPr>
          <w:t>Derecho a comunicar libremente información</w:t>
        </w:r>
      </w:hyperlink>
    </w:p>
    <w:p w:rsidR="00CF552A" w:rsidRPr="00CF552A" w:rsidRDefault="00CF552A" w:rsidP="00CF552A">
      <w:pPr>
        <w:pStyle w:val="TextoNormalSangraFrancesa"/>
        <w:rPr>
          <w:rStyle w:val="TextoNormalCaracter"/>
        </w:rPr>
      </w:pPr>
      <w:bookmarkStart w:id="1016" w:name="DESCRIPTORALFABETICO204"/>
      <w:r w:rsidRPr="00CF552A">
        <w:rPr>
          <w:rStyle w:val="TextoNormalNegritaCaracter"/>
        </w:rPr>
        <w:t>Libertad de configuración del legislador</w:t>
      </w:r>
      <w:bookmarkEnd w:id="1016"/>
      <w:r w:rsidRPr="00CF552A">
        <w:rPr>
          <w:rStyle w:val="TextoNormalCaracter"/>
        </w:rPr>
        <w:t xml:space="preserve">, Sentencia </w:t>
      </w:r>
      <w:hyperlink w:anchor="SENTENCIA_1997_74" w:history="1">
        <w:r w:rsidRPr="00CF552A">
          <w:rPr>
            <w:rStyle w:val="TextoNormalCaracter"/>
          </w:rPr>
          <w:t>74/1997</w:t>
        </w:r>
      </w:hyperlink>
      <w:r w:rsidRPr="00CF552A">
        <w:rPr>
          <w:rStyle w:val="TextoNormalCaracter"/>
        </w:rPr>
        <w:t>, f. 4. VP.</w:t>
      </w:r>
    </w:p>
    <w:p w:rsidR="00CF552A" w:rsidRPr="00CF552A" w:rsidRDefault="00CF552A" w:rsidP="00CF552A">
      <w:pPr>
        <w:pStyle w:val="TextoNormalSangraFrancesa"/>
        <w:rPr>
          <w:rStyle w:val="TextoNormalCaracter"/>
        </w:rPr>
      </w:pPr>
      <w:bookmarkStart w:id="1017" w:name="DESCRIPTORALFABETICO108"/>
      <w:r w:rsidRPr="00CF552A">
        <w:rPr>
          <w:rStyle w:val="TextoNormalNegritaCaracter"/>
        </w:rPr>
        <w:t>Libertad de expresión</w:t>
      </w:r>
      <w:bookmarkEnd w:id="1017"/>
      <w:r w:rsidRPr="00CF552A">
        <w:rPr>
          <w:rStyle w:val="TextoNormalCaracter"/>
        </w:rPr>
        <w:t xml:space="preserve">, Sentencia </w:t>
      </w:r>
      <w:hyperlink w:anchor="SENTENCIA_1997_3" w:history="1">
        <w:r w:rsidRPr="00CF552A">
          <w:rPr>
            <w:rStyle w:val="TextoNormalCaracter"/>
          </w:rPr>
          <w:t>3/1997</w:t>
        </w:r>
      </w:hyperlink>
      <w:r w:rsidRPr="00CF552A">
        <w:rPr>
          <w:rStyle w:val="TextoNormalCaracter"/>
        </w:rPr>
        <w:t>, ff. 6, 7.</w:t>
      </w:r>
    </w:p>
    <w:p w:rsidR="00CF552A" w:rsidRPr="00CF552A" w:rsidRDefault="00CF552A" w:rsidP="00CF552A">
      <w:pPr>
        <w:pStyle w:val="TextoNormalSangraFrancesa"/>
        <w:rPr>
          <w:rStyle w:val="TextoNormalCaracter"/>
        </w:rPr>
      </w:pPr>
      <w:bookmarkStart w:id="1018" w:name="DESCRIPTORALFABETICO115"/>
      <w:r w:rsidRPr="00CF552A">
        <w:rPr>
          <w:rStyle w:val="TextoNormalNegritaCaracter"/>
        </w:rPr>
        <w:t>Libertad sindical</w:t>
      </w:r>
      <w:bookmarkEnd w:id="1018"/>
      <w:r w:rsidRPr="00CF552A">
        <w:rPr>
          <w:rStyle w:val="TextoNormalCaracter"/>
        </w:rPr>
        <w:t xml:space="preserve">, Sentencias </w:t>
      </w:r>
      <w:hyperlink w:anchor="SENTENCIA_1997_13" w:history="1">
        <w:r w:rsidRPr="00CF552A">
          <w:rPr>
            <w:rStyle w:val="TextoNormalCaracter"/>
          </w:rPr>
          <w:t>13/1997</w:t>
        </w:r>
      </w:hyperlink>
      <w:r w:rsidRPr="00CF552A">
        <w:rPr>
          <w:rStyle w:val="TextoNormalCaracter"/>
        </w:rPr>
        <w:t xml:space="preserve">, f. 3; </w:t>
      </w:r>
      <w:hyperlink w:anchor="SENTENCIA_1997_27" w:history="1">
        <w:r w:rsidRPr="00CF552A">
          <w:rPr>
            <w:rStyle w:val="TextoNormalCaracter"/>
          </w:rPr>
          <w:t>27/1997</w:t>
        </w:r>
      </w:hyperlink>
      <w:r w:rsidRPr="00CF552A">
        <w:rPr>
          <w:rStyle w:val="TextoNormalCaracter"/>
        </w:rPr>
        <w:t xml:space="preserve">, f. 3, VP; </w:t>
      </w:r>
      <w:hyperlink w:anchor="SENTENCIA_1997_82" w:history="1">
        <w:r w:rsidRPr="00CF552A">
          <w:rPr>
            <w:rStyle w:val="TextoNormalCaracter"/>
          </w:rPr>
          <w:t>82/1997</w:t>
        </w:r>
      </w:hyperlink>
      <w:r w:rsidRPr="00CF552A">
        <w:rPr>
          <w:rStyle w:val="TextoNormalCaracter"/>
        </w:rPr>
        <w:t>, f. 3.</w:t>
      </w:r>
    </w:p>
    <w:p w:rsidR="00CF552A" w:rsidRPr="00CF552A" w:rsidRDefault="00CF552A" w:rsidP="00CF552A">
      <w:pPr>
        <w:pStyle w:val="TextoNormalSangraFrancesa"/>
        <w:rPr>
          <w:rStyle w:val="TextoNormalCaracter"/>
        </w:rPr>
      </w:pPr>
      <w:r w:rsidRPr="00CF552A">
        <w:rPr>
          <w:rStyle w:val="TextoNormalCursivaCaracter"/>
        </w:rPr>
        <w:t xml:space="preserve">    Respetada, </w:t>
      </w:r>
      <w:r w:rsidRPr="00CF552A">
        <w:rPr>
          <w:rStyle w:val="TextoNormalCaracter"/>
        </w:rPr>
        <w:t xml:space="preserve">Sentencias </w:t>
      </w:r>
      <w:hyperlink w:anchor="SENTENCIA_1997_27" w:history="1">
        <w:r w:rsidRPr="00CF552A">
          <w:rPr>
            <w:rStyle w:val="TextoNormalCaracter"/>
          </w:rPr>
          <w:t>27/1997</w:t>
        </w:r>
      </w:hyperlink>
      <w:r w:rsidRPr="00CF552A">
        <w:rPr>
          <w:rStyle w:val="TextoNormalCaracter"/>
        </w:rPr>
        <w:t xml:space="preserve">, f. 4, VP; </w:t>
      </w:r>
      <w:hyperlink w:anchor="SENTENCIA_1997_51" w:history="1">
        <w:r w:rsidRPr="00CF552A">
          <w:rPr>
            <w:rStyle w:val="TextoNormalCaracter"/>
          </w:rPr>
          <w:t>51/1997</w:t>
        </w:r>
      </w:hyperlink>
      <w:r w:rsidRPr="00CF552A">
        <w:rPr>
          <w:rStyle w:val="TextoNormalCaracter"/>
        </w:rPr>
        <w:t>, f. 4.</w:t>
      </w:r>
    </w:p>
    <w:p w:rsidR="00CF552A" w:rsidRPr="00CF552A" w:rsidRDefault="00CF552A" w:rsidP="00CF552A">
      <w:pPr>
        <w:pStyle w:val="TextoNormalSangraFrancesa"/>
        <w:rPr>
          <w:rStyle w:val="TextoNormalCaracter"/>
        </w:rPr>
      </w:pPr>
      <w:bookmarkStart w:id="1019" w:name="DESCRIPTORALFABETICO110"/>
      <w:r w:rsidRPr="00CF552A">
        <w:rPr>
          <w:rStyle w:val="TextoNormalNegritaCaracter"/>
        </w:rPr>
        <w:t>Límites a la libertad de expresión</w:t>
      </w:r>
      <w:bookmarkEnd w:id="1019"/>
      <w:r w:rsidRPr="00CF552A">
        <w:rPr>
          <w:rStyle w:val="TextoNormalCaracter"/>
        </w:rPr>
        <w:t xml:space="preserve">, Sentencia </w:t>
      </w:r>
      <w:hyperlink w:anchor="SENTENCIA_1997_3" w:history="1">
        <w:r w:rsidRPr="00CF552A">
          <w:rPr>
            <w:rStyle w:val="TextoNormalCaracter"/>
          </w:rPr>
          <w:t>3/1997</w:t>
        </w:r>
      </w:hyperlink>
      <w:r w:rsidRPr="00CF552A">
        <w:rPr>
          <w:rStyle w:val="TextoNormalCaracter"/>
        </w:rPr>
        <w:t>, ff. 5, 6.</w:t>
      </w:r>
    </w:p>
    <w:p w:rsidR="00CF552A" w:rsidRPr="00CF552A" w:rsidRDefault="00CF552A" w:rsidP="00CF552A">
      <w:pPr>
        <w:pStyle w:val="TextoNormalSangraFrancesa"/>
        <w:rPr>
          <w:rStyle w:val="TextoNormalCaracter"/>
        </w:rPr>
      </w:pPr>
      <w:bookmarkStart w:id="1020" w:name="DESCRIPTORALFABETICO125"/>
      <w:r w:rsidRPr="00CF552A">
        <w:rPr>
          <w:rStyle w:val="TextoNormalNegritaCaracter"/>
        </w:rPr>
        <w:t>Límites a la tutela penal de los derechos fundamentales</w:t>
      </w:r>
      <w:bookmarkEnd w:id="1020"/>
      <w:r w:rsidRPr="00CF552A">
        <w:rPr>
          <w:rStyle w:val="TextoNormalCaracter"/>
        </w:rPr>
        <w:t xml:space="preserve">, Sentencia </w:t>
      </w:r>
      <w:hyperlink w:anchor="SENTENCIA_1997_41" w:history="1">
        <w:r w:rsidRPr="00CF552A">
          <w:rPr>
            <w:rStyle w:val="TextoNormalCaracter"/>
          </w:rPr>
          <w:t>41/1997</w:t>
        </w:r>
      </w:hyperlink>
      <w:r w:rsidRPr="00CF552A">
        <w:rPr>
          <w:rStyle w:val="TextoNormalCaracter"/>
        </w:rPr>
        <w:t>, f. 4.</w:t>
      </w:r>
    </w:p>
    <w:p w:rsidR="00CF552A" w:rsidRPr="00CF552A" w:rsidRDefault="00CF552A" w:rsidP="00CF552A">
      <w:pPr>
        <w:pStyle w:val="TextoNormalSangraFrancesa"/>
        <w:rPr>
          <w:rStyle w:val="TextoNormalCaracter"/>
        </w:rPr>
      </w:pPr>
      <w:bookmarkStart w:id="1021" w:name="DESCRIPTORALFABETICO59"/>
      <w:r w:rsidRPr="00CF552A">
        <w:rPr>
          <w:rStyle w:val="TextoNormalNegritaCaracter"/>
        </w:rPr>
        <w:t>Límites legales al acceso a la justicia</w:t>
      </w:r>
      <w:bookmarkEnd w:id="1021"/>
      <w:r w:rsidRPr="00CF552A">
        <w:rPr>
          <w:rStyle w:val="TextoNormalCaracter"/>
        </w:rPr>
        <w:t xml:space="preserve">, Sentencia </w:t>
      </w:r>
      <w:hyperlink w:anchor="SENTENCIA_1997_30" w:history="1">
        <w:r w:rsidRPr="00CF552A">
          <w:rPr>
            <w:rStyle w:val="TextoNormalCaracter"/>
          </w:rPr>
          <w:t>30/1997</w:t>
        </w:r>
      </w:hyperlink>
      <w:r w:rsidRPr="00CF552A">
        <w:rPr>
          <w:rStyle w:val="TextoNormalCaracter"/>
        </w:rPr>
        <w:t>, ff. 4, 5.</w:t>
      </w:r>
    </w:p>
    <w:p w:rsidR="00CF552A" w:rsidRPr="00CF552A" w:rsidRDefault="00CF552A" w:rsidP="00CF552A">
      <w:pPr>
        <w:pStyle w:val="TextoNormalSangraFrancesa"/>
        <w:rPr>
          <w:rStyle w:val="TextoNormalCaracter"/>
        </w:rPr>
      </w:pPr>
      <w:bookmarkStart w:id="1022" w:name="DESCRIPTORALFABETICO25"/>
      <w:r w:rsidRPr="00CF552A">
        <w:rPr>
          <w:rStyle w:val="TextoNormalNegritaCaracter"/>
        </w:rPr>
        <w:t>Liquidaciones tributarias</w:t>
      </w:r>
      <w:bookmarkEnd w:id="1022"/>
      <w:r w:rsidRPr="00CF552A">
        <w:rPr>
          <w:rStyle w:val="TextoNormalCaracter"/>
        </w:rPr>
        <w:t xml:space="preserve">, Sentencias </w:t>
      </w:r>
      <w:hyperlink w:anchor="SENTENCIA_1997_38" w:history="1">
        <w:r w:rsidRPr="00CF552A">
          <w:rPr>
            <w:rStyle w:val="TextoNormalCaracter"/>
          </w:rPr>
          <w:t>38/1997</w:t>
        </w:r>
      </w:hyperlink>
      <w:r w:rsidRPr="00CF552A">
        <w:rPr>
          <w:rStyle w:val="TextoNormalCaracter"/>
        </w:rPr>
        <w:t xml:space="preserve">, f. 3; </w:t>
      </w:r>
      <w:hyperlink w:anchor="SENTENCIA_1997_62" w:history="1">
        <w:r w:rsidRPr="00CF552A">
          <w:rPr>
            <w:rStyle w:val="TextoNormalCaracter"/>
          </w:rPr>
          <w:t>62/1997</w:t>
        </w:r>
      </w:hyperlink>
      <w:r w:rsidRPr="00CF552A">
        <w:rPr>
          <w:rStyle w:val="TextoNormalCaracter"/>
        </w:rPr>
        <w:t xml:space="preserve">, f. 4; </w:t>
      </w:r>
      <w:hyperlink w:anchor="SENTENCIA_1997_63" w:history="1">
        <w:r w:rsidRPr="00CF552A">
          <w:rPr>
            <w:rStyle w:val="TextoNormalCaracter"/>
          </w:rPr>
          <w:t>63/1997</w:t>
        </w:r>
      </w:hyperlink>
      <w:r w:rsidRPr="00CF552A">
        <w:rPr>
          <w:rStyle w:val="TextoNormalCaracter"/>
        </w:rPr>
        <w:t>, f. 1.</w:t>
      </w:r>
    </w:p>
    <w:p w:rsidR="00CF552A" w:rsidRPr="00CF552A" w:rsidRDefault="00CF552A" w:rsidP="00CF552A">
      <w:pPr>
        <w:pStyle w:val="TextoNormalSangraFrancesa"/>
        <w:rPr>
          <w:rStyle w:val="TextoNormalCaracter"/>
        </w:rPr>
      </w:pPr>
      <w:bookmarkStart w:id="1023" w:name="DESCRIPTORALFABETICO32"/>
      <w:r w:rsidRPr="00CF552A">
        <w:rPr>
          <w:rStyle w:val="TextoNormalNegritaCaracter"/>
        </w:rPr>
        <w:t>Listas electorales</w:t>
      </w:r>
      <w:bookmarkEnd w:id="1023"/>
      <w:r w:rsidRPr="00CF552A">
        <w:rPr>
          <w:rStyle w:val="TextoNormalCaracter"/>
        </w:rPr>
        <w:t xml:space="preserve">, Sentencia </w:t>
      </w:r>
      <w:hyperlink w:anchor="SENTENCIA_1997_13" w:history="1">
        <w:r w:rsidRPr="00CF552A">
          <w:rPr>
            <w:rStyle w:val="TextoNormalCaracter"/>
          </w:rPr>
          <w:t>13/1997</w:t>
        </w:r>
      </w:hyperlink>
      <w:r w:rsidRPr="00CF552A">
        <w:rPr>
          <w:rStyle w:val="TextoNormalCaracter"/>
        </w:rPr>
        <w:t>, f. 4.</w:t>
      </w:r>
    </w:p>
    <w:p w:rsidR="00CF552A" w:rsidRDefault="00CF552A" w:rsidP="00CF552A">
      <w:pPr>
        <w:pStyle w:val="TextoNormalSangraFrancesa"/>
      </w:pPr>
    </w:p>
    <w:p w:rsidR="00CF552A" w:rsidRDefault="00CF552A" w:rsidP="00CF552A">
      <w:pPr>
        <w:pStyle w:val="TextoNormalSangraFrancesa"/>
      </w:pPr>
    </w:p>
    <w:p w:rsidR="00CF552A" w:rsidRDefault="00CF552A" w:rsidP="00CF552A">
      <w:pPr>
        <w:pStyle w:val="TextoNormalNegritaCentrado"/>
      </w:pPr>
      <w:r>
        <w:t>M</w:t>
      </w:r>
    </w:p>
    <w:p w:rsidR="00CF552A" w:rsidRDefault="00CF552A" w:rsidP="00CF552A">
      <w:pPr>
        <w:pStyle w:val="TextoNormalNegritaCentrado"/>
      </w:pPr>
    </w:p>
    <w:p w:rsidR="00CF552A" w:rsidRDefault="00CF552A" w:rsidP="00CF552A">
      <w:pPr>
        <w:pStyle w:val="TextoNormalNegritaCentrado"/>
      </w:pPr>
    </w:p>
    <w:p w:rsidR="00CF552A" w:rsidRDefault="00CF552A" w:rsidP="00CF552A">
      <w:pPr>
        <w:pStyle w:val="TextoNormalNegritaCentrado"/>
      </w:pPr>
    </w:p>
    <w:p w:rsidR="00CF552A" w:rsidRPr="00CF552A" w:rsidRDefault="00CF552A" w:rsidP="00CF552A">
      <w:pPr>
        <w:pStyle w:val="TextoNormalSangraFrancesa"/>
        <w:rPr>
          <w:rStyle w:val="TextoNormalCaracter"/>
        </w:rPr>
      </w:pPr>
      <w:bookmarkStart w:id="1024" w:name="DESCRIPTORALFABETICO208"/>
      <w:r w:rsidRPr="00CF552A">
        <w:rPr>
          <w:rStyle w:val="TextoNormalNegritaCaracter"/>
        </w:rPr>
        <w:t>Mandato parlamentario</w:t>
      </w:r>
      <w:bookmarkEnd w:id="1024"/>
      <w:r w:rsidRPr="00CF552A">
        <w:rPr>
          <w:rStyle w:val="TextoNormalCaracter"/>
        </w:rPr>
        <w:t xml:space="preserve">, Sentencia </w:t>
      </w:r>
      <w:hyperlink w:anchor="SENTENCIA_1997_22" w:history="1">
        <w:r w:rsidRPr="00CF552A">
          <w:rPr>
            <w:rStyle w:val="TextoNormalCaracter"/>
          </w:rPr>
          <w:t>22/1997</w:t>
        </w:r>
      </w:hyperlink>
      <w:r w:rsidRPr="00CF552A">
        <w:rPr>
          <w:rStyle w:val="TextoNormalCaracter"/>
        </w:rPr>
        <w:t>, f. 1.</w:t>
      </w:r>
    </w:p>
    <w:p w:rsidR="00CF552A" w:rsidRPr="00CF552A" w:rsidRDefault="00CF552A" w:rsidP="00CF552A">
      <w:pPr>
        <w:pStyle w:val="TextoNormalSangraFrancesa"/>
        <w:rPr>
          <w:rStyle w:val="TextoNormalCaracter"/>
        </w:rPr>
      </w:pPr>
      <w:bookmarkStart w:id="1025" w:name="DESCRIPTORALFABETICO205"/>
      <w:r w:rsidRPr="00CF552A">
        <w:rPr>
          <w:rStyle w:val="TextoNormalNegritaCaracter"/>
        </w:rPr>
        <w:t>Mandatos no constitutivos de derechos fundamentales</w:t>
      </w:r>
      <w:bookmarkEnd w:id="1025"/>
      <w:r w:rsidRPr="00CF552A">
        <w:rPr>
          <w:rStyle w:val="TextoNormalCaracter"/>
        </w:rPr>
        <w:t xml:space="preserve">, Sentencia </w:t>
      </w:r>
      <w:hyperlink w:anchor="SENTENCIA_1997_81" w:history="1">
        <w:r w:rsidRPr="00CF552A">
          <w:rPr>
            <w:rStyle w:val="TextoNormalCaracter"/>
          </w:rPr>
          <w:t>81/1997</w:t>
        </w:r>
      </w:hyperlink>
      <w:r w:rsidRPr="00CF552A">
        <w:rPr>
          <w:rStyle w:val="TextoNormalCaracter"/>
        </w:rPr>
        <w:t>, f. 3.</w:t>
      </w:r>
    </w:p>
    <w:p w:rsidR="00CF552A" w:rsidRPr="00CF552A" w:rsidRDefault="00CF552A" w:rsidP="00CF552A">
      <w:pPr>
        <w:pStyle w:val="TextoNormalSangraFrancesa"/>
        <w:rPr>
          <w:rStyle w:val="TextoNormalCaracter"/>
        </w:rPr>
      </w:pPr>
      <w:r w:rsidRPr="00CF552A">
        <w:rPr>
          <w:rStyle w:val="TextoNormalCaracter"/>
        </w:rPr>
        <w:t xml:space="preserve">    Auto </w:t>
      </w:r>
      <w:hyperlink w:anchor="AUTO_1997_106" w:history="1">
        <w:r w:rsidRPr="00CF552A">
          <w:rPr>
            <w:rStyle w:val="TextoNormalCaracter"/>
          </w:rPr>
          <w:t>106/1997</w:t>
        </w:r>
      </w:hyperlink>
      <w:r w:rsidRPr="00CF552A">
        <w:rPr>
          <w:rStyle w:val="TextoNormalCaracter"/>
        </w:rPr>
        <w:t>.</w:t>
      </w:r>
    </w:p>
    <w:p w:rsidR="00CF552A" w:rsidRPr="00CF552A" w:rsidRDefault="00CF552A" w:rsidP="00CF552A">
      <w:pPr>
        <w:pStyle w:val="TextoNormalSangraFrancesa"/>
        <w:rPr>
          <w:rStyle w:val="TextoNormalCaracter"/>
        </w:rPr>
      </w:pPr>
      <w:bookmarkStart w:id="1026" w:name="DESCRIPTORALFABETICO264"/>
      <w:r w:rsidRPr="00CF552A">
        <w:rPr>
          <w:rStyle w:val="TextoNormalNegritaCaracter"/>
        </w:rPr>
        <w:t>Matrimonio</w:t>
      </w:r>
      <w:bookmarkEnd w:id="1026"/>
      <w:r w:rsidRPr="00CF552A">
        <w:rPr>
          <w:rStyle w:val="TextoNormalCaracter"/>
        </w:rPr>
        <w:t xml:space="preserve">, Sentencia </w:t>
      </w:r>
      <w:hyperlink w:anchor="SENTENCIA_1997_6" w:history="1">
        <w:r w:rsidRPr="00CF552A">
          <w:rPr>
            <w:rStyle w:val="TextoNormalCaracter"/>
          </w:rPr>
          <w:t>6/1997</w:t>
        </w:r>
      </w:hyperlink>
      <w:r w:rsidRPr="00CF552A">
        <w:rPr>
          <w:rStyle w:val="TextoNormalCaracter"/>
        </w:rPr>
        <w:t>, f. 5.</w:t>
      </w:r>
    </w:p>
    <w:p w:rsidR="00CF552A" w:rsidRPr="00CF552A" w:rsidRDefault="00CF552A" w:rsidP="00CF552A">
      <w:pPr>
        <w:pStyle w:val="TextoNormalSangraFrancesa"/>
        <w:rPr>
          <w:rStyle w:val="TextoNormalCaracter"/>
        </w:rPr>
      </w:pPr>
      <w:bookmarkStart w:id="1027" w:name="DESCRIPTORALFABETICO415"/>
      <w:r w:rsidRPr="00CF552A">
        <w:rPr>
          <w:rStyle w:val="TextoNormalNegritaCaracter"/>
        </w:rPr>
        <w:t>Medidas cautelares</w:t>
      </w:r>
      <w:bookmarkEnd w:id="1027"/>
      <w:r w:rsidRPr="00CF552A">
        <w:rPr>
          <w:rStyle w:val="TextoNormalCaracter"/>
        </w:rPr>
        <w:t xml:space="preserve">, Sentencia </w:t>
      </w:r>
      <w:hyperlink w:anchor="SENTENCIA_1997_27" w:history="1">
        <w:r w:rsidRPr="00CF552A">
          <w:rPr>
            <w:rStyle w:val="TextoNormalCaracter"/>
          </w:rPr>
          <w:t>27/1997</w:t>
        </w:r>
      </w:hyperlink>
      <w:r w:rsidRPr="00CF552A">
        <w:rPr>
          <w:rStyle w:val="TextoNormalCaracter"/>
        </w:rPr>
        <w:t>, f. 3, VP.</w:t>
      </w:r>
    </w:p>
    <w:p w:rsidR="00CF552A" w:rsidRPr="00CF552A" w:rsidRDefault="00CF552A" w:rsidP="00CF552A">
      <w:pPr>
        <w:pStyle w:val="TextoNormalSangraFrancesa"/>
        <w:rPr>
          <w:rStyle w:val="TextoNormalCaracter"/>
        </w:rPr>
      </w:pPr>
      <w:r w:rsidRPr="00CF552A">
        <w:rPr>
          <w:rStyle w:val="TextoNormalCaracter"/>
        </w:rPr>
        <w:t xml:space="preserve">    Auto </w:t>
      </w:r>
      <w:hyperlink w:anchor="AUTO_1997_30" w:history="1">
        <w:r w:rsidRPr="00CF552A">
          <w:rPr>
            <w:rStyle w:val="TextoNormalCaracter"/>
          </w:rPr>
          <w:t>30/1997</w:t>
        </w:r>
      </w:hyperlink>
      <w:r w:rsidRPr="00CF552A">
        <w:rPr>
          <w:rStyle w:val="TextoNormalCaracter"/>
        </w:rPr>
        <w:t>.</w:t>
      </w:r>
    </w:p>
    <w:p w:rsidR="00CF552A" w:rsidRPr="00CF552A" w:rsidRDefault="00CF552A" w:rsidP="00CF552A">
      <w:pPr>
        <w:pStyle w:val="TextoNormalSangraFrancesa"/>
        <w:rPr>
          <w:rStyle w:val="TextoNormalNegritaCaracter"/>
        </w:rPr>
      </w:pPr>
      <w:r w:rsidRPr="00CF552A">
        <w:rPr>
          <w:rStyle w:val="TextoNormalCursivaCaracter"/>
        </w:rPr>
        <w:t>Medidas de reinserción social</w:t>
      </w:r>
      <w:r>
        <w:t xml:space="preserve"> véase </w:t>
      </w:r>
      <w:hyperlink w:anchor="DESCRIPTORALFABETICO331" w:history="1">
        <w:r w:rsidRPr="00CF552A">
          <w:rPr>
            <w:rStyle w:val="TextoNormalNegritaCaracter"/>
          </w:rPr>
          <w:t>Reinserción social</w:t>
        </w:r>
      </w:hyperlink>
    </w:p>
    <w:p w:rsidR="00CF552A" w:rsidRPr="00CF552A" w:rsidRDefault="00CF552A" w:rsidP="00CF552A">
      <w:pPr>
        <w:pStyle w:val="TextoNormalSangraFrancesa"/>
        <w:rPr>
          <w:rStyle w:val="TextoNormalNegritaCaracter"/>
        </w:rPr>
      </w:pPr>
      <w:r w:rsidRPr="00CF552A">
        <w:rPr>
          <w:rStyle w:val="TextoNormalCursivaCaracter"/>
        </w:rPr>
        <w:t>Medidas penitenciarias</w:t>
      </w:r>
      <w:r>
        <w:t xml:space="preserve"> véase </w:t>
      </w:r>
      <w:hyperlink w:anchor="DESCRIPTORALFABETICO336" w:history="1">
        <w:r w:rsidRPr="00CF552A">
          <w:rPr>
            <w:rStyle w:val="TextoNormalNegritaCaracter"/>
          </w:rPr>
          <w:t>Régimen penitenciario</w:t>
        </w:r>
      </w:hyperlink>
    </w:p>
    <w:p w:rsidR="00CF552A" w:rsidRPr="00CF552A" w:rsidRDefault="00CF552A" w:rsidP="00CF552A">
      <w:pPr>
        <w:pStyle w:val="TextoNormalSangraFrancesa"/>
        <w:rPr>
          <w:rStyle w:val="TextoNormalCaracter"/>
        </w:rPr>
      </w:pPr>
      <w:bookmarkStart w:id="1028" w:name="DESCRIPTORALFABETICO279"/>
      <w:r w:rsidRPr="00CF552A">
        <w:rPr>
          <w:rStyle w:val="TextoNormalNegritaCaracter"/>
        </w:rPr>
        <w:t>Medio ambiente</w:t>
      </w:r>
      <w:bookmarkEnd w:id="1028"/>
      <w:r w:rsidRPr="00CF552A">
        <w:rPr>
          <w:rStyle w:val="TextoNormalCaracter"/>
        </w:rPr>
        <w:t xml:space="preserve">, Sentencia </w:t>
      </w:r>
      <w:hyperlink w:anchor="SENTENCIA_1997_28" w:history="1">
        <w:r w:rsidRPr="00CF552A">
          <w:rPr>
            <w:rStyle w:val="TextoNormalCaracter"/>
          </w:rPr>
          <w:t>28/1997</w:t>
        </w:r>
      </w:hyperlink>
      <w:r w:rsidRPr="00CF552A">
        <w:rPr>
          <w:rStyle w:val="TextoNormalCaracter"/>
        </w:rPr>
        <w:t>, f. 5.</w:t>
      </w:r>
    </w:p>
    <w:p w:rsidR="00CF552A" w:rsidRPr="00CF552A" w:rsidRDefault="00CF552A" w:rsidP="00CF552A">
      <w:pPr>
        <w:pStyle w:val="TextoNormalSangraFrancesa"/>
        <w:rPr>
          <w:rStyle w:val="TextoNormalCaracter"/>
        </w:rPr>
      </w:pPr>
      <w:bookmarkStart w:id="1029" w:name="DESCRIPTORALFABETICO282"/>
      <w:r w:rsidRPr="00CF552A">
        <w:rPr>
          <w:rStyle w:val="TextoNormalNegritaCaracter"/>
        </w:rPr>
        <w:t>Medios de comunicación</w:t>
      </w:r>
      <w:bookmarkEnd w:id="1029"/>
      <w:r w:rsidRPr="00CF552A">
        <w:rPr>
          <w:rStyle w:val="TextoNormalCaracter"/>
        </w:rPr>
        <w:t xml:space="preserve">, Sentencia </w:t>
      </w:r>
      <w:hyperlink w:anchor="SENTENCIA_1997_3" w:history="1">
        <w:r w:rsidRPr="00CF552A">
          <w:rPr>
            <w:rStyle w:val="TextoNormalCaracter"/>
          </w:rPr>
          <w:t>3/1997</w:t>
        </w:r>
      </w:hyperlink>
      <w:r w:rsidRPr="00CF552A">
        <w:rPr>
          <w:rStyle w:val="TextoNormalCaracter"/>
        </w:rPr>
        <w:t>, ff. 2, 3.</w:t>
      </w:r>
    </w:p>
    <w:p w:rsidR="00CF552A" w:rsidRPr="00CF552A" w:rsidRDefault="00CF552A" w:rsidP="00CF552A">
      <w:pPr>
        <w:pStyle w:val="TextoNormalSangraFrancesa"/>
        <w:rPr>
          <w:rStyle w:val="TextoNormalCaracter"/>
        </w:rPr>
      </w:pPr>
      <w:bookmarkStart w:id="1030" w:name="DESCRIPTORALFABETICO490"/>
      <w:r w:rsidRPr="00CF552A">
        <w:rPr>
          <w:rStyle w:val="TextoNormalNegritaCaracter"/>
        </w:rPr>
        <w:t>Melilla</w:t>
      </w:r>
      <w:bookmarkEnd w:id="1030"/>
      <w:r w:rsidRPr="00CF552A">
        <w:rPr>
          <w:rStyle w:val="TextoNormalCaracter"/>
        </w:rPr>
        <w:t xml:space="preserve">, Auto </w:t>
      </w:r>
      <w:hyperlink w:anchor="AUTO_1997_104" w:history="1">
        <w:r w:rsidRPr="00CF552A">
          <w:rPr>
            <w:rStyle w:val="TextoNormalCaracter"/>
          </w:rPr>
          <w:t>104/1997</w:t>
        </w:r>
      </w:hyperlink>
      <w:r w:rsidRPr="00CF552A">
        <w:rPr>
          <w:rStyle w:val="TextoNormalCaracter"/>
        </w:rPr>
        <w:t>.</w:t>
      </w:r>
    </w:p>
    <w:p w:rsidR="00CF552A" w:rsidRPr="00CF552A" w:rsidRDefault="00CF552A" w:rsidP="00CF552A">
      <w:pPr>
        <w:pStyle w:val="TextoNormalSangraFrancesa"/>
        <w:rPr>
          <w:rStyle w:val="TextoNormalCaracter"/>
        </w:rPr>
      </w:pPr>
      <w:bookmarkStart w:id="1031" w:name="DESCRIPTORALFABETICO197"/>
      <w:r w:rsidRPr="00CF552A">
        <w:rPr>
          <w:rStyle w:val="TextoNormalNegritaCaracter"/>
        </w:rPr>
        <w:t>Ministerio Fiscal</w:t>
      </w:r>
      <w:bookmarkEnd w:id="1031"/>
      <w:r w:rsidRPr="00CF552A">
        <w:rPr>
          <w:rStyle w:val="TextoNormalCaracter"/>
        </w:rPr>
        <w:t xml:space="preserve">, Auto </w:t>
      </w:r>
      <w:hyperlink w:anchor="AUTO_1997_63" w:history="1">
        <w:r w:rsidRPr="00CF552A">
          <w:rPr>
            <w:rStyle w:val="TextoNormalCaracter"/>
          </w:rPr>
          <w:t>63/1997</w:t>
        </w:r>
      </w:hyperlink>
      <w:r w:rsidRPr="00CF552A">
        <w:rPr>
          <w:rStyle w:val="TextoNormalCaracter"/>
        </w:rPr>
        <w:t>.</w:t>
      </w:r>
    </w:p>
    <w:p w:rsidR="00CF552A" w:rsidRPr="00CF552A" w:rsidRDefault="00CF552A" w:rsidP="00CF552A">
      <w:pPr>
        <w:pStyle w:val="TextoNormalSangraFrancesa"/>
        <w:rPr>
          <w:rStyle w:val="TextoNormalCaracter"/>
        </w:rPr>
      </w:pPr>
      <w:bookmarkStart w:id="1032" w:name="DESCRIPTORALFABETICO467"/>
      <w:r w:rsidRPr="00CF552A">
        <w:rPr>
          <w:rStyle w:val="TextoNormalNegritaCaracter"/>
        </w:rPr>
        <w:t>Modalidades de prisión provisional</w:t>
      </w:r>
      <w:bookmarkEnd w:id="1032"/>
      <w:r w:rsidRPr="00CF552A">
        <w:rPr>
          <w:rStyle w:val="TextoNormalCaracter"/>
        </w:rPr>
        <w:t xml:space="preserve">, Sentencia </w:t>
      </w:r>
      <w:hyperlink w:anchor="SENTENCIA_1997_56" w:history="1">
        <w:r w:rsidRPr="00CF552A">
          <w:rPr>
            <w:rStyle w:val="TextoNormalCaracter"/>
          </w:rPr>
          <w:t>56/1997</w:t>
        </w:r>
      </w:hyperlink>
      <w:r w:rsidRPr="00CF552A">
        <w:rPr>
          <w:rStyle w:val="TextoNormalCaracter"/>
        </w:rPr>
        <w:t>, f. 8.</w:t>
      </w:r>
    </w:p>
    <w:p w:rsidR="00CF552A" w:rsidRPr="00CF552A" w:rsidRDefault="00CF552A" w:rsidP="00CF552A">
      <w:pPr>
        <w:pStyle w:val="TextoNormalSangraFrancesa"/>
        <w:rPr>
          <w:rStyle w:val="TextoNormalCaracter"/>
        </w:rPr>
      </w:pPr>
      <w:bookmarkStart w:id="1033" w:name="DESCRIPTORALFABETICO272"/>
      <w:r w:rsidRPr="00CF552A">
        <w:rPr>
          <w:rStyle w:val="TextoNormalNegritaCaracter"/>
        </w:rPr>
        <w:t>Modelo de solicitud de subvención</w:t>
      </w:r>
      <w:bookmarkEnd w:id="1033"/>
      <w:r w:rsidRPr="00CF552A">
        <w:rPr>
          <w:rStyle w:val="TextoNormalCaracter"/>
        </w:rPr>
        <w:t xml:space="preserve">, Sentencia </w:t>
      </w:r>
      <w:hyperlink w:anchor="SENTENCIA_1997_70" w:history="1">
        <w:r w:rsidRPr="00CF552A">
          <w:rPr>
            <w:rStyle w:val="TextoNormalCaracter"/>
          </w:rPr>
          <w:t>70/1997</w:t>
        </w:r>
      </w:hyperlink>
      <w:r w:rsidRPr="00CF552A">
        <w:rPr>
          <w:rStyle w:val="TextoNormalCaracter"/>
        </w:rPr>
        <w:t>, f. 4.</w:t>
      </w:r>
    </w:p>
    <w:p w:rsidR="00CF552A" w:rsidRPr="00CF552A" w:rsidRDefault="00CF552A" w:rsidP="00CF552A">
      <w:pPr>
        <w:pStyle w:val="TextoNormalSangraFrancesa"/>
        <w:rPr>
          <w:rStyle w:val="TextoNormalCaracter"/>
        </w:rPr>
      </w:pPr>
      <w:bookmarkStart w:id="1034" w:name="DESCRIPTORALFABETICO484"/>
      <w:r w:rsidRPr="00CF552A">
        <w:rPr>
          <w:rStyle w:val="TextoNormalNegritaCaracter"/>
        </w:rPr>
        <w:t>Motivación de la pena impuesta en sentencia</w:t>
      </w:r>
      <w:bookmarkEnd w:id="1034"/>
      <w:r w:rsidRPr="00CF552A">
        <w:rPr>
          <w:rStyle w:val="TextoNormalCaracter"/>
        </w:rPr>
        <w:t xml:space="preserve">, Sentencia </w:t>
      </w:r>
      <w:hyperlink w:anchor="SENTENCIA_1997_43" w:history="1">
        <w:r w:rsidRPr="00CF552A">
          <w:rPr>
            <w:rStyle w:val="TextoNormalCaracter"/>
          </w:rPr>
          <w:t>43/1997</w:t>
        </w:r>
      </w:hyperlink>
      <w:r w:rsidRPr="00CF552A">
        <w:rPr>
          <w:rStyle w:val="TextoNormalCaracter"/>
        </w:rPr>
        <w:t>, f. 6.</w:t>
      </w:r>
    </w:p>
    <w:p w:rsidR="00CF552A" w:rsidRPr="00CF552A" w:rsidRDefault="00CF552A" w:rsidP="00CF552A">
      <w:pPr>
        <w:pStyle w:val="TextoNormalSangraFrancesa"/>
        <w:rPr>
          <w:rStyle w:val="TextoNormalCaracter"/>
        </w:rPr>
      </w:pPr>
      <w:bookmarkStart w:id="1035" w:name="DESCRIPTORALFABETICO70"/>
      <w:r w:rsidRPr="00CF552A">
        <w:rPr>
          <w:rStyle w:val="TextoNormalNegritaCaracter"/>
        </w:rPr>
        <w:t>Motivación de las resoluciones judiciales</w:t>
      </w:r>
      <w:bookmarkEnd w:id="1035"/>
      <w:r w:rsidRPr="00CF552A">
        <w:rPr>
          <w:rStyle w:val="TextoNormalCaracter"/>
        </w:rPr>
        <w:t xml:space="preserve">, Sentencias </w:t>
      </w:r>
      <w:hyperlink w:anchor="SENTENCIA_1997_2" w:history="1">
        <w:r w:rsidRPr="00CF552A">
          <w:rPr>
            <w:rStyle w:val="TextoNormalCaracter"/>
          </w:rPr>
          <w:t>2/1997</w:t>
        </w:r>
      </w:hyperlink>
      <w:r w:rsidRPr="00CF552A">
        <w:rPr>
          <w:rStyle w:val="TextoNormalCaracter"/>
        </w:rPr>
        <w:t xml:space="preserve">, f. 3; </w:t>
      </w:r>
      <w:hyperlink w:anchor="SENTENCIA_1997_12" w:history="1">
        <w:r w:rsidRPr="00CF552A">
          <w:rPr>
            <w:rStyle w:val="TextoNormalCaracter"/>
          </w:rPr>
          <w:t>12/1997</w:t>
        </w:r>
      </w:hyperlink>
      <w:r w:rsidRPr="00CF552A">
        <w:rPr>
          <w:rStyle w:val="TextoNormalCaracter"/>
        </w:rPr>
        <w:t xml:space="preserve">, f. 4; </w:t>
      </w:r>
      <w:hyperlink w:anchor="SENTENCIA_1997_44" w:history="1">
        <w:r w:rsidRPr="00CF552A">
          <w:rPr>
            <w:rStyle w:val="TextoNormalCaracter"/>
          </w:rPr>
          <w:t>44/1997</w:t>
        </w:r>
      </w:hyperlink>
      <w:r w:rsidRPr="00CF552A">
        <w:rPr>
          <w:rStyle w:val="TextoNormalCaracter"/>
        </w:rPr>
        <w:t xml:space="preserve">, f. 4; </w:t>
      </w:r>
      <w:hyperlink w:anchor="SENTENCIA_1997_66" w:history="1">
        <w:r w:rsidRPr="00CF552A">
          <w:rPr>
            <w:rStyle w:val="TextoNormalCaracter"/>
          </w:rPr>
          <w:t>66/1997</w:t>
        </w:r>
      </w:hyperlink>
      <w:r w:rsidRPr="00CF552A">
        <w:rPr>
          <w:rStyle w:val="TextoNormalCaracter"/>
        </w:rPr>
        <w:t xml:space="preserve">, ff. 1, 2, 4; </w:t>
      </w:r>
      <w:hyperlink w:anchor="SENTENCIA_1997_67" w:history="1">
        <w:r w:rsidRPr="00CF552A">
          <w:rPr>
            <w:rStyle w:val="TextoNormalCaracter"/>
          </w:rPr>
          <w:t>67/1997</w:t>
        </w:r>
      </w:hyperlink>
      <w:r w:rsidRPr="00CF552A">
        <w:rPr>
          <w:rStyle w:val="TextoNormalCaracter"/>
        </w:rPr>
        <w:t xml:space="preserve">, f. 2; </w:t>
      </w:r>
      <w:hyperlink w:anchor="SENTENCIA_1997_81" w:history="1">
        <w:r w:rsidRPr="00CF552A">
          <w:rPr>
            <w:rStyle w:val="TextoNormalCaracter"/>
          </w:rPr>
          <w:t>81/1997</w:t>
        </w:r>
      </w:hyperlink>
      <w:r w:rsidRPr="00CF552A">
        <w:rPr>
          <w:rStyle w:val="TextoNormalCaracter"/>
        </w:rPr>
        <w:t>, ff. 4, 5.</w:t>
      </w:r>
    </w:p>
    <w:p w:rsidR="00CF552A" w:rsidRPr="00CF552A" w:rsidRDefault="00CF552A" w:rsidP="00CF552A">
      <w:pPr>
        <w:pStyle w:val="TextoNormalSangraFrancesa"/>
        <w:rPr>
          <w:rStyle w:val="TextoNormalCaracter"/>
        </w:rPr>
      </w:pPr>
      <w:r w:rsidRPr="00CF552A">
        <w:rPr>
          <w:rStyle w:val="TextoNormalCaracter"/>
        </w:rPr>
        <w:t xml:space="preserve">    Autos </w:t>
      </w:r>
      <w:hyperlink w:anchor="AUTO_1997_15" w:history="1">
        <w:r w:rsidRPr="00CF552A">
          <w:rPr>
            <w:rStyle w:val="TextoNormalCaracter"/>
          </w:rPr>
          <w:t>15/1997</w:t>
        </w:r>
      </w:hyperlink>
      <w:r w:rsidRPr="00CF552A">
        <w:rPr>
          <w:rStyle w:val="TextoNormalCaracter"/>
        </w:rPr>
        <w:t xml:space="preserve">; </w:t>
      </w:r>
      <w:hyperlink w:anchor="AUTO_1997_106" w:history="1">
        <w:r w:rsidRPr="00CF552A">
          <w:rPr>
            <w:rStyle w:val="TextoNormalCaracter"/>
          </w:rPr>
          <w:t>106/1997</w:t>
        </w:r>
      </w:hyperlink>
      <w:r w:rsidRPr="00CF552A">
        <w:rPr>
          <w:rStyle w:val="TextoNormalCaracter"/>
        </w:rPr>
        <w:t xml:space="preserve">; </w:t>
      </w:r>
      <w:hyperlink w:anchor="AUTO_1997_118" w:history="1">
        <w:r w:rsidRPr="00CF552A">
          <w:rPr>
            <w:rStyle w:val="TextoNormalCaracter"/>
          </w:rPr>
          <w:t>118/1997</w:t>
        </w:r>
      </w:hyperlink>
      <w:r w:rsidRPr="00CF552A">
        <w:rPr>
          <w:rStyle w:val="TextoNormalCaracter"/>
        </w:rPr>
        <w:t xml:space="preserve">; </w:t>
      </w:r>
      <w:hyperlink w:anchor="AUTO_1997_119" w:history="1">
        <w:r w:rsidRPr="00CF552A">
          <w:rPr>
            <w:rStyle w:val="TextoNormalCaracter"/>
          </w:rPr>
          <w:t>119/1997</w:t>
        </w:r>
      </w:hyperlink>
      <w:r w:rsidRPr="00CF552A">
        <w:rPr>
          <w:rStyle w:val="TextoNormalCaracter"/>
        </w:rPr>
        <w:t xml:space="preserve">; </w:t>
      </w:r>
      <w:hyperlink w:anchor="AUTO_1997_121" w:history="1">
        <w:r w:rsidRPr="00CF552A">
          <w:rPr>
            <w:rStyle w:val="TextoNormalCaracter"/>
          </w:rPr>
          <w:t>121/1997</w:t>
        </w:r>
      </w:hyperlink>
      <w:r w:rsidRPr="00CF552A">
        <w:rPr>
          <w:rStyle w:val="TextoNormalCaracter"/>
        </w:rPr>
        <w:t xml:space="preserve">; </w:t>
      </w:r>
      <w:hyperlink w:anchor="AUTO_1997_122" w:history="1">
        <w:r w:rsidRPr="00CF552A">
          <w:rPr>
            <w:rStyle w:val="TextoNormalCaracter"/>
          </w:rPr>
          <w:t>122/1997</w:t>
        </w:r>
      </w:hyperlink>
      <w:r w:rsidRPr="00CF552A">
        <w:rPr>
          <w:rStyle w:val="TextoNormalCaracter"/>
        </w:rPr>
        <w:t>.</w:t>
      </w:r>
    </w:p>
    <w:p w:rsidR="00CF552A" w:rsidRPr="00CF552A" w:rsidRDefault="00CF552A" w:rsidP="00CF552A">
      <w:pPr>
        <w:pStyle w:val="TextoNormalSangraFrancesa"/>
        <w:rPr>
          <w:rStyle w:val="TextoNormalCaracter"/>
        </w:rPr>
      </w:pPr>
      <w:bookmarkStart w:id="1036" w:name="DESCRIPTORALFABETICO72"/>
      <w:r w:rsidRPr="00CF552A">
        <w:rPr>
          <w:rStyle w:val="TextoNormalNegritaCaracter"/>
        </w:rPr>
        <w:t>Motivación de las sentencias</w:t>
      </w:r>
      <w:bookmarkEnd w:id="1036"/>
      <w:r w:rsidRPr="00CF552A">
        <w:rPr>
          <w:rStyle w:val="TextoNormalCaracter"/>
        </w:rPr>
        <w:t xml:space="preserve">, Sentencias </w:t>
      </w:r>
      <w:hyperlink w:anchor="SENTENCIA_1997_26" w:history="1">
        <w:r w:rsidRPr="00CF552A">
          <w:rPr>
            <w:rStyle w:val="TextoNormalCaracter"/>
          </w:rPr>
          <w:t>26/1997</w:t>
        </w:r>
      </w:hyperlink>
      <w:r w:rsidRPr="00CF552A">
        <w:rPr>
          <w:rStyle w:val="TextoNormalCaracter"/>
        </w:rPr>
        <w:t xml:space="preserve">, f. 2; </w:t>
      </w:r>
      <w:hyperlink w:anchor="SENTENCIA_1997_42" w:history="1">
        <w:r w:rsidRPr="00CF552A">
          <w:rPr>
            <w:rStyle w:val="TextoNormalCaracter"/>
          </w:rPr>
          <w:t>42/1997</w:t>
        </w:r>
      </w:hyperlink>
      <w:r w:rsidRPr="00CF552A">
        <w:rPr>
          <w:rStyle w:val="TextoNormalCaracter"/>
        </w:rPr>
        <w:t xml:space="preserve">, f. 2; </w:t>
      </w:r>
      <w:hyperlink w:anchor="SENTENCIA_1997_43" w:history="1">
        <w:r w:rsidRPr="00CF552A">
          <w:rPr>
            <w:rStyle w:val="TextoNormalCaracter"/>
          </w:rPr>
          <w:t>43/1997</w:t>
        </w:r>
      </w:hyperlink>
      <w:r w:rsidRPr="00CF552A">
        <w:rPr>
          <w:rStyle w:val="TextoNormalCaracter"/>
        </w:rPr>
        <w:t xml:space="preserve">, f. 6; </w:t>
      </w:r>
      <w:hyperlink w:anchor="SENTENCIA_1997_58" w:history="1">
        <w:r w:rsidRPr="00CF552A">
          <w:rPr>
            <w:rStyle w:val="TextoNormalCaracter"/>
          </w:rPr>
          <w:t>58/1997</w:t>
        </w:r>
      </w:hyperlink>
      <w:r w:rsidRPr="00CF552A">
        <w:rPr>
          <w:rStyle w:val="TextoNormalCaracter"/>
        </w:rPr>
        <w:t xml:space="preserve">, f. 2; </w:t>
      </w:r>
      <w:hyperlink w:anchor="SENTENCIA_1997_59" w:history="1">
        <w:r w:rsidRPr="00CF552A">
          <w:rPr>
            <w:rStyle w:val="TextoNormalCaracter"/>
          </w:rPr>
          <w:t>59/1997</w:t>
        </w:r>
      </w:hyperlink>
      <w:r w:rsidRPr="00CF552A">
        <w:rPr>
          <w:rStyle w:val="TextoNormalCaracter"/>
        </w:rPr>
        <w:t xml:space="preserve">, f. 4; </w:t>
      </w:r>
      <w:hyperlink w:anchor="SENTENCIA_1997_60" w:history="1">
        <w:r w:rsidRPr="00CF552A">
          <w:rPr>
            <w:rStyle w:val="TextoNormalCaracter"/>
          </w:rPr>
          <w:t>60/1997</w:t>
        </w:r>
      </w:hyperlink>
      <w:r w:rsidRPr="00CF552A">
        <w:rPr>
          <w:rStyle w:val="TextoNormalCaracter"/>
        </w:rPr>
        <w:t>, ff. 1, 2, 3, 4, 5, 6.</w:t>
      </w:r>
    </w:p>
    <w:p w:rsidR="00CF552A" w:rsidRPr="00CF552A" w:rsidRDefault="00CF552A" w:rsidP="00CF552A">
      <w:pPr>
        <w:pStyle w:val="TextoNormalSangraFrancesa"/>
        <w:rPr>
          <w:rStyle w:val="TextoNormalCaracter"/>
        </w:rPr>
      </w:pPr>
      <w:r w:rsidRPr="00CF552A">
        <w:rPr>
          <w:rStyle w:val="TextoNormalCursivaCaracter"/>
        </w:rPr>
        <w:t xml:space="preserve">    Alcance, </w:t>
      </w:r>
      <w:r w:rsidRPr="00CF552A">
        <w:rPr>
          <w:rStyle w:val="TextoNormalCaracter"/>
        </w:rPr>
        <w:t xml:space="preserve">Sentencia </w:t>
      </w:r>
      <w:hyperlink w:anchor="SENTENCIA_1997_54" w:history="1">
        <w:r w:rsidRPr="00CF552A">
          <w:rPr>
            <w:rStyle w:val="TextoNormalCaracter"/>
          </w:rPr>
          <w:t>54/1997</w:t>
        </w:r>
      </w:hyperlink>
      <w:r w:rsidRPr="00CF552A">
        <w:rPr>
          <w:rStyle w:val="TextoNormalCaracter"/>
        </w:rPr>
        <w:t>, f. 3.</w:t>
      </w:r>
    </w:p>
    <w:p w:rsidR="00CF552A" w:rsidRPr="00CF552A" w:rsidRDefault="00CF552A" w:rsidP="00CF552A">
      <w:pPr>
        <w:pStyle w:val="TextoNormalSangraFrancesa"/>
        <w:rPr>
          <w:rStyle w:val="TextoNormalCaracter"/>
        </w:rPr>
      </w:pPr>
      <w:r w:rsidRPr="00CF552A">
        <w:rPr>
          <w:rStyle w:val="TextoNormalCursivaCaracter"/>
        </w:rPr>
        <w:t xml:space="preserve">    Doctrina constitucional, </w:t>
      </w:r>
      <w:r w:rsidRPr="00CF552A">
        <w:rPr>
          <w:rStyle w:val="TextoNormalCaracter"/>
        </w:rPr>
        <w:t xml:space="preserve">Sentencia </w:t>
      </w:r>
      <w:hyperlink w:anchor="SENTENCIA_1997_26" w:history="1">
        <w:r w:rsidRPr="00CF552A">
          <w:rPr>
            <w:rStyle w:val="TextoNormalCaracter"/>
          </w:rPr>
          <w:t>26/1997</w:t>
        </w:r>
      </w:hyperlink>
      <w:r w:rsidRPr="00CF552A">
        <w:rPr>
          <w:rStyle w:val="TextoNormalCaracter"/>
        </w:rPr>
        <w:t>, f. 2.</w:t>
      </w:r>
    </w:p>
    <w:p w:rsidR="00CF552A" w:rsidRPr="00CF552A" w:rsidRDefault="00CF552A" w:rsidP="00CF552A">
      <w:pPr>
        <w:pStyle w:val="TextoNormalSangraFrancesa"/>
        <w:rPr>
          <w:rStyle w:val="TextoNormalCaracter"/>
        </w:rPr>
      </w:pPr>
      <w:bookmarkStart w:id="1037" w:name="DESCRIPTORALFABETICO74"/>
      <w:r w:rsidRPr="00CF552A">
        <w:rPr>
          <w:rStyle w:val="TextoNormalNegritaCaracter"/>
        </w:rPr>
        <w:t>Motivación genérica de sentencias</w:t>
      </w:r>
      <w:bookmarkEnd w:id="1037"/>
      <w:r w:rsidRPr="00CF552A">
        <w:rPr>
          <w:rStyle w:val="TextoNormalCaracter"/>
        </w:rPr>
        <w:t xml:space="preserve">, Sentencia </w:t>
      </w:r>
      <w:hyperlink w:anchor="SENTENCIA_1997_26" w:history="1">
        <w:r w:rsidRPr="00CF552A">
          <w:rPr>
            <w:rStyle w:val="TextoNormalCaracter"/>
          </w:rPr>
          <w:t>26/1997</w:t>
        </w:r>
      </w:hyperlink>
      <w:r w:rsidRPr="00CF552A">
        <w:rPr>
          <w:rStyle w:val="TextoNormalCaracter"/>
        </w:rPr>
        <w:t>, f. 3.</w:t>
      </w:r>
    </w:p>
    <w:p w:rsidR="00CF552A" w:rsidRPr="00CF552A" w:rsidRDefault="00CF552A" w:rsidP="00CF552A">
      <w:pPr>
        <w:pStyle w:val="TextoNormalSangraFrancesa"/>
        <w:rPr>
          <w:rStyle w:val="TextoNormalCaracter"/>
        </w:rPr>
      </w:pPr>
      <w:bookmarkStart w:id="1038" w:name="DESCRIPTORALFABETICO468"/>
      <w:r w:rsidRPr="00CF552A">
        <w:rPr>
          <w:rStyle w:val="TextoNormalNegritaCaracter"/>
        </w:rPr>
        <w:t>Motivación suficiente de la prisión provisional</w:t>
      </w:r>
      <w:bookmarkEnd w:id="1038"/>
      <w:r w:rsidRPr="00CF552A">
        <w:rPr>
          <w:rStyle w:val="TextoNormalCaracter"/>
        </w:rPr>
        <w:t xml:space="preserve">, Auto </w:t>
      </w:r>
      <w:hyperlink w:anchor="AUTO_1997_4" w:history="1">
        <w:r w:rsidRPr="00CF552A">
          <w:rPr>
            <w:rStyle w:val="TextoNormalCaracter"/>
          </w:rPr>
          <w:t>4/1997</w:t>
        </w:r>
      </w:hyperlink>
      <w:r w:rsidRPr="00CF552A">
        <w:rPr>
          <w:rStyle w:val="TextoNormalCaracter"/>
        </w:rPr>
        <w:t>.</w:t>
      </w:r>
    </w:p>
    <w:p w:rsidR="00CF552A" w:rsidRDefault="00CF552A" w:rsidP="00CF552A">
      <w:pPr>
        <w:pStyle w:val="TextoNormalSangraFrancesa"/>
      </w:pPr>
    </w:p>
    <w:p w:rsidR="00CF552A" w:rsidRDefault="00CF552A" w:rsidP="00CF552A">
      <w:pPr>
        <w:pStyle w:val="TextoNormalSangraFrancesa"/>
      </w:pPr>
    </w:p>
    <w:p w:rsidR="00CF552A" w:rsidRDefault="00CF552A" w:rsidP="00CF552A">
      <w:pPr>
        <w:pStyle w:val="TextoNormalNegritaCentrado"/>
      </w:pPr>
      <w:r>
        <w:t>N</w:t>
      </w:r>
    </w:p>
    <w:p w:rsidR="00CF552A" w:rsidRDefault="00CF552A" w:rsidP="00CF552A">
      <w:pPr>
        <w:pStyle w:val="TextoNormalNegritaCentrado"/>
      </w:pPr>
    </w:p>
    <w:p w:rsidR="00CF552A" w:rsidRDefault="00CF552A" w:rsidP="00CF552A">
      <w:pPr>
        <w:pStyle w:val="TextoNormalNegritaCentrado"/>
      </w:pPr>
    </w:p>
    <w:p w:rsidR="00CF552A" w:rsidRDefault="00CF552A" w:rsidP="00CF552A">
      <w:pPr>
        <w:pStyle w:val="TextoNormalNegritaCentrado"/>
      </w:pPr>
    </w:p>
    <w:p w:rsidR="00CF552A" w:rsidRPr="00CF552A" w:rsidRDefault="00CF552A" w:rsidP="00CF552A">
      <w:pPr>
        <w:pStyle w:val="TextoNormalSangraFrancesa"/>
        <w:rPr>
          <w:rStyle w:val="TextoNormalCaracter"/>
        </w:rPr>
      </w:pPr>
      <w:bookmarkStart w:id="1039" w:name="DESCRIPTORALFABETICO170"/>
      <w:r w:rsidRPr="00CF552A">
        <w:rPr>
          <w:rStyle w:val="TextoNormalNegritaCaracter"/>
        </w:rPr>
        <w:t>Naturaleza del recurso de amparo</w:t>
      </w:r>
      <w:bookmarkEnd w:id="1039"/>
      <w:r w:rsidRPr="00CF552A">
        <w:rPr>
          <w:rStyle w:val="TextoNormalCaracter"/>
        </w:rPr>
        <w:t xml:space="preserve">, Sentencia </w:t>
      </w:r>
      <w:hyperlink w:anchor="SENTENCIA_1997_78" w:history="1">
        <w:r w:rsidRPr="00CF552A">
          <w:rPr>
            <w:rStyle w:val="TextoNormalCaracter"/>
          </w:rPr>
          <w:t>78/1997</w:t>
        </w:r>
      </w:hyperlink>
      <w:r w:rsidRPr="00CF552A">
        <w:rPr>
          <w:rStyle w:val="TextoNormalCaracter"/>
        </w:rPr>
        <w:t>, f. 4.</w:t>
      </w:r>
    </w:p>
    <w:p w:rsidR="00CF552A" w:rsidRPr="00CF552A" w:rsidRDefault="00CF552A" w:rsidP="00CF552A">
      <w:pPr>
        <w:pStyle w:val="TextoNormalSangraFrancesa"/>
        <w:rPr>
          <w:rStyle w:val="TextoNormalCaracter"/>
        </w:rPr>
      </w:pPr>
      <w:bookmarkStart w:id="1040" w:name="DESCRIPTORALFABETICO28"/>
      <w:r w:rsidRPr="00CF552A">
        <w:rPr>
          <w:rStyle w:val="TextoNormalNegritaCaracter"/>
        </w:rPr>
        <w:t>Negativa al cumplimiento del servicio militar</w:t>
      </w:r>
      <w:bookmarkEnd w:id="1040"/>
      <w:r w:rsidRPr="00CF552A">
        <w:rPr>
          <w:rStyle w:val="TextoNormalCaracter"/>
        </w:rPr>
        <w:t xml:space="preserve">, Sentencia </w:t>
      </w:r>
      <w:hyperlink w:anchor="SENTENCIA_1997_43" w:history="1">
        <w:r w:rsidRPr="00CF552A">
          <w:rPr>
            <w:rStyle w:val="TextoNormalCaracter"/>
          </w:rPr>
          <w:t>43/1997</w:t>
        </w:r>
      </w:hyperlink>
      <w:r w:rsidRPr="00CF552A">
        <w:rPr>
          <w:rStyle w:val="TextoNormalCaracter"/>
        </w:rPr>
        <w:t>, ff. 1, 2, 3, 4, 5, 6, 7.</w:t>
      </w:r>
    </w:p>
    <w:p w:rsidR="00CF552A" w:rsidRPr="00CF552A" w:rsidRDefault="00CF552A" w:rsidP="00CF552A">
      <w:pPr>
        <w:pStyle w:val="TextoNormalSangraFrancesa"/>
        <w:rPr>
          <w:rStyle w:val="TextoNormalCaracter"/>
        </w:rPr>
      </w:pPr>
      <w:bookmarkStart w:id="1041" w:name="DESCRIPTORALFABETICO363"/>
      <w:r w:rsidRPr="00CF552A">
        <w:rPr>
          <w:rStyle w:val="TextoNormalNegritaCaracter"/>
        </w:rPr>
        <w:t>Normas atributivas de competencia jurisdiccional</w:t>
      </w:r>
      <w:bookmarkEnd w:id="1041"/>
      <w:r w:rsidRPr="00CF552A">
        <w:rPr>
          <w:rStyle w:val="TextoNormalCaracter"/>
        </w:rPr>
        <w:t xml:space="preserve">, Auto </w:t>
      </w:r>
      <w:hyperlink w:anchor="AUTO_1997_94" w:history="1">
        <w:r w:rsidRPr="00CF552A">
          <w:rPr>
            <w:rStyle w:val="TextoNormalCaracter"/>
          </w:rPr>
          <w:t>94/1997</w:t>
        </w:r>
      </w:hyperlink>
      <w:r w:rsidRPr="00CF552A">
        <w:rPr>
          <w:rStyle w:val="TextoNormalCaracter"/>
        </w:rPr>
        <w:t>.</w:t>
      </w:r>
    </w:p>
    <w:p w:rsidR="00CF552A" w:rsidRPr="00CF552A" w:rsidRDefault="00CF552A" w:rsidP="00CF552A">
      <w:pPr>
        <w:pStyle w:val="TextoNormalSangraFrancesa"/>
        <w:rPr>
          <w:rStyle w:val="TextoNormalNegritaCaracter"/>
        </w:rPr>
      </w:pPr>
      <w:r w:rsidRPr="00CF552A">
        <w:rPr>
          <w:rStyle w:val="TextoNormalCursivaCaracter"/>
        </w:rPr>
        <w:t>Normas de reparto judicial</w:t>
      </w:r>
      <w:r>
        <w:t xml:space="preserve"> véase </w:t>
      </w:r>
      <w:hyperlink w:anchor="DESCRIPTORALFABETICO201" w:history="1">
        <w:r w:rsidRPr="00CF552A">
          <w:rPr>
            <w:rStyle w:val="TextoNormalNegritaCaracter"/>
          </w:rPr>
          <w:t>Reparto de asuntos</w:t>
        </w:r>
      </w:hyperlink>
    </w:p>
    <w:p w:rsidR="00CF552A" w:rsidRPr="00CF552A" w:rsidRDefault="00CF552A" w:rsidP="00CF552A">
      <w:pPr>
        <w:pStyle w:val="TextoNormalSangraFrancesa"/>
        <w:rPr>
          <w:rStyle w:val="TextoNormalNegritaCaracter"/>
        </w:rPr>
      </w:pPr>
      <w:r w:rsidRPr="00CF552A">
        <w:rPr>
          <w:rStyle w:val="TextoNormalCursivaCaracter"/>
        </w:rPr>
        <w:t>Normas derogadas</w:t>
      </w:r>
      <w:r>
        <w:t xml:space="preserve"> véase </w:t>
      </w:r>
      <w:hyperlink w:anchor="DESCRIPTORALFABETICO319" w:history="1">
        <w:r w:rsidRPr="00CF552A">
          <w:rPr>
            <w:rStyle w:val="TextoNormalNegritaCaracter"/>
          </w:rPr>
          <w:t>Derogación de normas jurídicas</w:t>
        </w:r>
      </w:hyperlink>
    </w:p>
    <w:p w:rsidR="00CF552A" w:rsidRPr="00CF552A" w:rsidRDefault="00CF552A" w:rsidP="00CF552A">
      <w:pPr>
        <w:pStyle w:val="TextoNormalSangraFrancesa"/>
        <w:rPr>
          <w:rStyle w:val="TextoNormalCaracter"/>
        </w:rPr>
      </w:pPr>
      <w:bookmarkStart w:id="1042" w:name="DESCRIPTORALFABETICO321"/>
      <w:r w:rsidRPr="00CF552A">
        <w:rPr>
          <w:rStyle w:val="TextoNormalNegritaCaracter"/>
        </w:rPr>
        <w:t>Normas derogatorias</w:t>
      </w:r>
      <w:bookmarkEnd w:id="1042"/>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 12.</w:t>
      </w:r>
    </w:p>
    <w:p w:rsidR="00CF552A" w:rsidRPr="00CF552A" w:rsidRDefault="00CF552A" w:rsidP="00CF552A">
      <w:pPr>
        <w:pStyle w:val="TextoNormalSangraFrancesa"/>
        <w:rPr>
          <w:rStyle w:val="TextoNormalNegritaCaracter"/>
        </w:rPr>
      </w:pPr>
      <w:r w:rsidRPr="00CF552A">
        <w:rPr>
          <w:rStyle w:val="TextoNormalCursivaCaracter"/>
        </w:rPr>
        <w:t>Normas tributarias retroactivas</w:t>
      </w:r>
      <w:r>
        <w:t xml:space="preserve"> véase </w:t>
      </w:r>
      <w:hyperlink w:anchor="DESCRIPTORALFABETICO322" w:history="1">
        <w:r w:rsidRPr="00CF552A">
          <w:rPr>
            <w:rStyle w:val="TextoNormalNegritaCaracter"/>
          </w:rPr>
          <w:t>Retroactividad de normas tributarias</w:t>
        </w:r>
      </w:hyperlink>
    </w:p>
    <w:p w:rsidR="00CF552A" w:rsidRPr="00CF552A" w:rsidRDefault="00CF552A" w:rsidP="00CF552A">
      <w:pPr>
        <w:pStyle w:val="TextoNormalSangraFrancesa"/>
        <w:rPr>
          <w:rStyle w:val="TextoNormalNegritaCaracter"/>
        </w:rPr>
      </w:pPr>
      <w:r w:rsidRPr="00CF552A">
        <w:rPr>
          <w:rStyle w:val="TextoNormalCursivaCaracter"/>
        </w:rPr>
        <w:t>Normativa electoral</w:t>
      </w:r>
      <w:r>
        <w:t xml:space="preserve"> véase </w:t>
      </w:r>
      <w:hyperlink w:anchor="DESCRIPTORALFABETICO313" w:history="1">
        <w:r w:rsidRPr="00CF552A">
          <w:rPr>
            <w:rStyle w:val="TextoNormalNegritaCaracter"/>
          </w:rPr>
          <w:t>Legislación electoral</w:t>
        </w:r>
      </w:hyperlink>
    </w:p>
    <w:p w:rsidR="00CF552A" w:rsidRPr="00CF552A" w:rsidRDefault="00CF552A" w:rsidP="00CF552A">
      <w:pPr>
        <w:pStyle w:val="TextoNormalSangraFrancesa"/>
        <w:rPr>
          <w:rStyle w:val="TextoNormalCaracter"/>
        </w:rPr>
      </w:pPr>
      <w:bookmarkStart w:id="1043" w:name="DESCRIPTORALFABETICO200"/>
      <w:r w:rsidRPr="00CF552A">
        <w:rPr>
          <w:rStyle w:val="TextoNormalNegritaCaracter"/>
        </w:rPr>
        <w:t>Notificación de la composición del órgano judicial</w:t>
      </w:r>
      <w:bookmarkEnd w:id="1043"/>
      <w:r w:rsidRPr="00CF552A">
        <w:rPr>
          <w:rStyle w:val="TextoNormalCaracter"/>
        </w:rPr>
        <w:t xml:space="preserve">, Sentencia </w:t>
      </w:r>
      <w:hyperlink w:anchor="SENTENCIA_1997_64" w:history="1">
        <w:r w:rsidRPr="00CF552A">
          <w:rPr>
            <w:rStyle w:val="TextoNormalCaracter"/>
          </w:rPr>
          <w:t>64/1997</w:t>
        </w:r>
      </w:hyperlink>
      <w:r w:rsidRPr="00CF552A">
        <w:rPr>
          <w:rStyle w:val="TextoNormalCaracter"/>
        </w:rPr>
        <w:t>, f. 3.</w:t>
      </w:r>
    </w:p>
    <w:p w:rsidR="00CF552A" w:rsidRPr="00CF552A" w:rsidRDefault="00CF552A" w:rsidP="00CF552A">
      <w:pPr>
        <w:pStyle w:val="TextoNormalSangraFrancesa"/>
        <w:rPr>
          <w:rStyle w:val="TextoNormalCaracter"/>
        </w:rPr>
      </w:pPr>
      <w:bookmarkStart w:id="1044" w:name="DESCRIPTORALFABETICO382"/>
      <w:r w:rsidRPr="00CF552A">
        <w:rPr>
          <w:rStyle w:val="TextoNormalNegritaCaracter"/>
        </w:rPr>
        <w:t>Nulidad de actuaciones</w:t>
      </w:r>
      <w:bookmarkEnd w:id="1044"/>
      <w:r w:rsidRPr="00CF552A">
        <w:rPr>
          <w:rStyle w:val="TextoNormalCaracter"/>
        </w:rPr>
        <w:t xml:space="preserve">, </w:t>
      </w:r>
    </w:p>
    <w:p w:rsidR="00CF552A" w:rsidRPr="00CF552A" w:rsidRDefault="00CF552A" w:rsidP="00CF552A">
      <w:pPr>
        <w:pStyle w:val="TextoNormalSangraFrancesa"/>
        <w:rPr>
          <w:rStyle w:val="TextoNormalCaracter"/>
        </w:rPr>
      </w:pPr>
      <w:r w:rsidRPr="00CF552A">
        <w:rPr>
          <w:rStyle w:val="TextoNormalCursivaCaracter"/>
        </w:rPr>
        <w:t xml:space="preserve">    Régimen jurídico, </w:t>
      </w:r>
      <w:r w:rsidRPr="00CF552A">
        <w:rPr>
          <w:rStyle w:val="TextoNormalCaracter"/>
        </w:rPr>
        <w:t xml:space="preserve">Sentencia </w:t>
      </w:r>
      <w:hyperlink w:anchor="SENTENCIA_1997_29" w:history="1">
        <w:r w:rsidRPr="00CF552A">
          <w:rPr>
            <w:rStyle w:val="TextoNormalCaracter"/>
          </w:rPr>
          <w:t>29/1997</w:t>
        </w:r>
      </w:hyperlink>
      <w:r w:rsidRPr="00CF552A">
        <w:rPr>
          <w:rStyle w:val="TextoNormalCaracter"/>
        </w:rPr>
        <w:t>, f. 1.</w:t>
      </w:r>
    </w:p>
    <w:p w:rsidR="00CF552A" w:rsidRPr="00CF552A" w:rsidRDefault="00CF552A" w:rsidP="00CF552A">
      <w:pPr>
        <w:pStyle w:val="TextoNormalSangraFrancesa"/>
        <w:rPr>
          <w:rStyle w:val="TextoNormalCaracter"/>
        </w:rPr>
      </w:pPr>
      <w:bookmarkStart w:id="1045" w:name="DESCRIPTORALFABETICO355"/>
      <w:r w:rsidRPr="00CF552A">
        <w:rPr>
          <w:rStyle w:val="TextoNormalNegritaCaracter"/>
        </w:rPr>
        <w:t>Nulidad de elecciones sindicales</w:t>
      </w:r>
      <w:bookmarkEnd w:id="1045"/>
      <w:r w:rsidRPr="00CF552A">
        <w:rPr>
          <w:rStyle w:val="TextoNormalCaracter"/>
        </w:rPr>
        <w:t xml:space="preserve">, Sentencia </w:t>
      </w:r>
      <w:hyperlink w:anchor="SENTENCIA_1997_52" w:history="1">
        <w:r w:rsidRPr="00CF552A">
          <w:rPr>
            <w:rStyle w:val="TextoNormalCaracter"/>
          </w:rPr>
          <w:t>52/1997</w:t>
        </w:r>
      </w:hyperlink>
      <w:r w:rsidRPr="00CF552A">
        <w:rPr>
          <w:rStyle w:val="TextoNormalCaracter"/>
        </w:rPr>
        <w:t>, f. 4.</w:t>
      </w:r>
    </w:p>
    <w:p w:rsidR="00CF552A" w:rsidRPr="00CF552A" w:rsidRDefault="00CF552A" w:rsidP="00CF552A">
      <w:pPr>
        <w:pStyle w:val="TextoNormalSangraFrancesa"/>
        <w:rPr>
          <w:rStyle w:val="TextoNormalCaracter"/>
        </w:rPr>
      </w:pPr>
      <w:bookmarkStart w:id="1046" w:name="DESCRIPTORALFABETICO374"/>
      <w:r w:rsidRPr="00CF552A">
        <w:rPr>
          <w:rStyle w:val="TextoNormalNegritaCaracter"/>
        </w:rPr>
        <w:t>Nulidad de laudos arbitrales</w:t>
      </w:r>
      <w:bookmarkEnd w:id="1046"/>
      <w:r w:rsidRPr="00CF552A">
        <w:rPr>
          <w:rStyle w:val="TextoNormalCaracter"/>
        </w:rPr>
        <w:t xml:space="preserve">, Sentencia </w:t>
      </w:r>
      <w:hyperlink w:anchor="SENTENCIA_1997_13" w:history="1">
        <w:r w:rsidRPr="00CF552A">
          <w:rPr>
            <w:rStyle w:val="TextoNormalCaracter"/>
          </w:rPr>
          <w:t>13/1997</w:t>
        </w:r>
      </w:hyperlink>
      <w:r w:rsidRPr="00CF552A">
        <w:rPr>
          <w:rStyle w:val="TextoNormalCaracter"/>
        </w:rPr>
        <w:t>, f. 2.</w:t>
      </w:r>
    </w:p>
    <w:p w:rsidR="00CF552A" w:rsidRDefault="00CF552A" w:rsidP="00CF552A">
      <w:pPr>
        <w:pStyle w:val="TextoNormalSangraFrancesa"/>
      </w:pPr>
    </w:p>
    <w:p w:rsidR="00CF552A" w:rsidRDefault="00CF552A" w:rsidP="00CF552A">
      <w:pPr>
        <w:pStyle w:val="TextoNormalSangraFrancesa"/>
      </w:pPr>
    </w:p>
    <w:p w:rsidR="00CF552A" w:rsidRDefault="00CF552A" w:rsidP="00CF552A">
      <w:pPr>
        <w:pStyle w:val="TextoNormalNegritaCentrado"/>
      </w:pPr>
      <w:r>
        <w:t>O</w:t>
      </w:r>
    </w:p>
    <w:p w:rsidR="00CF552A" w:rsidRDefault="00CF552A" w:rsidP="00CF552A">
      <w:pPr>
        <w:pStyle w:val="TextoNormalNegritaCentrado"/>
      </w:pPr>
    </w:p>
    <w:p w:rsidR="00CF552A" w:rsidRDefault="00CF552A" w:rsidP="00CF552A">
      <w:pPr>
        <w:pStyle w:val="TextoNormalNegritaCentrado"/>
      </w:pPr>
    </w:p>
    <w:p w:rsidR="00CF552A" w:rsidRDefault="00CF552A" w:rsidP="00CF552A">
      <w:pPr>
        <w:pStyle w:val="TextoNormalNegritaCentrado"/>
      </w:pPr>
    </w:p>
    <w:p w:rsidR="00CF552A" w:rsidRPr="00CF552A" w:rsidRDefault="00CF552A" w:rsidP="00CF552A">
      <w:pPr>
        <w:pStyle w:val="TextoNormalSangraFrancesa"/>
        <w:rPr>
          <w:rStyle w:val="TextoNormalCaracter"/>
        </w:rPr>
      </w:pPr>
      <w:bookmarkStart w:id="1047" w:name="DESCRIPTORALFABETICO150"/>
      <w:r w:rsidRPr="00CF552A">
        <w:rPr>
          <w:rStyle w:val="TextoNormalNegritaCaracter"/>
        </w:rPr>
        <w:t>Objeto idóneo</w:t>
      </w:r>
      <w:bookmarkEnd w:id="1047"/>
      <w:r w:rsidRPr="00CF552A">
        <w:rPr>
          <w:rStyle w:val="TextoNormalCaracter"/>
        </w:rPr>
        <w:t xml:space="preserve">, Sentencia </w:t>
      </w:r>
      <w:hyperlink w:anchor="SENTENCIA_1997_87" w:history="1">
        <w:r w:rsidRPr="00CF552A">
          <w:rPr>
            <w:rStyle w:val="TextoNormalCaracter"/>
          </w:rPr>
          <w:t>87/1997</w:t>
        </w:r>
      </w:hyperlink>
      <w:r w:rsidRPr="00CF552A">
        <w:rPr>
          <w:rStyle w:val="TextoNormalCaracter"/>
        </w:rPr>
        <w:t>, ff. 2, 3.</w:t>
      </w:r>
    </w:p>
    <w:p w:rsidR="00CF552A" w:rsidRPr="00CF552A" w:rsidRDefault="00CF552A" w:rsidP="00CF552A">
      <w:pPr>
        <w:pStyle w:val="TextoNormalSangraFrancesa"/>
        <w:rPr>
          <w:rStyle w:val="TextoNormalCaracter"/>
        </w:rPr>
      </w:pPr>
      <w:bookmarkStart w:id="1048" w:name="DESCRIPTORALFABETICO290"/>
      <w:r w:rsidRPr="00CF552A">
        <w:rPr>
          <w:rStyle w:val="TextoNormalNegritaCaracter"/>
        </w:rPr>
        <w:t>Ocupación directa de terrenos</w:t>
      </w:r>
      <w:bookmarkEnd w:id="1048"/>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ff. 29, 30.</w:t>
      </w:r>
    </w:p>
    <w:p w:rsidR="00CF552A" w:rsidRPr="00CF552A" w:rsidRDefault="00CF552A" w:rsidP="00CF552A">
      <w:pPr>
        <w:pStyle w:val="TextoNormalSangraFrancesa"/>
        <w:rPr>
          <w:rStyle w:val="TextoNormalCaracter"/>
        </w:rPr>
      </w:pPr>
      <w:bookmarkStart w:id="1049" w:name="DESCRIPTORALFABETICO401"/>
      <w:r w:rsidRPr="00CF552A">
        <w:rPr>
          <w:rStyle w:val="TextoNormalNegritaCaracter"/>
        </w:rPr>
        <w:t>Omisión de trámite de audiencia</w:t>
      </w:r>
      <w:bookmarkEnd w:id="1049"/>
      <w:r w:rsidRPr="00CF552A">
        <w:rPr>
          <w:rStyle w:val="TextoNormalCaracter"/>
        </w:rPr>
        <w:t xml:space="preserve">, Sentencias </w:t>
      </w:r>
      <w:hyperlink w:anchor="SENTENCIA_1997_46" w:history="1">
        <w:r w:rsidRPr="00CF552A">
          <w:rPr>
            <w:rStyle w:val="TextoNormalCaracter"/>
          </w:rPr>
          <w:t>46/1997</w:t>
        </w:r>
      </w:hyperlink>
      <w:r w:rsidRPr="00CF552A">
        <w:rPr>
          <w:rStyle w:val="TextoNormalCaracter"/>
        </w:rPr>
        <w:t xml:space="preserve">, f. 1; </w:t>
      </w:r>
      <w:hyperlink w:anchor="SENTENCIA_1997_48" w:history="1">
        <w:r w:rsidRPr="00CF552A">
          <w:rPr>
            <w:rStyle w:val="TextoNormalCaracter"/>
          </w:rPr>
          <w:t>48/1997</w:t>
        </w:r>
      </w:hyperlink>
      <w:r w:rsidRPr="00CF552A">
        <w:rPr>
          <w:rStyle w:val="TextoNormalCaracter"/>
        </w:rPr>
        <w:t>, f. 1.</w:t>
      </w:r>
    </w:p>
    <w:p w:rsidR="00CF552A" w:rsidRPr="00CF552A" w:rsidRDefault="00CF552A" w:rsidP="00CF552A">
      <w:pPr>
        <w:pStyle w:val="TextoNormalSangraFrancesa"/>
        <w:rPr>
          <w:rStyle w:val="TextoNormalCaracter"/>
        </w:rPr>
      </w:pPr>
      <w:bookmarkStart w:id="1050" w:name="DESCRIPTORALFABETICO312"/>
      <w:r w:rsidRPr="00CF552A">
        <w:rPr>
          <w:rStyle w:val="TextoNormalNegritaCaracter"/>
        </w:rPr>
        <w:t>Omisión de una condición básica</w:t>
      </w:r>
      <w:bookmarkEnd w:id="1050"/>
      <w:r w:rsidRPr="00CF552A">
        <w:rPr>
          <w:rStyle w:val="TextoNormalCaracter"/>
        </w:rPr>
        <w:t xml:space="preserve">, Sentencia </w:t>
      </w:r>
      <w:hyperlink w:anchor="SENTENCIA_1997_73" w:history="1">
        <w:r w:rsidRPr="00CF552A">
          <w:rPr>
            <w:rStyle w:val="TextoNormalCaracter"/>
          </w:rPr>
          <w:t>73/1997</w:t>
        </w:r>
      </w:hyperlink>
      <w:r w:rsidRPr="00CF552A">
        <w:rPr>
          <w:rStyle w:val="TextoNormalCaracter"/>
        </w:rPr>
        <w:t>, f. 4.</w:t>
      </w:r>
    </w:p>
    <w:p w:rsidR="00CF552A" w:rsidRPr="00CF552A" w:rsidRDefault="00CF552A" w:rsidP="00CF552A">
      <w:pPr>
        <w:pStyle w:val="TextoNormalSangraFrancesa"/>
        <w:rPr>
          <w:rStyle w:val="TextoNormalCaracter"/>
        </w:rPr>
      </w:pPr>
      <w:bookmarkStart w:id="1051" w:name="DESCRIPTORALFABETICO452"/>
      <w:r w:rsidRPr="00CF552A">
        <w:rPr>
          <w:rStyle w:val="TextoNormalNegritaCaracter"/>
        </w:rPr>
        <w:t>Omisión del acto de conciliación laboral</w:t>
      </w:r>
      <w:bookmarkEnd w:id="1051"/>
      <w:r w:rsidRPr="00CF552A">
        <w:rPr>
          <w:rStyle w:val="TextoNormalCaracter"/>
        </w:rPr>
        <w:t xml:space="preserve">, Sentencia </w:t>
      </w:r>
      <w:hyperlink w:anchor="SENTENCIA_1997_69" w:history="1">
        <w:r w:rsidRPr="00CF552A">
          <w:rPr>
            <w:rStyle w:val="TextoNormalCaracter"/>
          </w:rPr>
          <w:t>69/1997</w:t>
        </w:r>
      </w:hyperlink>
      <w:r w:rsidRPr="00CF552A">
        <w:rPr>
          <w:rStyle w:val="TextoNormalCaracter"/>
        </w:rPr>
        <w:t>, f. 5.</w:t>
      </w:r>
    </w:p>
    <w:p w:rsidR="00CF552A" w:rsidRPr="00CF552A" w:rsidRDefault="00CF552A" w:rsidP="00CF552A">
      <w:pPr>
        <w:pStyle w:val="TextoNormalSangraFrancesa"/>
        <w:rPr>
          <w:rStyle w:val="TextoNormalCaracter"/>
        </w:rPr>
      </w:pPr>
      <w:bookmarkStart w:id="1052" w:name="DESCRIPTORALFABETICO414"/>
      <w:r w:rsidRPr="00CF552A">
        <w:rPr>
          <w:rStyle w:val="TextoNormalNegritaCaracter"/>
        </w:rPr>
        <w:t>Omisión en la designación de abogado de oficio</w:t>
      </w:r>
      <w:bookmarkEnd w:id="1052"/>
      <w:r w:rsidRPr="00CF552A">
        <w:rPr>
          <w:rStyle w:val="TextoNormalCaracter"/>
        </w:rPr>
        <w:t xml:space="preserve">, Sentencia </w:t>
      </w:r>
      <w:hyperlink w:anchor="SENTENCIA_1997_9" w:history="1">
        <w:r w:rsidRPr="00CF552A">
          <w:rPr>
            <w:rStyle w:val="TextoNormalCaracter"/>
          </w:rPr>
          <w:t>9/1997</w:t>
        </w:r>
      </w:hyperlink>
      <w:r w:rsidRPr="00CF552A">
        <w:rPr>
          <w:rStyle w:val="TextoNormalCaracter"/>
        </w:rPr>
        <w:t>, f. 4.</w:t>
      </w:r>
    </w:p>
    <w:p w:rsidR="00CF552A" w:rsidRPr="00CF552A" w:rsidRDefault="00CF552A" w:rsidP="00CF552A">
      <w:pPr>
        <w:pStyle w:val="TextoNormalSangraFrancesa"/>
        <w:rPr>
          <w:rStyle w:val="TextoNormalNegritaCaracter"/>
        </w:rPr>
      </w:pPr>
      <w:r w:rsidRPr="00CF552A">
        <w:rPr>
          <w:rStyle w:val="TextoNormalCursivaCaracter"/>
        </w:rPr>
        <w:t>Omisión legislativa</w:t>
      </w:r>
      <w:r>
        <w:t xml:space="preserve"> véase </w:t>
      </w:r>
      <w:hyperlink w:anchor="DESCRIPTORALFABETICO326" w:history="1">
        <w:r w:rsidRPr="00CF552A">
          <w:rPr>
            <w:rStyle w:val="TextoNormalNegritaCaracter"/>
          </w:rPr>
          <w:t>Lagunas legales</w:t>
        </w:r>
      </w:hyperlink>
    </w:p>
    <w:p w:rsidR="00CF552A" w:rsidRPr="00CF552A" w:rsidRDefault="00CF552A" w:rsidP="00CF552A">
      <w:pPr>
        <w:pStyle w:val="TextoNormalSangraFrancesa"/>
        <w:rPr>
          <w:rStyle w:val="TextoNormalNegritaCaracter"/>
        </w:rPr>
      </w:pPr>
      <w:r w:rsidRPr="00CF552A">
        <w:rPr>
          <w:rStyle w:val="TextoNormalCursivaCaracter"/>
        </w:rPr>
        <w:t>Onus probandi</w:t>
      </w:r>
      <w:r>
        <w:t xml:space="preserve"> véase </w:t>
      </w:r>
      <w:hyperlink w:anchor="DESCRIPTORALFABETICO402" w:history="1">
        <w:r w:rsidRPr="00CF552A">
          <w:rPr>
            <w:rStyle w:val="TextoNormalNegritaCaracter"/>
          </w:rPr>
          <w:t>Carga de la prueba</w:t>
        </w:r>
      </w:hyperlink>
    </w:p>
    <w:p w:rsidR="00CF552A" w:rsidRPr="00CF552A" w:rsidRDefault="00CF552A" w:rsidP="00CF552A">
      <w:pPr>
        <w:pStyle w:val="TextoNormalSangraFrancesa"/>
        <w:rPr>
          <w:rStyle w:val="TextoNormalCaracter"/>
        </w:rPr>
      </w:pPr>
      <w:bookmarkStart w:id="1053" w:name="DESCRIPTORALFABETICO1"/>
      <w:r w:rsidRPr="00CF552A">
        <w:rPr>
          <w:rStyle w:val="TextoNormalNegritaCaracter"/>
        </w:rPr>
        <w:t>Orden constitucional de competencias</w:t>
      </w:r>
      <w:bookmarkEnd w:id="1053"/>
      <w:r w:rsidRPr="00CF552A">
        <w:rPr>
          <w:rStyle w:val="TextoNormalCaracter"/>
        </w:rPr>
        <w:t xml:space="preserve">, Sentencias </w:t>
      </w:r>
      <w:hyperlink w:anchor="SENTENCIA_1997_28" w:history="1">
        <w:r w:rsidRPr="00CF552A">
          <w:rPr>
            <w:rStyle w:val="TextoNormalCaracter"/>
          </w:rPr>
          <w:t>28/1997</w:t>
        </w:r>
      </w:hyperlink>
      <w:r w:rsidRPr="00CF552A">
        <w:rPr>
          <w:rStyle w:val="TextoNormalCaracter"/>
        </w:rPr>
        <w:t xml:space="preserve">, f. 6; </w:t>
      </w:r>
      <w:hyperlink w:anchor="SENTENCIA_1997_37" w:history="1">
        <w:r w:rsidRPr="00CF552A">
          <w:rPr>
            <w:rStyle w:val="TextoNormalCaracter"/>
          </w:rPr>
          <w:t>37/1997</w:t>
        </w:r>
      </w:hyperlink>
      <w:r w:rsidRPr="00CF552A">
        <w:rPr>
          <w:rStyle w:val="TextoNormalCaracter"/>
        </w:rPr>
        <w:t xml:space="preserve">, f. 3; </w:t>
      </w:r>
      <w:hyperlink w:anchor="SENTENCIA_1997_61" w:history="1">
        <w:r w:rsidRPr="00CF552A">
          <w:rPr>
            <w:rStyle w:val="TextoNormalCaracter"/>
          </w:rPr>
          <w:t>61/1997</w:t>
        </w:r>
      </w:hyperlink>
      <w:r w:rsidRPr="00CF552A">
        <w:rPr>
          <w:rStyle w:val="TextoNormalCaracter"/>
        </w:rPr>
        <w:t xml:space="preserve">, f. 12; </w:t>
      </w:r>
      <w:hyperlink w:anchor="SENTENCIA_1997_70" w:history="1">
        <w:r w:rsidRPr="00CF552A">
          <w:rPr>
            <w:rStyle w:val="TextoNormalCaracter"/>
          </w:rPr>
          <w:t>70/1997</w:t>
        </w:r>
      </w:hyperlink>
      <w:r w:rsidRPr="00CF552A">
        <w:rPr>
          <w:rStyle w:val="TextoNormalCaracter"/>
        </w:rPr>
        <w:t xml:space="preserve">, f. 2; </w:t>
      </w:r>
      <w:hyperlink w:anchor="SENTENCIA_1997_71" w:history="1">
        <w:r w:rsidRPr="00CF552A">
          <w:rPr>
            <w:rStyle w:val="TextoNormalCaracter"/>
          </w:rPr>
          <w:t>71/1997</w:t>
        </w:r>
      </w:hyperlink>
      <w:r w:rsidRPr="00CF552A">
        <w:rPr>
          <w:rStyle w:val="TextoNormalCaracter"/>
        </w:rPr>
        <w:t xml:space="preserve">, ff. 3, 4, 5; </w:t>
      </w:r>
      <w:hyperlink w:anchor="SENTENCIA_1997_87" w:history="1">
        <w:r w:rsidRPr="00CF552A">
          <w:rPr>
            <w:rStyle w:val="TextoNormalCaracter"/>
          </w:rPr>
          <w:t>87/1997</w:t>
        </w:r>
      </w:hyperlink>
      <w:r w:rsidRPr="00CF552A">
        <w:rPr>
          <w:rStyle w:val="TextoNormalCaracter"/>
        </w:rPr>
        <w:t>, f. 4.</w:t>
      </w:r>
    </w:p>
    <w:p w:rsidR="00CF552A" w:rsidRPr="00CF552A" w:rsidRDefault="00CF552A" w:rsidP="00CF552A">
      <w:pPr>
        <w:pStyle w:val="TextoNormalSangraFrancesa"/>
        <w:rPr>
          <w:rStyle w:val="TextoNormalCaracter"/>
        </w:rPr>
      </w:pPr>
      <w:bookmarkStart w:id="1054" w:name="DESCRIPTORALFABETICO21"/>
      <w:r w:rsidRPr="00CF552A">
        <w:rPr>
          <w:rStyle w:val="TextoNormalNegritaCaracter"/>
        </w:rPr>
        <w:t>Ordenación del crédito</w:t>
      </w:r>
      <w:bookmarkEnd w:id="1054"/>
      <w:r w:rsidRPr="00CF552A">
        <w:rPr>
          <w:rStyle w:val="TextoNormalCaracter"/>
        </w:rPr>
        <w:t xml:space="preserve">, Sentencia </w:t>
      </w:r>
      <w:hyperlink w:anchor="SENTENCIA_1997_37" w:history="1">
        <w:r w:rsidRPr="00CF552A">
          <w:rPr>
            <w:rStyle w:val="TextoNormalCaracter"/>
          </w:rPr>
          <w:t>37/1997</w:t>
        </w:r>
      </w:hyperlink>
      <w:r w:rsidRPr="00CF552A">
        <w:rPr>
          <w:rStyle w:val="TextoNormalCaracter"/>
        </w:rPr>
        <w:t>, ff. 3, 4.</w:t>
      </w:r>
    </w:p>
    <w:p w:rsidR="00CF552A" w:rsidRPr="00CF552A" w:rsidRDefault="00CF552A" w:rsidP="00CF552A">
      <w:pPr>
        <w:pStyle w:val="TextoNormalSangraFrancesa"/>
        <w:rPr>
          <w:rStyle w:val="TextoNormalCaracter"/>
        </w:rPr>
      </w:pPr>
      <w:bookmarkStart w:id="1055" w:name="DESCRIPTORALFABETICO286"/>
      <w:r w:rsidRPr="00CF552A">
        <w:rPr>
          <w:rStyle w:val="TextoNormalNegritaCaracter"/>
        </w:rPr>
        <w:t>Ordenación del territorio</w:t>
      </w:r>
      <w:bookmarkEnd w:id="1055"/>
      <w:r w:rsidRPr="00CF552A">
        <w:rPr>
          <w:rStyle w:val="TextoNormalCaracter"/>
        </w:rPr>
        <w:t xml:space="preserve">, Sentencia </w:t>
      </w:r>
      <w:hyperlink w:anchor="SENTENCIA_1997_28" w:history="1">
        <w:r w:rsidRPr="00CF552A">
          <w:rPr>
            <w:rStyle w:val="TextoNormalCaracter"/>
          </w:rPr>
          <w:t>28/1997</w:t>
        </w:r>
      </w:hyperlink>
      <w:r w:rsidRPr="00CF552A">
        <w:rPr>
          <w:rStyle w:val="TextoNormalCaracter"/>
        </w:rPr>
        <w:t>, ff. 5, 6.</w:t>
      </w:r>
    </w:p>
    <w:p w:rsidR="00CF552A" w:rsidRPr="00CF552A" w:rsidRDefault="00CF552A" w:rsidP="00CF552A">
      <w:pPr>
        <w:pStyle w:val="TextoNormalSangraFrancesa"/>
        <w:rPr>
          <w:rStyle w:val="TextoNormalCaracter"/>
        </w:rPr>
      </w:pPr>
      <w:bookmarkStart w:id="1056" w:name="DESCRIPTORALFABETICO199"/>
      <w:r w:rsidRPr="00CF552A">
        <w:rPr>
          <w:rStyle w:val="TextoNormalNegritaCaracter"/>
        </w:rPr>
        <w:t>Órganos judiciales</w:t>
      </w:r>
      <w:bookmarkEnd w:id="1056"/>
      <w:r w:rsidRPr="00CF552A">
        <w:rPr>
          <w:rStyle w:val="TextoNormalCaracter"/>
        </w:rPr>
        <w:t xml:space="preserve">, Sentencia </w:t>
      </w:r>
      <w:hyperlink w:anchor="SENTENCIA_1997_21" w:history="1">
        <w:r w:rsidRPr="00CF552A">
          <w:rPr>
            <w:rStyle w:val="TextoNormalCaracter"/>
          </w:rPr>
          <w:t>21/1997</w:t>
        </w:r>
      </w:hyperlink>
      <w:r w:rsidRPr="00CF552A">
        <w:rPr>
          <w:rStyle w:val="TextoNormalCaracter"/>
        </w:rPr>
        <w:t>, f. 3.</w:t>
      </w:r>
    </w:p>
    <w:p w:rsidR="00CF552A" w:rsidRPr="00CF552A" w:rsidRDefault="00CF552A" w:rsidP="00CF552A">
      <w:pPr>
        <w:pStyle w:val="TextoNormalSangraFrancesa"/>
        <w:rPr>
          <w:rStyle w:val="TextoNormalCaracter"/>
        </w:rPr>
      </w:pPr>
      <w:bookmarkStart w:id="1057" w:name="DESCRIPTORALFABETICO469"/>
      <w:r w:rsidRPr="00CF552A">
        <w:rPr>
          <w:rStyle w:val="TextoNormalNegritaCaracter"/>
        </w:rPr>
        <w:t>Otras medidas cautelares restrictivas de la libertad personal</w:t>
      </w:r>
      <w:bookmarkEnd w:id="1057"/>
      <w:r w:rsidRPr="00CF552A">
        <w:rPr>
          <w:rStyle w:val="TextoNormalCaracter"/>
        </w:rPr>
        <w:t xml:space="preserve">, Sentencia </w:t>
      </w:r>
      <w:hyperlink w:anchor="SENTENCIA_1997_56" w:history="1">
        <w:r w:rsidRPr="00CF552A">
          <w:rPr>
            <w:rStyle w:val="TextoNormalCaracter"/>
          </w:rPr>
          <w:t>56/1997</w:t>
        </w:r>
      </w:hyperlink>
      <w:r w:rsidRPr="00CF552A">
        <w:rPr>
          <w:rStyle w:val="TextoNormalCaracter"/>
        </w:rPr>
        <w:t>, ff. 9, 10, VP I, VP II.</w:t>
      </w:r>
    </w:p>
    <w:p w:rsidR="00CF552A" w:rsidRDefault="00CF552A" w:rsidP="00CF552A">
      <w:pPr>
        <w:pStyle w:val="TextoNormalSangraFrancesa"/>
      </w:pPr>
    </w:p>
    <w:p w:rsidR="00CF552A" w:rsidRDefault="00CF552A" w:rsidP="00CF552A">
      <w:pPr>
        <w:pStyle w:val="TextoNormalSangraFrancesa"/>
      </w:pPr>
    </w:p>
    <w:p w:rsidR="00CF552A" w:rsidRDefault="00CF552A" w:rsidP="00CF552A">
      <w:pPr>
        <w:pStyle w:val="TextoNormalNegritaCentrado"/>
      </w:pPr>
      <w:r>
        <w:t>P</w:t>
      </w:r>
    </w:p>
    <w:p w:rsidR="00CF552A" w:rsidRDefault="00CF552A" w:rsidP="00CF552A">
      <w:pPr>
        <w:pStyle w:val="TextoNormalNegritaCentrado"/>
      </w:pPr>
    </w:p>
    <w:p w:rsidR="00CF552A" w:rsidRDefault="00CF552A" w:rsidP="00CF552A">
      <w:pPr>
        <w:pStyle w:val="TextoNormalNegritaCentrado"/>
      </w:pPr>
    </w:p>
    <w:p w:rsidR="00CF552A" w:rsidRDefault="00CF552A" w:rsidP="00CF552A">
      <w:pPr>
        <w:pStyle w:val="TextoNormalNegritaCentrado"/>
      </w:pPr>
    </w:p>
    <w:p w:rsidR="00CF552A" w:rsidRPr="00CF552A" w:rsidRDefault="00CF552A" w:rsidP="00CF552A">
      <w:pPr>
        <w:pStyle w:val="TextoNormalSangraFrancesa"/>
        <w:rPr>
          <w:rStyle w:val="TextoNormalCaracter"/>
        </w:rPr>
      </w:pPr>
      <w:bookmarkStart w:id="1058" w:name="DESCRIPTORALFABETICO495"/>
      <w:r w:rsidRPr="00CF552A">
        <w:rPr>
          <w:rStyle w:val="TextoNormalNegritaCaracter"/>
        </w:rPr>
        <w:t>País Vasco</w:t>
      </w:r>
      <w:bookmarkEnd w:id="1058"/>
      <w:r w:rsidRPr="00CF552A">
        <w:rPr>
          <w:rStyle w:val="TextoNormalCaracter"/>
        </w:rPr>
        <w:t xml:space="preserve">, Sentencia </w:t>
      </w:r>
      <w:hyperlink w:anchor="SENTENCIA_1997_70" w:history="1">
        <w:r w:rsidRPr="00CF552A">
          <w:rPr>
            <w:rStyle w:val="TextoNormalCaracter"/>
          </w:rPr>
          <w:t>70/1997</w:t>
        </w:r>
      </w:hyperlink>
      <w:r w:rsidRPr="00CF552A">
        <w:rPr>
          <w:rStyle w:val="TextoNormalCaracter"/>
        </w:rPr>
        <w:t>, f. 3.</w:t>
      </w:r>
    </w:p>
    <w:p w:rsidR="00CF552A" w:rsidRPr="00CF552A" w:rsidRDefault="00CF552A" w:rsidP="00CF552A">
      <w:pPr>
        <w:pStyle w:val="TextoNormalSangraFrancesa"/>
        <w:rPr>
          <w:rStyle w:val="TextoNormalCaracter"/>
        </w:rPr>
      </w:pPr>
      <w:bookmarkStart w:id="1059" w:name="DESCRIPTORALFABETICO213"/>
      <w:r w:rsidRPr="00CF552A">
        <w:rPr>
          <w:rStyle w:val="TextoNormalNegritaCaracter"/>
        </w:rPr>
        <w:t>Parlamento de Galicia</w:t>
      </w:r>
      <w:bookmarkEnd w:id="1059"/>
      <w:r w:rsidRPr="00CF552A">
        <w:rPr>
          <w:rStyle w:val="TextoNormalCaracter"/>
        </w:rPr>
        <w:t xml:space="preserve">, Auto </w:t>
      </w:r>
      <w:hyperlink w:anchor="AUTO_1997_42" w:history="1">
        <w:r w:rsidRPr="00CF552A">
          <w:rPr>
            <w:rStyle w:val="TextoNormalCaracter"/>
          </w:rPr>
          <w:t>42/1997</w:t>
        </w:r>
      </w:hyperlink>
      <w:r w:rsidRPr="00CF552A">
        <w:rPr>
          <w:rStyle w:val="TextoNormalCaracter"/>
        </w:rPr>
        <w:t>.</w:t>
      </w:r>
    </w:p>
    <w:p w:rsidR="00CF552A" w:rsidRPr="00CF552A" w:rsidRDefault="00CF552A" w:rsidP="00CF552A">
      <w:pPr>
        <w:pStyle w:val="TextoNormalSangraFrancesa"/>
        <w:rPr>
          <w:rStyle w:val="TextoNormalCaracter"/>
        </w:rPr>
      </w:pPr>
      <w:bookmarkStart w:id="1060" w:name="DESCRIPTORALFABETICO329"/>
      <w:r w:rsidRPr="00CF552A">
        <w:rPr>
          <w:rStyle w:val="TextoNormalNegritaCaracter"/>
        </w:rPr>
        <w:t>Penas privativas de libertad</w:t>
      </w:r>
      <w:bookmarkEnd w:id="1060"/>
      <w:r w:rsidRPr="00CF552A">
        <w:rPr>
          <w:rStyle w:val="TextoNormalCaracter"/>
        </w:rPr>
        <w:t xml:space="preserve">, Sentencias </w:t>
      </w:r>
      <w:hyperlink w:anchor="SENTENCIA_1997_2" w:history="1">
        <w:r w:rsidRPr="00CF552A">
          <w:rPr>
            <w:rStyle w:val="TextoNormalCaracter"/>
          </w:rPr>
          <w:t>2/1997</w:t>
        </w:r>
      </w:hyperlink>
      <w:r w:rsidRPr="00CF552A">
        <w:rPr>
          <w:rStyle w:val="TextoNormalCaracter"/>
        </w:rPr>
        <w:t xml:space="preserve">, f. 3; </w:t>
      </w:r>
      <w:hyperlink w:anchor="SENTENCIA_1997_43" w:history="1">
        <w:r w:rsidRPr="00CF552A">
          <w:rPr>
            <w:rStyle w:val="TextoNormalCaracter"/>
          </w:rPr>
          <w:t>43/1997</w:t>
        </w:r>
      </w:hyperlink>
      <w:r w:rsidRPr="00CF552A">
        <w:rPr>
          <w:rStyle w:val="TextoNormalCaracter"/>
        </w:rPr>
        <w:t xml:space="preserve">, ff. 5, 6; </w:t>
      </w:r>
      <w:hyperlink w:anchor="SENTENCIA_1997_81" w:history="1">
        <w:r w:rsidRPr="00CF552A">
          <w:rPr>
            <w:rStyle w:val="TextoNormalCaracter"/>
          </w:rPr>
          <w:t>81/1997</w:t>
        </w:r>
      </w:hyperlink>
      <w:r w:rsidRPr="00CF552A">
        <w:rPr>
          <w:rStyle w:val="TextoNormalCaracter"/>
        </w:rPr>
        <w:t>, ff. 1, 2, 3, 4, 5.</w:t>
      </w:r>
    </w:p>
    <w:p w:rsidR="00CF552A" w:rsidRPr="00CF552A" w:rsidRDefault="00CF552A" w:rsidP="00CF552A">
      <w:pPr>
        <w:pStyle w:val="TextoNormalSangraFrancesa"/>
        <w:rPr>
          <w:rStyle w:val="TextoNormalCaracter"/>
        </w:rPr>
      </w:pPr>
      <w:r w:rsidRPr="00CF552A">
        <w:rPr>
          <w:rStyle w:val="TextoNormalCaracter"/>
        </w:rPr>
        <w:t xml:space="preserve">    Auto </w:t>
      </w:r>
      <w:hyperlink w:anchor="AUTO_1997_106" w:history="1">
        <w:r w:rsidRPr="00CF552A">
          <w:rPr>
            <w:rStyle w:val="TextoNormalCaracter"/>
          </w:rPr>
          <w:t>106/1997</w:t>
        </w:r>
      </w:hyperlink>
      <w:r w:rsidRPr="00CF552A">
        <w:rPr>
          <w:rStyle w:val="TextoNormalCaracter"/>
        </w:rPr>
        <w:t>.</w:t>
      </w:r>
    </w:p>
    <w:p w:rsidR="00CF552A" w:rsidRPr="00CF552A" w:rsidRDefault="00CF552A" w:rsidP="00CF552A">
      <w:pPr>
        <w:pStyle w:val="TextoNormalSangraFrancesa"/>
        <w:rPr>
          <w:rStyle w:val="TextoNormalCaracter"/>
        </w:rPr>
      </w:pPr>
      <w:bookmarkStart w:id="1061" w:name="DESCRIPTORALFABETICO181"/>
      <w:r w:rsidRPr="00CF552A">
        <w:rPr>
          <w:rStyle w:val="TextoNormalNegritaCaracter"/>
        </w:rPr>
        <w:t>Pendencia de recursos judiciales</w:t>
      </w:r>
      <w:bookmarkEnd w:id="1061"/>
      <w:r w:rsidRPr="00CF552A">
        <w:rPr>
          <w:rStyle w:val="TextoNormalCaracter"/>
        </w:rPr>
        <w:t xml:space="preserve">, Auto </w:t>
      </w:r>
      <w:hyperlink w:anchor="AUTO_1997_30" w:history="1">
        <w:r w:rsidRPr="00CF552A">
          <w:rPr>
            <w:rStyle w:val="TextoNormalCaracter"/>
          </w:rPr>
          <w:t>30/1997</w:t>
        </w:r>
      </w:hyperlink>
      <w:r w:rsidRPr="00CF552A">
        <w:rPr>
          <w:rStyle w:val="TextoNormalCaracter"/>
        </w:rPr>
        <w:t>.</w:t>
      </w:r>
    </w:p>
    <w:p w:rsidR="00CF552A" w:rsidRPr="00CF552A" w:rsidRDefault="00CF552A" w:rsidP="00CF552A">
      <w:pPr>
        <w:pStyle w:val="TextoNormalSangraFrancesa"/>
        <w:rPr>
          <w:rStyle w:val="TextoNormalCaracter"/>
        </w:rPr>
      </w:pPr>
      <w:bookmarkStart w:id="1062" w:name="DESCRIPTORALFABETICO351"/>
      <w:r w:rsidRPr="00CF552A">
        <w:rPr>
          <w:rStyle w:val="TextoNormalNegritaCaracter"/>
        </w:rPr>
        <w:t>Pensión de invalidez</w:t>
      </w:r>
      <w:bookmarkEnd w:id="1062"/>
      <w:r w:rsidRPr="00CF552A">
        <w:rPr>
          <w:rStyle w:val="TextoNormalCaracter"/>
        </w:rPr>
        <w:t xml:space="preserve">, Sentencia </w:t>
      </w:r>
      <w:hyperlink w:anchor="SENTENCIA_1997_80" w:history="1">
        <w:r w:rsidRPr="00CF552A">
          <w:rPr>
            <w:rStyle w:val="TextoNormalCaracter"/>
          </w:rPr>
          <w:t>80/1997</w:t>
        </w:r>
      </w:hyperlink>
      <w:r w:rsidRPr="00CF552A">
        <w:rPr>
          <w:rStyle w:val="TextoNormalCaracter"/>
        </w:rPr>
        <w:t>, f. único.</w:t>
      </w:r>
    </w:p>
    <w:p w:rsidR="00CF552A" w:rsidRPr="00CF552A" w:rsidRDefault="00CF552A" w:rsidP="00CF552A">
      <w:pPr>
        <w:pStyle w:val="TextoNormalSangraFrancesa"/>
        <w:rPr>
          <w:rStyle w:val="TextoNormalNegritaCaracter"/>
        </w:rPr>
      </w:pPr>
      <w:r w:rsidRPr="00CF552A">
        <w:rPr>
          <w:rStyle w:val="TextoNormalCursivaCaracter"/>
        </w:rPr>
        <w:t>Pensión de invalidez permanente</w:t>
      </w:r>
      <w:r>
        <w:t xml:space="preserve"> véase </w:t>
      </w:r>
      <w:hyperlink w:anchor="DESCRIPTORALFABETICO351" w:history="1">
        <w:r w:rsidRPr="00CF552A">
          <w:rPr>
            <w:rStyle w:val="TextoNormalNegritaCaracter"/>
          </w:rPr>
          <w:t>Pensión de invalidez</w:t>
        </w:r>
      </w:hyperlink>
    </w:p>
    <w:p w:rsidR="00CF552A" w:rsidRPr="00CF552A" w:rsidRDefault="00CF552A" w:rsidP="00CF552A">
      <w:pPr>
        <w:pStyle w:val="TextoNormalSangraFrancesa"/>
        <w:rPr>
          <w:rStyle w:val="TextoNormalNegritaCaracter"/>
        </w:rPr>
      </w:pPr>
      <w:r w:rsidRPr="00CF552A">
        <w:rPr>
          <w:rStyle w:val="TextoNormalCursivaCaracter"/>
        </w:rPr>
        <w:t>Pérdida de la condición de diputado</w:t>
      </w:r>
      <w:r>
        <w:t xml:space="preserve"> véase </w:t>
      </w:r>
      <w:hyperlink w:anchor="DESCRIPTORALFABETICO209" w:history="1">
        <w:r w:rsidRPr="00CF552A">
          <w:rPr>
            <w:rStyle w:val="TextoNormalNegritaCaracter"/>
          </w:rPr>
          <w:t>Pérdida de la condición de parlamentario</w:t>
        </w:r>
      </w:hyperlink>
    </w:p>
    <w:p w:rsidR="00CF552A" w:rsidRPr="00CF552A" w:rsidRDefault="00CF552A" w:rsidP="00CF552A">
      <w:pPr>
        <w:pStyle w:val="TextoNormalSangraFrancesa"/>
        <w:rPr>
          <w:rStyle w:val="TextoNormalCaracter"/>
        </w:rPr>
      </w:pPr>
      <w:bookmarkStart w:id="1063" w:name="DESCRIPTORALFABETICO209"/>
      <w:r w:rsidRPr="00CF552A">
        <w:rPr>
          <w:rStyle w:val="TextoNormalNegritaCaracter"/>
        </w:rPr>
        <w:t>Pérdida de la condición de parlamentario</w:t>
      </w:r>
      <w:bookmarkEnd w:id="1063"/>
      <w:r w:rsidRPr="00CF552A">
        <w:rPr>
          <w:rStyle w:val="TextoNormalCaracter"/>
        </w:rPr>
        <w:t xml:space="preserve">, Sentencia </w:t>
      </w:r>
      <w:hyperlink w:anchor="SENTENCIA_1997_22" w:history="1">
        <w:r w:rsidRPr="00CF552A">
          <w:rPr>
            <w:rStyle w:val="TextoNormalCaracter"/>
          </w:rPr>
          <w:t>22/1997</w:t>
        </w:r>
      </w:hyperlink>
      <w:r w:rsidRPr="00CF552A">
        <w:rPr>
          <w:rStyle w:val="TextoNormalCaracter"/>
        </w:rPr>
        <w:t>, ff. 7, 8, VP.</w:t>
      </w:r>
    </w:p>
    <w:p w:rsidR="00CF552A" w:rsidRPr="00CF552A" w:rsidRDefault="00CF552A" w:rsidP="00CF552A">
      <w:pPr>
        <w:pStyle w:val="TextoNormalSangraFrancesa"/>
        <w:rPr>
          <w:rStyle w:val="TextoNormalCaracter"/>
        </w:rPr>
      </w:pPr>
      <w:bookmarkStart w:id="1064" w:name="DESCRIPTORALFABETICO157"/>
      <w:r w:rsidRPr="00CF552A">
        <w:rPr>
          <w:rStyle w:val="TextoNormalNegritaCaracter"/>
        </w:rPr>
        <w:t>Pérdida sobrevenida de objeto de la cuestión de inconstitucionalidad</w:t>
      </w:r>
      <w:bookmarkEnd w:id="1064"/>
      <w:r w:rsidRPr="00CF552A">
        <w:rPr>
          <w:rStyle w:val="TextoNormalCaracter"/>
        </w:rPr>
        <w:t xml:space="preserve">, Auto </w:t>
      </w:r>
      <w:hyperlink w:anchor="AUTO_1997_25" w:history="1">
        <w:r w:rsidRPr="00CF552A">
          <w:rPr>
            <w:rStyle w:val="TextoNormalCaracter"/>
          </w:rPr>
          <w:t>25/1997</w:t>
        </w:r>
      </w:hyperlink>
      <w:r w:rsidRPr="00CF552A">
        <w:rPr>
          <w:rStyle w:val="TextoNormalCaracter"/>
        </w:rPr>
        <w:t>.</w:t>
      </w:r>
    </w:p>
    <w:p w:rsidR="00CF552A" w:rsidRPr="00CF552A" w:rsidRDefault="00CF552A" w:rsidP="00CF552A">
      <w:pPr>
        <w:pStyle w:val="TextoNormalSangraFrancesa"/>
        <w:rPr>
          <w:rStyle w:val="TextoNormalCaracter"/>
        </w:rPr>
      </w:pPr>
      <w:bookmarkStart w:id="1065" w:name="DESCRIPTORALFABETICO160"/>
      <w:r w:rsidRPr="00CF552A">
        <w:rPr>
          <w:rStyle w:val="TextoNormalNegritaCaracter"/>
        </w:rPr>
        <w:t>Pérdida sobrevenida de objeto del recurso de inconstitucionalidad</w:t>
      </w:r>
      <w:bookmarkEnd w:id="1065"/>
      <w:r w:rsidRPr="00CF552A">
        <w:rPr>
          <w:rStyle w:val="TextoNormalCaracter"/>
        </w:rPr>
        <w:t xml:space="preserve">, Auto </w:t>
      </w:r>
      <w:hyperlink w:anchor="AUTO_1997_103" w:history="1">
        <w:r w:rsidRPr="00CF552A">
          <w:rPr>
            <w:rStyle w:val="TextoNormalCaracter"/>
          </w:rPr>
          <w:t>103/1997</w:t>
        </w:r>
      </w:hyperlink>
      <w:r w:rsidRPr="00CF552A">
        <w:rPr>
          <w:rStyle w:val="TextoNormalCaracter"/>
        </w:rPr>
        <w:t>.</w:t>
      </w:r>
    </w:p>
    <w:p w:rsidR="00CF552A" w:rsidRPr="00CF552A" w:rsidRDefault="00CF552A" w:rsidP="00CF552A">
      <w:pPr>
        <w:pStyle w:val="TextoNormalSangraFrancesa"/>
        <w:rPr>
          <w:rStyle w:val="TextoNormalCaracter"/>
        </w:rPr>
      </w:pPr>
      <w:bookmarkStart w:id="1066" w:name="DESCRIPTORALFABETICO143"/>
      <w:r w:rsidRPr="00CF552A">
        <w:rPr>
          <w:rStyle w:val="TextoNormalNegritaCaracter"/>
        </w:rPr>
        <w:t>Pérdida sobrevenida de objeto por derogación de la norma</w:t>
      </w:r>
      <w:bookmarkEnd w:id="1066"/>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 3.</w:t>
      </w:r>
    </w:p>
    <w:p w:rsidR="00CF552A" w:rsidRPr="00CF552A" w:rsidRDefault="00CF552A" w:rsidP="00CF552A">
      <w:pPr>
        <w:pStyle w:val="TextoNormalSangraFrancesa"/>
        <w:rPr>
          <w:rStyle w:val="TextoNormalNegritaCaracter"/>
        </w:rPr>
      </w:pPr>
      <w:r w:rsidRPr="00CF552A">
        <w:rPr>
          <w:rStyle w:val="TextoNormalCursivaCaracter"/>
        </w:rPr>
        <w:t>Permisos de salida de los reclusos</w:t>
      </w:r>
      <w:r>
        <w:t xml:space="preserve"> véase </w:t>
      </w:r>
      <w:hyperlink w:anchor="DESCRIPTORALFABETICO339" w:history="1">
        <w:r w:rsidRPr="00CF552A">
          <w:rPr>
            <w:rStyle w:val="TextoNormalNegritaCaracter"/>
          </w:rPr>
          <w:t>Permisos de salida penitenciarios</w:t>
        </w:r>
      </w:hyperlink>
    </w:p>
    <w:p w:rsidR="00CF552A" w:rsidRPr="00CF552A" w:rsidRDefault="00CF552A" w:rsidP="00CF552A">
      <w:pPr>
        <w:pStyle w:val="TextoNormalSangraFrancesa"/>
        <w:rPr>
          <w:rStyle w:val="TextoNormalCaracter"/>
        </w:rPr>
      </w:pPr>
      <w:bookmarkStart w:id="1067" w:name="DESCRIPTORALFABETICO339"/>
      <w:r w:rsidRPr="00CF552A">
        <w:rPr>
          <w:rStyle w:val="TextoNormalNegritaCaracter"/>
        </w:rPr>
        <w:t>Permisos de salida penitenciarios</w:t>
      </w:r>
      <w:bookmarkEnd w:id="1067"/>
      <w:r w:rsidRPr="00CF552A">
        <w:rPr>
          <w:rStyle w:val="TextoNormalCaracter"/>
        </w:rPr>
        <w:t xml:space="preserve">, Sentencias </w:t>
      </w:r>
      <w:hyperlink w:anchor="SENTENCIA_1997_2" w:history="1">
        <w:r w:rsidRPr="00CF552A">
          <w:rPr>
            <w:rStyle w:val="TextoNormalCaracter"/>
          </w:rPr>
          <w:t>2/1997</w:t>
        </w:r>
      </w:hyperlink>
      <w:r w:rsidRPr="00CF552A">
        <w:rPr>
          <w:rStyle w:val="TextoNormalCaracter"/>
        </w:rPr>
        <w:t xml:space="preserve">, ff. 1, 2, 3, 4, 5; </w:t>
      </w:r>
      <w:hyperlink w:anchor="SENTENCIA_1997_81" w:history="1">
        <w:r w:rsidRPr="00CF552A">
          <w:rPr>
            <w:rStyle w:val="TextoNormalCaracter"/>
          </w:rPr>
          <w:t>81/1997</w:t>
        </w:r>
      </w:hyperlink>
      <w:r w:rsidRPr="00CF552A">
        <w:rPr>
          <w:rStyle w:val="TextoNormalCaracter"/>
        </w:rPr>
        <w:t>, ff. 1, 2, 3, 4, 5.</w:t>
      </w:r>
    </w:p>
    <w:p w:rsidR="00CF552A" w:rsidRPr="00CF552A" w:rsidRDefault="00CF552A" w:rsidP="00CF552A">
      <w:pPr>
        <w:pStyle w:val="TextoNormalSangraFrancesa"/>
        <w:rPr>
          <w:rStyle w:val="TextoNormalCaracter"/>
        </w:rPr>
      </w:pPr>
      <w:r w:rsidRPr="00CF552A">
        <w:rPr>
          <w:rStyle w:val="TextoNormalCursivaCaracter"/>
        </w:rPr>
        <w:t xml:space="preserve">    Requisitos, </w:t>
      </w:r>
      <w:r w:rsidRPr="00CF552A">
        <w:rPr>
          <w:rStyle w:val="TextoNormalCaracter"/>
        </w:rPr>
        <w:t xml:space="preserve">Sentencias </w:t>
      </w:r>
      <w:hyperlink w:anchor="SENTENCIA_1997_2" w:history="1">
        <w:r w:rsidRPr="00CF552A">
          <w:rPr>
            <w:rStyle w:val="TextoNormalCaracter"/>
          </w:rPr>
          <w:t>2/1997</w:t>
        </w:r>
      </w:hyperlink>
      <w:r w:rsidRPr="00CF552A">
        <w:rPr>
          <w:rStyle w:val="TextoNormalCaracter"/>
        </w:rPr>
        <w:t xml:space="preserve">, f. 4; </w:t>
      </w:r>
      <w:hyperlink w:anchor="SENTENCIA_1997_81" w:history="1">
        <w:r w:rsidRPr="00CF552A">
          <w:rPr>
            <w:rStyle w:val="TextoNormalCaracter"/>
          </w:rPr>
          <w:t>81/1997</w:t>
        </w:r>
      </w:hyperlink>
      <w:r w:rsidRPr="00CF552A">
        <w:rPr>
          <w:rStyle w:val="TextoNormalCaracter"/>
        </w:rPr>
        <w:t>, ff. 3, 5.</w:t>
      </w:r>
    </w:p>
    <w:p w:rsidR="00CF552A" w:rsidRPr="00CF552A" w:rsidRDefault="00CF552A" w:rsidP="00CF552A">
      <w:pPr>
        <w:pStyle w:val="TextoNormalSangraFrancesa"/>
        <w:rPr>
          <w:rStyle w:val="TextoNormalCaracter"/>
        </w:rPr>
      </w:pPr>
      <w:bookmarkStart w:id="1068" w:name="DESCRIPTORALFABETICO277"/>
      <w:r w:rsidRPr="00CF552A">
        <w:rPr>
          <w:rStyle w:val="TextoNormalNegritaCaracter"/>
        </w:rPr>
        <w:t>Persecución de narcotráfico en buque de pabellón extranjero</w:t>
      </w:r>
      <w:bookmarkEnd w:id="1068"/>
      <w:r w:rsidRPr="00CF552A">
        <w:rPr>
          <w:rStyle w:val="TextoNormalCaracter"/>
        </w:rPr>
        <w:t xml:space="preserve">, Sentencia </w:t>
      </w:r>
      <w:hyperlink w:anchor="SENTENCIA_1997_21" w:history="1">
        <w:r w:rsidRPr="00CF552A">
          <w:rPr>
            <w:rStyle w:val="TextoNormalCaracter"/>
          </w:rPr>
          <w:t>21/1997</w:t>
        </w:r>
      </w:hyperlink>
      <w:r w:rsidRPr="00CF552A">
        <w:rPr>
          <w:rStyle w:val="TextoNormalCaracter"/>
        </w:rPr>
        <w:t>, f. 3.</w:t>
      </w:r>
    </w:p>
    <w:p w:rsidR="00CF552A" w:rsidRPr="00CF552A" w:rsidRDefault="00CF552A" w:rsidP="00CF552A">
      <w:pPr>
        <w:pStyle w:val="TextoNormalSangraFrancesa"/>
        <w:rPr>
          <w:rStyle w:val="TextoNormalCaracter"/>
        </w:rPr>
      </w:pPr>
      <w:bookmarkStart w:id="1069" w:name="DESCRIPTORALFABETICO276"/>
      <w:r w:rsidRPr="00CF552A">
        <w:rPr>
          <w:rStyle w:val="TextoNormalNegritaCaracter"/>
        </w:rPr>
        <w:t>Persecución del narcotráfico</w:t>
      </w:r>
      <w:bookmarkEnd w:id="1069"/>
      <w:r w:rsidRPr="00CF552A">
        <w:rPr>
          <w:rStyle w:val="TextoNormalCaracter"/>
        </w:rPr>
        <w:t xml:space="preserve">, Sentencia </w:t>
      </w:r>
      <w:hyperlink w:anchor="SENTENCIA_1997_21" w:history="1">
        <w:r w:rsidRPr="00CF552A">
          <w:rPr>
            <w:rStyle w:val="TextoNormalCaracter"/>
          </w:rPr>
          <w:t>21/1997</w:t>
        </w:r>
      </w:hyperlink>
      <w:r w:rsidRPr="00CF552A">
        <w:rPr>
          <w:rStyle w:val="TextoNormalCaracter"/>
        </w:rPr>
        <w:t>, f. 3.</w:t>
      </w:r>
    </w:p>
    <w:p w:rsidR="00CF552A" w:rsidRPr="00CF552A" w:rsidRDefault="00CF552A" w:rsidP="00CF552A">
      <w:pPr>
        <w:pStyle w:val="TextoNormalSangraFrancesa"/>
        <w:rPr>
          <w:rStyle w:val="TextoNormalCaracter"/>
        </w:rPr>
      </w:pPr>
      <w:bookmarkStart w:id="1070" w:name="DESCRIPTORALFABETICO278"/>
      <w:r w:rsidRPr="00CF552A">
        <w:rPr>
          <w:rStyle w:val="TextoNormalNegritaCaracter"/>
        </w:rPr>
        <w:t>Persecución en alta mar</w:t>
      </w:r>
      <w:bookmarkEnd w:id="1070"/>
      <w:r w:rsidRPr="00CF552A">
        <w:rPr>
          <w:rStyle w:val="TextoNormalCaracter"/>
        </w:rPr>
        <w:t xml:space="preserve">, Sentencia </w:t>
      </w:r>
      <w:hyperlink w:anchor="SENTENCIA_1997_21" w:history="1">
        <w:r w:rsidRPr="00CF552A">
          <w:rPr>
            <w:rStyle w:val="TextoNormalCaracter"/>
          </w:rPr>
          <w:t>21/1997</w:t>
        </w:r>
      </w:hyperlink>
      <w:r w:rsidRPr="00CF552A">
        <w:rPr>
          <w:rStyle w:val="TextoNormalCaracter"/>
        </w:rPr>
        <w:t>, f. 3.</w:t>
      </w:r>
    </w:p>
    <w:p w:rsidR="00CF552A" w:rsidRPr="00CF552A" w:rsidRDefault="00CF552A" w:rsidP="00CF552A">
      <w:pPr>
        <w:pStyle w:val="TextoNormalSangraFrancesa"/>
        <w:rPr>
          <w:rStyle w:val="TextoNormalCaracter"/>
        </w:rPr>
      </w:pPr>
      <w:bookmarkStart w:id="1071" w:name="DESCRIPTORALFABETICO274"/>
      <w:r w:rsidRPr="00CF552A">
        <w:rPr>
          <w:rStyle w:val="TextoNormalNegritaCaracter"/>
        </w:rPr>
        <w:lastRenderedPageBreak/>
        <w:t>Personal al servicio de las Administraciones públicas</w:t>
      </w:r>
      <w:bookmarkEnd w:id="1071"/>
      <w:r w:rsidRPr="00CF552A">
        <w:rPr>
          <w:rStyle w:val="TextoNormalCaracter"/>
        </w:rPr>
        <w:t xml:space="preserve">, Sentencia </w:t>
      </w:r>
      <w:hyperlink w:anchor="SENTENCIA_1997_73" w:history="1">
        <w:r w:rsidRPr="00CF552A">
          <w:rPr>
            <w:rStyle w:val="TextoNormalCaracter"/>
          </w:rPr>
          <w:t>73/1997</w:t>
        </w:r>
      </w:hyperlink>
      <w:r w:rsidRPr="00CF552A">
        <w:rPr>
          <w:rStyle w:val="TextoNormalCaracter"/>
        </w:rPr>
        <w:t>, ff. 1, 2, 3, 4, 5.</w:t>
      </w:r>
    </w:p>
    <w:p w:rsidR="00CF552A" w:rsidRPr="00CF552A" w:rsidRDefault="00CF552A" w:rsidP="00CF552A">
      <w:pPr>
        <w:pStyle w:val="TextoNormalSangraFrancesa"/>
        <w:rPr>
          <w:rStyle w:val="TextoNormalNegritaCaracter"/>
        </w:rPr>
      </w:pPr>
      <w:r w:rsidRPr="00CF552A">
        <w:rPr>
          <w:rStyle w:val="TextoNormalCursivaCaracter"/>
        </w:rPr>
        <w:t>Personas jurídicas de Derecho público</w:t>
      </w:r>
      <w:r>
        <w:t xml:space="preserve"> véase </w:t>
      </w:r>
      <w:hyperlink w:anchor="DESCRIPTORALFABETICO195" w:history="1">
        <w:r w:rsidRPr="00CF552A">
          <w:rPr>
            <w:rStyle w:val="TextoNormalNegritaCaracter"/>
          </w:rPr>
          <w:t>Personas jurídicas públicas</w:t>
        </w:r>
      </w:hyperlink>
    </w:p>
    <w:p w:rsidR="00CF552A" w:rsidRPr="00CF552A" w:rsidRDefault="00CF552A" w:rsidP="00CF552A">
      <w:pPr>
        <w:pStyle w:val="TextoNormalSangraFrancesa"/>
        <w:rPr>
          <w:rStyle w:val="TextoNormalCaracter"/>
        </w:rPr>
      </w:pPr>
      <w:bookmarkStart w:id="1072" w:name="DESCRIPTORALFABETICO195"/>
      <w:r w:rsidRPr="00CF552A">
        <w:rPr>
          <w:rStyle w:val="TextoNormalNegritaCaracter"/>
        </w:rPr>
        <w:t>Personas jurídicas públicas</w:t>
      </w:r>
      <w:bookmarkEnd w:id="1072"/>
      <w:r w:rsidRPr="00CF552A">
        <w:rPr>
          <w:rStyle w:val="TextoNormalCaracter"/>
        </w:rPr>
        <w:t xml:space="preserve">, Sentencia </w:t>
      </w:r>
      <w:hyperlink w:anchor="SENTENCIA_1997_41" w:history="1">
        <w:r w:rsidRPr="00CF552A">
          <w:rPr>
            <w:rStyle w:val="TextoNormalCaracter"/>
          </w:rPr>
          <w:t>41/1997</w:t>
        </w:r>
      </w:hyperlink>
      <w:r w:rsidRPr="00CF552A">
        <w:rPr>
          <w:rStyle w:val="TextoNormalCaracter"/>
        </w:rPr>
        <w:t>, f. 5.</w:t>
      </w:r>
    </w:p>
    <w:p w:rsidR="00CF552A" w:rsidRPr="00CF552A" w:rsidRDefault="00CF552A" w:rsidP="00CF552A">
      <w:pPr>
        <w:pStyle w:val="TextoNormalSangraFrancesa"/>
        <w:rPr>
          <w:rStyle w:val="TextoNormalCaracter"/>
        </w:rPr>
      </w:pPr>
      <w:bookmarkStart w:id="1073" w:name="DESCRIPTORALFABETICO174"/>
      <w:r w:rsidRPr="00CF552A">
        <w:rPr>
          <w:rStyle w:val="TextoNormalNegritaCaracter"/>
        </w:rPr>
        <w:t>Pervivencia del objeto del recurso de amparo</w:t>
      </w:r>
      <w:bookmarkEnd w:id="1073"/>
      <w:r w:rsidRPr="00CF552A">
        <w:rPr>
          <w:rStyle w:val="TextoNormalCaracter"/>
        </w:rPr>
        <w:t xml:space="preserve">, Sentencia </w:t>
      </w:r>
      <w:hyperlink w:anchor="SENTENCIA_1997_69" w:history="1">
        <w:r w:rsidRPr="00CF552A">
          <w:rPr>
            <w:rStyle w:val="TextoNormalCaracter"/>
          </w:rPr>
          <w:t>69/1997</w:t>
        </w:r>
      </w:hyperlink>
      <w:r w:rsidRPr="00CF552A">
        <w:rPr>
          <w:rStyle w:val="TextoNormalCaracter"/>
        </w:rPr>
        <w:t>, f. 4.</w:t>
      </w:r>
    </w:p>
    <w:p w:rsidR="00CF552A" w:rsidRPr="00CF552A" w:rsidRDefault="00CF552A" w:rsidP="00CF552A">
      <w:pPr>
        <w:pStyle w:val="TextoNormalSangraFrancesa"/>
        <w:rPr>
          <w:rStyle w:val="TextoNormalCaracter"/>
        </w:rPr>
      </w:pPr>
      <w:bookmarkStart w:id="1074" w:name="DESCRIPTORALFABETICO292"/>
      <w:r w:rsidRPr="00CF552A">
        <w:rPr>
          <w:rStyle w:val="TextoNormalNegritaCaracter"/>
        </w:rPr>
        <w:t>Planes de ordenación urbana</w:t>
      </w:r>
      <w:bookmarkEnd w:id="1074"/>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ff. 22, 25.</w:t>
      </w:r>
    </w:p>
    <w:p w:rsidR="00CF552A" w:rsidRPr="00CF552A" w:rsidRDefault="00CF552A" w:rsidP="00CF552A">
      <w:pPr>
        <w:pStyle w:val="TextoNormalSangraFrancesa"/>
        <w:rPr>
          <w:rStyle w:val="TextoNormalCaracter"/>
        </w:rPr>
      </w:pPr>
      <w:bookmarkStart w:id="1075" w:name="DESCRIPTORALFABETICO158"/>
      <w:r w:rsidRPr="00CF552A">
        <w:rPr>
          <w:rStyle w:val="TextoNormalNegritaCaracter"/>
        </w:rPr>
        <w:t>Planteamiento discordante con la providencia trasladada a las partes</w:t>
      </w:r>
      <w:bookmarkEnd w:id="1075"/>
      <w:r w:rsidRPr="00CF552A">
        <w:rPr>
          <w:rStyle w:val="TextoNormalCaracter"/>
        </w:rPr>
        <w:t xml:space="preserve">, Auto </w:t>
      </w:r>
      <w:hyperlink w:anchor="AUTO_1997_104" w:history="1">
        <w:r w:rsidRPr="00CF552A">
          <w:rPr>
            <w:rStyle w:val="TextoNormalCaracter"/>
          </w:rPr>
          <w:t>104/1997</w:t>
        </w:r>
      </w:hyperlink>
      <w:r w:rsidRPr="00CF552A">
        <w:rPr>
          <w:rStyle w:val="TextoNormalCaracter"/>
        </w:rPr>
        <w:t>.</w:t>
      </w:r>
    </w:p>
    <w:p w:rsidR="00CF552A" w:rsidRPr="00CF552A" w:rsidRDefault="00CF552A" w:rsidP="00CF552A">
      <w:pPr>
        <w:pStyle w:val="TextoNormalSangraFrancesa"/>
        <w:rPr>
          <w:rStyle w:val="TextoNormalCaracter"/>
        </w:rPr>
      </w:pPr>
      <w:bookmarkStart w:id="1076" w:name="DESCRIPTORALFABETICO177"/>
      <w:r w:rsidRPr="00CF552A">
        <w:rPr>
          <w:rStyle w:val="TextoNormalNegritaCaracter"/>
        </w:rPr>
        <w:t>Plazo de interposición del recurso de amparo</w:t>
      </w:r>
      <w:bookmarkEnd w:id="1076"/>
      <w:r w:rsidRPr="00CF552A">
        <w:rPr>
          <w:rStyle w:val="TextoNormalCaracter"/>
        </w:rPr>
        <w:t xml:space="preserve">, Sentencia </w:t>
      </w:r>
      <w:hyperlink w:anchor="SENTENCIA_1997_8" w:history="1">
        <w:r w:rsidRPr="00CF552A">
          <w:rPr>
            <w:rStyle w:val="TextoNormalCaracter"/>
          </w:rPr>
          <w:t>8/1997</w:t>
        </w:r>
      </w:hyperlink>
      <w:r w:rsidRPr="00CF552A">
        <w:rPr>
          <w:rStyle w:val="TextoNormalCaracter"/>
        </w:rPr>
        <w:t>, f. 2.</w:t>
      </w:r>
    </w:p>
    <w:p w:rsidR="00CF552A" w:rsidRPr="00CF552A" w:rsidRDefault="00CF552A" w:rsidP="00CF552A">
      <w:pPr>
        <w:pStyle w:val="TextoNormalSangraFrancesa"/>
        <w:rPr>
          <w:rStyle w:val="TextoNormalCaracter"/>
        </w:rPr>
      </w:pPr>
      <w:bookmarkStart w:id="1077" w:name="DESCRIPTORALFABETICO373"/>
      <w:r w:rsidRPr="00CF552A">
        <w:rPr>
          <w:rStyle w:val="TextoNormalNegritaCaracter"/>
        </w:rPr>
        <w:t>Plazo de prescripción de acciones</w:t>
      </w:r>
      <w:bookmarkEnd w:id="1077"/>
      <w:r w:rsidRPr="00CF552A">
        <w:rPr>
          <w:rStyle w:val="TextoNormalCaracter"/>
        </w:rPr>
        <w:t xml:space="preserve">, Sentencia </w:t>
      </w:r>
      <w:hyperlink w:anchor="SENTENCIA_1997_42" w:history="1">
        <w:r w:rsidRPr="00CF552A">
          <w:rPr>
            <w:rStyle w:val="TextoNormalCaracter"/>
          </w:rPr>
          <w:t>42/1997</w:t>
        </w:r>
      </w:hyperlink>
      <w:r w:rsidRPr="00CF552A">
        <w:rPr>
          <w:rStyle w:val="TextoNormalCaracter"/>
        </w:rPr>
        <w:t>, f. 2.</w:t>
      </w:r>
    </w:p>
    <w:p w:rsidR="00CF552A" w:rsidRPr="00CF552A" w:rsidRDefault="00CF552A" w:rsidP="00CF552A">
      <w:pPr>
        <w:pStyle w:val="TextoNormalSangraFrancesa"/>
        <w:rPr>
          <w:rStyle w:val="TextoNormalCaracter"/>
        </w:rPr>
      </w:pPr>
      <w:bookmarkStart w:id="1078" w:name="DESCRIPTORALFABETICO470"/>
      <w:r w:rsidRPr="00CF552A">
        <w:rPr>
          <w:rStyle w:val="TextoNormalNegritaCaracter"/>
        </w:rPr>
        <w:t>Plazo máximo de prisión provisional</w:t>
      </w:r>
      <w:bookmarkEnd w:id="1078"/>
      <w:r w:rsidRPr="00CF552A">
        <w:rPr>
          <w:rStyle w:val="TextoNormalCaracter"/>
        </w:rPr>
        <w:t xml:space="preserve">, Sentencias </w:t>
      </w:r>
      <w:hyperlink w:anchor="SENTENCIA_1997_56" w:history="1">
        <w:r w:rsidRPr="00CF552A">
          <w:rPr>
            <w:rStyle w:val="TextoNormalCaracter"/>
          </w:rPr>
          <w:t>56/1997</w:t>
        </w:r>
      </w:hyperlink>
      <w:r w:rsidRPr="00CF552A">
        <w:rPr>
          <w:rStyle w:val="TextoNormalCaracter"/>
        </w:rPr>
        <w:t xml:space="preserve">, f. 4; </w:t>
      </w:r>
      <w:hyperlink w:anchor="SENTENCIA_1997_66" w:history="1">
        <w:r w:rsidRPr="00CF552A">
          <w:rPr>
            <w:rStyle w:val="TextoNormalCaracter"/>
          </w:rPr>
          <w:t>66/1997</w:t>
        </w:r>
      </w:hyperlink>
      <w:r w:rsidRPr="00CF552A">
        <w:rPr>
          <w:rStyle w:val="TextoNormalCaracter"/>
        </w:rPr>
        <w:t>, f. 3.</w:t>
      </w:r>
    </w:p>
    <w:p w:rsidR="00CF552A" w:rsidRPr="00CF552A" w:rsidRDefault="00CF552A" w:rsidP="00CF552A">
      <w:pPr>
        <w:pStyle w:val="TextoNormalSangraFrancesa"/>
        <w:rPr>
          <w:rStyle w:val="TextoNormalCaracter"/>
        </w:rPr>
      </w:pPr>
      <w:bookmarkStart w:id="1079" w:name="DESCRIPTORALFABETICO455"/>
      <w:r w:rsidRPr="00CF552A">
        <w:rPr>
          <w:rStyle w:val="TextoNormalNegritaCaracter"/>
        </w:rPr>
        <w:t>Pliego de cargos</w:t>
      </w:r>
      <w:bookmarkEnd w:id="1079"/>
      <w:r w:rsidRPr="00CF552A">
        <w:rPr>
          <w:rStyle w:val="TextoNormalCaracter"/>
        </w:rPr>
        <w:t xml:space="preserve">, Sentencia </w:t>
      </w:r>
      <w:hyperlink w:anchor="SENTENCIA_1997_35" w:history="1">
        <w:r w:rsidRPr="00CF552A">
          <w:rPr>
            <w:rStyle w:val="TextoNormalCaracter"/>
          </w:rPr>
          <w:t>35/1997</w:t>
        </w:r>
      </w:hyperlink>
      <w:r w:rsidRPr="00CF552A">
        <w:rPr>
          <w:rStyle w:val="TextoNormalCaracter"/>
        </w:rPr>
        <w:t>, f. 4.</w:t>
      </w:r>
    </w:p>
    <w:p w:rsidR="00CF552A" w:rsidRPr="00CF552A" w:rsidRDefault="00CF552A" w:rsidP="00CF552A">
      <w:pPr>
        <w:pStyle w:val="TextoNormalSangraFrancesa"/>
        <w:rPr>
          <w:rStyle w:val="TextoNormalCaracter"/>
        </w:rPr>
      </w:pPr>
      <w:bookmarkStart w:id="1080" w:name="DESCRIPTORALFABETICO67"/>
      <w:r w:rsidRPr="00CF552A">
        <w:rPr>
          <w:rStyle w:val="TextoNormalNegritaCaracter"/>
        </w:rPr>
        <w:t>Ponderación circunstanciada del silencio judicial</w:t>
      </w:r>
      <w:bookmarkEnd w:id="1080"/>
      <w:r w:rsidRPr="00CF552A">
        <w:rPr>
          <w:rStyle w:val="TextoNormalCaracter"/>
        </w:rPr>
        <w:t xml:space="preserve">, Sentencia </w:t>
      </w:r>
      <w:hyperlink w:anchor="SENTENCIA_1997_57" w:history="1">
        <w:r w:rsidRPr="00CF552A">
          <w:rPr>
            <w:rStyle w:val="TextoNormalCaracter"/>
          </w:rPr>
          <w:t>57/1997</w:t>
        </w:r>
      </w:hyperlink>
      <w:r w:rsidRPr="00CF552A">
        <w:rPr>
          <w:rStyle w:val="TextoNormalCaracter"/>
        </w:rPr>
        <w:t>, f. 2.</w:t>
      </w:r>
    </w:p>
    <w:p w:rsidR="00CF552A" w:rsidRPr="00CF552A" w:rsidRDefault="00CF552A" w:rsidP="00CF552A">
      <w:pPr>
        <w:pStyle w:val="TextoNormalSangraFrancesa"/>
        <w:rPr>
          <w:rStyle w:val="TextoNormalCaracter"/>
        </w:rPr>
      </w:pPr>
      <w:bookmarkStart w:id="1081" w:name="DESCRIPTORALFABETICO122"/>
      <w:r w:rsidRPr="00CF552A">
        <w:rPr>
          <w:rStyle w:val="TextoNormalNegritaCaracter"/>
        </w:rPr>
        <w:t>Ponderación entre la libertad de información y la libertad de expresión</w:t>
      </w:r>
      <w:bookmarkEnd w:id="1081"/>
      <w:r w:rsidRPr="00CF552A">
        <w:rPr>
          <w:rStyle w:val="TextoNormalCaracter"/>
        </w:rPr>
        <w:t xml:space="preserve">, Sentencia </w:t>
      </w:r>
      <w:hyperlink w:anchor="SENTENCIA_1997_51" w:history="1">
        <w:r w:rsidRPr="00CF552A">
          <w:rPr>
            <w:rStyle w:val="TextoNormalCaracter"/>
          </w:rPr>
          <w:t>51/1997</w:t>
        </w:r>
      </w:hyperlink>
      <w:r w:rsidRPr="00CF552A">
        <w:rPr>
          <w:rStyle w:val="TextoNormalCaracter"/>
        </w:rPr>
        <w:t>, f. 4.</w:t>
      </w:r>
    </w:p>
    <w:p w:rsidR="00CF552A" w:rsidRPr="00CF552A" w:rsidRDefault="00CF552A" w:rsidP="00CF552A">
      <w:pPr>
        <w:pStyle w:val="TextoNormalSangraFrancesa"/>
        <w:rPr>
          <w:rStyle w:val="TextoNormalCaracter"/>
        </w:rPr>
      </w:pPr>
      <w:bookmarkStart w:id="1082" w:name="DESCRIPTORALFABETICO123"/>
      <w:r w:rsidRPr="00CF552A">
        <w:rPr>
          <w:rStyle w:val="TextoNormalNegritaCaracter"/>
        </w:rPr>
        <w:t>Ponderación judicial en caso de conflicto con otros derechos</w:t>
      </w:r>
      <w:bookmarkEnd w:id="1082"/>
      <w:r w:rsidRPr="00CF552A">
        <w:rPr>
          <w:rStyle w:val="TextoNormalCaracter"/>
        </w:rPr>
        <w:t xml:space="preserve">, Sentencia </w:t>
      </w:r>
      <w:hyperlink w:anchor="SENTENCIA_1997_3" w:history="1">
        <w:r w:rsidRPr="00CF552A">
          <w:rPr>
            <w:rStyle w:val="TextoNormalCaracter"/>
          </w:rPr>
          <w:t>3/1997</w:t>
        </w:r>
      </w:hyperlink>
      <w:r w:rsidRPr="00CF552A">
        <w:rPr>
          <w:rStyle w:val="TextoNormalCaracter"/>
        </w:rPr>
        <w:t>, ff. 6, 7, 8.</w:t>
      </w:r>
    </w:p>
    <w:p w:rsidR="00CF552A" w:rsidRPr="00CF552A" w:rsidRDefault="00CF552A" w:rsidP="00CF552A">
      <w:pPr>
        <w:pStyle w:val="TextoNormalSangraFrancesa"/>
        <w:rPr>
          <w:rStyle w:val="TextoNormalCaracter"/>
        </w:rPr>
      </w:pPr>
      <w:r w:rsidRPr="00CF552A">
        <w:rPr>
          <w:rStyle w:val="TextoNormalCaracter"/>
        </w:rPr>
        <w:t xml:space="preserve">    Auto </w:t>
      </w:r>
      <w:hyperlink w:anchor="AUTO_1997_15" w:history="1">
        <w:r w:rsidRPr="00CF552A">
          <w:rPr>
            <w:rStyle w:val="TextoNormalCaracter"/>
          </w:rPr>
          <w:t>15/1997</w:t>
        </w:r>
      </w:hyperlink>
      <w:r w:rsidRPr="00CF552A">
        <w:rPr>
          <w:rStyle w:val="TextoNormalCaracter"/>
        </w:rPr>
        <w:t>.</w:t>
      </w:r>
    </w:p>
    <w:p w:rsidR="00CF552A" w:rsidRPr="00CF552A" w:rsidRDefault="00CF552A" w:rsidP="00CF552A">
      <w:pPr>
        <w:pStyle w:val="TextoNormalSangraFrancesa"/>
        <w:rPr>
          <w:rStyle w:val="TextoNormalCaracter"/>
        </w:rPr>
      </w:pPr>
      <w:bookmarkStart w:id="1083" w:name="DESCRIPTORALFABETICO258"/>
      <w:r w:rsidRPr="00CF552A">
        <w:rPr>
          <w:rStyle w:val="TextoNormalNegritaCaracter"/>
        </w:rPr>
        <w:t>Potestad estatutaria de las universidades</w:t>
      </w:r>
      <w:bookmarkEnd w:id="1083"/>
      <w:r w:rsidRPr="00CF552A">
        <w:rPr>
          <w:rStyle w:val="TextoNormalCaracter"/>
        </w:rPr>
        <w:t xml:space="preserve">, Sentencia </w:t>
      </w:r>
      <w:hyperlink w:anchor="SENTENCIA_1997_75" w:history="1">
        <w:r w:rsidRPr="00CF552A">
          <w:rPr>
            <w:rStyle w:val="TextoNormalCaracter"/>
          </w:rPr>
          <w:t>75/1997</w:t>
        </w:r>
      </w:hyperlink>
      <w:r w:rsidRPr="00CF552A">
        <w:rPr>
          <w:rStyle w:val="TextoNormalCaracter"/>
        </w:rPr>
        <w:t>, f. 3.</w:t>
      </w:r>
    </w:p>
    <w:p w:rsidR="00CF552A" w:rsidRPr="00CF552A" w:rsidRDefault="00CF552A" w:rsidP="00CF552A">
      <w:pPr>
        <w:pStyle w:val="TextoNormalSangraFrancesa"/>
        <w:rPr>
          <w:rStyle w:val="TextoNormalCaracter"/>
        </w:rPr>
      </w:pPr>
      <w:bookmarkStart w:id="1084" w:name="DESCRIPTORALFABETICO210"/>
      <w:r w:rsidRPr="00CF552A">
        <w:rPr>
          <w:rStyle w:val="TextoNormalNegritaCaracter"/>
        </w:rPr>
        <w:t>Prerrogativas parlamentarias</w:t>
      </w:r>
      <w:bookmarkEnd w:id="1084"/>
      <w:r w:rsidRPr="00CF552A">
        <w:rPr>
          <w:rStyle w:val="TextoNormalCaracter"/>
        </w:rPr>
        <w:t xml:space="preserve">, Sentencia </w:t>
      </w:r>
      <w:hyperlink w:anchor="SENTENCIA_1997_22" w:history="1">
        <w:r w:rsidRPr="00CF552A">
          <w:rPr>
            <w:rStyle w:val="TextoNormalCaracter"/>
          </w:rPr>
          <w:t>22/1997</w:t>
        </w:r>
      </w:hyperlink>
      <w:r w:rsidRPr="00CF552A">
        <w:rPr>
          <w:rStyle w:val="TextoNormalCaracter"/>
        </w:rPr>
        <w:t>, f. 2.</w:t>
      </w:r>
    </w:p>
    <w:p w:rsidR="00CF552A" w:rsidRPr="00CF552A" w:rsidRDefault="00CF552A" w:rsidP="00CF552A">
      <w:pPr>
        <w:pStyle w:val="TextoNormalSangraFrancesa"/>
        <w:rPr>
          <w:rStyle w:val="TextoNormalCaracter"/>
        </w:rPr>
      </w:pPr>
      <w:r w:rsidRPr="00CF552A">
        <w:rPr>
          <w:rStyle w:val="TextoNormalCursivaCaracter"/>
        </w:rPr>
        <w:t xml:space="preserve">    Naturaleza, </w:t>
      </w:r>
      <w:r w:rsidRPr="00CF552A">
        <w:rPr>
          <w:rStyle w:val="TextoNormalCaracter"/>
        </w:rPr>
        <w:t xml:space="preserve">Sentencia </w:t>
      </w:r>
      <w:hyperlink w:anchor="SENTENCIA_1997_22" w:history="1">
        <w:r w:rsidRPr="00CF552A">
          <w:rPr>
            <w:rStyle w:val="TextoNormalCaracter"/>
          </w:rPr>
          <w:t>22/1997</w:t>
        </w:r>
      </w:hyperlink>
      <w:r w:rsidRPr="00CF552A">
        <w:rPr>
          <w:rStyle w:val="TextoNormalCaracter"/>
        </w:rPr>
        <w:t>, ff. 5, 6.</w:t>
      </w:r>
    </w:p>
    <w:p w:rsidR="00CF552A" w:rsidRPr="00CF552A" w:rsidRDefault="00CF552A" w:rsidP="00CF552A">
      <w:pPr>
        <w:pStyle w:val="TextoNormalSangraFrancesa"/>
        <w:rPr>
          <w:rStyle w:val="TextoNormalCaracter"/>
        </w:rPr>
      </w:pPr>
      <w:bookmarkStart w:id="1085" w:name="DESCRIPTORALFABETICO371"/>
      <w:r w:rsidRPr="00CF552A">
        <w:rPr>
          <w:rStyle w:val="TextoNormalNegritaCaracter"/>
        </w:rPr>
        <w:t>Prescripción y caducidad de acciones</w:t>
      </w:r>
      <w:bookmarkEnd w:id="1085"/>
      <w:r w:rsidRPr="00CF552A">
        <w:rPr>
          <w:rStyle w:val="TextoNormalCaracter"/>
        </w:rPr>
        <w:t xml:space="preserve">, Sentencia </w:t>
      </w:r>
      <w:hyperlink w:anchor="SENTENCIA_1997_42" w:history="1">
        <w:r w:rsidRPr="00CF552A">
          <w:rPr>
            <w:rStyle w:val="TextoNormalCaracter"/>
          </w:rPr>
          <w:t>42/1997</w:t>
        </w:r>
      </w:hyperlink>
      <w:r w:rsidRPr="00CF552A">
        <w:rPr>
          <w:rStyle w:val="TextoNormalCaracter"/>
        </w:rPr>
        <w:t>, f. 2.</w:t>
      </w:r>
    </w:p>
    <w:p w:rsidR="00CF552A" w:rsidRPr="00CF552A" w:rsidRDefault="00CF552A" w:rsidP="00CF552A">
      <w:pPr>
        <w:pStyle w:val="TextoNormalSangraFrancesa"/>
        <w:rPr>
          <w:rStyle w:val="TextoNormalCaracter"/>
        </w:rPr>
      </w:pPr>
      <w:r w:rsidRPr="00CF552A">
        <w:rPr>
          <w:rStyle w:val="TextoNormalCursivaCaracter"/>
        </w:rPr>
        <w:t xml:space="preserve">    Naturaleza, </w:t>
      </w:r>
      <w:r w:rsidRPr="00CF552A">
        <w:rPr>
          <w:rStyle w:val="TextoNormalCaracter"/>
        </w:rPr>
        <w:t xml:space="preserve">Sentencia </w:t>
      </w:r>
      <w:hyperlink w:anchor="SENTENCIA_1997_42" w:history="1">
        <w:r w:rsidRPr="00CF552A">
          <w:rPr>
            <w:rStyle w:val="TextoNormalCaracter"/>
          </w:rPr>
          <w:t>42/1997</w:t>
        </w:r>
      </w:hyperlink>
      <w:r w:rsidRPr="00CF552A">
        <w:rPr>
          <w:rStyle w:val="TextoNormalCaracter"/>
        </w:rPr>
        <w:t>, f. 2.</w:t>
      </w:r>
    </w:p>
    <w:p w:rsidR="00CF552A" w:rsidRPr="00CF552A" w:rsidRDefault="00CF552A" w:rsidP="00CF552A">
      <w:pPr>
        <w:pStyle w:val="TextoNormalSangraFrancesa"/>
        <w:rPr>
          <w:rStyle w:val="TextoNormalCaracter"/>
        </w:rPr>
      </w:pPr>
      <w:bookmarkStart w:id="1086" w:name="DESCRIPTORALFABETICO124"/>
      <w:r w:rsidRPr="00CF552A">
        <w:rPr>
          <w:rStyle w:val="TextoNormalNegritaCaracter"/>
        </w:rPr>
        <w:t>Preservación de derechos fundamentales</w:t>
      </w:r>
      <w:bookmarkEnd w:id="1086"/>
      <w:r w:rsidRPr="00CF552A">
        <w:rPr>
          <w:rStyle w:val="TextoNormalCaracter"/>
        </w:rPr>
        <w:t xml:space="preserve">, Sentencia </w:t>
      </w:r>
      <w:hyperlink w:anchor="SENTENCIA_1997_27" w:history="1">
        <w:r w:rsidRPr="00CF552A">
          <w:rPr>
            <w:rStyle w:val="TextoNormalCaracter"/>
          </w:rPr>
          <w:t>27/1997</w:t>
        </w:r>
      </w:hyperlink>
      <w:r w:rsidRPr="00CF552A">
        <w:rPr>
          <w:rStyle w:val="TextoNormalCaracter"/>
        </w:rPr>
        <w:t>, f. 2, VP.</w:t>
      </w:r>
    </w:p>
    <w:p w:rsidR="00CF552A" w:rsidRPr="00CF552A" w:rsidRDefault="00CF552A" w:rsidP="00CF552A">
      <w:pPr>
        <w:pStyle w:val="TextoNormalSangraFrancesa"/>
        <w:rPr>
          <w:rStyle w:val="TextoNormalCaracter"/>
        </w:rPr>
      </w:pPr>
      <w:bookmarkStart w:id="1087" w:name="DESCRIPTORALFABETICO27"/>
      <w:r w:rsidRPr="00CF552A">
        <w:rPr>
          <w:rStyle w:val="TextoNormalNegritaCaracter"/>
        </w:rPr>
        <w:t>Prestaciones exentas de tributación</w:t>
      </w:r>
      <w:bookmarkEnd w:id="1087"/>
      <w:r w:rsidRPr="00CF552A">
        <w:rPr>
          <w:rStyle w:val="TextoNormalCaracter"/>
        </w:rPr>
        <w:t xml:space="preserve">, Sentencia </w:t>
      </w:r>
      <w:hyperlink w:anchor="SENTENCIA_1997_80" w:history="1">
        <w:r w:rsidRPr="00CF552A">
          <w:rPr>
            <w:rStyle w:val="TextoNormalCaracter"/>
          </w:rPr>
          <w:t>80/1997</w:t>
        </w:r>
      </w:hyperlink>
      <w:r w:rsidRPr="00CF552A">
        <w:rPr>
          <w:rStyle w:val="TextoNormalCaracter"/>
        </w:rPr>
        <w:t>, f. único.</w:t>
      </w:r>
    </w:p>
    <w:p w:rsidR="00CF552A" w:rsidRPr="00CF552A" w:rsidRDefault="00CF552A" w:rsidP="00CF552A">
      <w:pPr>
        <w:pStyle w:val="TextoNormalSangraFrancesa"/>
        <w:rPr>
          <w:rStyle w:val="TextoNormalNegritaCaracter"/>
        </w:rPr>
      </w:pPr>
      <w:r w:rsidRPr="00CF552A">
        <w:rPr>
          <w:rStyle w:val="TextoNormalCursivaCaracter"/>
        </w:rPr>
        <w:t>Presunción de inocencia</w:t>
      </w:r>
      <w:r>
        <w:t xml:space="preserve"> véase </w:t>
      </w:r>
      <w:hyperlink w:anchor="DESCRIPTORALFABETICO51" w:history="1">
        <w:r w:rsidRPr="00CF552A">
          <w:rPr>
            <w:rStyle w:val="TextoNormalNegritaCaracter"/>
          </w:rPr>
          <w:t>Derecho a la presunción de inocencia</w:t>
        </w:r>
      </w:hyperlink>
    </w:p>
    <w:p w:rsidR="00CF552A" w:rsidRPr="00CF552A" w:rsidRDefault="00CF552A" w:rsidP="00CF552A">
      <w:pPr>
        <w:pStyle w:val="TextoNormalSangraFrancesa"/>
        <w:rPr>
          <w:rStyle w:val="TextoNormalCaracter"/>
        </w:rPr>
      </w:pPr>
      <w:bookmarkStart w:id="1088" w:name="DESCRIPTORALFABETICO405"/>
      <w:r w:rsidRPr="00CF552A">
        <w:rPr>
          <w:rStyle w:val="TextoNormalNegritaCaracter"/>
        </w:rPr>
        <w:t>Presunciones legales</w:t>
      </w:r>
      <w:bookmarkEnd w:id="1088"/>
      <w:r w:rsidRPr="00CF552A">
        <w:rPr>
          <w:rStyle w:val="TextoNormalCaracter"/>
        </w:rPr>
        <w:t xml:space="preserve">, Sentencia </w:t>
      </w:r>
      <w:hyperlink w:anchor="SENTENCIA_1997_14" w:history="1">
        <w:r w:rsidRPr="00CF552A">
          <w:rPr>
            <w:rStyle w:val="TextoNormalCaracter"/>
          </w:rPr>
          <w:t>14/1997</w:t>
        </w:r>
      </w:hyperlink>
      <w:r w:rsidRPr="00CF552A">
        <w:rPr>
          <w:rStyle w:val="TextoNormalCaracter"/>
        </w:rPr>
        <w:t>, f. 6.</w:t>
      </w:r>
    </w:p>
    <w:p w:rsidR="00CF552A" w:rsidRPr="00CF552A" w:rsidRDefault="00CF552A" w:rsidP="00CF552A">
      <w:pPr>
        <w:pStyle w:val="TextoNormalSangraFrancesa"/>
        <w:rPr>
          <w:rStyle w:val="TextoNormalNegritaCaracter"/>
        </w:rPr>
      </w:pPr>
      <w:r w:rsidRPr="00CF552A">
        <w:rPr>
          <w:rStyle w:val="TextoNormalCursivaCaracter"/>
        </w:rPr>
        <w:t>Presupuestos procesales</w:t>
      </w:r>
      <w:r>
        <w:t xml:space="preserve"> véase </w:t>
      </w:r>
      <w:hyperlink w:anchor="DESCRIPTORALFABETICO439" w:history="1">
        <w:r w:rsidRPr="00CF552A">
          <w:rPr>
            <w:rStyle w:val="TextoNormalNegritaCaracter"/>
          </w:rPr>
          <w:t>Requisitos procesales</w:t>
        </w:r>
      </w:hyperlink>
    </w:p>
    <w:p w:rsidR="00CF552A" w:rsidRPr="00CF552A" w:rsidRDefault="00CF552A" w:rsidP="00CF552A">
      <w:pPr>
        <w:pStyle w:val="TextoNormalSangraFrancesa"/>
        <w:rPr>
          <w:rStyle w:val="TextoNormalCaracter"/>
        </w:rPr>
      </w:pPr>
      <w:bookmarkStart w:id="1089" w:name="DESCRIPTORALFABETICO167"/>
      <w:r w:rsidRPr="00CF552A">
        <w:rPr>
          <w:rStyle w:val="TextoNormalNegritaCaracter"/>
        </w:rPr>
        <w:t>Pretensión de condena penal</w:t>
      </w:r>
      <w:bookmarkEnd w:id="1089"/>
      <w:r w:rsidRPr="00CF552A">
        <w:rPr>
          <w:rStyle w:val="TextoNormalCaracter"/>
        </w:rPr>
        <w:t xml:space="preserve">, Sentencias </w:t>
      </w:r>
      <w:hyperlink w:anchor="SENTENCIA_1997_41" w:history="1">
        <w:r w:rsidRPr="00CF552A">
          <w:rPr>
            <w:rStyle w:val="TextoNormalCaracter"/>
          </w:rPr>
          <w:t>41/1997</w:t>
        </w:r>
      </w:hyperlink>
      <w:r w:rsidRPr="00CF552A">
        <w:rPr>
          <w:rStyle w:val="TextoNormalCaracter"/>
        </w:rPr>
        <w:t xml:space="preserve">, ff. 4, 5; </w:t>
      </w:r>
      <w:hyperlink w:anchor="SENTENCIA_1997_74" w:history="1">
        <w:r w:rsidRPr="00CF552A">
          <w:rPr>
            <w:rStyle w:val="TextoNormalCaracter"/>
          </w:rPr>
          <w:t>74/1997</w:t>
        </w:r>
      </w:hyperlink>
      <w:r w:rsidRPr="00CF552A">
        <w:rPr>
          <w:rStyle w:val="TextoNormalCaracter"/>
        </w:rPr>
        <w:t>, f. 5.</w:t>
      </w:r>
    </w:p>
    <w:p w:rsidR="00CF552A" w:rsidRPr="00CF552A" w:rsidRDefault="00CF552A" w:rsidP="00CF552A">
      <w:pPr>
        <w:pStyle w:val="TextoNormalSangraFrancesa"/>
        <w:rPr>
          <w:rStyle w:val="TextoNormalCaracter"/>
        </w:rPr>
      </w:pPr>
      <w:bookmarkStart w:id="1090" w:name="DESCRIPTORALFABETICO7"/>
      <w:r w:rsidRPr="00CF552A">
        <w:rPr>
          <w:rStyle w:val="TextoNormalNegritaCaracter"/>
        </w:rPr>
        <w:t>Prevalencia relativa del título más específico</w:t>
      </w:r>
      <w:bookmarkEnd w:id="1090"/>
      <w:r w:rsidRPr="00CF552A">
        <w:rPr>
          <w:rStyle w:val="TextoNormalCaracter"/>
        </w:rPr>
        <w:t xml:space="preserve">, Sentencia </w:t>
      </w:r>
      <w:hyperlink w:anchor="SENTENCIA_1997_71" w:history="1">
        <w:r w:rsidRPr="00CF552A">
          <w:rPr>
            <w:rStyle w:val="TextoNormalCaracter"/>
          </w:rPr>
          <w:t>71/1997</w:t>
        </w:r>
      </w:hyperlink>
      <w:r w:rsidRPr="00CF552A">
        <w:rPr>
          <w:rStyle w:val="TextoNormalCaracter"/>
        </w:rPr>
        <w:t>, f. 2.</w:t>
      </w:r>
    </w:p>
    <w:p w:rsidR="00CF552A" w:rsidRPr="00CF552A" w:rsidRDefault="00CF552A" w:rsidP="00CF552A">
      <w:pPr>
        <w:pStyle w:val="TextoNormalSangraFrancesa"/>
        <w:rPr>
          <w:rStyle w:val="TextoNormalCaracter"/>
        </w:rPr>
      </w:pPr>
      <w:bookmarkStart w:id="1091" w:name="DESCRIPTORALFABETICO422"/>
      <w:r w:rsidRPr="00CF552A">
        <w:rPr>
          <w:rStyle w:val="TextoNormalNegritaCaracter"/>
        </w:rPr>
        <w:t>Principio acusatorio</w:t>
      </w:r>
      <w:bookmarkEnd w:id="1091"/>
      <w:r w:rsidRPr="00CF552A">
        <w:rPr>
          <w:rStyle w:val="TextoNormalCaracter"/>
        </w:rPr>
        <w:t xml:space="preserve">, Sentencia </w:t>
      </w:r>
      <w:hyperlink w:anchor="SENTENCIA_1997_43" w:history="1">
        <w:r w:rsidRPr="00CF552A">
          <w:rPr>
            <w:rStyle w:val="TextoNormalCaracter"/>
          </w:rPr>
          <w:t>43/1997</w:t>
        </w:r>
      </w:hyperlink>
      <w:r w:rsidRPr="00CF552A">
        <w:rPr>
          <w:rStyle w:val="TextoNormalCaracter"/>
        </w:rPr>
        <w:t>, f. 3.</w:t>
      </w:r>
    </w:p>
    <w:p w:rsidR="00CF552A" w:rsidRPr="00CF552A" w:rsidRDefault="00CF552A" w:rsidP="00CF552A">
      <w:pPr>
        <w:pStyle w:val="TextoNormalSangraFrancesa"/>
        <w:rPr>
          <w:rStyle w:val="TextoNormalCaracter"/>
        </w:rPr>
      </w:pPr>
      <w:r w:rsidRPr="00CF552A">
        <w:rPr>
          <w:rStyle w:val="TextoNormalCursivaCaracter"/>
        </w:rPr>
        <w:t xml:space="preserve">    Contenido, </w:t>
      </w:r>
      <w:r w:rsidRPr="00CF552A">
        <w:rPr>
          <w:rStyle w:val="TextoNormalCaracter"/>
        </w:rPr>
        <w:t xml:space="preserve">Sentencia </w:t>
      </w:r>
      <w:hyperlink w:anchor="SENTENCIA_1997_43" w:history="1">
        <w:r w:rsidRPr="00CF552A">
          <w:rPr>
            <w:rStyle w:val="TextoNormalCaracter"/>
          </w:rPr>
          <w:t>43/1997</w:t>
        </w:r>
      </w:hyperlink>
      <w:r w:rsidRPr="00CF552A">
        <w:rPr>
          <w:rStyle w:val="TextoNormalCaracter"/>
        </w:rPr>
        <w:t>, f. 3.</w:t>
      </w:r>
    </w:p>
    <w:p w:rsidR="00CF552A" w:rsidRPr="00CF552A" w:rsidRDefault="00CF552A" w:rsidP="00CF552A">
      <w:pPr>
        <w:pStyle w:val="TextoNormalSangraFrancesa"/>
        <w:rPr>
          <w:rStyle w:val="TextoNormalCaracter"/>
        </w:rPr>
      </w:pPr>
      <w:r w:rsidRPr="00CF552A">
        <w:rPr>
          <w:rStyle w:val="TextoNormalCursivaCaracter"/>
        </w:rPr>
        <w:t xml:space="preserve">    Respetado, </w:t>
      </w:r>
      <w:r w:rsidRPr="00CF552A">
        <w:rPr>
          <w:rStyle w:val="TextoNormalCaracter"/>
        </w:rPr>
        <w:t xml:space="preserve">Auto </w:t>
      </w:r>
      <w:hyperlink w:anchor="AUTO_1997_59" w:history="1">
        <w:r w:rsidRPr="00CF552A">
          <w:rPr>
            <w:rStyle w:val="TextoNormalCaracter"/>
          </w:rPr>
          <w:t>59/1997</w:t>
        </w:r>
      </w:hyperlink>
      <w:r w:rsidRPr="00CF552A">
        <w:rPr>
          <w:rStyle w:val="TextoNormalCaracter"/>
        </w:rPr>
        <w:t>.</w:t>
      </w:r>
    </w:p>
    <w:p w:rsidR="00CF552A" w:rsidRPr="00CF552A" w:rsidRDefault="00CF552A" w:rsidP="00CF552A">
      <w:pPr>
        <w:pStyle w:val="TextoNormalSangraFrancesa"/>
        <w:rPr>
          <w:rStyle w:val="TextoNormalCaracter"/>
        </w:rPr>
      </w:pPr>
      <w:bookmarkStart w:id="1092" w:name="DESCRIPTORALFABETICO424"/>
      <w:r w:rsidRPr="00CF552A">
        <w:rPr>
          <w:rStyle w:val="TextoNormalNegritaCaracter"/>
        </w:rPr>
        <w:t>Principio de audiencia bilateral</w:t>
      </w:r>
      <w:bookmarkEnd w:id="1092"/>
      <w:r w:rsidRPr="00CF552A">
        <w:rPr>
          <w:rStyle w:val="TextoNormalCaracter"/>
        </w:rPr>
        <w:t xml:space="preserve">, Sentencias </w:t>
      </w:r>
      <w:hyperlink w:anchor="SENTENCIA_1997_17" w:history="1">
        <w:r w:rsidRPr="00CF552A">
          <w:rPr>
            <w:rStyle w:val="TextoNormalCaracter"/>
          </w:rPr>
          <w:t>17/1997</w:t>
        </w:r>
      </w:hyperlink>
      <w:r w:rsidRPr="00CF552A">
        <w:rPr>
          <w:rStyle w:val="TextoNormalCaracter"/>
        </w:rPr>
        <w:t xml:space="preserve">, ff. 1, 2; </w:t>
      </w:r>
      <w:hyperlink w:anchor="SENTENCIA_1997_25" w:history="1">
        <w:r w:rsidRPr="00CF552A">
          <w:rPr>
            <w:rStyle w:val="TextoNormalCaracter"/>
          </w:rPr>
          <w:t>25/1997</w:t>
        </w:r>
      </w:hyperlink>
      <w:r w:rsidRPr="00CF552A">
        <w:rPr>
          <w:rStyle w:val="TextoNormalCaracter"/>
        </w:rPr>
        <w:t xml:space="preserve">, f. 2; </w:t>
      </w:r>
      <w:hyperlink w:anchor="SENTENCIA_1997_32" w:history="1">
        <w:r w:rsidRPr="00CF552A">
          <w:rPr>
            <w:rStyle w:val="TextoNormalCaracter"/>
          </w:rPr>
          <w:t>32/1997</w:t>
        </w:r>
      </w:hyperlink>
      <w:r w:rsidRPr="00CF552A">
        <w:rPr>
          <w:rStyle w:val="TextoNormalCaracter"/>
        </w:rPr>
        <w:t>, ff. 2, 3.</w:t>
      </w:r>
    </w:p>
    <w:p w:rsidR="00CF552A" w:rsidRPr="00CF552A" w:rsidRDefault="00CF552A" w:rsidP="00CF552A">
      <w:pPr>
        <w:pStyle w:val="TextoNormalSangraFrancesa"/>
        <w:rPr>
          <w:rStyle w:val="TextoNormalNegritaCaracter"/>
        </w:rPr>
      </w:pPr>
      <w:r w:rsidRPr="00CF552A">
        <w:rPr>
          <w:rStyle w:val="TextoNormalCursivaCaracter"/>
        </w:rPr>
        <w:t>Principio de constitucionalidad</w:t>
      </w:r>
      <w:r>
        <w:t xml:space="preserve"> véase </w:t>
      </w:r>
      <w:hyperlink w:anchor="DESCRIPTORALFABETICO224" w:history="1">
        <w:r w:rsidRPr="00CF552A">
          <w:rPr>
            <w:rStyle w:val="TextoNormalNegritaCaracter"/>
          </w:rPr>
          <w:t>Sujeción de los poderes públicos a la Constitución</w:t>
        </w:r>
      </w:hyperlink>
    </w:p>
    <w:p w:rsidR="00CF552A" w:rsidRPr="00CF552A" w:rsidRDefault="00CF552A" w:rsidP="00CF552A">
      <w:pPr>
        <w:pStyle w:val="TextoNormalSangraFrancesa"/>
        <w:rPr>
          <w:rStyle w:val="TextoNormalCaracter"/>
        </w:rPr>
      </w:pPr>
      <w:bookmarkStart w:id="1093" w:name="DESCRIPTORALFABETICO423"/>
      <w:r w:rsidRPr="00CF552A">
        <w:rPr>
          <w:rStyle w:val="TextoNormalNegritaCaracter"/>
        </w:rPr>
        <w:t>Principio de contradicción</w:t>
      </w:r>
      <w:bookmarkEnd w:id="1093"/>
      <w:r w:rsidRPr="00CF552A">
        <w:rPr>
          <w:rStyle w:val="TextoNormalCaracter"/>
        </w:rPr>
        <w:t xml:space="preserve">, Sentencias </w:t>
      </w:r>
      <w:hyperlink w:anchor="SENTENCIA_1997_17" w:history="1">
        <w:r w:rsidRPr="00CF552A">
          <w:rPr>
            <w:rStyle w:val="TextoNormalCaracter"/>
          </w:rPr>
          <w:t>17/1997</w:t>
        </w:r>
      </w:hyperlink>
      <w:r w:rsidRPr="00CF552A">
        <w:rPr>
          <w:rStyle w:val="TextoNormalCaracter"/>
        </w:rPr>
        <w:t xml:space="preserve">, f. 2; </w:t>
      </w:r>
      <w:hyperlink w:anchor="SENTENCIA_1997_32" w:history="1">
        <w:r w:rsidRPr="00CF552A">
          <w:rPr>
            <w:rStyle w:val="TextoNormalCaracter"/>
          </w:rPr>
          <w:t>32/1997</w:t>
        </w:r>
      </w:hyperlink>
      <w:r w:rsidRPr="00CF552A">
        <w:rPr>
          <w:rStyle w:val="TextoNormalCaracter"/>
        </w:rPr>
        <w:t xml:space="preserve">, f. 2; </w:t>
      </w:r>
      <w:hyperlink w:anchor="SENTENCIA_1997_49" w:history="1">
        <w:r w:rsidRPr="00CF552A">
          <w:rPr>
            <w:rStyle w:val="TextoNormalCaracter"/>
          </w:rPr>
          <w:t>49/1997</w:t>
        </w:r>
      </w:hyperlink>
      <w:r w:rsidRPr="00CF552A">
        <w:rPr>
          <w:rStyle w:val="TextoNormalCaracter"/>
        </w:rPr>
        <w:t>, f. 2.</w:t>
      </w:r>
    </w:p>
    <w:p w:rsidR="00CF552A" w:rsidRPr="00CF552A" w:rsidRDefault="00CF552A" w:rsidP="00CF552A">
      <w:pPr>
        <w:pStyle w:val="TextoNormalSangraFrancesa"/>
        <w:rPr>
          <w:rStyle w:val="TextoNormalCaracter"/>
        </w:rPr>
      </w:pPr>
      <w:bookmarkStart w:id="1094" w:name="DESCRIPTORALFABETICO193"/>
      <w:r w:rsidRPr="00CF552A">
        <w:rPr>
          <w:rStyle w:val="TextoNormalNegritaCaracter"/>
        </w:rPr>
        <w:t>Principio de cooperación</w:t>
      </w:r>
      <w:bookmarkEnd w:id="1094"/>
      <w:r w:rsidRPr="00CF552A">
        <w:rPr>
          <w:rStyle w:val="TextoNormalCaracter"/>
        </w:rPr>
        <w:t xml:space="preserve">, Sentencia </w:t>
      </w:r>
      <w:hyperlink w:anchor="SENTENCIA_1997_70" w:history="1">
        <w:r w:rsidRPr="00CF552A">
          <w:rPr>
            <w:rStyle w:val="TextoNormalCaracter"/>
          </w:rPr>
          <w:t>70/1997</w:t>
        </w:r>
      </w:hyperlink>
      <w:r w:rsidRPr="00CF552A">
        <w:rPr>
          <w:rStyle w:val="TextoNormalCaracter"/>
        </w:rPr>
        <w:t>, f. 5.</w:t>
      </w:r>
    </w:p>
    <w:p w:rsidR="00CF552A" w:rsidRPr="00CF552A" w:rsidRDefault="00CF552A" w:rsidP="00CF552A">
      <w:pPr>
        <w:pStyle w:val="TextoNormalSangraFrancesa"/>
        <w:rPr>
          <w:rStyle w:val="TextoNormalCaracter"/>
        </w:rPr>
      </w:pPr>
      <w:bookmarkStart w:id="1095" w:name="DESCRIPTORALFABETICO194"/>
      <w:r w:rsidRPr="00CF552A">
        <w:rPr>
          <w:rStyle w:val="TextoNormalNegritaCaracter"/>
        </w:rPr>
        <w:t>Principio de coordinación</w:t>
      </w:r>
      <w:bookmarkEnd w:id="1095"/>
      <w:r w:rsidRPr="00CF552A">
        <w:rPr>
          <w:rStyle w:val="TextoNormalCaracter"/>
        </w:rPr>
        <w:t xml:space="preserve">, Sentencia </w:t>
      </w:r>
      <w:hyperlink w:anchor="SENTENCIA_1997_70" w:history="1">
        <w:r w:rsidRPr="00CF552A">
          <w:rPr>
            <w:rStyle w:val="TextoNormalCaracter"/>
          </w:rPr>
          <w:t>70/1997</w:t>
        </w:r>
      </w:hyperlink>
      <w:r w:rsidRPr="00CF552A">
        <w:rPr>
          <w:rStyle w:val="TextoNormalCaracter"/>
        </w:rPr>
        <w:t>, f. 5.</w:t>
      </w:r>
    </w:p>
    <w:p w:rsidR="00CF552A" w:rsidRPr="00CF552A" w:rsidRDefault="00CF552A" w:rsidP="00CF552A">
      <w:pPr>
        <w:pStyle w:val="TextoNormalSangraFrancesa"/>
        <w:rPr>
          <w:rStyle w:val="TextoNormalNegritaCaracter"/>
        </w:rPr>
      </w:pPr>
      <w:r w:rsidRPr="00CF552A">
        <w:rPr>
          <w:rStyle w:val="TextoNormalCursivaCaracter"/>
        </w:rPr>
        <w:t>Principio de coordinación administrativa</w:t>
      </w:r>
      <w:r>
        <w:t xml:space="preserve"> véase </w:t>
      </w:r>
      <w:hyperlink w:anchor="DESCRIPTORALFABETICO194" w:history="1">
        <w:r w:rsidRPr="00CF552A">
          <w:rPr>
            <w:rStyle w:val="TextoNormalNegritaCaracter"/>
          </w:rPr>
          <w:t>Principio de coordinación</w:t>
        </w:r>
      </w:hyperlink>
    </w:p>
    <w:p w:rsidR="00CF552A" w:rsidRPr="00CF552A" w:rsidRDefault="00CF552A" w:rsidP="00CF552A">
      <w:pPr>
        <w:pStyle w:val="TextoNormalSangraFrancesa"/>
        <w:rPr>
          <w:rStyle w:val="TextoNormalCaracter"/>
        </w:rPr>
      </w:pPr>
      <w:bookmarkStart w:id="1096" w:name="DESCRIPTORALFABETICO216"/>
      <w:r w:rsidRPr="00CF552A">
        <w:rPr>
          <w:rStyle w:val="TextoNormalNegritaCaracter"/>
        </w:rPr>
        <w:t>Principio de igualdad</w:t>
      </w:r>
      <w:bookmarkEnd w:id="1096"/>
      <w:r w:rsidRPr="00CF552A">
        <w:rPr>
          <w:rStyle w:val="TextoNormalCaracter"/>
        </w:rPr>
        <w:t xml:space="preserve">, Sentencias </w:t>
      </w:r>
      <w:hyperlink w:anchor="SENTENCIA_1997_23" w:history="1">
        <w:r w:rsidRPr="00CF552A">
          <w:rPr>
            <w:rStyle w:val="TextoNormalCaracter"/>
          </w:rPr>
          <w:t>23/1997</w:t>
        </w:r>
      </w:hyperlink>
      <w:r w:rsidRPr="00CF552A">
        <w:rPr>
          <w:rStyle w:val="TextoNormalCaracter"/>
        </w:rPr>
        <w:t xml:space="preserve">, ff. 1, 2, 3, 4, 5, 6, 7; </w:t>
      </w:r>
      <w:hyperlink w:anchor="SENTENCIA_1997_80" w:history="1">
        <w:r w:rsidRPr="00CF552A">
          <w:rPr>
            <w:rStyle w:val="TextoNormalCaracter"/>
          </w:rPr>
          <w:t>80/1997</w:t>
        </w:r>
      </w:hyperlink>
      <w:r w:rsidRPr="00CF552A">
        <w:rPr>
          <w:rStyle w:val="TextoNormalCaracter"/>
        </w:rPr>
        <w:t>, f. único.</w:t>
      </w:r>
    </w:p>
    <w:p w:rsidR="00CF552A" w:rsidRPr="00CF552A" w:rsidRDefault="00CF552A" w:rsidP="00CF552A">
      <w:pPr>
        <w:pStyle w:val="TextoNormalSangraFrancesa"/>
        <w:rPr>
          <w:rStyle w:val="TextoNormalCaracter"/>
        </w:rPr>
      </w:pPr>
      <w:bookmarkStart w:id="1097" w:name="DESCRIPTORALFABETICO462"/>
      <w:r w:rsidRPr="00CF552A">
        <w:rPr>
          <w:rStyle w:val="TextoNormalNegritaCaracter"/>
        </w:rPr>
        <w:t>Principio de la doble incriminación</w:t>
      </w:r>
      <w:bookmarkEnd w:id="1097"/>
      <w:r w:rsidRPr="00CF552A">
        <w:rPr>
          <w:rStyle w:val="TextoNormalCaracter"/>
        </w:rPr>
        <w:t xml:space="preserve">, Auto </w:t>
      </w:r>
      <w:hyperlink w:anchor="AUTO_1997_23" w:history="1">
        <w:r w:rsidRPr="00CF552A">
          <w:rPr>
            <w:rStyle w:val="TextoNormalCaracter"/>
          </w:rPr>
          <w:t>23/1997</w:t>
        </w:r>
      </w:hyperlink>
      <w:r w:rsidRPr="00CF552A">
        <w:rPr>
          <w:rStyle w:val="TextoNormalCaracter"/>
        </w:rPr>
        <w:t>.</w:t>
      </w:r>
    </w:p>
    <w:p w:rsidR="00CF552A" w:rsidRPr="00CF552A" w:rsidRDefault="00CF552A" w:rsidP="00CF552A">
      <w:pPr>
        <w:pStyle w:val="TextoNormalSangraFrancesa"/>
        <w:rPr>
          <w:rStyle w:val="TextoNormalCaracter"/>
        </w:rPr>
      </w:pPr>
      <w:bookmarkStart w:id="1098" w:name="DESCRIPTORALFABETICO217"/>
      <w:r w:rsidRPr="00CF552A">
        <w:rPr>
          <w:rStyle w:val="TextoNormalNegritaCaracter"/>
        </w:rPr>
        <w:t>Principio de legalidad</w:t>
      </w:r>
      <w:bookmarkEnd w:id="1098"/>
      <w:r w:rsidRPr="00CF552A">
        <w:rPr>
          <w:rStyle w:val="TextoNormalCaracter"/>
        </w:rPr>
        <w:t xml:space="preserve">, Auto </w:t>
      </w:r>
      <w:hyperlink w:anchor="AUTO_1997_30" w:history="1">
        <w:r w:rsidRPr="00CF552A">
          <w:rPr>
            <w:rStyle w:val="TextoNormalCaracter"/>
          </w:rPr>
          <w:t>30/1997</w:t>
        </w:r>
      </w:hyperlink>
      <w:r w:rsidRPr="00CF552A">
        <w:rPr>
          <w:rStyle w:val="TextoNormalCaracter"/>
        </w:rPr>
        <w:t>.</w:t>
      </w:r>
    </w:p>
    <w:p w:rsidR="00CF552A" w:rsidRPr="00CF552A" w:rsidRDefault="00CF552A" w:rsidP="00CF552A">
      <w:pPr>
        <w:pStyle w:val="TextoNormalSangraFrancesa"/>
        <w:rPr>
          <w:rStyle w:val="TextoNormalCaracter"/>
        </w:rPr>
      </w:pPr>
      <w:bookmarkStart w:id="1099" w:name="DESCRIPTORALFABETICO218"/>
      <w:r w:rsidRPr="00CF552A">
        <w:rPr>
          <w:rStyle w:val="TextoNormalNegritaCaracter"/>
        </w:rPr>
        <w:t>Principio de legalidad penal</w:t>
      </w:r>
      <w:bookmarkEnd w:id="1099"/>
      <w:r w:rsidRPr="00CF552A">
        <w:rPr>
          <w:rStyle w:val="TextoNormalCaracter"/>
        </w:rPr>
        <w:t xml:space="preserve">, Sentencias </w:t>
      </w:r>
      <w:hyperlink w:anchor="SENTENCIA_1997_62" w:history="1">
        <w:r w:rsidRPr="00CF552A">
          <w:rPr>
            <w:rStyle w:val="TextoNormalCaracter"/>
          </w:rPr>
          <w:t>62/1997</w:t>
        </w:r>
      </w:hyperlink>
      <w:r w:rsidRPr="00CF552A">
        <w:rPr>
          <w:rStyle w:val="TextoNormalCaracter"/>
        </w:rPr>
        <w:t xml:space="preserve">, f. 3; </w:t>
      </w:r>
      <w:hyperlink w:anchor="SENTENCIA_1997_74" w:history="1">
        <w:r w:rsidRPr="00CF552A">
          <w:rPr>
            <w:rStyle w:val="TextoNormalCaracter"/>
          </w:rPr>
          <w:t>74/1997</w:t>
        </w:r>
      </w:hyperlink>
      <w:r w:rsidRPr="00CF552A">
        <w:rPr>
          <w:rStyle w:val="TextoNormalCaracter"/>
        </w:rPr>
        <w:t>, f. 5.</w:t>
      </w:r>
    </w:p>
    <w:p w:rsidR="00CF552A" w:rsidRPr="00CF552A" w:rsidRDefault="00CF552A" w:rsidP="00CF552A">
      <w:pPr>
        <w:pStyle w:val="TextoNormalSangraFrancesa"/>
        <w:rPr>
          <w:rStyle w:val="TextoNormalCaracter"/>
        </w:rPr>
      </w:pPr>
      <w:r w:rsidRPr="00CF552A">
        <w:rPr>
          <w:rStyle w:val="TextoNormalCaracter"/>
        </w:rPr>
        <w:t xml:space="preserve">    Auto </w:t>
      </w:r>
      <w:hyperlink w:anchor="AUTO_1997_23" w:history="1">
        <w:r w:rsidRPr="00CF552A">
          <w:rPr>
            <w:rStyle w:val="TextoNormalCaracter"/>
          </w:rPr>
          <w:t>23/1997</w:t>
        </w:r>
      </w:hyperlink>
      <w:r w:rsidRPr="00CF552A">
        <w:rPr>
          <w:rStyle w:val="TextoNormalCaracter"/>
        </w:rPr>
        <w:t>.</w:t>
      </w:r>
    </w:p>
    <w:p w:rsidR="00CF552A" w:rsidRPr="00CF552A" w:rsidRDefault="00CF552A" w:rsidP="00CF552A">
      <w:pPr>
        <w:pStyle w:val="TextoNormalSangraFrancesa"/>
        <w:rPr>
          <w:rStyle w:val="TextoNormalCaracter"/>
        </w:rPr>
      </w:pPr>
      <w:bookmarkStart w:id="1100" w:name="DESCRIPTORALFABETICO219"/>
      <w:r w:rsidRPr="00CF552A">
        <w:rPr>
          <w:rStyle w:val="TextoNormalNegritaCaracter"/>
        </w:rPr>
        <w:t>Principio de legalidad sancionadora</w:t>
      </w:r>
      <w:bookmarkEnd w:id="1100"/>
      <w:r w:rsidRPr="00CF552A">
        <w:rPr>
          <w:rStyle w:val="TextoNormalCaracter"/>
        </w:rPr>
        <w:t xml:space="preserve">, Sentencia </w:t>
      </w:r>
      <w:hyperlink w:anchor="SENTENCIA_1997_4" w:history="1">
        <w:r w:rsidRPr="00CF552A">
          <w:rPr>
            <w:rStyle w:val="TextoNormalCaracter"/>
          </w:rPr>
          <w:t>4/1997</w:t>
        </w:r>
      </w:hyperlink>
      <w:r w:rsidRPr="00CF552A">
        <w:rPr>
          <w:rStyle w:val="TextoNormalCaracter"/>
        </w:rPr>
        <w:t>, f. único.</w:t>
      </w:r>
    </w:p>
    <w:p w:rsidR="00CF552A" w:rsidRPr="00CF552A" w:rsidRDefault="00CF552A" w:rsidP="00CF552A">
      <w:pPr>
        <w:pStyle w:val="TextoNormalSangraFrancesa"/>
        <w:rPr>
          <w:rStyle w:val="TextoNormalCaracter"/>
        </w:rPr>
      </w:pPr>
      <w:bookmarkStart w:id="1101" w:name="DESCRIPTORALFABETICO221"/>
      <w:r w:rsidRPr="00CF552A">
        <w:rPr>
          <w:rStyle w:val="TextoNormalNegritaCaracter"/>
        </w:rPr>
        <w:t>Principio de proporcionalidad</w:t>
      </w:r>
      <w:bookmarkEnd w:id="1101"/>
      <w:r w:rsidRPr="00CF552A">
        <w:rPr>
          <w:rStyle w:val="TextoNormalCaracter"/>
        </w:rPr>
        <w:t xml:space="preserve">, Sentencia </w:t>
      </w:r>
      <w:hyperlink w:anchor="SENTENCIA_1997_27" w:history="1">
        <w:r w:rsidRPr="00CF552A">
          <w:rPr>
            <w:rStyle w:val="TextoNormalCaracter"/>
          </w:rPr>
          <w:t>27/1997</w:t>
        </w:r>
      </w:hyperlink>
      <w:r w:rsidRPr="00CF552A">
        <w:rPr>
          <w:rStyle w:val="TextoNormalCaracter"/>
        </w:rPr>
        <w:t>, VP.</w:t>
      </w:r>
    </w:p>
    <w:p w:rsidR="00CF552A" w:rsidRPr="00CF552A" w:rsidRDefault="00CF552A" w:rsidP="00CF552A">
      <w:pPr>
        <w:pStyle w:val="TextoNormalSangraFrancesa"/>
        <w:rPr>
          <w:rStyle w:val="TextoNormalNegritaCaracter"/>
        </w:rPr>
      </w:pPr>
      <w:r w:rsidRPr="00CF552A">
        <w:rPr>
          <w:rStyle w:val="TextoNormalCursivaCaracter"/>
        </w:rPr>
        <w:t>Principio favor actionis</w:t>
      </w:r>
      <w:r>
        <w:t xml:space="preserve"> véase </w:t>
      </w:r>
      <w:hyperlink w:anchor="DESCRIPTORALFABETICO425" w:history="1">
        <w:r w:rsidRPr="00CF552A">
          <w:rPr>
            <w:rStyle w:val="TextoNormalNegritaCaracter"/>
          </w:rPr>
          <w:t xml:space="preserve">Principio </w:t>
        </w:r>
        <w:r w:rsidRPr="00CF552A">
          <w:rPr>
            <w:rStyle w:val="TextoNormalNegritaCaracter"/>
            <w:i/>
          </w:rPr>
          <w:t>pro actione</w:t>
        </w:r>
      </w:hyperlink>
    </w:p>
    <w:p w:rsidR="00CF552A" w:rsidRPr="00CF552A" w:rsidRDefault="00CF552A" w:rsidP="00CF552A">
      <w:pPr>
        <w:pStyle w:val="TextoNormalSangraFrancesa"/>
        <w:rPr>
          <w:rStyle w:val="TextoNormalCaracter"/>
        </w:rPr>
      </w:pPr>
      <w:bookmarkStart w:id="1102" w:name="DESCRIPTORALFABETICO425"/>
      <w:r w:rsidRPr="00CF552A">
        <w:rPr>
          <w:rStyle w:val="TextoNormalNegritaCaracter"/>
        </w:rPr>
        <w:t xml:space="preserve">Principio </w:t>
      </w:r>
      <w:r w:rsidRPr="00CF552A">
        <w:rPr>
          <w:rStyle w:val="TextoNormalNegritaCaracter"/>
          <w:i/>
        </w:rPr>
        <w:t>pro actione</w:t>
      </w:r>
      <w:bookmarkEnd w:id="1102"/>
      <w:r w:rsidRPr="00CF552A">
        <w:rPr>
          <w:rStyle w:val="TextoNormalCaracter"/>
        </w:rPr>
        <w:t xml:space="preserve">, Sentencias </w:t>
      </w:r>
      <w:hyperlink w:anchor="SENTENCIA_1997_36" w:history="1">
        <w:r w:rsidRPr="00CF552A">
          <w:rPr>
            <w:rStyle w:val="TextoNormalCaracter"/>
          </w:rPr>
          <w:t>36/1997</w:t>
        </w:r>
      </w:hyperlink>
      <w:r w:rsidRPr="00CF552A">
        <w:rPr>
          <w:rStyle w:val="TextoNormalCaracter"/>
        </w:rPr>
        <w:t xml:space="preserve">, f. 3; </w:t>
      </w:r>
      <w:hyperlink w:anchor="SENTENCIA_1997_42" w:history="1">
        <w:r w:rsidRPr="00CF552A">
          <w:rPr>
            <w:rStyle w:val="TextoNormalCaracter"/>
          </w:rPr>
          <w:t>42/1997</w:t>
        </w:r>
      </w:hyperlink>
      <w:r w:rsidRPr="00CF552A">
        <w:rPr>
          <w:rStyle w:val="TextoNormalCaracter"/>
        </w:rPr>
        <w:t>, ff. 2, 3.</w:t>
      </w:r>
    </w:p>
    <w:p w:rsidR="00CF552A" w:rsidRPr="00CF552A" w:rsidRDefault="00CF552A" w:rsidP="00CF552A">
      <w:pPr>
        <w:pStyle w:val="TextoNormalSangraFrancesa"/>
        <w:rPr>
          <w:rStyle w:val="TextoNormalCaracter"/>
        </w:rPr>
      </w:pPr>
      <w:r w:rsidRPr="00CF552A">
        <w:rPr>
          <w:rStyle w:val="TextoNormalCaracter"/>
        </w:rPr>
        <w:lastRenderedPageBreak/>
        <w:t xml:space="preserve">    Auto </w:t>
      </w:r>
      <w:hyperlink w:anchor="AUTO_1997_80" w:history="1">
        <w:r w:rsidRPr="00CF552A">
          <w:rPr>
            <w:rStyle w:val="TextoNormalCaracter"/>
          </w:rPr>
          <w:t>80/1997</w:t>
        </w:r>
      </w:hyperlink>
      <w:r w:rsidRPr="00CF552A">
        <w:rPr>
          <w:rStyle w:val="TextoNormalCaracter"/>
        </w:rPr>
        <w:t>.</w:t>
      </w:r>
    </w:p>
    <w:p w:rsidR="00CF552A" w:rsidRPr="00CF552A" w:rsidRDefault="00CF552A" w:rsidP="00CF552A">
      <w:pPr>
        <w:pStyle w:val="TextoNormalSangraFrancesa"/>
        <w:rPr>
          <w:rStyle w:val="TextoNormalCaracter"/>
        </w:rPr>
      </w:pPr>
      <w:bookmarkStart w:id="1103" w:name="DESCRIPTORALFABETICO308"/>
      <w:r w:rsidRPr="00CF552A">
        <w:rPr>
          <w:rStyle w:val="TextoNormalNegritaCaracter"/>
        </w:rPr>
        <w:t>Principios de la política criminal</w:t>
      </w:r>
      <w:bookmarkEnd w:id="1103"/>
      <w:r w:rsidRPr="00CF552A">
        <w:rPr>
          <w:rStyle w:val="TextoNormalCaracter"/>
        </w:rPr>
        <w:t xml:space="preserve">, Sentencia </w:t>
      </w:r>
      <w:hyperlink w:anchor="SENTENCIA_1997_2" w:history="1">
        <w:r w:rsidRPr="00CF552A">
          <w:rPr>
            <w:rStyle w:val="TextoNormalCaracter"/>
          </w:rPr>
          <w:t>2/1997</w:t>
        </w:r>
      </w:hyperlink>
      <w:r w:rsidRPr="00CF552A">
        <w:rPr>
          <w:rStyle w:val="TextoNormalCaracter"/>
        </w:rPr>
        <w:t>, f. 3.</w:t>
      </w:r>
    </w:p>
    <w:p w:rsidR="00CF552A" w:rsidRPr="00CF552A" w:rsidRDefault="00CF552A" w:rsidP="00CF552A">
      <w:pPr>
        <w:pStyle w:val="TextoNormalSangraFrancesa"/>
        <w:rPr>
          <w:rStyle w:val="TextoNormalNegritaCaracter"/>
        </w:rPr>
      </w:pPr>
      <w:r w:rsidRPr="00CF552A">
        <w:rPr>
          <w:rStyle w:val="TextoNormalCursivaCaracter"/>
        </w:rPr>
        <w:t>Principios de política penal</w:t>
      </w:r>
      <w:r>
        <w:t xml:space="preserve"> véase </w:t>
      </w:r>
      <w:hyperlink w:anchor="DESCRIPTORALFABETICO308" w:history="1">
        <w:r w:rsidRPr="00CF552A">
          <w:rPr>
            <w:rStyle w:val="TextoNormalNegritaCaracter"/>
          </w:rPr>
          <w:t>Principios de la política criminal</w:t>
        </w:r>
      </w:hyperlink>
    </w:p>
    <w:p w:rsidR="00CF552A" w:rsidRPr="00CF552A" w:rsidRDefault="00CF552A" w:rsidP="00CF552A">
      <w:pPr>
        <w:pStyle w:val="TextoNormalSangraFrancesa"/>
        <w:rPr>
          <w:rStyle w:val="TextoNormalNegritaCaracter"/>
        </w:rPr>
      </w:pPr>
      <w:r w:rsidRPr="00CF552A">
        <w:rPr>
          <w:rStyle w:val="TextoNormalCursivaCaracter"/>
        </w:rPr>
        <w:t>Prisión preventiva</w:t>
      </w:r>
      <w:r>
        <w:t xml:space="preserve"> véase </w:t>
      </w:r>
      <w:hyperlink w:anchor="DESCRIPTORALFABETICO464" w:history="1">
        <w:r w:rsidRPr="00CF552A">
          <w:rPr>
            <w:rStyle w:val="TextoNormalNegritaCaracter"/>
          </w:rPr>
          <w:t>Prisión provisional</w:t>
        </w:r>
      </w:hyperlink>
    </w:p>
    <w:p w:rsidR="00CF552A" w:rsidRPr="00CF552A" w:rsidRDefault="00CF552A" w:rsidP="00CF552A">
      <w:pPr>
        <w:pStyle w:val="TextoNormalSangraFrancesa"/>
        <w:rPr>
          <w:rStyle w:val="TextoNormalCaracter"/>
        </w:rPr>
      </w:pPr>
      <w:bookmarkStart w:id="1104" w:name="DESCRIPTORALFABETICO464"/>
      <w:r w:rsidRPr="00CF552A">
        <w:rPr>
          <w:rStyle w:val="TextoNormalNegritaCaracter"/>
        </w:rPr>
        <w:t>Prisión provisional</w:t>
      </w:r>
      <w:bookmarkEnd w:id="1104"/>
      <w:r w:rsidRPr="00CF552A">
        <w:rPr>
          <w:rStyle w:val="TextoNormalCaracter"/>
        </w:rPr>
        <w:t xml:space="preserve">, Sentencias </w:t>
      </w:r>
      <w:hyperlink w:anchor="SENTENCIA_1997_44" w:history="1">
        <w:r w:rsidRPr="00CF552A">
          <w:rPr>
            <w:rStyle w:val="TextoNormalCaracter"/>
          </w:rPr>
          <w:t>44/1997</w:t>
        </w:r>
      </w:hyperlink>
      <w:r w:rsidRPr="00CF552A">
        <w:rPr>
          <w:rStyle w:val="TextoNormalCaracter"/>
        </w:rPr>
        <w:t xml:space="preserve">, ff. 1, 2, 3, 4, 5, 6, 7; </w:t>
      </w:r>
      <w:hyperlink w:anchor="SENTENCIA_1997_66" w:history="1">
        <w:r w:rsidRPr="00CF552A">
          <w:rPr>
            <w:rStyle w:val="TextoNormalCaracter"/>
          </w:rPr>
          <w:t>66/1997</w:t>
        </w:r>
      </w:hyperlink>
      <w:r w:rsidRPr="00CF552A">
        <w:rPr>
          <w:rStyle w:val="TextoNormalCaracter"/>
        </w:rPr>
        <w:t xml:space="preserve">, ff. 1, 2, 3, 4, 5, 6, 7; </w:t>
      </w:r>
      <w:hyperlink w:anchor="SENTENCIA_1997_67" w:history="1">
        <w:r w:rsidRPr="00CF552A">
          <w:rPr>
            <w:rStyle w:val="TextoNormalCaracter"/>
          </w:rPr>
          <w:t>67/1997</w:t>
        </w:r>
      </w:hyperlink>
      <w:r w:rsidRPr="00CF552A">
        <w:rPr>
          <w:rStyle w:val="TextoNormalCaracter"/>
        </w:rPr>
        <w:t>, f. 2.</w:t>
      </w:r>
    </w:p>
    <w:p w:rsidR="00CF552A" w:rsidRPr="00CF552A" w:rsidRDefault="00CF552A" w:rsidP="00CF552A">
      <w:pPr>
        <w:pStyle w:val="TextoNormalSangraFrancesa"/>
        <w:rPr>
          <w:rStyle w:val="TextoNormalCaracter"/>
        </w:rPr>
      </w:pPr>
      <w:r w:rsidRPr="00CF552A">
        <w:rPr>
          <w:rStyle w:val="TextoNormalCaracter"/>
        </w:rPr>
        <w:t xml:space="preserve">    Autos </w:t>
      </w:r>
      <w:hyperlink w:anchor="AUTO_1997_118" w:history="1">
        <w:r w:rsidRPr="00CF552A">
          <w:rPr>
            <w:rStyle w:val="TextoNormalCaracter"/>
          </w:rPr>
          <w:t>118/1997</w:t>
        </w:r>
      </w:hyperlink>
      <w:r w:rsidRPr="00CF552A">
        <w:rPr>
          <w:rStyle w:val="TextoNormalCaracter"/>
        </w:rPr>
        <w:t xml:space="preserve">; </w:t>
      </w:r>
      <w:hyperlink w:anchor="AUTO_1997_119" w:history="1">
        <w:r w:rsidRPr="00CF552A">
          <w:rPr>
            <w:rStyle w:val="TextoNormalCaracter"/>
          </w:rPr>
          <w:t>119/1997</w:t>
        </w:r>
      </w:hyperlink>
      <w:r w:rsidRPr="00CF552A">
        <w:rPr>
          <w:rStyle w:val="TextoNormalCaracter"/>
        </w:rPr>
        <w:t>.</w:t>
      </w:r>
    </w:p>
    <w:p w:rsidR="00CF552A" w:rsidRPr="00CF552A" w:rsidRDefault="00CF552A" w:rsidP="00CF552A">
      <w:pPr>
        <w:pStyle w:val="TextoNormalSangraFrancesa"/>
        <w:rPr>
          <w:rStyle w:val="TextoNormalCaracter"/>
        </w:rPr>
      </w:pPr>
      <w:r w:rsidRPr="00CF552A">
        <w:rPr>
          <w:rStyle w:val="TextoNormalCursivaCaracter"/>
        </w:rPr>
        <w:t xml:space="preserve">    Doctrina constitucional, </w:t>
      </w:r>
      <w:r w:rsidRPr="00CF552A">
        <w:rPr>
          <w:rStyle w:val="TextoNormalCaracter"/>
        </w:rPr>
        <w:t xml:space="preserve">Sentencias </w:t>
      </w:r>
      <w:hyperlink w:anchor="SENTENCIA_1997_44" w:history="1">
        <w:r w:rsidRPr="00CF552A">
          <w:rPr>
            <w:rStyle w:val="TextoNormalCaracter"/>
          </w:rPr>
          <w:t>44/1997</w:t>
        </w:r>
      </w:hyperlink>
      <w:r w:rsidRPr="00CF552A">
        <w:rPr>
          <w:rStyle w:val="TextoNormalCaracter"/>
        </w:rPr>
        <w:t xml:space="preserve">, f. 5; </w:t>
      </w:r>
      <w:hyperlink w:anchor="SENTENCIA_1997_66" w:history="1">
        <w:r w:rsidRPr="00CF552A">
          <w:rPr>
            <w:rStyle w:val="TextoNormalCaracter"/>
          </w:rPr>
          <w:t>66/1997</w:t>
        </w:r>
      </w:hyperlink>
      <w:r w:rsidRPr="00CF552A">
        <w:rPr>
          <w:rStyle w:val="TextoNormalCaracter"/>
        </w:rPr>
        <w:t>, f. 4.</w:t>
      </w:r>
    </w:p>
    <w:p w:rsidR="00CF552A" w:rsidRPr="00CF552A" w:rsidRDefault="00CF552A" w:rsidP="00CF552A">
      <w:pPr>
        <w:pStyle w:val="TextoNormalSangraFrancesa"/>
        <w:rPr>
          <w:rStyle w:val="TextoNormalCaracter"/>
        </w:rPr>
      </w:pPr>
      <w:bookmarkStart w:id="1105" w:name="DESCRIPTORALFABETICO50"/>
      <w:r w:rsidRPr="00CF552A">
        <w:rPr>
          <w:rStyle w:val="TextoNormalNegritaCaracter"/>
        </w:rPr>
        <w:t>Privación de libertad</w:t>
      </w:r>
      <w:bookmarkEnd w:id="1105"/>
      <w:r w:rsidRPr="00CF552A">
        <w:rPr>
          <w:rStyle w:val="TextoNormalCaracter"/>
        </w:rPr>
        <w:t xml:space="preserve">, Sentencias </w:t>
      </w:r>
      <w:hyperlink w:anchor="SENTENCIA_1997_21" w:history="1">
        <w:r w:rsidRPr="00CF552A">
          <w:rPr>
            <w:rStyle w:val="TextoNormalCaracter"/>
          </w:rPr>
          <w:t>21/1997</w:t>
        </w:r>
      </w:hyperlink>
      <w:r w:rsidRPr="00CF552A">
        <w:rPr>
          <w:rStyle w:val="TextoNormalCaracter"/>
        </w:rPr>
        <w:t xml:space="preserve">, ff. 3, 4, 6; </w:t>
      </w:r>
      <w:hyperlink w:anchor="SENTENCIA_1997_56" w:history="1">
        <w:r w:rsidRPr="00CF552A">
          <w:rPr>
            <w:rStyle w:val="TextoNormalCaracter"/>
          </w:rPr>
          <w:t>56/1997</w:t>
        </w:r>
      </w:hyperlink>
      <w:r w:rsidRPr="00CF552A">
        <w:rPr>
          <w:rStyle w:val="TextoNormalCaracter"/>
        </w:rPr>
        <w:t>, f. 8.</w:t>
      </w:r>
    </w:p>
    <w:p w:rsidR="00CF552A" w:rsidRPr="00CF552A" w:rsidRDefault="00CF552A" w:rsidP="00CF552A">
      <w:pPr>
        <w:pStyle w:val="TextoNormalSangraFrancesa"/>
        <w:rPr>
          <w:rStyle w:val="TextoNormalCaracter"/>
        </w:rPr>
      </w:pPr>
      <w:bookmarkStart w:id="1106" w:name="DESCRIPTORALFABETICO370"/>
      <w:r w:rsidRPr="00CF552A">
        <w:rPr>
          <w:rStyle w:val="TextoNormalNegritaCaracter"/>
        </w:rPr>
        <w:t>Privación del ejercicio del derecho de recusación</w:t>
      </w:r>
      <w:bookmarkEnd w:id="1106"/>
      <w:r w:rsidRPr="00CF552A">
        <w:rPr>
          <w:rStyle w:val="TextoNormalCaracter"/>
        </w:rPr>
        <w:t xml:space="preserve">, Sentencia </w:t>
      </w:r>
      <w:hyperlink w:anchor="SENTENCIA_1997_64" w:history="1">
        <w:r w:rsidRPr="00CF552A">
          <w:rPr>
            <w:rStyle w:val="TextoNormalCaracter"/>
          </w:rPr>
          <w:t>64/1997</w:t>
        </w:r>
      </w:hyperlink>
      <w:r w:rsidRPr="00CF552A">
        <w:rPr>
          <w:rStyle w:val="TextoNormalCaracter"/>
        </w:rPr>
        <w:t>, ff. 3, 4.</w:t>
      </w:r>
    </w:p>
    <w:p w:rsidR="00CF552A" w:rsidRPr="00CF552A" w:rsidRDefault="00CF552A" w:rsidP="00CF552A">
      <w:pPr>
        <w:pStyle w:val="TextoNormalSangraFrancesa"/>
        <w:rPr>
          <w:rStyle w:val="TextoNormalNegritaCaracter"/>
        </w:rPr>
      </w:pPr>
      <w:r w:rsidRPr="00CF552A">
        <w:rPr>
          <w:rStyle w:val="TextoNormalCursivaCaracter"/>
        </w:rPr>
        <w:t>Privilegio de inembargabilidad</w:t>
      </w:r>
      <w:r>
        <w:t xml:space="preserve"> véase </w:t>
      </w:r>
      <w:hyperlink w:anchor="DESCRIPTORALFABETICO416" w:history="1">
        <w:r w:rsidRPr="00CF552A">
          <w:rPr>
            <w:rStyle w:val="TextoNormalNegritaCaracter"/>
          </w:rPr>
          <w:t>Inembargabilidad de bienes y derechos</w:t>
        </w:r>
      </w:hyperlink>
    </w:p>
    <w:p w:rsidR="00CF552A" w:rsidRPr="00CF552A" w:rsidRDefault="00CF552A" w:rsidP="00CF552A">
      <w:pPr>
        <w:pStyle w:val="TextoNormalSangraFrancesa"/>
        <w:rPr>
          <w:rStyle w:val="TextoNormalCaracter"/>
        </w:rPr>
      </w:pPr>
      <w:bookmarkStart w:id="1107" w:name="DESCRIPTORALFABETICO20"/>
      <w:r w:rsidRPr="00CF552A">
        <w:rPr>
          <w:rStyle w:val="TextoNormalNegritaCaracter"/>
        </w:rPr>
        <w:t>Privilegios en el pago de intereses de deuda</w:t>
      </w:r>
      <w:bookmarkEnd w:id="1107"/>
      <w:r w:rsidRPr="00CF552A">
        <w:rPr>
          <w:rStyle w:val="TextoNormalCaracter"/>
        </w:rPr>
        <w:t xml:space="preserve">, Sentencia </w:t>
      </w:r>
      <w:hyperlink w:anchor="SENTENCIA_1997_23" w:history="1">
        <w:r w:rsidRPr="00CF552A">
          <w:rPr>
            <w:rStyle w:val="TextoNormalCaracter"/>
          </w:rPr>
          <w:t>23/1997</w:t>
        </w:r>
      </w:hyperlink>
      <w:r w:rsidRPr="00CF552A">
        <w:rPr>
          <w:rStyle w:val="TextoNormalCaracter"/>
        </w:rPr>
        <w:t>, f. 2.</w:t>
      </w:r>
    </w:p>
    <w:p w:rsidR="00CF552A" w:rsidRPr="00CF552A" w:rsidRDefault="00CF552A" w:rsidP="00CF552A">
      <w:pPr>
        <w:pStyle w:val="TextoNormalSangraFrancesa"/>
        <w:rPr>
          <w:rStyle w:val="TextoNormalCaracter"/>
        </w:rPr>
      </w:pPr>
      <w:bookmarkStart w:id="1108" w:name="DESCRIPTORALFABETICO465"/>
      <w:r w:rsidRPr="00CF552A">
        <w:rPr>
          <w:rStyle w:val="TextoNormalNegritaCaracter"/>
        </w:rPr>
        <w:t>Probabilidad de culpabilidad</w:t>
      </w:r>
      <w:bookmarkEnd w:id="1108"/>
      <w:r w:rsidRPr="00CF552A">
        <w:rPr>
          <w:rStyle w:val="TextoNormalCaracter"/>
        </w:rPr>
        <w:t xml:space="preserve">, Sentencias </w:t>
      </w:r>
      <w:hyperlink w:anchor="SENTENCIA_1997_66" w:history="1">
        <w:r w:rsidRPr="00CF552A">
          <w:rPr>
            <w:rStyle w:val="TextoNormalCaracter"/>
          </w:rPr>
          <w:t>66/1997</w:t>
        </w:r>
      </w:hyperlink>
      <w:r w:rsidRPr="00CF552A">
        <w:rPr>
          <w:rStyle w:val="TextoNormalCaracter"/>
        </w:rPr>
        <w:t xml:space="preserve">, f. 5; </w:t>
      </w:r>
      <w:hyperlink w:anchor="SENTENCIA_1997_67" w:history="1">
        <w:r w:rsidRPr="00CF552A">
          <w:rPr>
            <w:rStyle w:val="TextoNormalCaracter"/>
          </w:rPr>
          <w:t>67/1997</w:t>
        </w:r>
      </w:hyperlink>
      <w:r w:rsidRPr="00CF552A">
        <w:rPr>
          <w:rStyle w:val="TextoNormalCaracter"/>
        </w:rPr>
        <w:t>, f. 2.</w:t>
      </w:r>
    </w:p>
    <w:p w:rsidR="00CF552A" w:rsidRPr="00CF552A" w:rsidRDefault="00CF552A" w:rsidP="00CF552A">
      <w:pPr>
        <w:pStyle w:val="TextoNormalSangraFrancesa"/>
        <w:rPr>
          <w:rStyle w:val="TextoNormalCaracter"/>
        </w:rPr>
      </w:pPr>
      <w:bookmarkStart w:id="1109" w:name="DESCRIPTORALFABETICO334"/>
      <w:r w:rsidRPr="00CF552A">
        <w:rPr>
          <w:rStyle w:val="TextoNormalNegritaCaracter"/>
        </w:rPr>
        <w:t>Procedimiento administrativo</w:t>
      </w:r>
      <w:bookmarkEnd w:id="1109"/>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ff. 25, 35.</w:t>
      </w:r>
    </w:p>
    <w:p w:rsidR="00CF552A" w:rsidRPr="00CF552A" w:rsidRDefault="00CF552A" w:rsidP="00CF552A">
      <w:pPr>
        <w:pStyle w:val="TextoNormalSangraFrancesa"/>
        <w:rPr>
          <w:rStyle w:val="TextoNormalCaracter"/>
        </w:rPr>
      </w:pPr>
      <w:bookmarkStart w:id="1110" w:name="DESCRIPTORALFABETICO242"/>
      <w:r w:rsidRPr="00CF552A">
        <w:rPr>
          <w:rStyle w:val="TextoNormalNegritaCaracter"/>
        </w:rPr>
        <w:t>Procedimiento administrativo sancionador</w:t>
      </w:r>
      <w:bookmarkEnd w:id="1110"/>
      <w:r w:rsidRPr="00CF552A">
        <w:rPr>
          <w:rStyle w:val="TextoNormalCaracter"/>
        </w:rPr>
        <w:t xml:space="preserve">, Sentencias </w:t>
      </w:r>
      <w:hyperlink w:anchor="SENTENCIA_1997_14" w:history="1">
        <w:r w:rsidRPr="00CF552A">
          <w:rPr>
            <w:rStyle w:val="TextoNormalCaracter"/>
          </w:rPr>
          <w:t>14/1997</w:t>
        </w:r>
      </w:hyperlink>
      <w:r w:rsidRPr="00CF552A">
        <w:rPr>
          <w:rStyle w:val="TextoNormalCaracter"/>
        </w:rPr>
        <w:t xml:space="preserve">, ff. 4, 5, 6; </w:t>
      </w:r>
      <w:hyperlink w:anchor="SENTENCIA_1997_45" w:history="1">
        <w:r w:rsidRPr="00CF552A">
          <w:rPr>
            <w:rStyle w:val="TextoNormalCaracter"/>
          </w:rPr>
          <w:t>45/1997</w:t>
        </w:r>
      </w:hyperlink>
      <w:r w:rsidRPr="00CF552A">
        <w:rPr>
          <w:rStyle w:val="TextoNormalCaracter"/>
        </w:rPr>
        <w:t>, ff. 3, 6, 7.</w:t>
      </w:r>
    </w:p>
    <w:p w:rsidR="00CF552A" w:rsidRPr="00CF552A" w:rsidRDefault="00CF552A" w:rsidP="00CF552A">
      <w:pPr>
        <w:pStyle w:val="TextoNormalSangraFrancesa"/>
        <w:rPr>
          <w:rStyle w:val="TextoNormalCaracter"/>
        </w:rPr>
      </w:pPr>
      <w:bookmarkStart w:id="1111" w:name="DESCRIPTORALFABETICO375"/>
      <w:r w:rsidRPr="00CF552A">
        <w:rPr>
          <w:rStyle w:val="TextoNormalNegritaCaracter"/>
        </w:rPr>
        <w:t>Procedimiento arbitral</w:t>
      </w:r>
      <w:bookmarkEnd w:id="1111"/>
      <w:r w:rsidRPr="00CF552A">
        <w:rPr>
          <w:rStyle w:val="TextoNormalCaracter"/>
        </w:rPr>
        <w:t xml:space="preserve">, Sentencia </w:t>
      </w:r>
      <w:hyperlink w:anchor="SENTENCIA_1997_13" w:history="1">
        <w:r w:rsidRPr="00CF552A">
          <w:rPr>
            <w:rStyle w:val="TextoNormalCaracter"/>
          </w:rPr>
          <w:t>13/1997</w:t>
        </w:r>
      </w:hyperlink>
      <w:r w:rsidRPr="00CF552A">
        <w:rPr>
          <w:rStyle w:val="TextoNormalCaracter"/>
        </w:rPr>
        <w:t>, f. 2.</w:t>
      </w:r>
    </w:p>
    <w:p w:rsidR="00CF552A" w:rsidRPr="00CF552A" w:rsidRDefault="00CF552A" w:rsidP="00CF552A">
      <w:pPr>
        <w:pStyle w:val="TextoNormalSangraFrancesa"/>
        <w:rPr>
          <w:rStyle w:val="TextoNormalCaracter"/>
        </w:rPr>
      </w:pPr>
      <w:bookmarkStart w:id="1112" w:name="DESCRIPTORALFABETICO141"/>
      <w:r w:rsidRPr="00CF552A">
        <w:rPr>
          <w:rStyle w:val="TextoNormalNegritaCaracter"/>
        </w:rPr>
        <w:t>Procedimiento constitucional</w:t>
      </w:r>
      <w:bookmarkEnd w:id="1112"/>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 4.</w:t>
      </w:r>
    </w:p>
    <w:p w:rsidR="00CF552A" w:rsidRPr="00CF552A" w:rsidRDefault="00CF552A" w:rsidP="00CF552A">
      <w:pPr>
        <w:pStyle w:val="TextoNormalSangraFrancesa"/>
        <w:rPr>
          <w:rStyle w:val="TextoNormalNegritaCaracter"/>
        </w:rPr>
      </w:pPr>
      <w:r w:rsidRPr="00CF552A">
        <w:rPr>
          <w:rStyle w:val="TextoNormalCursivaCaracter"/>
        </w:rPr>
        <w:t>Procedimiento de cuenta jurada</w:t>
      </w:r>
      <w:r>
        <w:t xml:space="preserve"> véase </w:t>
      </w:r>
      <w:hyperlink w:anchor="DESCRIPTORALFABETICO420" w:history="1">
        <w:r w:rsidRPr="00CF552A">
          <w:rPr>
            <w:rStyle w:val="TextoNormalNegritaCaracter"/>
          </w:rPr>
          <w:t>Jura de cuentas</w:t>
        </w:r>
      </w:hyperlink>
    </w:p>
    <w:p w:rsidR="00CF552A" w:rsidRPr="00CF552A" w:rsidRDefault="00CF552A" w:rsidP="00CF552A">
      <w:pPr>
        <w:pStyle w:val="TextoNormalSangraFrancesa"/>
        <w:rPr>
          <w:rStyle w:val="TextoNormalCaracter"/>
        </w:rPr>
      </w:pPr>
      <w:bookmarkStart w:id="1113" w:name="DESCRIPTORALFABETICO30"/>
      <w:r w:rsidRPr="00CF552A">
        <w:rPr>
          <w:rStyle w:val="TextoNormalNegritaCaracter"/>
        </w:rPr>
        <w:t>Procedimiento electoral</w:t>
      </w:r>
      <w:bookmarkEnd w:id="1113"/>
      <w:r w:rsidRPr="00CF552A">
        <w:rPr>
          <w:rStyle w:val="TextoNormalCaracter"/>
        </w:rPr>
        <w:t xml:space="preserve">, Sentencias </w:t>
      </w:r>
      <w:hyperlink w:anchor="SENTENCIA_1997_46" w:history="1">
        <w:r w:rsidRPr="00CF552A">
          <w:rPr>
            <w:rStyle w:val="TextoNormalCaracter"/>
          </w:rPr>
          <w:t>46/1997</w:t>
        </w:r>
      </w:hyperlink>
      <w:r w:rsidRPr="00CF552A">
        <w:rPr>
          <w:rStyle w:val="TextoNormalCaracter"/>
        </w:rPr>
        <w:t xml:space="preserve">, ff. 1, 2; </w:t>
      </w:r>
      <w:hyperlink w:anchor="SENTENCIA_1997_48" w:history="1">
        <w:r w:rsidRPr="00CF552A">
          <w:rPr>
            <w:rStyle w:val="TextoNormalCaracter"/>
          </w:rPr>
          <w:t>48/1997</w:t>
        </w:r>
      </w:hyperlink>
      <w:r w:rsidRPr="00CF552A">
        <w:rPr>
          <w:rStyle w:val="TextoNormalCaracter"/>
        </w:rPr>
        <w:t>, f. 1.</w:t>
      </w:r>
    </w:p>
    <w:p w:rsidR="00CF552A" w:rsidRPr="00CF552A" w:rsidRDefault="00CF552A" w:rsidP="00CF552A">
      <w:pPr>
        <w:pStyle w:val="TextoNormalSangraFrancesa"/>
        <w:rPr>
          <w:rStyle w:val="TextoNormalCaracter"/>
        </w:rPr>
      </w:pPr>
      <w:r w:rsidRPr="00CF552A">
        <w:rPr>
          <w:rStyle w:val="TextoNormalCaracter"/>
        </w:rPr>
        <w:t xml:space="preserve">    Auto </w:t>
      </w:r>
      <w:hyperlink w:anchor="AUTO_1997_32" w:history="1">
        <w:r w:rsidRPr="00CF552A">
          <w:rPr>
            <w:rStyle w:val="TextoNormalCaracter"/>
          </w:rPr>
          <w:t>32/1997</w:t>
        </w:r>
      </w:hyperlink>
      <w:r w:rsidRPr="00CF552A">
        <w:rPr>
          <w:rStyle w:val="TextoNormalCaracter"/>
        </w:rPr>
        <w:t>.</w:t>
      </w:r>
    </w:p>
    <w:p w:rsidR="00CF552A" w:rsidRPr="00CF552A" w:rsidRDefault="00CF552A" w:rsidP="00CF552A">
      <w:pPr>
        <w:pStyle w:val="TextoNormalSangraFrancesa"/>
        <w:rPr>
          <w:rStyle w:val="TextoNormalCaracter"/>
        </w:rPr>
      </w:pPr>
      <w:bookmarkStart w:id="1114" w:name="DESCRIPTORALFABETICO366"/>
      <w:r w:rsidRPr="00CF552A">
        <w:rPr>
          <w:rStyle w:val="TextoNormalNegritaCaracter"/>
        </w:rPr>
        <w:t>Procedimiento especial de la ley de protección jurisdiccional de los derechos fundamentales</w:t>
      </w:r>
      <w:bookmarkEnd w:id="1114"/>
      <w:r w:rsidRPr="00CF552A">
        <w:rPr>
          <w:rStyle w:val="TextoNormalCaracter"/>
        </w:rPr>
        <w:t xml:space="preserve">, Auto </w:t>
      </w:r>
      <w:hyperlink w:anchor="AUTO_1997_13" w:history="1">
        <w:r w:rsidRPr="00CF552A">
          <w:rPr>
            <w:rStyle w:val="TextoNormalCaracter"/>
          </w:rPr>
          <w:t>13/1997</w:t>
        </w:r>
      </w:hyperlink>
      <w:r w:rsidRPr="00CF552A">
        <w:rPr>
          <w:rStyle w:val="TextoNormalCaracter"/>
        </w:rPr>
        <w:t>.</w:t>
      </w:r>
    </w:p>
    <w:p w:rsidR="00CF552A" w:rsidRPr="00CF552A" w:rsidRDefault="00CF552A" w:rsidP="00CF552A">
      <w:pPr>
        <w:pStyle w:val="TextoNormalSangraFrancesa"/>
        <w:rPr>
          <w:rStyle w:val="TextoNormalCaracter"/>
        </w:rPr>
      </w:pPr>
      <w:bookmarkStart w:id="1115" w:name="DESCRIPTORALFABETICO260"/>
      <w:r w:rsidRPr="00CF552A">
        <w:rPr>
          <w:rStyle w:val="TextoNormalNegritaCaracter"/>
        </w:rPr>
        <w:t>Procedimiento expropiatorio</w:t>
      </w:r>
      <w:bookmarkEnd w:id="1115"/>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ff. 17, 31.</w:t>
      </w:r>
    </w:p>
    <w:p w:rsidR="00CF552A" w:rsidRPr="00CF552A" w:rsidRDefault="00CF552A" w:rsidP="00CF552A">
      <w:pPr>
        <w:pStyle w:val="TextoNormalSangraFrancesa"/>
        <w:rPr>
          <w:rStyle w:val="TextoNormalCaracter"/>
        </w:rPr>
      </w:pPr>
      <w:bookmarkStart w:id="1116" w:name="DESCRIPTORALFABETICO473"/>
      <w:r w:rsidRPr="00CF552A">
        <w:rPr>
          <w:rStyle w:val="TextoNormalNegritaCaracter"/>
        </w:rPr>
        <w:t>Procedimiento penal abreviado</w:t>
      </w:r>
      <w:bookmarkEnd w:id="1116"/>
      <w:r w:rsidRPr="00CF552A">
        <w:rPr>
          <w:rStyle w:val="TextoNormalCaracter"/>
        </w:rPr>
        <w:t xml:space="preserve">, Sentencia </w:t>
      </w:r>
      <w:hyperlink w:anchor="SENTENCIA_1997_11" w:history="1">
        <w:r w:rsidRPr="00CF552A">
          <w:rPr>
            <w:rStyle w:val="TextoNormalCaracter"/>
          </w:rPr>
          <w:t>11/1997</w:t>
        </w:r>
      </w:hyperlink>
      <w:r w:rsidRPr="00CF552A">
        <w:rPr>
          <w:rStyle w:val="TextoNormalCaracter"/>
        </w:rPr>
        <w:t>, f. único.</w:t>
      </w:r>
    </w:p>
    <w:p w:rsidR="00CF552A" w:rsidRPr="00CF552A" w:rsidRDefault="00CF552A" w:rsidP="00CF552A">
      <w:pPr>
        <w:pStyle w:val="TextoNormalSangraFrancesa"/>
        <w:rPr>
          <w:rStyle w:val="TextoNormalCaracter"/>
        </w:rPr>
      </w:pPr>
      <w:bookmarkStart w:id="1117" w:name="DESCRIPTORALFABETICO447"/>
      <w:r w:rsidRPr="00CF552A">
        <w:rPr>
          <w:rStyle w:val="TextoNormalNegritaCaracter"/>
        </w:rPr>
        <w:t>Proceso contencioso-administrativo</w:t>
      </w:r>
      <w:bookmarkEnd w:id="1117"/>
      <w:r w:rsidRPr="00CF552A">
        <w:rPr>
          <w:rStyle w:val="TextoNormalCaracter"/>
        </w:rPr>
        <w:t xml:space="preserve">, Sentencias </w:t>
      </w:r>
      <w:hyperlink w:anchor="SENTENCIA_1997_8" w:history="1">
        <w:r w:rsidRPr="00CF552A">
          <w:rPr>
            <w:rStyle w:val="TextoNormalCaracter"/>
          </w:rPr>
          <w:t>8/1997</w:t>
        </w:r>
      </w:hyperlink>
      <w:r w:rsidRPr="00CF552A">
        <w:rPr>
          <w:rStyle w:val="TextoNormalCaracter"/>
        </w:rPr>
        <w:t xml:space="preserve">, f. 3; </w:t>
      </w:r>
      <w:hyperlink w:anchor="SENTENCIA_1997_42" w:history="1">
        <w:r w:rsidRPr="00CF552A">
          <w:rPr>
            <w:rStyle w:val="TextoNormalCaracter"/>
          </w:rPr>
          <w:t>42/1997</w:t>
        </w:r>
      </w:hyperlink>
      <w:r w:rsidRPr="00CF552A">
        <w:rPr>
          <w:rStyle w:val="TextoNormalCaracter"/>
        </w:rPr>
        <w:t xml:space="preserve">, f. 1; </w:t>
      </w:r>
      <w:hyperlink w:anchor="SENTENCIA_1997_55" w:history="1">
        <w:r w:rsidRPr="00CF552A">
          <w:rPr>
            <w:rStyle w:val="TextoNormalCaracter"/>
          </w:rPr>
          <w:t>55/1997</w:t>
        </w:r>
      </w:hyperlink>
      <w:r w:rsidRPr="00CF552A">
        <w:rPr>
          <w:rStyle w:val="TextoNormalCaracter"/>
        </w:rPr>
        <w:t>, f. 3, VP.</w:t>
      </w:r>
    </w:p>
    <w:p w:rsidR="00CF552A" w:rsidRPr="00CF552A" w:rsidRDefault="00CF552A" w:rsidP="00CF552A">
      <w:pPr>
        <w:pStyle w:val="TextoNormalSangraFrancesa"/>
        <w:rPr>
          <w:rStyle w:val="TextoNormalCaracter"/>
        </w:rPr>
      </w:pPr>
      <w:bookmarkStart w:id="1118" w:name="DESCRIPTORALFABETICO451"/>
      <w:r w:rsidRPr="00CF552A">
        <w:rPr>
          <w:rStyle w:val="TextoNormalNegritaCaracter"/>
        </w:rPr>
        <w:t>Proceso laboral</w:t>
      </w:r>
      <w:bookmarkEnd w:id="1118"/>
      <w:r w:rsidRPr="00CF552A">
        <w:rPr>
          <w:rStyle w:val="TextoNormalCaracter"/>
        </w:rPr>
        <w:t xml:space="preserve">, Sentencias </w:t>
      </w:r>
      <w:hyperlink w:anchor="SENTENCIA_1997_18" w:history="1">
        <w:r w:rsidRPr="00CF552A">
          <w:rPr>
            <w:rStyle w:val="TextoNormalCaracter"/>
          </w:rPr>
          <w:t>18/1997</w:t>
        </w:r>
      </w:hyperlink>
      <w:r w:rsidRPr="00CF552A">
        <w:rPr>
          <w:rStyle w:val="TextoNormalCaracter"/>
        </w:rPr>
        <w:t xml:space="preserve">, ff. 1, 2, 3, 4, 5, 6, 7, 8, 9; </w:t>
      </w:r>
      <w:hyperlink w:anchor="SENTENCIA_1997_38" w:history="1">
        <w:r w:rsidRPr="00CF552A">
          <w:rPr>
            <w:rStyle w:val="TextoNormalCaracter"/>
          </w:rPr>
          <w:t>38/1997</w:t>
        </w:r>
      </w:hyperlink>
      <w:r w:rsidRPr="00CF552A">
        <w:rPr>
          <w:rStyle w:val="TextoNormalCaracter"/>
        </w:rPr>
        <w:t>, ff. 2, 3.</w:t>
      </w:r>
    </w:p>
    <w:p w:rsidR="00CF552A" w:rsidRPr="00CF552A" w:rsidRDefault="00CF552A" w:rsidP="00CF552A">
      <w:pPr>
        <w:pStyle w:val="TextoNormalSangraFrancesa"/>
        <w:rPr>
          <w:rStyle w:val="TextoNormalCaracter"/>
        </w:rPr>
      </w:pPr>
      <w:bookmarkStart w:id="1119" w:name="DESCRIPTORALFABETICO454"/>
      <w:r w:rsidRPr="00CF552A">
        <w:rPr>
          <w:rStyle w:val="TextoNormalNegritaCaracter"/>
        </w:rPr>
        <w:t>Proceso penal</w:t>
      </w:r>
      <w:bookmarkEnd w:id="1119"/>
      <w:r w:rsidRPr="00CF552A">
        <w:rPr>
          <w:rStyle w:val="TextoNormalCaracter"/>
        </w:rPr>
        <w:t xml:space="preserve">, Sentencias </w:t>
      </w:r>
      <w:hyperlink w:anchor="SENTENCIA_1997_27" w:history="1">
        <w:r w:rsidRPr="00CF552A">
          <w:rPr>
            <w:rStyle w:val="TextoNormalCaracter"/>
          </w:rPr>
          <w:t>27/1997</w:t>
        </w:r>
      </w:hyperlink>
      <w:r w:rsidRPr="00CF552A">
        <w:rPr>
          <w:rStyle w:val="TextoNormalCaracter"/>
        </w:rPr>
        <w:t xml:space="preserve">, f. 2; </w:t>
      </w:r>
      <w:hyperlink w:anchor="SENTENCIA_1997_43" w:history="1">
        <w:r w:rsidRPr="00CF552A">
          <w:rPr>
            <w:rStyle w:val="TextoNormalCaracter"/>
          </w:rPr>
          <w:t>43/1997</w:t>
        </w:r>
      </w:hyperlink>
      <w:r w:rsidRPr="00CF552A">
        <w:rPr>
          <w:rStyle w:val="TextoNormalCaracter"/>
        </w:rPr>
        <w:t xml:space="preserve">, f. 3; </w:t>
      </w:r>
      <w:hyperlink w:anchor="SENTENCIA_1997_74" w:history="1">
        <w:r w:rsidRPr="00CF552A">
          <w:rPr>
            <w:rStyle w:val="TextoNormalCaracter"/>
          </w:rPr>
          <w:t>74/1997</w:t>
        </w:r>
      </w:hyperlink>
      <w:r w:rsidRPr="00CF552A">
        <w:rPr>
          <w:rStyle w:val="TextoNormalCaracter"/>
        </w:rPr>
        <w:t xml:space="preserve">, f. 5. VP; </w:t>
      </w:r>
      <w:hyperlink w:anchor="SENTENCIA_1997_85" w:history="1">
        <w:r w:rsidRPr="00CF552A">
          <w:rPr>
            <w:rStyle w:val="TextoNormalCaracter"/>
          </w:rPr>
          <w:t>85/1997</w:t>
        </w:r>
      </w:hyperlink>
      <w:r w:rsidRPr="00CF552A">
        <w:rPr>
          <w:rStyle w:val="TextoNormalCaracter"/>
        </w:rPr>
        <w:t>, ff. 3, 4.</w:t>
      </w:r>
    </w:p>
    <w:p w:rsidR="00CF552A" w:rsidRPr="00CF552A" w:rsidRDefault="00CF552A" w:rsidP="00CF552A">
      <w:pPr>
        <w:pStyle w:val="TextoNormalSangraFrancesa"/>
        <w:rPr>
          <w:rStyle w:val="TextoNormalCaracter"/>
        </w:rPr>
      </w:pPr>
      <w:bookmarkStart w:id="1120" w:name="DESCRIPTORALFABETICO421"/>
      <w:r w:rsidRPr="00CF552A">
        <w:rPr>
          <w:rStyle w:val="TextoNormalNegritaCaracter"/>
        </w:rPr>
        <w:t>Procuradores de los tribunales</w:t>
      </w:r>
      <w:bookmarkEnd w:id="1120"/>
      <w:r w:rsidRPr="00CF552A">
        <w:rPr>
          <w:rStyle w:val="TextoNormalCaracter"/>
        </w:rPr>
        <w:t xml:space="preserve">, Sentencias </w:t>
      </w:r>
      <w:hyperlink w:anchor="SENTENCIA_1997_12" w:history="1">
        <w:r w:rsidRPr="00CF552A">
          <w:rPr>
            <w:rStyle w:val="TextoNormalCaracter"/>
          </w:rPr>
          <w:t>12/1997</w:t>
        </w:r>
      </w:hyperlink>
      <w:r w:rsidRPr="00CF552A">
        <w:rPr>
          <w:rStyle w:val="TextoNormalCaracter"/>
        </w:rPr>
        <w:t xml:space="preserve">, ff. 1, 2, 3, 4; </w:t>
      </w:r>
      <w:hyperlink w:anchor="SENTENCIA_1997_20" w:history="1">
        <w:r w:rsidRPr="00CF552A">
          <w:rPr>
            <w:rStyle w:val="TextoNormalCaracter"/>
          </w:rPr>
          <w:t>20/1997</w:t>
        </w:r>
      </w:hyperlink>
      <w:r w:rsidRPr="00CF552A">
        <w:rPr>
          <w:rStyle w:val="TextoNormalCaracter"/>
        </w:rPr>
        <w:t>, ff. 1, 2, 3, 4.</w:t>
      </w:r>
    </w:p>
    <w:p w:rsidR="00CF552A" w:rsidRPr="00CF552A" w:rsidRDefault="00CF552A" w:rsidP="00CF552A">
      <w:pPr>
        <w:pStyle w:val="TextoNormalSangraFrancesa"/>
        <w:rPr>
          <w:rStyle w:val="TextoNormalNegritaCaracter"/>
        </w:rPr>
      </w:pPr>
      <w:r w:rsidRPr="00CF552A">
        <w:rPr>
          <w:rStyle w:val="TextoNormalCursivaCaracter"/>
        </w:rPr>
        <w:t>Prolongación de prisión provisional</w:t>
      </w:r>
      <w:r>
        <w:t xml:space="preserve"> véase </w:t>
      </w:r>
      <w:hyperlink w:anchor="DESCRIPTORALFABETICO471" w:history="1">
        <w:r w:rsidRPr="00CF552A">
          <w:rPr>
            <w:rStyle w:val="TextoNormalNegritaCaracter"/>
          </w:rPr>
          <w:t>Prórroga de prisión provisional</w:t>
        </w:r>
      </w:hyperlink>
    </w:p>
    <w:p w:rsidR="00CF552A" w:rsidRPr="00CF552A" w:rsidRDefault="00CF552A" w:rsidP="00CF552A">
      <w:pPr>
        <w:pStyle w:val="TextoNormalSangraFrancesa"/>
        <w:rPr>
          <w:rStyle w:val="TextoNormalCaracter"/>
        </w:rPr>
      </w:pPr>
      <w:bookmarkStart w:id="1121" w:name="DESCRIPTORALFABETICO239"/>
      <w:r w:rsidRPr="00CF552A">
        <w:rPr>
          <w:rStyle w:val="TextoNormalNegritaCaracter"/>
        </w:rPr>
        <w:t>Promoción del libro</w:t>
      </w:r>
      <w:bookmarkEnd w:id="1121"/>
      <w:r w:rsidRPr="00CF552A">
        <w:rPr>
          <w:rStyle w:val="TextoNormalCaracter"/>
        </w:rPr>
        <w:t xml:space="preserve">, Sentencia </w:t>
      </w:r>
      <w:hyperlink w:anchor="SENTENCIA_1997_71" w:history="1">
        <w:r w:rsidRPr="00CF552A">
          <w:rPr>
            <w:rStyle w:val="TextoNormalCaracter"/>
          </w:rPr>
          <w:t>71/1997</w:t>
        </w:r>
      </w:hyperlink>
      <w:r w:rsidRPr="00CF552A">
        <w:rPr>
          <w:rStyle w:val="TextoNormalCaracter"/>
        </w:rPr>
        <w:t>, ff. 1, 2, 3, 4, 5, 6.</w:t>
      </w:r>
    </w:p>
    <w:p w:rsidR="00CF552A" w:rsidRPr="00CF552A" w:rsidRDefault="00CF552A" w:rsidP="00CF552A">
      <w:pPr>
        <w:pStyle w:val="TextoNormalSangraFrancesa"/>
        <w:rPr>
          <w:rStyle w:val="TextoNormalCaracter"/>
        </w:rPr>
      </w:pPr>
      <w:bookmarkStart w:id="1122" w:name="DESCRIPTORALFABETICO249"/>
      <w:r w:rsidRPr="00CF552A">
        <w:rPr>
          <w:rStyle w:val="TextoNormalNegritaCaracter"/>
        </w:rPr>
        <w:t>Propiedad privada</w:t>
      </w:r>
      <w:bookmarkEnd w:id="1122"/>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ff. 9, 10, 17.</w:t>
      </w:r>
    </w:p>
    <w:p w:rsidR="00CF552A" w:rsidRPr="00CF552A" w:rsidRDefault="00CF552A" w:rsidP="00CF552A">
      <w:pPr>
        <w:pStyle w:val="TextoNormalSangraFrancesa"/>
        <w:rPr>
          <w:rStyle w:val="TextoNormalCaracter"/>
        </w:rPr>
      </w:pPr>
      <w:bookmarkStart w:id="1123" w:name="DESCRIPTORALFABETICO250"/>
      <w:r w:rsidRPr="00CF552A">
        <w:rPr>
          <w:rStyle w:val="TextoNormalNegritaCaracter"/>
        </w:rPr>
        <w:t>Propiedad urbana</w:t>
      </w:r>
      <w:bookmarkEnd w:id="1123"/>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ff. 10, 11, 27.</w:t>
      </w:r>
    </w:p>
    <w:p w:rsidR="00CF552A" w:rsidRPr="00CF552A" w:rsidRDefault="00CF552A" w:rsidP="00CF552A">
      <w:pPr>
        <w:pStyle w:val="TextoNormalSangraFrancesa"/>
        <w:rPr>
          <w:rStyle w:val="TextoNormalCaracter"/>
        </w:rPr>
      </w:pPr>
      <w:r w:rsidRPr="00CF552A">
        <w:rPr>
          <w:rStyle w:val="TextoNormalCursivaCaracter"/>
        </w:rPr>
        <w:t xml:space="preserve">    Régimen jurídico, </w:t>
      </w:r>
      <w:r w:rsidRPr="00CF552A">
        <w:rPr>
          <w:rStyle w:val="TextoNormalCaracter"/>
        </w:rPr>
        <w:t xml:space="preserve">Sentencia </w:t>
      </w:r>
      <w:hyperlink w:anchor="SENTENCIA_1997_61" w:history="1">
        <w:r w:rsidRPr="00CF552A">
          <w:rPr>
            <w:rStyle w:val="TextoNormalCaracter"/>
          </w:rPr>
          <w:t>61/1997</w:t>
        </w:r>
      </w:hyperlink>
      <w:r w:rsidRPr="00CF552A">
        <w:rPr>
          <w:rStyle w:val="TextoNormalCaracter"/>
        </w:rPr>
        <w:t>, ff. 15, 28.</w:t>
      </w:r>
    </w:p>
    <w:p w:rsidR="00CF552A" w:rsidRPr="00CF552A" w:rsidRDefault="00CF552A" w:rsidP="00CF552A">
      <w:pPr>
        <w:pStyle w:val="TextoNormalSangraFrancesa"/>
        <w:rPr>
          <w:rStyle w:val="TextoNormalCaracter"/>
        </w:rPr>
      </w:pPr>
      <w:bookmarkStart w:id="1124" w:name="DESCRIPTORALFABETICO418"/>
      <w:r w:rsidRPr="00CF552A">
        <w:rPr>
          <w:rStyle w:val="TextoNormalNegritaCaracter"/>
        </w:rPr>
        <w:t>Proporcionalidad de la fianza</w:t>
      </w:r>
      <w:bookmarkEnd w:id="1124"/>
      <w:r w:rsidRPr="00CF552A">
        <w:rPr>
          <w:rStyle w:val="TextoNormalCaracter"/>
        </w:rPr>
        <w:t xml:space="preserve">, Sentencia </w:t>
      </w:r>
      <w:hyperlink w:anchor="SENTENCIA_1997_27" w:history="1">
        <w:r w:rsidRPr="00CF552A">
          <w:rPr>
            <w:rStyle w:val="TextoNormalCaracter"/>
          </w:rPr>
          <w:t>27/1997</w:t>
        </w:r>
      </w:hyperlink>
      <w:r w:rsidRPr="00CF552A">
        <w:rPr>
          <w:rStyle w:val="TextoNormalCaracter"/>
        </w:rPr>
        <w:t>, VP.</w:t>
      </w:r>
    </w:p>
    <w:p w:rsidR="00CF552A" w:rsidRPr="00CF552A" w:rsidRDefault="00CF552A" w:rsidP="00CF552A">
      <w:pPr>
        <w:pStyle w:val="TextoNormalSangraFrancesa"/>
        <w:rPr>
          <w:rStyle w:val="TextoNormalCaracter"/>
        </w:rPr>
      </w:pPr>
      <w:bookmarkStart w:id="1125" w:name="DESCRIPTORALFABETICO471"/>
      <w:r w:rsidRPr="00CF552A">
        <w:rPr>
          <w:rStyle w:val="TextoNormalNegritaCaracter"/>
        </w:rPr>
        <w:t>Prórroga de prisión provisional</w:t>
      </w:r>
      <w:bookmarkEnd w:id="1125"/>
      <w:r w:rsidRPr="00CF552A">
        <w:rPr>
          <w:rStyle w:val="TextoNormalCaracter"/>
        </w:rPr>
        <w:t xml:space="preserve">, Sentencia </w:t>
      </w:r>
      <w:hyperlink w:anchor="SENTENCIA_1997_56" w:history="1">
        <w:r w:rsidRPr="00CF552A">
          <w:rPr>
            <w:rStyle w:val="TextoNormalCaracter"/>
          </w:rPr>
          <w:t>56/1997</w:t>
        </w:r>
      </w:hyperlink>
      <w:r w:rsidRPr="00CF552A">
        <w:rPr>
          <w:rStyle w:val="TextoNormalCaracter"/>
        </w:rPr>
        <w:t>, ff. 5, 6.</w:t>
      </w:r>
    </w:p>
    <w:p w:rsidR="00CF552A" w:rsidRPr="00CF552A" w:rsidRDefault="00CF552A" w:rsidP="00CF552A">
      <w:pPr>
        <w:pStyle w:val="TextoNormalSangraFrancesa"/>
        <w:rPr>
          <w:rStyle w:val="TextoNormalCaracter"/>
        </w:rPr>
      </w:pPr>
      <w:bookmarkStart w:id="1126" w:name="DESCRIPTORALFABETICO265"/>
      <w:r w:rsidRPr="00CF552A">
        <w:rPr>
          <w:rStyle w:val="TextoNormalNegritaCaracter"/>
        </w:rPr>
        <w:t>Protección de la familia</w:t>
      </w:r>
      <w:bookmarkEnd w:id="1126"/>
      <w:r w:rsidRPr="00CF552A">
        <w:rPr>
          <w:rStyle w:val="TextoNormalCaracter"/>
        </w:rPr>
        <w:t xml:space="preserve">, Sentencia </w:t>
      </w:r>
      <w:hyperlink w:anchor="SENTENCIA_1997_74" w:history="1">
        <w:r w:rsidRPr="00CF552A">
          <w:rPr>
            <w:rStyle w:val="TextoNormalCaracter"/>
          </w:rPr>
          <w:t>74/1997</w:t>
        </w:r>
      </w:hyperlink>
      <w:r w:rsidRPr="00CF552A">
        <w:rPr>
          <w:rStyle w:val="TextoNormalCaracter"/>
        </w:rPr>
        <w:t>, f. 3, VP.</w:t>
      </w:r>
    </w:p>
    <w:p w:rsidR="00CF552A" w:rsidRPr="00CF552A" w:rsidRDefault="00CF552A" w:rsidP="00CF552A">
      <w:pPr>
        <w:pStyle w:val="TextoNormalSangraFrancesa"/>
        <w:rPr>
          <w:rStyle w:val="TextoNormalCaracter"/>
        </w:rPr>
      </w:pPr>
      <w:r w:rsidRPr="00CF552A">
        <w:rPr>
          <w:rStyle w:val="TextoNormalCursivaCaracter"/>
        </w:rPr>
        <w:t xml:space="preserve">    Alcance, </w:t>
      </w:r>
      <w:r w:rsidRPr="00CF552A">
        <w:rPr>
          <w:rStyle w:val="TextoNormalCaracter"/>
        </w:rPr>
        <w:t xml:space="preserve">Sentencia </w:t>
      </w:r>
      <w:hyperlink w:anchor="SENTENCIA_1997_74" w:history="1">
        <w:r w:rsidRPr="00CF552A">
          <w:rPr>
            <w:rStyle w:val="TextoNormalCaracter"/>
          </w:rPr>
          <w:t>74/1997</w:t>
        </w:r>
      </w:hyperlink>
      <w:r w:rsidRPr="00CF552A">
        <w:rPr>
          <w:rStyle w:val="TextoNormalCaracter"/>
        </w:rPr>
        <w:t>, f. 4.</w:t>
      </w:r>
    </w:p>
    <w:p w:rsidR="00CF552A" w:rsidRPr="00CF552A" w:rsidRDefault="00CF552A" w:rsidP="00CF552A">
      <w:pPr>
        <w:pStyle w:val="TextoNormalSangraFrancesa"/>
        <w:rPr>
          <w:rStyle w:val="TextoNormalCaracter"/>
        </w:rPr>
      </w:pPr>
      <w:bookmarkStart w:id="1127" w:name="DESCRIPTORALFABETICO281"/>
      <w:r w:rsidRPr="00CF552A">
        <w:rPr>
          <w:rStyle w:val="TextoNormalNegritaCaracter"/>
        </w:rPr>
        <w:t>Protección del medio ambiente</w:t>
      </w:r>
      <w:bookmarkEnd w:id="1127"/>
      <w:r w:rsidRPr="00CF552A">
        <w:rPr>
          <w:rStyle w:val="TextoNormalCaracter"/>
        </w:rPr>
        <w:t xml:space="preserve">, Sentencia </w:t>
      </w:r>
      <w:hyperlink w:anchor="SENTENCIA_1997_28" w:history="1">
        <w:r w:rsidRPr="00CF552A">
          <w:rPr>
            <w:rStyle w:val="TextoNormalCaracter"/>
          </w:rPr>
          <w:t>28/1997</w:t>
        </w:r>
      </w:hyperlink>
      <w:r w:rsidRPr="00CF552A">
        <w:rPr>
          <w:rStyle w:val="TextoNormalCaracter"/>
        </w:rPr>
        <w:t>, ff. 5, 6.</w:t>
      </w:r>
    </w:p>
    <w:p w:rsidR="00CF552A" w:rsidRPr="00CF552A" w:rsidRDefault="00CF552A" w:rsidP="00CF552A">
      <w:pPr>
        <w:pStyle w:val="TextoNormalSangraFrancesa"/>
        <w:rPr>
          <w:rStyle w:val="TextoNormalCaracter"/>
        </w:rPr>
      </w:pPr>
      <w:bookmarkStart w:id="1128" w:name="DESCRIPTORALFABETICO480"/>
      <w:r w:rsidRPr="00CF552A">
        <w:rPr>
          <w:rStyle w:val="TextoNormalNegritaCaracter"/>
        </w:rPr>
        <w:t>Prueba de cargo suficiente</w:t>
      </w:r>
      <w:bookmarkEnd w:id="1128"/>
      <w:r w:rsidRPr="00CF552A">
        <w:rPr>
          <w:rStyle w:val="TextoNormalCaracter"/>
        </w:rPr>
        <w:t xml:space="preserve">, Auto </w:t>
      </w:r>
      <w:hyperlink w:anchor="AUTO_1997_70" w:history="1">
        <w:r w:rsidRPr="00CF552A">
          <w:rPr>
            <w:rStyle w:val="TextoNormalCaracter"/>
          </w:rPr>
          <w:t>70/1997</w:t>
        </w:r>
      </w:hyperlink>
      <w:r w:rsidRPr="00CF552A">
        <w:rPr>
          <w:rStyle w:val="TextoNormalCaracter"/>
        </w:rPr>
        <w:t>.</w:t>
      </w:r>
    </w:p>
    <w:p w:rsidR="00CF552A" w:rsidRPr="00CF552A" w:rsidRDefault="00CF552A" w:rsidP="00CF552A">
      <w:pPr>
        <w:pStyle w:val="TextoNormalSangraFrancesa"/>
        <w:rPr>
          <w:rStyle w:val="TextoNormalNegritaCaracter"/>
        </w:rPr>
      </w:pPr>
      <w:r w:rsidRPr="00CF552A">
        <w:rPr>
          <w:rStyle w:val="TextoNormalCursivaCaracter"/>
        </w:rPr>
        <w:t>Prueba de indicios</w:t>
      </w:r>
      <w:r>
        <w:t xml:space="preserve"> véase </w:t>
      </w:r>
      <w:hyperlink w:anchor="DESCRIPTORALFABETICO406" w:history="1">
        <w:r w:rsidRPr="00CF552A">
          <w:rPr>
            <w:rStyle w:val="TextoNormalNegritaCaracter"/>
          </w:rPr>
          <w:t>Prueba indiciaria</w:t>
        </w:r>
      </w:hyperlink>
    </w:p>
    <w:p w:rsidR="00CF552A" w:rsidRPr="00CF552A" w:rsidRDefault="00CF552A" w:rsidP="00CF552A">
      <w:pPr>
        <w:pStyle w:val="TextoNormalSangraFrancesa"/>
        <w:rPr>
          <w:rStyle w:val="TextoNormalCaracter"/>
        </w:rPr>
      </w:pPr>
      <w:bookmarkStart w:id="1129" w:name="DESCRIPTORALFABETICO406"/>
      <w:r w:rsidRPr="00CF552A">
        <w:rPr>
          <w:rStyle w:val="TextoNormalNegritaCaracter"/>
        </w:rPr>
        <w:t>Prueba indiciaria</w:t>
      </w:r>
      <w:bookmarkEnd w:id="1129"/>
      <w:r w:rsidRPr="00CF552A">
        <w:rPr>
          <w:rStyle w:val="TextoNormalCaracter"/>
        </w:rPr>
        <w:t xml:space="preserve">, Sentencias </w:t>
      </w:r>
      <w:hyperlink w:anchor="SENTENCIA_1997_24" w:history="1">
        <w:r w:rsidRPr="00CF552A">
          <w:rPr>
            <w:rStyle w:val="TextoNormalCaracter"/>
          </w:rPr>
          <w:t>24/1997</w:t>
        </w:r>
      </w:hyperlink>
      <w:r w:rsidRPr="00CF552A">
        <w:rPr>
          <w:rStyle w:val="TextoNormalCaracter"/>
        </w:rPr>
        <w:t xml:space="preserve">, f. 2; </w:t>
      </w:r>
      <w:hyperlink w:anchor="SENTENCIA_1997_45" w:history="1">
        <w:r w:rsidRPr="00CF552A">
          <w:rPr>
            <w:rStyle w:val="TextoNormalCaracter"/>
          </w:rPr>
          <w:t>45/1997</w:t>
        </w:r>
      </w:hyperlink>
      <w:r w:rsidRPr="00CF552A">
        <w:rPr>
          <w:rStyle w:val="TextoNormalCaracter"/>
        </w:rPr>
        <w:t>, ff. 6, 7.</w:t>
      </w:r>
    </w:p>
    <w:p w:rsidR="00CF552A" w:rsidRPr="00CF552A" w:rsidRDefault="00CF552A" w:rsidP="00CF552A">
      <w:pPr>
        <w:pStyle w:val="TextoNormalSangraFrancesa"/>
        <w:rPr>
          <w:rStyle w:val="TextoNormalNegritaCaracter"/>
        </w:rPr>
      </w:pPr>
      <w:r w:rsidRPr="00CF552A">
        <w:rPr>
          <w:rStyle w:val="TextoNormalCursivaCaracter"/>
        </w:rPr>
        <w:t>Prueba indirecta</w:t>
      </w:r>
      <w:r>
        <w:t xml:space="preserve"> véase </w:t>
      </w:r>
      <w:hyperlink w:anchor="DESCRIPTORALFABETICO406" w:history="1">
        <w:r w:rsidRPr="00CF552A">
          <w:rPr>
            <w:rStyle w:val="TextoNormalNegritaCaracter"/>
          </w:rPr>
          <w:t>Prueba indiciaria</w:t>
        </w:r>
      </w:hyperlink>
    </w:p>
    <w:p w:rsidR="00CF552A" w:rsidRPr="00CF552A" w:rsidRDefault="00CF552A" w:rsidP="00CF552A">
      <w:pPr>
        <w:pStyle w:val="TextoNormalSangraFrancesa"/>
        <w:rPr>
          <w:rStyle w:val="TextoNormalCaracter"/>
        </w:rPr>
      </w:pPr>
      <w:bookmarkStart w:id="1130" w:name="DESCRIPTORALFABETICO477"/>
      <w:r w:rsidRPr="00CF552A">
        <w:rPr>
          <w:rStyle w:val="TextoNormalNegritaCaracter"/>
        </w:rPr>
        <w:t>Prueba penal</w:t>
      </w:r>
      <w:bookmarkEnd w:id="1130"/>
      <w:r w:rsidRPr="00CF552A">
        <w:rPr>
          <w:rStyle w:val="TextoNormalCaracter"/>
        </w:rPr>
        <w:t xml:space="preserve">, Sentencias </w:t>
      </w:r>
      <w:hyperlink w:anchor="SENTENCIA_1997_40" w:history="1">
        <w:r w:rsidRPr="00CF552A">
          <w:rPr>
            <w:rStyle w:val="TextoNormalCaracter"/>
          </w:rPr>
          <w:t>40/1997</w:t>
        </w:r>
      </w:hyperlink>
      <w:r w:rsidRPr="00CF552A">
        <w:rPr>
          <w:rStyle w:val="TextoNormalCaracter"/>
        </w:rPr>
        <w:t xml:space="preserve">, ff. 2, 4; </w:t>
      </w:r>
      <w:hyperlink w:anchor="SENTENCIA_1997_43" w:history="1">
        <w:r w:rsidRPr="00CF552A">
          <w:rPr>
            <w:rStyle w:val="TextoNormalCaracter"/>
          </w:rPr>
          <w:t>43/1997</w:t>
        </w:r>
      </w:hyperlink>
      <w:r w:rsidRPr="00CF552A">
        <w:rPr>
          <w:rStyle w:val="TextoNormalCaracter"/>
        </w:rPr>
        <w:t>, f. 2.</w:t>
      </w:r>
    </w:p>
    <w:p w:rsidR="00CF552A" w:rsidRPr="00CF552A" w:rsidRDefault="00CF552A" w:rsidP="00CF552A">
      <w:pPr>
        <w:pStyle w:val="TextoNormalSangraFrancesa"/>
        <w:rPr>
          <w:rStyle w:val="TextoNormalCaracter"/>
        </w:rPr>
      </w:pPr>
      <w:r w:rsidRPr="00CF552A">
        <w:rPr>
          <w:rStyle w:val="TextoNormalCursivaCaracter"/>
        </w:rPr>
        <w:t xml:space="preserve">    Doctrina constitucional, </w:t>
      </w:r>
      <w:r w:rsidRPr="00CF552A">
        <w:rPr>
          <w:rStyle w:val="TextoNormalCaracter"/>
        </w:rPr>
        <w:t xml:space="preserve">Sentencia </w:t>
      </w:r>
      <w:hyperlink w:anchor="SENTENCIA_1997_40" w:history="1">
        <w:r w:rsidRPr="00CF552A">
          <w:rPr>
            <w:rStyle w:val="TextoNormalCaracter"/>
          </w:rPr>
          <w:t>40/1997</w:t>
        </w:r>
      </w:hyperlink>
      <w:r w:rsidRPr="00CF552A">
        <w:rPr>
          <w:rStyle w:val="TextoNormalCaracter"/>
        </w:rPr>
        <w:t>, f. 2.</w:t>
      </w:r>
    </w:p>
    <w:p w:rsidR="00CF552A" w:rsidRPr="00CF552A" w:rsidRDefault="00CF552A" w:rsidP="00CF552A">
      <w:pPr>
        <w:pStyle w:val="TextoNormalSangraFrancesa"/>
        <w:rPr>
          <w:rStyle w:val="TextoNormalCaracter"/>
        </w:rPr>
      </w:pPr>
      <w:bookmarkStart w:id="1131" w:name="DESCRIPTORALFABETICO407"/>
      <w:r w:rsidRPr="00CF552A">
        <w:rPr>
          <w:rStyle w:val="TextoNormalNegritaCaracter"/>
        </w:rPr>
        <w:t>Prueba pericial documentada</w:t>
      </w:r>
      <w:bookmarkEnd w:id="1131"/>
      <w:r w:rsidRPr="00CF552A">
        <w:rPr>
          <w:rStyle w:val="TextoNormalCaracter"/>
        </w:rPr>
        <w:t xml:space="preserve">, Auto </w:t>
      </w:r>
      <w:hyperlink w:anchor="AUTO_1997_19" w:history="1">
        <w:r w:rsidRPr="00CF552A">
          <w:rPr>
            <w:rStyle w:val="TextoNormalCaracter"/>
          </w:rPr>
          <w:t>19/1997</w:t>
        </w:r>
      </w:hyperlink>
      <w:r w:rsidRPr="00CF552A">
        <w:rPr>
          <w:rStyle w:val="TextoNormalCaracter"/>
        </w:rPr>
        <w:t>.</w:t>
      </w:r>
    </w:p>
    <w:p w:rsidR="00CF552A" w:rsidRPr="00CF552A" w:rsidRDefault="00CF552A" w:rsidP="00CF552A">
      <w:pPr>
        <w:pStyle w:val="TextoNormalSangraFrancesa"/>
        <w:rPr>
          <w:rStyle w:val="TextoNormalCaracter"/>
        </w:rPr>
      </w:pPr>
      <w:bookmarkStart w:id="1132" w:name="DESCRIPTORALFABETICO408"/>
      <w:r w:rsidRPr="00CF552A">
        <w:rPr>
          <w:rStyle w:val="TextoNormalNegritaCaracter"/>
        </w:rPr>
        <w:t>Prueba preconstituida</w:t>
      </w:r>
      <w:bookmarkEnd w:id="1132"/>
      <w:r w:rsidRPr="00CF552A">
        <w:rPr>
          <w:rStyle w:val="TextoNormalCaracter"/>
        </w:rPr>
        <w:t xml:space="preserve">, Sentencia </w:t>
      </w:r>
      <w:hyperlink w:anchor="SENTENCIA_1997_40" w:history="1">
        <w:r w:rsidRPr="00CF552A">
          <w:rPr>
            <w:rStyle w:val="TextoNormalCaracter"/>
          </w:rPr>
          <w:t>40/1997</w:t>
        </w:r>
      </w:hyperlink>
      <w:r w:rsidRPr="00CF552A">
        <w:rPr>
          <w:rStyle w:val="TextoNormalCaracter"/>
        </w:rPr>
        <w:t>, f. 2.</w:t>
      </w:r>
    </w:p>
    <w:p w:rsidR="00CF552A" w:rsidRDefault="00CF552A" w:rsidP="00CF552A">
      <w:pPr>
        <w:pStyle w:val="TextoNormalSangraFrancesa"/>
      </w:pPr>
    </w:p>
    <w:p w:rsidR="00CF552A" w:rsidRDefault="00CF552A" w:rsidP="00CF552A">
      <w:pPr>
        <w:pStyle w:val="TextoNormalSangraFrancesa"/>
      </w:pPr>
    </w:p>
    <w:p w:rsidR="00CF552A" w:rsidRDefault="00CF552A" w:rsidP="00CF552A">
      <w:pPr>
        <w:pStyle w:val="TextoNormalNegritaCentrado"/>
      </w:pPr>
      <w:r>
        <w:t>R</w:t>
      </w:r>
    </w:p>
    <w:p w:rsidR="00CF552A" w:rsidRDefault="00CF552A" w:rsidP="00CF552A">
      <w:pPr>
        <w:pStyle w:val="TextoNormalNegritaCentrado"/>
      </w:pPr>
    </w:p>
    <w:p w:rsidR="00CF552A" w:rsidRDefault="00CF552A" w:rsidP="00CF552A">
      <w:pPr>
        <w:pStyle w:val="TextoNormalNegritaCentrado"/>
      </w:pPr>
    </w:p>
    <w:p w:rsidR="00CF552A" w:rsidRDefault="00CF552A" w:rsidP="00CF552A">
      <w:pPr>
        <w:pStyle w:val="TextoNormalNegritaCentrado"/>
      </w:pPr>
    </w:p>
    <w:p w:rsidR="00CF552A" w:rsidRPr="00CF552A" w:rsidRDefault="00CF552A" w:rsidP="00CF552A">
      <w:pPr>
        <w:pStyle w:val="TextoNormalSangraFrancesa"/>
        <w:rPr>
          <w:rStyle w:val="TextoNormalNegritaCaracter"/>
        </w:rPr>
      </w:pPr>
      <w:r w:rsidRPr="00CF552A">
        <w:rPr>
          <w:rStyle w:val="TextoNormalCursivaCaracter"/>
        </w:rPr>
        <w:t>Razonabilidad del cambio en la interpretación de las normas jurídicas</w:t>
      </w:r>
      <w:r>
        <w:t xml:space="preserve"> véase </w:t>
      </w:r>
      <w:hyperlink w:anchor="DESCRIPTORALFABETICO40" w:history="1">
        <w:r w:rsidRPr="00CF552A">
          <w:rPr>
            <w:rStyle w:val="TextoNormalNegritaCaracter"/>
          </w:rPr>
          <w:t>Razonabilidad del cambio jurisprudencial</w:t>
        </w:r>
      </w:hyperlink>
    </w:p>
    <w:p w:rsidR="00CF552A" w:rsidRPr="00CF552A" w:rsidRDefault="00CF552A" w:rsidP="00CF552A">
      <w:pPr>
        <w:pStyle w:val="TextoNormalSangraFrancesa"/>
        <w:rPr>
          <w:rStyle w:val="TextoNormalCaracter"/>
        </w:rPr>
      </w:pPr>
      <w:bookmarkStart w:id="1133" w:name="DESCRIPTORALFABETICO40"/>
      <w:r w:rsidRPr="00CF552A">
        <w:rPr>
          <w:rStyle w:val="TextoNormalNegritaCaracter"/>
        </w:rPr>
        <w:t>Razonabilidad del cambio jurisprudencial</w:t>
      </w:r>
      <w:bookmarkEnd w:id="1133"/>
      <w:r w:rsidRPr="00CF552A">
        <w:rPr>
          <w:rStyle w:val="TextoNormalCaracter"/>
        </w:rPr>
        <w:t xml:space="preserve">, Sentencia </w:t>
      </w:r>
      <w:hyperlink w:anchor="SENTENCIA_1997_79" w:history="1">
        <w:r w:rsidRPr="00CF552A">
          <w:rPr>
            <w:rStyle w:val="TextoNormalCaracter"/>
          </w:rPr>
          <w:t>79/1997</w:t>
        </w:r>
      </w:hyperlink>
      <w:r w:rsidRPr="00CF552A">
        <w:rPr>
          <w:rStyle w:val="TextoNormalCaracter"/>
        </w:rPr>
        <w:t>, f. 3.</w:t>
      </w:r>
    </w:p>
    <w:p w:rsidR="00CF552A" w:rsidRPr="00CF552A" w:rsidRDefault="00CF552A" w:rsidP="00CF552A">
      <w:pPr>
        <w:pStyle w:val="TextoNormalSangraFrancesa"/>
        <w:rPr>
          <w:rStyle w:val="TextoNormalCaracter"/>
        </w:rPr>
      </w:pPr>
      <w:bookmarkStart w:id="1134" w:name="DESCRIPTORALFABETICO449"/>
      <w:r w:rsidRPr="00CF552A">
        <w:rPr>
          <w:rStyle w:val="TextoNormalNegritaCaracter"/>
        </w:rPr>
        <w:t>Reclamación administrativa previa</w:t>
      </w:r>
      <w:bookmarkEnd w:id="1134"/>
      <w:r w:rsidRPr="00CF552A">
        <w:rPr>
          <w:rStyle w:val="TextoNormalCaracter"/>
        </w:rPr>
        <w:t xml:space="preserve">, Sentencias </w:t>
      </w:r>
      <w:hyperlink w:anchor="SENTENCIA_1997_19" w:history="1">
        <w:r w:rsidRPr="00CF552A">
          <w:rPr>
            <w:rStyle w:val="TextoNormalCaracter"/>
          </w:rPr>
          <w:t>19/1997</w:t>
        </w:r>
      </w:hyperlink>
      <w:r w:rsidRPr="00CF552A">
        <w:rPr>
          <w:rStyle w:val="TextoNormalCaracter"/>
        </w:rPr>
        <w:t xml:space="preserve">, f. 3; </w:t>
      </w:r>
      <w:hyperlink w:anchor="SENTENCIA_1997_38" w:history="1">
        <w:r w:rsidRPr="00CF552A">
          <w:rPr>
            <w:rStyle w:val="TextoNormalCaracter"/>
          </w:rPr>
          <w:t>38/1997</w:t>
        </w:r>
      </w:hyperlink>
      <w:r w:rsidRPr="00CF552A">
        <w:rPr>
          <w:rStyle w:val="TextoNormalCaracter"/>
        </w:rPr>
        <w:t xml:space="preserve">, ff. 2, 3; </w:t>
      </w:r>
      <w:hyperlink w:anchor="SENTENCIA_1997_65" w:history="1">
        <w:r w:rsidRPr="00CF552A">
          <w:rPr>
            <w:rStyle w:val="TextoNormalCaracter"/>
          </w:rPr>
          <w:t>65/1997</w:t>
        </w:r>
      </w:hyperlink>
      <w:r w:rsidRPr="00CF552A">
        <w:rPr>
          <w:rStyle w:val="TextoNormalCaracter"/>
        </w:rPr>
        <w:t>, f. 2.</w:t>
      </w:r>
    </w:p>
    <w:p w:rsidR="00CF552A" w:rsidRPr="00CF552A" w:rsidRDefault="00CF552A" w:rsidP="00CF552A">
      <w:pPr>
        <w:pStyle w:val="TextoNormalSangraFrancesa"/>
        <w:rPr>
          <w:rStyle w:val="TextoNormalCaracter"/>
        </w:rPr>
      </w:pPr>
      <w:bookmarkStart w:id="1135" w:name="DESCRIPTORALFABETICO340"/>
      <w:r w:rsidRPr="00CF552A">
        <w:rPr>
          <w:rStyle w:val="TextoNormalNegritaCaracter"/>
        </w:rPr>
        <w:t>Reclusos</w:t>
      </w:r>
      <w:bookmarkEnd w:id="1135"/>
      <w:r w:rsidRPr="00CF552A">
        <w:rPr>
          <w:rStyle w:val="TextoNormalCaracter"/>
        </w:rPr>
        <w:t xml:space="preserve">, Sentencias </w:t>
      </w:r>
      <w:hyperlink w:anchor="SENTENCIA_1997_35" w:history="1">
        <w:r w:rsidRPr="00CF552A">
          <w:rPr>
            <w:rStyle w:val="TextoNormalCaracter"/>
          </w:rPr>
          <w:t>35/1997</w:t>
        </w:r>
      </w:hyperlink>
      <w:r w:rsidRPr="00CF552A">
        <w:rPr>
          <w:rStyle w:val="TextoNormalCaracter"/>
        </w:rPr>
        <w:t xml:space="preserve">, ff. 4, 5; </w:t>
      </w:r>
      <w:hyperlink w:anchor="SENTENCIA_1997_39" w:history="1">
        <w:r w:rsidRPr="00CF552A">
          <w:rPr>
            <w:rStyle w:val="TextoNormalCaracter"/>
          </w:rPr>
          <w:t>39/1997</w:t>
        </w:r>
      </w:hyperlink>
      <w:r w:rsidRPr="00CF552A">
        <w:rPr>
          <w:rStyle w:val="TextoNormalCaracter"/>
        </w:rPr>
        <w:t>, f. 3.</w:t>
      </w:r>
    </w:p>
    <w:p w:rsidR="00CF552A" w:rsidRPr="00CF552A" w:rsidRDefault="00CF552A" w:rsidP="00CF552A">
      <w:pPr>
        <w:pStyle w:val="TextoNormalSangraFrancesa"/>
        <w:rPr>
          <w:rStyle w:val="TextoNormalCaracter"/>
        </w:rPr>
      </w:pPr>
      <w:bookmarkStart w:id="1136" w:name="DESCRIPTORALFABETICO161"/>
      <w:r w:rsidRPr="00CF552A">
        <w:rPr>
          <w:rStyle w:val="TextoNormalNegritaCaracter"/>
        </w:rPr>
        <w:t>Recurso de amparo</w:t>
      </w:r>
      <w:bookmarkEnd w:id="1136"/>
      <w:r w:rsidRPr="00CF552A">
        <w:rPr>
          <w:rStyle w:val="TextoNormalCaracter"/>
        </w:rPr>
        <w:t xml:space="preserve">, Sentencias </w:t>
      </w:r>
      <w:hyperlink w:anchor="SENTENCIA_1997_8" w:history="1">
        <w:r w:rsidRPr="00CF552A">
          <w:rPr>
            <w:rStyle w:val="TextoNormalCaracter"/>
          </w:rPr>
          <w:t>8/1997</w:t>
        </w:r>
      </w:hyperlink>
      <w:r w:rsidRPr="00CF552A">
        <w:rPr>
          <w:rStyle w:val="TextoNormalCaracter"/>
        </w:rPr>
        <w:t xml:space="preserve">, f. 3; </w:t>
      </w:r>
      <w:hyperlink w:anchor="SENTENCIA_1997_27" w:history="1">
        <w:r w:rsidRPr="00CF552A">
          <w:rPr>
            <w:rStyle w:val="TextoNormalCaracter"/>
          </w:rPr>
          <w:t>27/1997</w:t>
        </w:r>
      </w:hyperlink>
      <w:r w:rsidRPr="00CF552A">
        <w:rPr>
          <w:rStyle w:val="TextoNormalCaracter"/>
        </w:rPr>
        <w:t>, f. 2, VP.</w:t>
      </w:r>
    </w:p>
    <w:p w:rsidR="00CF552A" w:rsidRPr="00CF552A" w:rsidRDefault="00CF552A" w:rsidP="00CF552A">
      <w:pPr>
        <w:pStyle w:val="TextoNormalSangraFrancesa"/>
        <w:rPr>
          <w:rStyle w:val="TextoNormalCaracter"/>
        </w:rPr>
      </w:pPr>
      <w:r w:rsidRPr="00CF552A">
        <w:rPr>
          <w:rStyle w:val="TextoNormalCursivaCaracter"/>
        </w:rPr>
        <w:t xml:space="preserve">    Función, </w:t>
      </w:r>
      <w:r w:rsidRPr="00CF552A">
        <w:rPr>
          <w:rStyle w:val="TextoNormalCaracter"/>
        </w:rPr>
        <w:t xml:space="preserve">Auto </w:t>
      </w:r>
      <w:hyperlink w:anchor="AUTO_1997_63" w:history="1">
        <w:r w:rsidRPr="00CF552A">
          <w:rPr>
            <w:rStyle w:val="TextoNormalCaracter"/>
          </w:rPr>
          <w:t>63/1997</w:t>
        </w:r>
      </w:hyperlink>
      <w:r w:rsidRPr="00CF552A">
        <w:rPr>
          <w:rStyle w:val="TextoNormalCaracter"/>
        </w:rPr>
        <w:t>.</w:t>
      </w:r>
    </w:p>
    <w:p w:rsidR="00CF552A" w:rsidRPr="00CF552A" w:rsidRDefault="00CF552A" w:rsidP="00CF552A">
      <w:pPr>
        <w:pStyle w:val="TextoNormalSangraFrancesa"/>
        <w:rPr>
          <w:rStyle w:val="TextoNormalCaracter"/>
        </w:rPr>
      </w:pPr>
      <w:bookmarkStart w:id="1137" w:name="DESCRIPTORALFABETICO173"/>
      <w:r w:rsidRPr="00CF552A">
        <w:rPr>
          <w:rStyle w:val="TextoNormalNegritaCaracter"/>
        </w:rPr>
        <w:t>Recurso de amparo mixto</w:t>
      </w:r>
      <w:bookmarkEnd w:id="1137"/>
      <w:r w:rsidRPr="00CF552A">
        <w:rPr>
          <w:rStyle w:val="TextoNormalCaracter"/>
        </w:rPr>
        <w:t xml:space="preserve">, Sentencias </w:t>
      </w:r>
      <w:hyperlink w:anchor="SENTENCIA_1997_14" w:history="1">
        <w:r w:rsidRPr="00CF552A">
          <w:rPr>
            <w:rStyle w:val="TextoNormalCaracter"/>
          </w:rPr>
          <w:t>14/1997</w:t>
        </w:r>
      </w:hyperlink>
      <w:r w:rsidRPr="00CF552A">
        <w:rPr>
          <w:rStyle w:val="TextoNormalCaracter"/>
        </w:rPr>
        <w:t xml:space="preserve">, f. 1; </w:t>
      </w:r>
      <w:hyperlink w:anchor="SENTENCIA_1997_39" w:history="1">
        <w:r w:rsidRPr="00CF552A">
          <w:rPr>
            <w:rStyle w:val="TextoNormalCaracter"/>
          </w:rPr>
          <w:t>39/1997</w:t>
        </w:r>
      </w:hyperlink>
      <w:r w:rsidRPr="00CF552A">
        <w:rPr>
          <w:rStyle w:val="TextoNormalCaracter"/>
        </w:rPr>
        <w:t>, f. 2.</w:t>
      </w:r>
    </w:p>
    <w:p w:rsidR="00CF552A" w:rsidRPr="00CF552A" w:rsidRDefault="00CF552A" w:rsidP="00CF552A">
      <w:pPr>
        <w:pStyle w:val="TextoNormalSangraFrancesa"/>
        <w:rPr>
          <w:rStyle w:val="TextoNormalCaracter"/>
        </w:rPr>
      </w:pPr>
      <w:bookmarkStart w:id="1138" w:name="DESCRIPTORALFABETICO168"/>
      <w:r w:rsidRPr="00CF552A">
        <w:rPr>
          <w:rStyle w:val="TextoNormalNegritaCaracter"/>
        </w:rPr>
        <w:t>Recurso de amparo no es cauce para el control abstracto de las normas</w:t>
      </w:r>
      <w:bookmarkEnd w:id="1138"/>
      <w:r w:rsidRPr="00CF552A">
        <w:rPr>
          <w:rStyle w:val="TextoNormalCaracter"/>
        </w:rPr>
        <w:t xml:space="preserve">, Sentencias </w:t>
      </w:r>
      <w:hyperlink w:anchor="SENTENCIA_1997_74" w:history="1">
        <w:r w:rsidRPr="00CF552A">
          <w:rPr>
            <w:rStyle w:val="TextoNormalCaracter"/>
          </w:rPr>
          <w:t>74/1997</w:t>
        </w:r>
      </w:hyperlink>
      <w:r w:rsidRPr="00CF552A">
        <w:rPr>
          <w:rStyle w:val="TextoNormalCaracter"/>
        </w:rPr>
        <w:t xml:space="preserve">, f. 2; </w:t>
      </w:r>
      <w:hyperlink w:anchor="SENTENCIA_1997_78" w:history="1">
        <w:r w:rsidRPr="00CF552A">
          <w:rPr>
            <w:rStyle w:val="TextoNormalCaracter"/>
          </w:rPr>
          <w:t>78/1997</w:t>
        </w:r>
      </w:hyperlink>
      <w:r w:rsidRPr="00CF552A">
        <w:rPr>
          <w:rStyle w:val="TextoNormalCaracter"/>
        </w:rPr>
        <w:t>, ff. 3, 4.</w:t>
      </w:r>
    </w:p>
    <w:p w:rsidR="00CF552A" w:rsidRPr="00CF552A" w:rsidRDefault="00CF552A" w:rsidP="00CF552A">
      <w:pPr>
        <w:pStyle w:val="TextoNormalSangraFrancesa"/>
        <w:rPr>
          <w:rStyle w:val="TextoNormalCaracter"/>
        </w:rPr>
      </w:pPr>
      <w:bookmarkStart w:id="1139" w:name="DESCRIPTORALFABETICO429"/>
      <w:r w:rsidRPr="00CF552A">
        <w:rPr>
          <w:rStyle w:val="TextoNormalNegritaCaracter"/>
        </w:rPr>
        <w:t>Recurso de apelación</w:t>
      </w:r>
      <w:bookmarkEnd w:id="1139"/>
      <w:r w:rsidRPr="00CF552A">
        <w:rPr>
          <w:rStyle w:val="TextoNormalCaracter"/>
        </w:rPr>
        <w:t xml:space="preserve">, Sentencia </w:t>
      </w:r>
      <w:hyperlink w:anchor="SENTENCIA_1997_59" w:history="1">
        <w:r w:rsidRPr="00CF552A">
          <w:rPr>
            <w:rStyle w:val="TextoNormalCaracter"/>
          </w:rPr>
          <w:t>59/1997</w:t>
        </w:r>
      </w:hyperlink>
      <w:r w:rsidRPr="00CF552A">
        <w:rPr>
          <w:rStyle w:val="TextoNormalCaracter"/>
        </w:rPr>
        <w:t>, f. 2.</w:t>
      </w:r>
    </w:p>
    <w:p w:rsidR="00CF552A" w:rsidRPr="00CF552A" w:rsidRDefault="00CF552A" w:rsidP="00CF552A">
      <w:pPr>
        <w:pStyle w:val="TextoNormalSangraFrancesa"/>
        <w:rPr>
          <w:rStyle w:val="TextoNormalCaracter"/>
        </w:rPr>
      </w:pPr>
      <w:r w:rsidRPr="00CF552A">
        <w:rPr>
          <w:rStyle w:val="TextoNormalCaracter"/>
        </w:rPr>
        <w:t xml:space="preserve">    Auto </w:t>
      </w:r>
      <w:hyperlink w:anchor="AUTO_1997_13" w:history="1">
        <w:r w:rsidRPr="00CF552A">
          <w:rPr>
            <w:rStyle w:val="TextoNormalCaracter"/>
          </w:rPr>
          <w:t>13/1997</w:t>
        </w:r>
      </w:hyperlink>
      <w:r w:rsidRPr="00CF552A">
        <w:rPr>
          <w:rStyle w:val="TextoNormalCaracter"/>
        </w:rPr>
        <w:t>.</w:t>
      </w:r>
    </w:p>
    <w:p w:rsidR="00CF552A" w:rsidRPr="00CF552A" w:rsidRDefault="00CF552A" w:rsidP="00CF552A">
      <w:pPr>
        <w:pStyle w:val="TextoNormalSangraFrancesa"/>
        <w:rPr>
          <w:rStyle w:val="TextoNormalCaracter"/>
        </w:rPr>
      </w:pPr>
      <w:bookmarkStart w:id="1140" w:name="DESCRIPTORALFABETICO431"/>
      <w:r w:rsidRPr="00CF552A">
        <w:rPr>
          <w:rStyle w:val="TextoNormalNegritaCaracter"/>
        </w:rPr>
        <w:t>Recurso de audiencia al rebelde</w:t>
      </w:r>
      <w:bookmarkEnd w:id="1140"/>
      <w:r w:rsidRPr="00CF552A">
        <w:rPr>
          <w:rStyle w:val="TextoNormalCaracter"/>
        </w:rPr>
        <w:t xml:space="preserve">, Sentencia </w:t>
      </w:r>
      <w:hyperlink w:anchor="SENTENCIA_1997_5" w:history="1">
        <w:r w:rsidRPr="00CF552A">
          <w:rPr>
            <w:rStyle w:val="TextoNormalCaracter"/>
          </w:rPr>
          <w:t>5/1997</w:t>
        </w:r>
      </w:hyperlink>
      <w:r w:rsidRPr="00CF552A">
        <w:rPr>
          <w:rStyle w:val="TextoNormalCaracter"/>
        </w:rPr>
        <w:t>, ff. 1, 4.</w:t>
      </w:r>
    </w:p>
    <w:p w:rsidR="00CF552A" w:rsidRPr="00CF552A" w:rsidRDefault="00CF552A" w:rsidP="00CF552A">
      <w:pPr>
        <w:pStyle w:val="TextoNormalSangraFrancesa"/>
        <w:rPr>
          <w:rStyle w:val="TextoNormalCaracter"/>
        </w:rPr>
      </w:pPr>
      <w:bookmarkStart w:id="1141" w:name="DESCRIPTORALFABETICO433"/>
      <w:r w:rsidRPr="00CF552A">
        <w:rPr>
          <w:rStyle w:val="TextoNormalNegritaCaracter"/>
        </w:rPr>
        <w:t>Recurso de casación</w:t>
      </w:r>
      <w:bookmarkEnd w:id="1141"/>
      <w:r w:rsidRPr="00CF552A">
        <w:rPr>
          <w:rStyle w:val="TextoNormalCaracter"/>
        </w:rPr>
        <w:t xml:space="preserve">, Sentencia </w:t>
      </w:r>
      <w:hyperlink w:anchor="SENTENCIA_1997_36" w:history="1">
        <w:r w:rsidRPr="00CF552A">
          <w:rPr>
            <w:rStyle w:val="TextoNormalCaracter"/>
          </w:rPr>
          <w:t>36/1997</w:t>
        </w:r>
      </w:hyperlink>
      <w:r w:rsidRPr="00CF552A">
        <w:rPr>
          <w:rStyle w:val="TextoNormalCaracter"/>
        </w:rPr>
        <w:t>, f. 2.</w:t>
      </w:r>
    </w:p>
    <w:p w:rsidR="00CF552A" w:rsidRPr="00CF552A" w:rsidRDefault="00CF552A" w:rsidP="00CF552A">
      <w:pPr>
        <w:pStyle w:val="TextoNormalSangraFrancesa"/>
        <w:rPr>
          <w:rStyle w:val="TextoNormalCaracter"/>
        </w:rPr>
      </w:pPr>
      <w:bookmarkStart w:id="1142" w:name="DESCRIPTORALFABETICO434"/>
      <w:r w:rsidRPr="00CF552A">
        <w:rPr>
          <w:rStyle w:val="TextoNormalNegritaCaracter"/>
        </w:rPr>
        <w:t>Recurso de casación para la unificación de doctrina</w:t>
      </w:r>
      <w:bookmarkEnd w:id="1142"/>
      <w:r w:rsidRPr="00CF552A">
        <w:rPr>
          <w:rStyle w:val="TextoNormalCaracter"/>
        </w:rPr>
        <w:t xml:space="preserve">, Auto </w:t>
      </w:r>
      <w:hyperlink w:anchor="AUTO_1997_32" w:history="1">
        <w:r w:rsidRPr="00CF552A">
          <w:rPr>
            <w:rStyle w:val="TextoNormalCaracter"/>
          </w:rPr>
          <w:t>32/1997</w:t>
        </w:r>
      </w:hyperlink>
      <w:r w:rsidRPr="00CF552A">
        <w:rPr>
          <w:rStyle w:val="TextoNormalCaracter"/>
        </w:rPr>
        <w:t>.</w:t>
      </w:r>
    </w:p>
    <w:p w:rsidR="00CF552A" w:rsidRPr="00CF552A" w:rsidRDefault="00CF552A" w:rsidP="00CF552A">
      <w:pPr>
        <w:pStyle w:val="TextoNormalSangraFrancesa"/>
        <w:rPr>
          <w:rStyle w:val="TextoNormalCaracter"/>
        </w:rPr>
      </w:pPr>
      <w:bookmarkStart w:id="1143" w:name="DESCRIPTORALFABETICO481"/>
      <w:r w:rsidRPr="00CF552A">
        <w:rPr>
          <w:rStyle w:val="TextoNormalNegritaCaracter"/>
        </w:rPr>
        <w:t>Recurso de casación penal</w:t>
      </w:r>
      <w:bookmarkEnd w:id="1143"/>
      <w:r w:rsidRPr="00CF552A">
        <w:rPr>
          <w:rStyle w:val="TextoNormalCaracter"/>
        </w:rPr>
        <w:t xml:space="preserve">, Sentencia </w:t>
      </w:r>
      <w:hyperlink w:anchor="SENTENCIA_1997_62" w:history="1">
        <w:r w:rsidRPr="00CF552A">
          <w:rPr>
            <w:rStyle w:val="TextoNormalCaracter"/>
          </w:rPr>
          <w:t>62/1997</w:t>
        </w:r>
      </w:hyperlink>
      <w:r w:rsidRPr="00CF552A">
        <w:rPr>
          <w:rStyle w:val="TextoNormalCaracter"/>
        </w:rPr>
        <w:t>, f. 2, VP.</w:t>
      </w:r>
    </w:p>
    <w:p w:rsidR="00CF552A" w:rsidRPr="00CF552A" w:rsidRDefault="00CF552A" w:rsidP="00CF552A">
      <w:pPr>
        <w:pStyle w:val="TextoNormalSangraFrancesa"/>
        <w:rPr>
          <w:rStyle w:val="TextoNormalCaracter"/>
        </w:rPr>
      </w:pPr>
      <w:r w:rsidRPr="00CF552A">
        <w:rPr>
          <w:rStyle w:val="TextoNormalCursivaCaracter"/>
        </w:rPr>
        <w:t xml:space="preserve">    Función, </w:t>
      </w:r>
      <w:r w:rsidRPr="00CF552A">
        <w:rPr>
          <w:rStyle w:val="TextoNormalCaracter"/>
        </w:rPr>
        <w:t xml:space="preserve">Sentencia </w:t>
      </w:r>
      <w:hyperlink w:anchor="SENTENCIA_1997_62" w:history="1">
        <w:r w:rsidRPr="00CF552A">
          <w:rPr>
            <w:rStyle w:val="TextoNormalCaracter"/>
          </w:rPr>
          <w:t>62/1997</w:t>
        </w:r>
      </w:hyperlink>
      <w:r w:rsidRPr="00CF552A">
        <w:rPr>
          <w:rStyle w:val="TextoNormalCaracter"/>
        </w:rPr>
        <w:t>, f. 2.</w:t>
      </w:r>
    </w:p>
    <w:p w:rsidR="00CF552A" w:rsidRPr="00CF552A" w:rsidRDefault="00CF552A" w:rsidP="00CF552A">
      <w:pPr>
        <w:pStyle w:val="TextoNormalSangraFrancesa"/>
        <w:rPr>
          <w:rStyle w:val="TextoNormalCaracter"/>
        </w:rPr>
      </w:pPr>
      <w:r w:rsidRPr="00CF552A">
        <w:rPr>
          <w:rStyle w:val="TextoNormalCursivaCaracter"/>
        </w:rPr>
        <w:t xml:space="preserve">    Requisitos, </w:t>
      </w:r>
      <w:r w:rsidRPr="00CF552A">
        <w:rPr>
          <w:rStyle w:val="TextoNormalCaracter"/>
        </w:rPr>
        <w:t xml:space="preserve">Sentencia </w:t>
      </w:r>
      <w:hyperlink w:anchor="SENTENCIA_1997_62" w:history="1">
        <w:r w:rsidRPr="00CF552A">
          <w:rPr>
            <w:rStyle w:val="TextoNormalCaracter"/>
          </w:rPr>
          <w:t>62/1997</w:t>
        </w:r>
      </w:hyperlink>
      <w:r w:rsidRPr="00CF552A">
        <w:rPr>
          <w:rStyle w:val="TextoNormalCaracter"/>
        </w:rPr>
        <w:t>, f. 2, VP.</w:t>
      </w:r>
    </w:p>
    <w:p w:rsidR="00CF552A" w:rsidRPr="00CF552A" w:rsidRDefault="00CF552A" w:rsidP="00CF552A">
      <w:pPr>
        <w:pStyle w:val="TextoNormalSangraFrancesa"/>
        <w:rPr>
          <w:rStyle w:val="TextoNormalCaracter"/>
        </w:rPr>
      </w:pPr>
      <w:bookmarkStart w:id="1144" w:name="DESCRIPTORALFABETICO159"/>
      <w:r w:rsidRPr="00CF552A">
        <w:rPr>
          <w:rStyle w:val="TextoNormalNegritaCaracter"/>
        </w:rPr>
        <w:t>Recurso de inconstitucionalidad</w:t>
      </w:r>
      <w:bookmarkEnd w:id="1144"/>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ff. 3, 4.</w:t>
      </w:r>
    </w:p>
    <w:p w:rsidR="00CF552A" w:rsidRPr="00CF552A" w:rsidRDefault="00CF552A" w:rsidP="00CF552A">
      <w:pPr>
        <w:pStyle w:val="TextoNormalSangraFrancesa"/>
        <w:rPr>
          <w:rStyle w:val="TextoNormalNegritaCaracter"/>
        </w:rPr>
      </w:pPr>
      <w:r w:rsidRPr="00CF552A">
        <w:rPr>
          <w:rStyle w:val="TextoNormalCursivaCaracter"/>
        </w:rPr>
        <w:t>Recurso de revisión</w:t>
      </w:r>
      <w:r>
        <w:t xml:space="preserve"> véase </w:t>
      </w:r>
      <w:hyperlink w:anchor="DESCRIPTORALFABETICO437" w:history="1">
        <w:r w:rsidRPr="00CF552A">
          <w:rPr>
            <w:rStyle w:val="TextoNormalNegritaCaracter"/>
          </w:rPr>
          <w:t>Recurso de revisión de sentencia firme</w:t>
        </w:r>
      </w:hyperlink>
    </w:p>
    <w:p w:rsidR="00CF552A" w:rsidRPr="00CF552A" w:rsidRDefault="00CF552A" w:rsidP="00CF552A">
      <w:pPr>
        <w:pStyle w:val="TextoNormalSangraFrancesa"/>
        <w:rPr>
          <w:rStyle w:val="TextoNormalCaracter"/>
        </w:rPr>
      </w:pPr>
      <w:bookmarkStart w:id="1145" w:name="DESCRIPTORALFABETICO437"/>
      <w:r w:rsidRPr="00CF552A">
        <w:rPr>
          <w:rStyle w:val="TextoNormalNegritaCaracter"/>
        </w:rPr>
        <w:t>Recurso de revisión de sentencia firme</w:t>
      </w:r>
      <w:bookmarkEnd w:id="1145"/>
      <w:r w:rsidRPr="00CF552A">
        <w:rPr>
          <w:rStyle w:val="TextoNormalCaracter"/>
        </w:rPr>
        <w:t xml:space="preserve">, Sentencias </w:t>
      </w:r>
      <w:hyperlink w:anchor="SENTENCIA_1997_7" w:history="1">
        <w:r w:rsidRPr="00CF552A">
          <w:rPr>
            <w:rStyle w:val="TextoNormalCaracter"/>
          </w:rPr>
          <w:t>7/1997</w:t>
        </w:r>
      </w:hyperlink>
      <w:r w:rsidRPr="00CF552A">
        <w:rPr>
          <w:rStyle w:val="TextoNormalCaracter"/>
        </w:rPr>
        <w:t xml:space="preserve">, f. 2; </w:t>
      </w:r>
      <w:hyperlink w:anchor="SENTENCIA_1997_41" w:history="1">
        <w:r w:rsidRPr="00CF552A">
          <w:rPr>
            <w:rStyle w:val="TextoNormalCaracter"/>
          </w:rPr>
          <w:t>41/1997</w:t>
        </w:r>
      </w:hyperlink>
      <w:r w:rsidRPr="00CF552A">
        <w:rPr>
          <w:rStyle w:val="TextoNormalCaracter"/>
        </w:rPr>
        <w:t>, f. 6.</w:t>
      </w:r>
    </w:p>
    <w:p w:rsidR="00CF552A" w:rsidRPr="00CF552A" w:rsidRDefault="00CF552A" w:rsidP="00CF552A">
      <w:pPr>
        <w:pStyle w:val="TextoNormalSangraFrancesa"/>
        <w:rPr>
          <w:rStyle w:val="TextoNormalCaracter"/>
        </w:rPr>
      </w:pPr>
      <w:bookmarkStart w:id="1146" w:name="DESCRIPTORALFABETICO438"/>
      <w:r w:rsidRPr="00CF552A">
        <w:rPr>
          <w:rStyle w:val="TextoNormalNegritaCaracter"/>
        </w:rPr>
        <w:t>Recurso de revisión de sentencia firme exigible</w:t>
      </w:r>
      <w:bookmarkEnd w:id="1146"/>
      <w:r w:rsidRPr="00CF552A">
        <w:rPr>
          <w:rStyle w:val="TextoNormalCaracter"/>
        </w:rPr>
        <w:t xml:space="preserve">, Sentencia </w:t>
      </w:r>
      <w:hyperlink w:anchor="SENTENCIA_1997_7" w:history="1">
        <w:r w:rsidRPr="00CF552A">
          <w:rPr>
            <w:rStyle w:val="TextoNormalCaracter"/>
          </w:rPr>
          <w:t>7/1997</w:t>
        </w:r>
      </w:hyperlink>
      <w:r w:rsidRPr="00CF552A">
        <w:rPr>
          <w:rStyle w:val="TextoNormalCaracter"/>
        </w:rPr>
        <w:t>, f. 2.</w:t>
      </w:r>
    </w:p>
    <w:p w:rsidR="00CF552A" w:rsidRPr="00CF552A" w:rsidRDefault="00CF552A" w:rsidP="00CF552A">
      <w:pPr>
        <w:pStyle w:val="TextoNormalSangraFrancesa"/>
        <w:rPr>
          <w:rStyle w:val="TextoNormalCaracter"/>
        </w:rPr>
      </w:pPr>
      <w:bookmarkStart w:id="1147" w:name="DESCRIPTORALFABETICO453"/>
      <w:r w:rsidRPr="00CF552A">
        <w:rPr>
          <w:rStyle w:val="TextoNormalNegritaCaracter"/>
        </w:rPr>
        <w:t>Recurso de suplicación</w:t>
      </w:r>
      <w:bookmarkEnd w:id="1147"/>
      <w:r w:rsidRPr="00CF552A">
        <w:rPr>
          <w:rStyle w:val="TextoNormalCaracter"/>
        </w:rPr>
        <w:t xml:space="preserve">, Sentencia </w:t>
      </w:r>
      <w:hyperlink w:anchor="SENTENCIA_1997_57" w:history="1">
        <w:r w:rsidRPr="00CF552A">
          <w:rPr>
            <w:rStyle w:val="TextoNormalCaracter"/>
          </w:rPr>
          <w:t>57/1997</w:t>
        </w:r>
      </w:hyperlink>
      <w:r w:rsidRPr="00CF552A">
        <w:rPr>
          <w:rStyle w:val="TextoNormalCaracter"/>
        </w:rPr>
        <w:t>, ff. 3, 4.</w:t>
      </w:r>
    </w:p>
    <w:p w:rsidR="00CF552A" w:rsidRPr="00CF552A" w:rsidRDefault="00CF552A" w:rsidP="00CF552A">
      <w:pPr>
        <w:pStyle w:val="TextoNormalSangraFrancesa"/>
        <w:rPr>
          <w:rStyle w:val="TextoNormalCaracter"/>
        </w:rPr>
      </w:pPr>
      <w:bookmarkStart w:id="1148" w:name="DESCRIPTORALFABETICO182"/>
      <w:r w:rsidRPr="00CF552A">
        <w:rPr>
          <w:rStyle w:val="TextoNormalNegritaCaracter"/>
        </w:rPr>
        <w:t>Recurso útil</w:t>
      </w:r>
      <w:bookmarkEnd w:id="1148"/>
      <w:r w:rsidRPr="00CF552A">
        <w:rPr>
          <w:rStyle w:val="TextoNormalCaracter"/>
        </w:rPr>
        <w:t xml:space="preserve">, Sentencia </w:t>
      </w:r>
      <w:hyperlink w:anchor="SENTENCIA_1997_69" w:history="1">
        <w:r w:rsidRPr="00CF552A">
          <w:rPr>
            <w:rStyle w:val="TextoNormalCaracter"/>
          </w:rPr>
          <w:t>69/1997</w:t>
        </w:r>
      </w:hyperlink>
      <w:r w:rsidRPr="00CF552A">
        <w:rPr>
          <w:rStyle w:val="TextoNormalCaracter"/>
        </w:rPr>
        <w:t>, f. 2.</w:t>
      </w:r>
    </w:p>
    <w:p w:rsidR="00CF552A" w:rsidRPr="00CF552A" w:rsidRDefault="00CF552A" w:rsidP="00CF552A">
      <w:pPr>
        <w:pStyle w:val="TextoNormalSangraFrancesa"/>
        <w:rPr>
          <w:rStyle w:val="TextoNormalCaracter"/>
        </w:rPr>
      </w:pPr>
      <w:bookmarkStart w:id="1149" w:name="DESCRIPTORALFABETICO368"/>
      <w:r w:rsidRPr="00CF552A">
        <w:rPr>
          <w:rStyle w:val="TextoNormalNegritaCaracter"/>
        </w:rPr>
        <w:t>Recusación de jueces y magistrados</w:t>
      </w:r>
      <w:bookmarkEnd w:id="1149"/>
      <w:r w:rsidRPr="00CF552A">
        <w:rPr>
          <w:rStyle w:val="TextoNormalCaracter"/>
        </w:rPr>
        <w:t xml:space="preserve">, Auto </w:t>
      </w:r>
      <w:hyperlink w:anchor="AUTO_1997_117" w:history="1">
        <w:r w:rsidRPr="00CF552A">
          <w:rPr>
            <w:rStyle w:val="TextoNormalCaracter"/>
          </w:rPr>
          <w:t>117/1997</w:t>
        </w:r>
      </w:hyperlink>
      <w:r w:rsidRPr="00CF552A">
        <w:rPr>
          <w:rStyle w:val="TextoNormalCaracter"/>
        </w:rPr>
        <w:t>.</w:t>
      </w:r>
    </w:p>
    <w:p w:rsidR="00CF552A" w:rsidRPr="00CF552A" w:rsidRDefault="00CF552A" w:rsidP="00CF552A">
      <w:pPr>
        <w:pStyle w:val="TextoNormalSangraFrancesa"/>
        <w:rPr>
          <w:rStyle w:val="TextoNormalNegritaCaracter"/>
        </w:rPr>
      </w:pPr>
      <w:r w:rsidRPr="00CF552A">
        <w:rPr>
          <w:rStyle w:val="TextoNormalCursivaCaracter"/>
        </w:rPr>
        <w:t>Reeducación</w:t>
      </w:r>
      <w:r>
        <w:t xml:space="preserve"> véase </w:t>
      </w:r>
      <w:hyperlink w:anchor="DESCRIPTORALFABETICO331" w:history="1">
        <w:r w:rsidRPr="00CF552A">
          <w:rPr>
            <w:rStyle w:val="TextoNormalNegritaCaracter"/>
          </w:rPr>
          <w:t>Reinserción social</w:t>
        </w:r>
      </w:hyperlink>
    </w:p>
    <w:p w:rsidR="00CF552A" w:rsidRPr="00CF552A" w:rsidRDefault="00CF552A" w:rsidP="00CF552A">
      <w:pPr>
        <w:pStyle w:val="TextoNormalSangraFrancesa"/>
        <w:rPr>
          <w:rStyle w:val="TextoNormalCaracter"/>
        </w:rPr>
      </w:pPr>
      <w:bookmarkStart w:id="1150" w:name="DESCRIPTORALFABETICO75"/>
      <w:r w:rsidRPr="00CF552A">
        <w:rPr>
          <w:rStyle w:val="TextoNormalNegritaCaracter"/>
          <w:i/>
        </w:rPr>
        <w:t>Reformatio in peius</w:t>
      </w:r>
      <w:bookmarkEnd w:id="1150"/>
      <w:r w:rsidRPr="00CF552A">
        <w:rPr>
          <w:rStyle w:val="TextoNormalCaracter"/>
        </w:rPr>
        <w:t xml:space="preserve">, Sentencia </w:t>
      </w:r>
      <w:hyperlink w:anchor="SENTENCIA_1997_59" w:history="1">
        <w:r w:rsidRPr="00CF552A">
          <w:rPr>
            <w:rStyle w:val="TextoNormalCaracter"/>
          </w:rPr>
          <w:t>59/1997</w:t>
        </w:r>
      </w:hyperlink>
      <w:r w:rsidRPr="00CF552A">
        <w:rPr>
          <w:rStyle w:val="TextoNormalCaracter"/>
        </w:rPr>
        <w:t>, f. 2.</w:t>
      </w:r>
    </w:p>
    <w:p w:rsidR="00CF552A" w:rsidRPr="00CF552A" w:rsidRDefault="00CF552A" w:rsidP="00CF552A">
      <w:pPr>
        <w:pStyle w:val="TextoNormalSangraFrancesa"/>
        <w:rPr>
          <w:rStyle w:val="TextoNormalCaracter"/>
        </w:rPr>
      </w:pPr>
      <w:r w:rsidRPr="00CF552A">
        <w:rPr>
          <w:rStyle w:val="TextoNormalCursivaCaracter"/>
        </w:rPr>
        <w:t xml:space="preserve">    Respetado, </w:t>
      </w:r>
      <w:r w:rsidRPr="00CF552A">
        <w:rPr>
          <w:rStyle w:val="TextoNormalCaracter"/>
        </w:rPr>
        <w:t xml:space="preserve">Sentencia </w:t>
      </w:r>
      <w:hyperlink w:anchor="SENTENCIA_1997_35" w:history="1">
        <w:r w:rsidRPr="00CF552A">
          <w:rPr>
            <w:rStyle w:val="TextoNormalCaracter"/>
          </w:rPr>
          <w:t>35/1997</w:t>
        </w:r>
      </w:hyperlink>
      <w:r w:rsidRPr="00CF552A">
        <w:rPr>
          <w:rStyle w:val="TextoNormalCaracter"/>
        </w:rPr>
        <w:t>, f. 4.</w:t>
      </w:r>
    </w:p>
    <w:p w:rsidR="00CF552A" w:rsidRPr="00CF552A" w:rsidRDefault="00CF552A" w:rsidP="00CF552A">
      <w:pPr>
        <w:pStyle w:val="TextoNormalSangraFrancesa"/>
        <w:rPr>
          <w:rStyle w:val="TextoNormalCaracter"/>
        </w:rPr>
      </w:pPr>
      <w:bookmarkStart w:id="1151" w:name="DESCRIPTORALFABETICO336"/>
      <w:r w:rsidRPr="00CF552A">
        <w:rPr>
          <w:rStyle w:val="TextoNormalNegritaCaracter"/>
        </w:rPr>
        <w:t>Régimen penitenciario</w:t>
      </w:r>
      <w:bookmarkEnd w:id="1151"/>
      <w:r w:rsidRPr="00CF552A">
        <w:rPr>
          <w:rStyle w:val="TextoNormalCaracter"/>
        </w:rPr>
        <w:t xml:space="preserve">, Sentencia </w:t>
      </w:r>
      <w:hyperlink w:anchor="SENTENCIA_1997_60" w:history="1">
        <w:r w:rsidRPr="00CF552A">
          <w:rPr>
            <w:rStyle w:val="TextoNormalCaracter"/>
          </w:rPr>
          <w:t>60/1997</w:t>
        </w:r>
      </w:hyperlink>
      <w:r w:rsidRPr="00CF552A">
        <w:rPr>
          <w:rStyle w:val="TextoNormalCaracter"/>
        </w:rPr>
        <w:t>, f. 1.</w:t>
      </w:r>
    </w:p>
    <w:p w:rsidR="00CF552A" w:rsidRPr="00CF552A" w:rsidRDefault="00CF552A" w:rsidP="00CF552A">
      <w:pPr>
        <w:pStyle w:val="TextoNormalSangraFrancesa"/>
        <w:rPr>
          <w:rStyle w:val="TextoNormalCaracter"/>
        </w:rPr>
      </w:pPr>
      <w:bookmarkStart w:id="1152" w:name="DESCRIPTORALFABETICO344"/>
      <w:r w:rsidRPr="00CF552A">
        <w:rPr>
          <w:rStyle w:val="TextoNormalNegritaCaracter"/>
        </w:rPr>
        <w:t>Registro Mercantil</w:t>
      </w:r>
      <w:bookmarkEnd w:id="1152"/>
      <w:r w:rsidRPr="00CF552A">
        <w:rPr>
          <w:rStyle w:val="TextoNormalCaracter"/>
        </w:rPr>
        <w:t xml:space="preserve">, Sentencia </w:t>
      </w:r>
      <w:hyperlink w:anchor="SENTENCIA_1997_87" w:history="1">
        <w:r w:rsidRPr="00CF552A">
          <w:rPr>
            <w:rStyle w:val="TextoNormalCaracter"/>
          </w:rPr>
          <w:t>87/1997</w:t>
        </w:r>
      </w:hyperlink>
      <w:r w:rsidRPr="00CF552A">
        <w:rPr>
          <w:rStyle w:val="TextoNormalCaracter"/>
        </w:rPr>
        <w:t>, ff. 1, 2, 3, 4, 5, 6.</w:t>
      </w:r>
    </w:p>
    <w:p w:rsidR="00CF552A" w:rsidRPr="00CF552A" w:rsidRDefault="00CF552A" w:rsidP="00CF552A">
      <w:pPr>
        <w:pStyle w:val="TextoNormalSangraFrancesa"/>
        <w:rPr>
          <w:rStyle w:val="TextoNormalNegritaCaracter"/>
        </w:rPr>
      </w:pPr>
      <w:r w:rsidRPr="00CF552A">
        <w:rPr>
          <w:rStyle w:val="TextoNormalCursivaCaracter"/>
        </w:rPr>
        <w:t>Reglas procesales</w:t>
      </w:r>
      <w:r>
        <w:t xml:space="preserve"> véase </w:t>
      </w:r>
      <w:hyperlink w:anchor="DESCRIPTORALFABETICO439" w:history="1">
        <w:r w:rsidRPr="00CF552A">
          <w:rPr>
            <w:rStyle w:val="TextoNormalNegritaCaracter"/>
          </w:rPr>
          <w:t>Requisitos procesales</w:t>
        </w:r>
      </w:hyperlink>
    </w:p>
    <w:p w:rsidR="00CF552A" w:rsidRPr="00CF552A" w:rsidRDefault="00CF552A" w:rsidP="00CF552A">
      <w:pPr>
        <w:pStyle w:val="TextoNormalSangraFrancesa"/>
        <w:rPr>
          <w:rStyle w:val="TextoNormalCaracter"/>
        </w:rPr>
      </w:pPr>
      <w:bookmarkStart w:id="1153" w:name="DESCRIPTORALFABETICO331"/>
      <w:r w:rsidRPr="00CF552A">
        <w:rPr>
          <w:rStyle w:val="TextoNormalNegritaCaracter"/>
        </w:rPr>
        <w:t>Reinserción social</w:t>
      </w:r>
      <w:bookmarkEnd w:id="1153"/>
      <w:r w:rsidRPr="00CF552A">
        <w:rPr>
          <w:rStyle w:val="TextoNormalCaracter"/>
        </w:rPr>
        <w:t xml:space="preserve">, Sentencia </w:t>
      </w:r>
      <w:hyperlink w:anchor="SENTENCIA_1997_81" w:history="1">
        <w:r w:rsidRPr="00CF552A">
          <w:rPr>
            <w:rStyle w:val="TextoNormalCaracter"/>
          </w:rPr>
          <w:t>81/1997</w:t>
        </w:r>
      </w:hyperlink>
      <w:r w:rsidRPr="00CF552A">
        <w:rPr>
          <w:rStyle w:val="TextoNormalCaracter"/>
        </w:rPr>
        <w:t>, f. 3.</w:t>
      </w:r>
    </w:p>
    <w:p w:rsidR="00CF552A" w:rsidRPr="00CF552A" w:rsidRDefault="00CF552A" w:rsidP="00CF552A">
      <w:pPr>
        <w:pStyle w:val="TextoNormalSangraFrancesa"/>
        <w:rPr>
          <w:rStyle w:val="TextoNormalCaracter"/>
        </w:rPr>
      </w:pPr>
      <w:bookmarkStart w:id="1154" w:name="DESCRIPTORALFABETICO151"/>
      <w:r w:rsidRPr="00CF552A">
        <w:rPr>
          <w:rStyle w:val="TextoNormalNegritaCaracter"/>
        </w:rPr>
        <w:t>Reivindicaciones competenciales preventivas</w:t>
      </w:r>
      <w:bookmarkEnd w:id="1154"/>
      <w:r w:rsidRPr="00CF552A">
        <w:rPr>
          <w:rStyle w:val="TextoNormalCaracter"/>
        </w:rPr>
        <w:t xml:space="preserve">, Sentencia </w:t>
      </w:r>
      <w:hyperlink w:anchor="SENTENCIA_1997_15" w:history="1">
        <w:r w:rsidRPr="00CF552A">
          <w:rPr>
            <w:rStyle w:val="TextoNormalCaracter"/>
          </w:rPr>
          <w:t>15/1997</w:t>
        </w:r>
      </w:hyperlink>
      <w:r w:rsidRPr="00CF552A">
        <w:rPr>
          <w:rStyle w:val="TextoNormalCaracter"/>
        </w:rPr>
        <w:t>, f. 3.</w:t>
      </w:r>
    </w:p>
    <w:p w:rsidR="00CF552A" w:rsidRPr="00CF552A" w:rsidRDefault="00CF552A" w:rsidP="00CF552A">
      <w:pPr>
        <w:pStyle w:val="TextoNormalSangraFrancesa"/>
        <w:rPr>
          <w:rStyle w:val="TextoNormalCaracter"/>
        </w:rPr>
      </w:pPr>
      <w:bookmarkStart w:id="1155" w:name="DESCRIPTORALFABETICO345"/>
      <w:r w:rsidRPr="00CF552A">
        <w:rPr>
          <w:rStyle w:val="TextoNormalNegritaCaracter"/>
        </w:rPr>
        <w:t>Relaciones de especial sujeción</w:t>
      </w:r>
      <w:bookmarkEnd w:id="1155"/>
      <w:r w:rsidRPr="00CF552A">
        <w:rPr>
          <w:rStyle w:val="TextoNormalCaracter"/>
        </w:rPr>
        <w:t xml:space="preserve">, Sentencia </w:t>
      </w:r>
      <w:hyperlink w:anchor="SENTENCIA_1997_60" w:history="1">
        <w:r w:rsidRPr="00CF552A">
          <w:rPr>
            <w:rStyle w:val="TextoNormalCaracter"/>
          </w:rPr>
          <w:t>60/1997</w:t>
        </w:r>
      </w:hyperlink>
      <w:r w:rsidRPr="00CF552A">
        <w:rPr>
          <w:rStyle w:val="TextoNormalCaracter"/>
        </w:rPr>
        <w:t>, f. 1.</w:t>
      </w:r>
    </w:p>
    <w:p w:rsidR="00CF552A" w:rsidRPr="00CF552A" w:rsidRDefault="00CF552A" w:rsidP="00CF552A">
      <w:pPr>
        <w:pStyle w:val="TextoNormalSangraFrancesa"/>
        <w:rPr>
          <w:rStyle w:val="TextoNormalCaracter"/>
        </w:rPr>
      </w:pPr>
      <w:bookmarkStart w:id="1156" w:name="DESCRIPTORALFABETICO303"/>
      <w:r w:rsidRPr="00CF552A">
        <w:rPr>
          <w:rStyle w:val="TextoNormalNegritaCaracter"/>
        </w:rPr>
        <w:t>Relaciones internacionales</w:t>
      </w:r>
      <w:bookmarkEnd w:id="1156"/>
      <w:r w:rsidRPr="00CF552A">
        <w:rPr>
          <w:rStyle w:val="TextoNormalCaracter"/>
        </w:rPr>
        <w:t xml:space="preserve">, Sentencia </w:t>
      </w:r>
      <w:hyperlink w:anchor="SENTENCIA_1997_21" w:history="1">
        <w:r w:rsidRPr="00CF552A">
          <w:rPr>
            <w:rStyle w:val="TextoNormalCaracter"/>
          </w:rPr>
          <w:t>21/1997</w:t>
        </w:r>
      </w:hyperlink>
      <w:r w:rsidRPr="00CF552A">
        <w:rPr>
          <w:rStyle w:val="TextoNormalCaracter"/>
        </w:rPr>
        <w:t>, ff. 2, 3.</w:t>
      </w:r>
    </w:p>
    <w:p w:rsidR="00CF552A" w:rsidRPr="00CF552A" w:rsidRDefault="00CF552A" w:rsidP="00CF552A">
      <w:pPr>
        <w:pStyle w:val="TextoNormalSangraFrancesa"/>
        <w:rPr>
          <w:rStyle w:val="TextoNormalCaracter"/>
        </w:rPr>
      </w:pPr>
      <w:bookmarkStart w:id="1157" w:name="DESCRIPTORALFABETICO113"/>
      <w:r w:rsidRPr="00CF552A">
        <w:rPr>
          <w:rStyle w:val="TextoNormalNegritaCaracter"/>
        </w:rPr>
        <w:t>Relevancia pública de la información</w:t>
      </w:r>
      <w:bookmarkEnd w:id="1157"/>
      <w:r w:rsidRPr="00CF552A">
        <w:rPr>
          <w:rStyle w:val="TextoNormalCaracter"/>
        </w:rPr>
        <w:t xml:space="preserve">, Sentencia </w:t>
      </w:r>
      <w:hyperlink w:anchor="SENTENCIA_1997_3" w:history="1">
        <w:r w:rsidRPr="00CF552A">
          <w:rPr>
            <w:rStyle w:val="TextoNormalCaracter"/>
          </w:rPr>
          <w:t>3/1997</w:t>
        </w:r>
      </w:hyperlink>
      <w:r w:rsidRPr="00CF552A">
        <w:rPr>
          <w:rStyle w:val="TextoNormalCaracter"/>
        </w:rPr>
        <w:t>, f. 2.</w:t>
      </w:r>
    </w:p>
    <w:p w:rsidR="00CF552A" w:rsidRPr="00CF552A" w:rsidRDefault="00CF552A" w:rsidP="00CF552A">
      <w:pPr>
        <w:pStyle w:val="TextoNormalSangraFrancesa"/>
        <w:rPr>
          <w:rStyle w:val="TextoNormalCaracter"/>
        </w:rPr>
      </w:pPr>
      <w:bookmarkStart w:id="1158" w:name="DESCRIPTORALFABETICO201"/>
      <w:r w:rsidRPr="00CF552A">
        <w:rPr>
          <w:rStyle w:val="TextoNormalNegritaCaracter"/>
        </w:rPr>
        <w:t>Reparto de asuntos</w:t>
      </w:r>
      <w:bookmarkEnd w:id="1158"/>
      <w:r w:rsidRPr="00CF552A">
        <w:rPr>
          <w:rStyle w:val="TextoNormalCaracter"/>
        </w:rPr>
        <w:t xml:space="preserve">, Sentencia </w:t>
      </w:r>
      <w:hyperlink w:anchor="SENTENCIA_1997_64" w:history="1">
        <w:r w:rsidRPr="00CF552A">
          <w:rPr>
            <w:rStyle w:val="TextoNormalCaracter"/>
          </w:rPr>
          <w:t>64/1997</w:t>
        </w:r>
      </w:hyperlink>
      <w:r w:rsidRPr="00CF552A">
        <w:rPr>
          <w:rStyle w:val="TextoNormalCaracter"/>
        </w:rPr>
        <w:t>, f. 2.</w:t>
      </w:r>
    </w:p>
    <w:p w:rsidR="00CF552A" w:rsidRPr="00CF552A" w:rsidRDefault="00CF552A" w:rsidP="00CF552A">
      <w:pPr>
        <w:pStyle w:val="TextoNormalSangraFrancesa"/>
        <w:rPr>
          <w:rStyle w:val="TextoNormalCaracter"/>
        </w:rPr>
      </w:pPr>
      <w:bookmarkStart w:id="1159" w:name="DESCRIPTORALFABETICO310"/>
      <w:r w:rsidRPr="00CF552A">
        <w:rPr>
          <w:rStyle w:val="TextoNormalNegritaCaracter"/>
        </w:rPr>
        <w:t>Requisitos de los decretos legislativos</w:t>
      </w:r>
      <w:bookmarkEnd w:id="1159"/>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 2.</w:t>
      </w:r>
    </w:p>
    <w:p w:rsidR="00CF552A" w:rsidRPr="00CF552A" w:rsidRDefault="00CF552A" w:rsidP="00CF552A">
      <w:pPr>
        <w:pStyle w:val="TextoNormalSangraFrancesa"/>
        <w:rPr>
          <w:rStyle w:val="TextoNormalCaracter"/>
        </w:rPr>
      </w:pPr>
      <w:bookmarkStart w:id="1160" w:name="DESCRIPTORALFABETICO439"/>
      <w:r w:rsidRPr="00CF552A">
        <w:rPr>
          <w:rStyle w:val="TextoNormalNegritaCaracter"/>
        </w:rPr>
        <w:t>Requisitos procesales</w:t>
      </w:r>
      <w:bookmarkEnd w:id="1160"/>
      <w:r w:rsidRPr="00CF552A">
        <w:rPr>
          <w:rStyle w:val="TextoNormalCaracter"/>
        </w:rPr>
        <w:t xml:space="preserve">, Sentencia </w:t>
      </w:r>
      <w:hyperlink w:anchor="SENTENCIA_1997_69" w:history="1">
        <w:r w:rsidRPr="00CF552A">
          <w:rPr>
            <w:rStyle w:val="TextoNormalCaracter"/>
          </w:rPr>
          <w:t>69/1997</w:t>
        </w:r>
      </w:hyperlink>
      <w:r w:rsidRPr="00CF552A">
        <w:rPr>
          <w:rStyle w:val="TextoNormalCaracter"/>
        </w:rPr>
        <w:t>, f. 6.</w:t>
      </w:r>
    </w:p>
    <w:p w:rsidR="00CF552A" w:rsidRPr="00CF552A" w:rsidRDefault="00CF552A" w:rsidP="00CF552A">
      <w:pPr>
        <w:pStyle w:val="TextoNormalSangraFrancesa"/>
        <w:rPr>
          <w:rStyle w:val="TextoNormalCaracter"/>
        </w:rPr>
      </w:pPr>
      <w:bookmarkStart w:id="1161" w:name="DESCRIPTORALFABETICO127"/>
      <w:r w:rsidRPr="00CF552A">
        <w:rPr>
          <w:rStyle w:val="TextoNormalNegritaCaracter"/>
        </w:rPr>
        <w:t>Resolución expresa ante invocación de vulneración de derechos fundamentales</w:t>
      </w:r>
      <w:bookmarkEnd w:id="1161"/>
      <w:r w:rsidRPr="00CF552A">
        <w:rPr>
          <w:rStyle w:val="TextoNormalCaracter"/>
        </w:rPr>
        <w:t xml:space="preserve">, Sentencia </w:t>
      </w:r>
      <w:hyperlink w:anchor="SENTENCIA_1997_34" w:history="1">
        <w:r w:rsidRPr="00CF552A">
          <w:rPr>
            <w:rStyle w:val="TextoNormalCaracter"/>
          </w:rPr>
          <w:t>34/1997</w:t>
        </w:r>
      </w:hyperlink>
      <w:r w:rsidRPr="00CF552A">
        <w:rPr>
          <w:rStyle w:val="TextoNormalCaracter"/>
        </w:rPr>
        <w:t>, f. 2.</w:t>
      </w:r>
    </w:p>
    <w:p w:rsidR="00CF552A" w:rsidRPr="00CF552A" w:rsidRDefault="00CF552A" w:rsidP="00CF552A">
      <w:pPr>
        <w:pStyle w:val="TextoNormalSangraFrancesa"/>
        <w:rPr>
          <w:rStyle w:val="TextoNormalCaracter"/>
        </w:rPr>
      </w:pPr>
      <w:bookmarkStart w:id="1162" w:name="DESCRIPTORALFABETICO76"/>
      <w:r w:rsidRPr="00CF552A">
        <w:rPr>
          <w:rStyle w:val="TextoNormalNegritaCaracter"/>
        </w:rPr>
        <w:lastRenderedPageBreak/>
        <w:t>Resolución fundada en Derecho</w:t>
      </w:r>
      <w:bookmarkEnd w:id="1162"/>
      <w:r w:rsidRPr="00CF552A">
        <w:rPr>
          <w:rStyle w:val="TextoNormalCaracter"/>
        </w:rPr>
        <w:t xml:space="preserve">, Sentencia </w:t>
      </w:r>
      <w:hyperlink w:anchor="SENTENCIA_1997_34" w:history="1">
        <w:r w:rsidRPr="00CF552A">
          <w:rPr>
            <w:rStyle w:val="TextoNormalCaracter"/>
          </w:rPr>
          <w:t>34/1997</w:t>
        </w:r>
      </w:hyperlink>
      <w:r w:rsidRPr="00CF552A">
        <w:rPr>
          <w:rStyle w:val="TextoNormalCaracter"/>
        </w:rPr>
        <w:t>, f. 4.</w:t>
      </w:r>
    </w:p>
    <w:p w:rsidR="00CF552A" w:rsidRPr="00CF552A" w:rsidRDefault="00CF552A" w:rsidP="00CF552A">
      <w:pPr>
        <w:pStyle w:val="TextoNormalSangraFrancesa"/>
        <w:rPr>
          <w:rStyle w:val="TextoNormalCaracter"/>
        </w:rPr>
      </w:pPr>
      <w:bookmarkStart w:id="1163" w:name="DESCRIPTORALFABETICO384"/>
      <w:r w:rsidRPr="00CF552A">
        <w:rPr>
          <w:rStyle w:val="TextoNormalNegritaCaracter"/>
        </w:rPr>
        <w:t>Resolución posterior contradictoria</w:t>
      </w:r>
      <w:bookmarkEnd w:id="1163"/>
      <w:r w:rsidRPr="00CF552A">
        <w:rPr>
          <w:rStyle w:val="TextoNormalCaracter"/>
        </w:rPr>
        <w:t xml:space="preserve">, Sentencia </w:t>
      </w:r>
      <w:hyperlink w:anchor="SENTENCIA_1997_34" w:history="1">
        <w:r w:rsidRPr="00CF552A">
          <w:rPr>
            <w:rStyle w:val="TextoNormalCaracter"/>
          </w:rPr>
          <w:t>34/1997</w:t>
        </w:r>
      </w:hyperlink>
      <w:r w:rsidRPr="00CF552A">
        <w:rPr>
          <w:rStyle w:val="TextoNormalCaracter"/>
        </w:rPr>
        <w:t>, f. 4.</w:t>
      </w:r>
    </w:p>
    <w:p w:rsidR="00CF552A" w:rsidRPr="00CF552A" w:rsidRDefault="00CF552A" w:rsidP="00CF552A">
      <w:pPr>
        <w:pStyle w:val="TextoNormalSangraFrancesa"/>
        <w:rPr>
          <w:rStyle w:val="TextoNormalCaracter"/>
        </w:rPr>
      </w:pPr>
      <w:bookmarkStart w:id="1164" w:name="DESCRIPTORALFABETICO441"/>
      <w:r w:rsidRPr="00CF552A">
        <w:rPr>
          <w:rStyle w:val="TextoNormalNegritaCaracter"/>
        </w:rPr>
        <w:t>Resoluciones interlocutorias</w:t>
      </w:r>
      <w:bookmarkEnd w:id="1164"/>
      <w:r w:rsidRPr="00CF552A">
        <w:rPr>
          <w:rStyle w:val="TextoNormalCaracter"/>
        </w:rPr>
        <w:t xml:space="preserve">, Sentencia </w:t>
      </w:r>
      <w:hyperlink w:anchor="SENTENCIA_1997_27" w:history="1">
        <w:r w:rsidRPr="00CF552A">
          <w:rPr>
            <w:rStyle w:val="TextoNormalCaracter"/>
          </w:rPr>
          <w:t>27/1997</w:t>
        </w:r>
      </w:hyperlink>
      <w:r w:rsidRPr="00CF552A">
        <w:rPr>
          <w:rStyle w:val="TextoNormalCaracter"/>
        </w:rPr>
        <w:t>, f. 2.</w:t>
      </w:r>
    </w:p>
    <w:p w:rsidR="00CF552A" w:rsidRPr="00CF552A" w:rsidRDefault="00CF552A" w:rsidP="00CF552A">
      <w:pPr>
        <w:pStyle w:val="TextoNormalSangraFrancesa"/>
        <w:rPr>
          <w:rStyle w:val="TextoNormalCaracter"/>
        </w:rPr>
      </w:pPr>
      <w:bookmarkStart w:id="1165" w:name="DESCRIPTORALFABETICO183"/>
      <w:r w:rsidRPr="00CF552A">
        <w:rPr>
          <w:rStyle w:val="TextoNormalNegritaCaracter"/>
        </w:rPr>
        <w:t>Resoluciones judiciales contradictorias</w:t>
      </w:r>
      <w:bookmarkEnd w:id="1165"/>
      <w:r w:rsidRPr="00CF552A">
        <w:rPr>
          <w:rStyle w:val="TextoNormalCaracter"/>
        </w:rPr>
        <w:t xml:space="preserve">, Sentencia </w:t>
      </w:r>
      <w:hyperlink w:anchor="SENTENCIA_1997_34" w:history="1">
        <w:r w:rsidRPr="00CF552A">
          <w:rPr>
            <w:rStyle w:val="TextoNormalCaracter"/>
          </w:rPr>
          <w:t>34/1997</w:t>
        </w:r>
      </w:hyperlink>
      <w:r w:rsidRPr="00CF552A">
        <w:rPr>
          <w:rStyle w:val="TextoNormalCaracter"/>
        </w:rPr>
        <w:t>, f. 4.</w:t>
      </w:r>
    </w:p>
    <w:p w:rsidR="00CF552A" w:rsidRPr="00CF552A" w:rsidRDefault="00CF552A" w:rsidP="00CF552A">
      <w:pPr>
        <w:pStyle w:val="TextoNormalSangraFrancesa"/>
        <w:rPr>
          <w:rStyle w:val="TextoNormalCaracter"/>
        </w:rPr>
      </w:pPr>
      <w:bookmarkStart w:id="1166" w:name="DESCRIPTORALFABETICO285"/>
      <w:r w:rsidRPr="00CF552A">
        <w:rPr>
          <w:rStyle w:val="TextoNormalNegritaCaracter"/>
        </w:rPr>
        <w:t>Responsabilidad de los directores de los medios informativos</w:t>
      </w:r>
      <w:bookmarkEnd w:id="1166"/>
      <w:r w:rsidRPr="00CF552A">
        <w:rPr>
          <w:rStyle w:val="TextoNormalCaracter"/>
        </w:rPr>
        <w:t xml:space="preserve">, Sentencia </w:t>
      </w:r>
      <w:hyperlink w:anchor="SENTENCIA_1997_3" w:history="1">
        <w:r w:rsidRPr="00CF552A">
          <w:rPr>
            <w:rStyle w:val="TextoNormalCaracter"/>
          </w:rPr>
          <w:t>3/1997</w:t>
        </w:r>
      </w:hyperlink>
      <w:r w:rsidRPr="00CF552A">
        <w:rPr>
          <w:rStyle w:val="TextoNormalCaracter"/>
        </w:rPr>
        <w:t>, f. 2.</w:t>
      </w:r>
    </w:p>
    <w:p w:rsidR="00CF552A" w:rsidRPr="00CF552A" w:rsidRDefault="00CF552A" w:rsidP="00CF552A">
      <w:pPr>
        <w:pStyle w:val="TextoNormalSangraFrancesa"/>
        <w:rPr>
          <w:rStyle w:val="TextoNormalCaracter"/>
        </w:rPr>
      </w:pPr>
      <w:bookmarkStart w:id="1167" w:name="DESCRIPTORALFABETICO284"/>
      <w:r w:rsidRPr="00CF552A">
        <w:rPr>
          <w:rStyle w:val="TextoNormalNegritaCaracter"/>
        </w:rPr>
        <w:t>Responsabilidad de los medios de comunicación</w:t>
      </w:r>
      <w:bookmarkEnd w:id="1167"/>
      <w:r w:rsidRPr="00CF552A">
        <w:rPr>
          <w:rStyle w:val="TextoNormalCaracter"/>
        </w:rPr>
        <w:t xml:space="preserve">, Sentencia </w:t>
      </w:r>
      <w:hyperlink w:anchor="SENTENCIA_1997_3" w:history="1">
        <w:r w:rsidRPr="00CF552A">
          <w:rPr>
            <w:rStyle w:val="TextoNormalCaracter"/>
          </w:rPr>
          <w:t>3/1997</w:t>
        </w:r>
      </w:hyperlink>
      <w:r w:rsidRPr="00CF552A">
        <w:rPr>
          <w:rStyle w:val="TextoNormalCaracter"/>
        </w:rPr>
        <w:t>, f. 2.</w:t>
      </w:r>
    </w:p>
    <w:p w:rsidR="00CF552A" w:rsidRPr="00CF552A" w:rsidRDefault="00CF552A" w:rsidP="00CF552A">
      <w:pPr>
        <w:pStyle w:val="TextoNormalSangraFrancesa"/>
        <w:rPr>
          <w:rStyle w:val="TextoNormalNegritaCaracter"/>
        </w:rPr>
      </w:pPr>
      <w:r w:rsidRPr="00CF552A">
        <w:rPr>
          <w:rStyle w:val="TextoNormalCursivaCaracter"/>
        </w:rPr>
        <w:t>Retroacción &lt;em&gt;in bonum&lt;/em&gt;</w:t>
      </w:r>
      <w:r>
        <w:t xml:space="preserve"> véase </w:t>
      </w:r>
      <w:hyperlink w:anchor="DESCRIPTORALFABETICO245" w:history="1">
        <w:r w:rsidRPr="00CF552A">
          <w:rPr>
            <w:rStyle w:val="TextoNormalNegritaCaracter"/>
          </w:rPr>
          <w:t>Irretroactividad de las normas sancionadoras desfavorables</w:t>
        </w:r>
      </w:hyperlink>
    </w:p>
    <w:p w:rsidR="00CF552A" w:rsidRPr="00CF552A" w:rsidRDefault="00CF552A" w:rsidP="00CF552A">
      <w:pPr>
        <w:pStyle w:val="TextoNormalSangraFrancesa"/>
        <w:rPr>
          <w:rStyle w:val="TextoNormalCaracter"/>
        </w:rPr>
      </w:pPr>
      <w:bookmarkStart w:id="1168" w:name="DESCRIPTORALFABETICO322"/>
      <w:r w:rsidRPr="00CF552A">
        <w:rPr>
          <w:rStyle w:val="TextoNormalNegritaCaracter"/>
        </w:rPr>
        <w:t>Retroactividad de normas tributarias</w:t>
      </w:r>
      <w:bookmarkEnd w:id="1168"/>
      <w:r w:rsidRPr="00CF552A">
        <w:rPr>
          <w:rStyle w:val="TextoNormalCaracter"/>
        </w:rPr>
        <w:t xml:space="preserve">, Sentencias </w:t>
      </w:r>
      <w:hyperlink w:anchor="SENTENCIA_1997_38" w:history="1">
        <w:r w:rsidRPr="00CF552A">
          <w:rPr>
            <w:rStyle w:val="TextoNormalCaracter"/>
          </w:rPr>
          <w:t>38/1997</w:t>
        </w:r>
      </w:hyperlink>
      <w:r w:rsidRPr="00CF552A">
        <w:rPr>
          <w:rStyle w:val="TextoNormalCaracter"/>
        </w:rPr>
        <w:t xml:space="preserve">, ff. 5, 6; </w:t>
      </w:r>
      <w:hyperlink w:anchor="SENTENCIA_1997_62" w:history="1">
        <w:r w:rsidRPr="00CF552A">
          <w:rPr>
            <w:rStyle w:val="TextoNormalCaracter"/>
          </w:rPr>
          <w:t>62/1997</w:t>
        </w:r>
      </w:hyperlink>
      <w:r w:rsidRPr="00CF552A">
        <w:rPr>
          <w:rStyle w:val="TextoNormalCaracter"/>
        </w:rPr>
        <w:t>, f. 4.</w:t>
      </w:r>
    </w:p>
    <w:p w:rsidR="00CF552A" w:rsidRPr="00CF552A" w:rsidRDefault="00CF552A" w:rsidP="00CF552A">
      <w:pPr>
        <w:pStyle w:val="TextoNormalSangraFrancesa"/>
        <w:rPr>
          <w:rStyle w:val="TextoNormalCaracter"/>
        </w:rPr>
      </w:pPr>
      <w:bookmarkStart w:id="1169" w:name="DESCRIPTORALFABETICO347"/>
      <w:r w:rsidRPr="00CF552A">
        <w:rPr>
          <w:rStyle w:val="TextoNormalNegritaCaracter"/>
        </w:rPr>
        <w:t>Revisión de la cuantía de la indemnización no justificada</w:t>
      </w:r>
      <w:bookmarkEnd w:id="1169"/>
      <w:r w:rsidRPr="00CF552A">
        <w:rPr>
          <w:rStyle w:val="TextoNormalCaracter"/>
        </w:rPr>
        <w:t xml:space="preserve">, Sentencia </w:t>
      </w:r>
      <w:hyperlink w:anchor="SENTENCIA_1997_59" w:history="1">
        <w:r w:rsidRPr="00CF552A">
          <w:rPr>
            <w:rStyle w:val="TextoNormalCaracter"/>
          </w:rPr>
          <w:t>59/1997</w:t>
        </w:r>
      </w:hyperlink>
      <w:r w:rsidRPr="00CF552A">
        <w:rPr>
          <w:rStyle w:val="TextoNormalCaracter"/>
        </w:rPr>
        <w:t>, f. 4.</w:t>
      </w:r>
    </w:p>
    <w:p w:rsidR="00CF552A" w:rsidRPr="00CF552A" w:rsidRDefault="00CF552A" w:rsidP="00CF552A">
      <w:pPr>
        <w:pStyle w:val="TextoNormalSangraFrancesa"/>
        <w:rPr>
          <w:rStyle w:val="TextoNormalCaracter"/>
        </w:rPr>
      </w:pPr>
      <w:bookmarkStart w:id="1170" w:name="DESCRIPTORALFABETICO486"/>
      <w:r w:rsidRPr="00CF552A">
        <w:rPr>
          <w:rStyle w:val="TextoNormalNegritaCaracter"/>
        </w:rPr>
        <w:t>Revocación de sentencia absolutoria</w:t>
      </w:r>
      <w:bookmarkEnd w:id="1170"/>
      <w:r w:rsidRPr="00CF552A">
        <w:rPr>
          <w:rStyle w:val="TextoNormalCaracter"/>
        </w:rPr>
        <w:t xml:space="preserve">, Sentencia </w:t>
      </w:r>
      <w:hyperlink w:anchor="SENTENCIA_1997_62" w:history="1">
        <w:r w:rsidRPr="00CF552A">
          <w:rPr>
            <w:rStyle w:val="TextoNormalCaracter"/>
          </w:rPr>
          <w:t>62/1997</w:t>
        </w:r>
      </w:hyperlink>
      <w:r w:rsidRPr="00CF552A">
        <w:rPr>
          <w:rStyle w:val="TextoNormalCaracter"/>
        </w:rPr>
        <w:t>, f. 2, VP.</w:t>
      </w:r>
    </w:p>
    <w:p w:rsidR="00CF552A" w:rsidRDefault="00CF552A" w:rsidP="00CF552A">
      <w:pPr>
        <w:pStyle w:val="TextoNormalSangraFrancesa"/>
      </w:pPr>
    </w:p>
    <w:p w:rsidR="00CF552A" w:rsidRDefault="00CF552A" w:rsidP="00CF552A">
      <w:pPr>
        <w:pStyle w:val="TextoNormalSangraFrancesa"/>
      </w:pPr>
    </w:p>
    <w:p w:rsidR="00CF552A" w:rsidRDefault="00CF552A" w:rsidP="00CF552A">
      <w:pPr>
        <w:pStyle w:val="TextoNormalNegritaCentrado"/>
      </w:pPr>
      <w:r>
        <w:t>S</w:t>
      </w:r>
    </w:p>
    <w:p w:rsidR="00CF552A" w:rsidRDefault="00CF552A" w:rsidP="00CF552A">
      <w:pPr>
        <w:pStyle w:val="TextoNormalNegritaCentrado"/>
      </w:pPr>
    </w:p>
    <w:p w:rsidR="00CF552A" w:rsidRDefault="00CF552A" w:rsidP="00CF552A">
      <w:pPr>
        <w:pStyle w:val="TextoNormalNegritaCentrado"/>
      </w:pPr>
    </w:p>
    <w:p w:rsidR="00CF552A" w:rsidRDefault="00CF552A" w:rsidP="00CF552A">
      <w:pPr>
        <w:pStyle w:val="TextoNormalNegritaCentrado"/>
      </w:pPr>
    </w:p>
    <w:p w:rsidR="00CF552A" w:rsidRPr="00CF552A" w:rsidRDefault="00CF552A" w:rsidP="00CF552A">
      <w:pPr>
        <w:pStyle w:val="TextoNormalSangraFrancesa"/>
        <w:rPr>
          <w:rStyle w:val="TextoNormalCaracter"/>
        </w:rPr>
      </w:pPr>
      <w:bookmarkStart w:id="1171" w:name="DESCRIPTORALFABETICO244"/>
      <w:r w:rsidRPr="00CF552A">
        <w:rPr>
          <w:rStyle w:val="TextoNormalNegritaCaracter"/>
        </w:rPr>
        <w:t>Sanciones administrativas</w:t>
      </w:r>
      <w:bookmarkEnd w:id="1171"/>
      <w:r w:rsidRPr="00CF552A">
        <w:rPr>
          <w:rStyle w:val="TextoNormalCaracter"/>
        </w:rPr>
        <w:t xml:space="preserve">, Sentencia </w:t>
      </w:r>
      <w:hyperlink w:anchor="SENTENCIA_1997_4" w:history="1">
        <w:r w:rsidRPr="00CF552A">
          <w:rPr>
            <w:rStyle w:val="TextoNormalCaracter"/>
          </w:rPr>
          <w:t>4/1997</w:t>
        </w:r>
      </w:hyperlink>
      <w:r w:rsidRPr="00CF552A">
        <w:rPr>
          <w:rStyle w:val="TextoNormalCaracter"/>
        </w:rPr>
        <w:t>, f. único.</w:t>
      </w:r>
    </w:p>
    <w:p w:rsidR="00CF552A" w:rsidRPr="00CF552A" w:rsidRDefault="00CF552A" w:rsidP="00CF552A">
      <w:pPr>
        <w:pStyle w:val="TextoNormalSangraFrancesa"/>
        <w:rPr>
          <w:rStyle w:val="TextoNormalCaracter"/>
        </w:rPr>
      </w:pPr>
      <w:bookmarkStart w:id="1172" w:name="DESCRIPTORALFABETICO246"/>
      <w:r w:rsidRPr="00CF552A">
        <w:rPr>
          <w:rStyle w:val="TextoNormalNegritaCaracter"/>
        </w:rPr>
        <w:t>Sanciones en materia de caza</w:t>
      </w:r>
      <w:bookmarkEnd w:id="1172"/>
      <w:r w:rsidRPr="00CF552A">
        <w:rPr>
          <w:rStyle w:val="TextoNormalCaracter"/>
        </w:rPr>
        <w:t xml:space="preserve">, Sentencia </w:t>
      </w:r>
      <w:hyperlink w:anchor="SENTENCIA_1997_16" w:history="1">
        <w:r w:rsidRPr="00CF552A">
          <w:rPr>
            <w:rStyle w:val="TextoNormalCaracter"/>
          </w:rPr>
          <w:t>16/1997</w:t>
        </w:r>
      </w:hyperlink>
      <w:r w:rsidRPr="00CF552A">
        <w:rPr>
          <w:rStyle w:val="TextoNormalCaracter"/>
        </w:rPr>
        <w:t>, ff. 2, 3.</w:t>
      </w:r>
    </w:p>
    <w:p w:rsidR="00CF552A" w:rsidRPr="00CF552A" w:rsidRDefault="00CF552A" w:rsidP="00CF552A">
      <w:pPr>
        <w:pStyle w:val="TextoNormalSangraFrancesa"/>
        <w:rPr>
          <w:rStyle w:val="TextoNormalCaracter"/>
        </w:rPr>
      </w:pPr>
      <w:bookmarkStart w:id="1173" w:name="DESCRIPTORALFABETICO342"/>
      <w:r w:rsidRPr="00CF552A">
        <w:rPr>
          <w:rStyle w:val="TextoNormalNegritaCaracter"/>
        </w:rPr>
        <w:t>Sanciones penitenciarias</w:t>
      </w:r>
      <w:bookmarkEnd w:id="1173"/>
      <w:r w:rsidRPr="00CF552A">
        <w:rPr>
          <w:rStyle w:val="TextoNormalCaracter"/>
        </w:rPr>
        <w:t xml:space="preserve">, Sentencia </w:t>
      </w:r>
      <w:hyperlink w:anchor="SENTENCIA_1997_60" w:history="1">
        <w:r w:rsidRPr="00CF552A">
          <w:rPr>
            <w:rStyle w:val="TextoNormalCaracter"/>
          </w:rPr>
          <w:t>60/1997</w:t>
        </w:r>
      </w:hyperlink>
      <w:r w:rsidRPr="00CF552A">
        <w:rPr>
          <w:rStyle w:val="TextoNormalCaracter"/>
        </w:rPr>
        <w:t>, f. 5.</w:t>
      </w:r>
    </w:p>
    <w:p w:rsidR="00CF552A" w:rsidRPr="00CF552A" w:rsidRDefault="00CF552A" w:rsidP="00CF552A">
      <w:pPr>
        <w:pStyle w:val="TextoNormalSangraFrancesa"/>
        <w:rPr>
          <w:rStyle w:val="TextoNormalCaracter"/>
        </w:rPr>
      </w:pPr>
      <w:bookmarkStart w:id="1174" w:name="DESCRIPTORALFABETICO247"/>
      <w:r w:rsidRPr="00CF552A">
        <w:rPr>
          <w:rStyle w:val="TextoNormalNegritaCaracter"/>
        </w:rPr>
        <w:t>Sanciones tributarias</w:t>
      </w:r>
      <w:bookmarkEnd w:id="1174"/>
      <w:r w:rsidRPr="00CF552A">
        <w:rPr>
          <w:rStyle w:val="TextoNormalCaracter"/>
        </w:rPr>
        <w:t xml:space="preserve">, Sentencias </w:t>
      </w:r>
      <w:hyperlink w:anchor="SENTENCIA_1997_38" w:history="1">
        <w:r w:rsidRPr="00CF552A">
          <w:rPr>
            <w:rStyle w:val="TextoNormalCaracter"/>
          </w:rPr>
          <w:t>38/1997</w:t>
        </w:r>
      </w:hyperlink>
      <w:r w:rsidRPr="00CF552A">
        <w:rPr>
          <w:rStyle w:val="TextoNormalCaracter"/>
        </w:rPr>
        <w:t xml:space="preserve">, f. 6; </w:t>
      </w:r>
      <w:hyperlink w:anchor="SENTENCIA_1997_62" w:history="1">
        <w:r w:rsidRPr="00CF552A">
          <w:rPr>
            <w:rStyle w:val="TextoNormalCaracter"/>
          </w:rPr>
          <w:t>62/1997</w:t>
        </w:r>
      </w:hyperlink>
      <w:r w:rsidRPr="00CF552A">
        <w:rPr>
          <w:rStyle w:val="TextoNormalCaracter"/>
        </w:rPr>
        <w:t xml:space="preserve">, f. 4; </w:t>
      </w:r>
      <w:hyperlink w:anchor="SENTENCIA_1997_63" w:history="1">
        <w:r w:rsidRPr="00CF552A">
          <w:rPr>
            <w:rStyle w:val="TextoNormalCaracter"/>
          </w:rPr>
          <w:t>63/1997</w:t>
        </w:r>
      </w:hyperlink>
      <w:r w:rsidRPr="00CF552A">
        <w:rPr>
          <w:rStyle w:val="TextoNormalCaracter"/>
        </w:rPr>
        <w:t>, f. 1.</w:t>
      </w:r>
    </w:p>
    <w:p w:rsidR="00CF552A" w:rsidRPr="00CF552A" w:rsidRDefault="00CF552A" w:rsidP="00CF552A">
      <w:pPr>
        <w:pStyle w:val="TextoNormalSangraFrancesa"/>
        <w:rPr>
          <w:rStyle w:val="TextoNormalCaracter"/>
        </w:rPr>
      </w:pPr>
      <w:bookmarkStart w:id="1175" w:name="DESCRIPTORALFABETICO487"/>
      <w:r w:rsidRPr="00CF552A">
        <w:rPr>
          <w:rStyle w:val="TextoNormalNegritaCaracter"/>
        </w:rPr>
        <w:t>Sentencia absolutoria firme</w:t>
      </w:r>
      <w:bookmarkEnd w:id="1175"/>
      <w:r w:rsidRPr="00CF552A">
        <w:rPr>
          <w:rStyle w:val="TextoNormalCaracter"/>
        </w:rPr>
        <w:t xml:space="preserve">, Sentencia </w:t>
      </w:r>
      <w:hyperlink w:anchor="SENTENCIA_1997_41" w:history="1">
        <w:r w:rsidRPr="00CF552A">
          <w:rPr>
            <w:rStyle w:val="TextoNormalCaracter"/>
          </w:rPr>
          <w:t>41/1997</w:t>
        </w:r>
      </w:hyperlink>
      <w:r w:rsidRPr="00CF552A">
        <w:rPr>
          <w:rStyle w:val="TextoNormalCaracter"/>
        </w:rPr>
        <w:t>, f. 6.</w:t>
      </w:r>
    </w:p>
    <w:p w:rsidR="00CF552A" w:rsidRPr="00CF552A" w:rsidRDefault="00CF552A" w:rsidP="00CF552A">
      <w:pPr>
        <w:pStyle w:val="TextoNormalSangraFrancesa"/>
        <w:rPr>
          <w:rStyle w:val="TextoNormalCaracter"/>
        </w:rPr>
      </w:pPr>
      <w:bookmarkStart w:id="1176" w:name="DESCRIPTORALFABETICO296"/>
      <w:r w:rsidRPr="00CF552A">
        <w:rPr>
          <w:rStyle w:val="TextoNormalNegritaCaracter"/>
        </w:rPr>
        <w:t>Sentencia canónica</w:t>
      </w:r>
      <w:bookmarkEnd w:id="1176"/>
      <w:r w:rsidRPr="00CF552A">
        <w:rPr>
          <w:rStyle w:val="TextoNormalCaracter"/>
        </w:rPr>
        <w:t xml:space="preserve">, Sentencia </w:t>
      </w:r>
      <w:hyperlink w:anchor="SENTENCIA_1997_6" w:history="1">
        <w:r w:rsidRPr="00CF552A">
          <w:rPr>
            <w:rStyle w:val="TextoNormalCaracter"/>
          </w:rPr>
          <w:t>6/1997</w:t>
        </w:r>
      </w:hyperlink>
      <w:r w:rsidRPr="00CF552A">
        <w:rPr>
          <w:rStyle w:val="TextoNormalCaracter"/>
        </w:rPr>
        <w:t>, f. 5.</w:t>
      </w:r>
    </w:p>
    <w:p w:rsidR="00CF552A" w:rsidRPr="00CF552A" w:rsidRDefault="00CF552A" w:rsidP="00CF552A">
      <w:pPr>
        <w:pStyle w:val="TextoNormalSangraFrancesa"/>
        <w:rPr>
          <w:rStyle w:val="TextoNormalCaracter"/>
        </w:rPr>
      </w:pPr>
      <w:bookmarkStart w:id="1177" w:name="DESCRIPTORALFABETICO298"/>
      <w:r w:rsidRPr="00CF552A">
        <w:rPr>
          <w:rStyle w:val="TextoNormalNegritaCaracter"/>
        </w:rPr>
        <w:t>Sentencia canónica en causa de nulidad matrimonial</w:t>
      </w:r>
      <w:bookmarkEnd w:id="1177"/>
      <w:r w:rsidRPr="00CF552A">
        <w:rPr>
          <w:rStyle w:val="TextoNormalCaracter"/>
        </w:rPr>
        <w:t xml:space="preserve">, Sentencia </w:t>
      </w:r>
      <w:hyperlink w:anchor="SENTENCIA_1997_6" w:history="1">
        <w:r w:rsidRPr="00CF552A">
          <w:rPr>
            <w:rStyle w:val="TextoNormalCaracter"/>
          </w:rPr>
          <w:t>6/1997</w:t>
        </w:r>
      </w:hyperlink>
      <w:r w:rsidRPr="00CF552A">
        <w:rPr>
          <w:rStyle w:val="TextoNormalCaracter"/>
        </w:rPr>
        <w:t>, f. 4.</w:t>
      </w:r>
    </w:p>
    <w:p w:rsidR="00CF552A" w:rsidRPr="00CF552A" w:rsidRDefault="00CF552A" w:rsidP="00CF552A">
      <w:pPr>
        <w:pStyle w:val="TextoNormalSangraFrancesa"/>
        <w:rPr>
          <w:rStyle w:val="TextoNormalCaracter"/>
        </w:rPr>
      </w:pPr>
      <w:bookmarkStart w:id="1178" w:name="DESCRIPTORALFABETICO77"/>
      <w:r w:rsidRPr="00CF552A">
        <w:rPr>
          <w:rStyle w:val="TextoNormalNegritaCaracter"/>
        </w:rPr>
        <w:t>Sentencia fundada en Derecho</w:t>
      </w:r>
      <w:bookmarkEnd w:id="1178"/>
      <w:r w:rsidRPr="00CF552A">
        <w:rPr>
          <w:rStyle w:val="TextoNormalCaracter"/>
        </w:rPr>
        <w:t xml:space="preserve">, Sentencia </w:t>
      </w:r>
      <w:hyperlink w:anchor="SENTENCIA_1997_62" w:history="1">
        <w:r w:rsidRPr="00CF552A">
          <w:rPr>
            <w:rStyle w:val="TextoNormalCaracter"/>
          </w:rPr>
          <w:t>62/1997</w:t>
        </w:r>
      </w:hyperlink>
      <w:r w:rsidRPr="00CF552A">
        <w:rPr>
          <w:rStyle w:val="TextoNormalCaracter"/>
        </w:rPr>
        <w:t>, f. 2.</w:t>
      </w:r>
    </w:p>
    <w:p w:rsidR="00CF552A" w:rsidRPr="00CF552A" w:rsidRDefault="00CF552A" w:rsidP="00CF552A">
      <w:pPr>
        <w:pStyle w:val="TextoNormalSangraFrancesa"/>
        <w:rPr>
          <w:rStyle w:val="TextoNormalCaracter"/>
        </w:rPr>
      </w:pPr>
      <w:bookmarkStart w:id="1179" w:name="DESCRIPTORALFABETICO482"/>
      <w:r w:rsidRPr="00CF552A">
        <w:rPr>
          <w:rStyle w:val="TextoNormalNegritaCaracter"/>
        </w:rPr>
        <w:t>Sentencia penal</w:t>
      </w:r>
      <w:bookmarkEnd w:id="1179"/>
      <w:r w:rsidRPr="00CF552A">
        <w:rPr>
          <w:rStyle w:val="TextoNormalCaracter"/>
        </w:rPr>
        <w:t xml:space="preserve">, Sentencias </w:t>
      </w:r>
      <w:hyperlink w:anchor="SENTENCIA_1997_41" w:history="1">
        <w:r w:rsidRPr="00CF552A">
          <w:rPr>
            <w:rStyle w:val="TextoNormalCaracter"/>
          </w:rPr>
          <w:t>41/1997</w:t>
        </w:r>
      </w:hyperlink>
      <w:r w:rsidRPr="00CF552A">
        <w:rPr>
          <w:rStyle w:val="TextoNormalCaracter"/>
        </w:rPr>
        <w:t xml:space="preserve">, ff. 3, 6; </w:t>
      </w:r>
      <w:hyperlink w:anchor="SENTENCIA_1997_43" w:history="1">
        <w:r w:rsidRPr="00CF552A">
          <w:rPr>
            <w:rStyle w:val="TextoNormalCaracter"/>
          </w:rPr>
          <w:t>43/1997</w:t>
        </w:r>
      </w:hyperlink>
      <w:r w:rsidRPr="00CF552A">
        <w:rPr>
          <w:rStyle w:val="TextoNormalCaracter"/>
        </w:rPr>
        <w:t>, f. 6.</w:t>
      </w:r>
    </w:p>
    <w:p w:rsidR="00CF552A" w:rsidRPr="00CF552A" w:rsidRDefault="00CF552A" w:rsidP="00CF552A">
      <w:pPr>
        <w:pStyle w:val="TextoNormalSangraFrancesa"/>
        <w:rPr>
          <w:rStyle w:val="TextoNormalCaracter"/>
        </w:rPr>
      </w:pPr>
      <w:bookmarkStart w:id="1180" w:name="DESCRIPTORALFABETICO442"/>
      <w:r w:rsidRPr="00CF552A">
        <w:rPr>
          <w:rStyle w:val="TextoNormalNegritaCaracter"/>
        </w:rPr>
        <w:t>Sentencias</w:t>
      </w:r>
      <w:bookmarkEnd w:id="1180"/>
      <w:r w:rsidRPr="00CF552A">
        <w:rPr>
          <w:rStyle w:val="TextoNormalCaracter"/>
        </w:rPr>
        <w:t xml:space="preserve">, Sentencia </w:t>
      </w:r>
      <w:hyperlink w:anchor="SENTENCIA_1997_1" w:history="1">
        <w:r w:rsidRPr="00CF552A">
          <w:rPr>
            <w:rStyle w:val="TextoNormalCaracter"/>
          </w:rPr>
          <w:t>1/1997</w:t>
        </w:r>
      </w:hyperlink>
      <w:r w:rsidRPr="00CF552A">
        <w:rPr>
          <w:rStyle w:val="TextoNormalCaracter"/>
        </w:rPr>
        <w:t>, ff. 3, 4.</w:t>
      </w:r>
    </w:p>
    <w:p w:rsidR="00CF552A" w:rsidRPr="00CF552A" w:rsidRDefault="00CF552A" w:rsidP="00CF552A">
      <w:pPr>
        <w:pStyle w:val="TextoNormalSangraFrancesa"/>
        <w:rPr>
          <w:rStyle w:val="TextoNormalCaracter"/>
        </w:rPr>
      </w:pPr>
      <w:bookmarkStart w:id="1181" w:name="DESCRIPTORALFABETICO485"/>
      <w:r w:rsidRPr="00CF552A">
        <w:rPr>
          <w:rStyle w:val="TextoNormalNegritaCaracter"/>
        </w:rPr>
        <w:t>Sentencias absolutorias</w:t>
      </w:r>
      <w:bookmarkEnd w:id="1181"/>
      <w:r w:rsidRPr="00CF552A">
        <w:rPr>
          <w:rStyle w:val="TextoNormalCaracter"/>
        </w:rPr>
        <w:t xml:space="preserve">, Sentencias </w:t>
      </w:r>
      <w:hyperlink w:anchor="SENTENCIA_1997_41" w:history="1">
        <w:r w:rsidRPr="00CF552A">
          <w:rPr>
            <w:rStyle w:val="TextoNormalCaracter"/>
          </w:rPr>
          <w:t>41/1997</w:t>
        </w:r>
      </w:hyperlink>
      <w:r w:rsidRPr="00CF552A">
        <w:rPr>
          <w:rStyle w:val="TextoNormalCaracter"/>
        </w:rPr>
        <w:t xml:space="preserve">, f. 8; </w:t>
      </w:r>
      <w:hyperlink w:anchor="SENTENCIA_1997_62" w:history="1">
        <w:r w:rsidRPr="00CF552A">
          <w:rPr>
            <w:rStyle w:val="TextoNormalCaracter"/>
          </w:rPr>
          <w:t>62/1997</w:t>
        </w:r>
      </w:hyperlink>
      <w:r w:rsidRPr="00CF552A">
        <w:rPr>
          <w:rStyle w:val="TextoNormalCaracter"/>
        </w:rPr>
        <w:t xml:space="preserve">, f. 2, VP; </w:t>
      </w:r>
      <w:hyperlink w:anchor="SENTENCIA_1997_74" w:history="1">
        <w:r w:rsidRPr="00CF552A">
          <w:rPr>
            <w:rStyle w:val="TextoNormalCaracter"/>
          </w:rPr>
          <w:t>74/1997</w:t>
        </w:r>
      </w:hyperlink>
      <w:r w:rsidRPr="00CF552A">
        <w:rPr>
          <w:rStyle w:val="TextoNormalCaracter"/>
        </w:rPr>
        <w:t>, f. 5, VP.</w:t>
      </w:r>
    </w:p>
    <w:p w:rsidR="00CF552A" w:rsidRPr="00CF552A" w:rsidRDefault="00CF552A" w:rsidP="00CF552A">
      <w:pPr>
        <w:pStyle w:val="TextoNormalSangraFrancesa"/>
        <w:rPr>
          <w:rStyle w:val="TextoNormalCaracter"/>
        </w:rPr>
      </w:pPr>
      <w:bookmarkStart w:id="1182" w:name="DESCRIPTORALFABETICO267"/>
      <w:r w:rsidRPr="00CF552A">
        <w:rPr>
          <w:rStyle w:val="TextoNormalNegritaCaracter"/>
        </w:rPr>
        <w:t>Separación matrimonial</w:t>
      </w:r>
      <w:bookmarkEnd w:id="1182"/>
      <w:r w:rsidRPr="00CF552A">
        <w:rPr>
          <w:rStyle w:val="TextoNormalCaracter"/>
        </w:rPr>
        <w:t xml:space="preserve">, Sentencia </w:t>
      </w:r>
      <w:hyperlink w:anchor="SENTENCIA_1997_54" w:history="1">
        <w:r w:rsidRPr="00CF552A">
          <w:rPr>
            <w:rStyle w:val="TextoNormalCaracter"/>
          </w:rPr>
          <w:t>54/1997</w:t>
        </w:r>
      </w:hyperlink>
      <w:r w:rsidRPr="00CF552A">
        <w:rPr>
          <w:rStyle w:val="TextoNormalCaracter"/>
        </w:rPr>
        <w:t>, f. 1.</w:t>
      </w:r>
    </w:p>
    <w:p w:rsidR="00CF552A" w:rsidRPr="00CF552A" w:rsidRDefault="00CF552A" w:rsidP="00CF552A">
      <w:pPr>
        <w:pStyle w:val="TextoNormalSangraFrancesa"/>
        <w:rPr>
          <w:rStyle w:val="TextoNormalCaracter"/>
        </w:rPr>
      </w:pPr>
      <w:bookmarkStart w:id="1183" w:name="DESCRIPTORALFABETICO22"/>
      <w:r w:rsidRPr="00CF552A">
        <w:rPr>
          <w:rStyle w:val="TextoNormalNegritaCaracter"/>
        </w:rPr>
        <w:t>Sistema nacional de compensación electrónica</w:t>
      </w:r>
      <w:bookmarkEnd w:id="1183"/>
      <w:r w:rsidRPr="00CF552A">
        <w:rPr>
          <w:rStyle w:val="TextoNormalCaracter"/>
        </w:rPr>
        <w:t xml:space="preserve">, Sentencia </w:t>
      </w:r>
      <w:hyperlink w:anchor="SENTENCIA_1997_37" w:history="1">
        <w:r w:rsidRPr="00CF552A">
          <w:rPr>
            <w:rStyle w:val="TextoNormalCaracter"/>
          </w:rPr>
          <w:t>37/1997</w:t>
        </w:r>
      </w:hyperlink>
      <w:r w:rsidRPr="00CF552A">
        <w:rPr>
          <w:rStyle w:val="TextoNormalCaracter"/>
        </w:rPr>
        <w:t>, ff. 1, 2, 3, 4, 5, 6, 7, 8.</w:t>
      </w:r>
    </w:p>
    <w:p w:rsidR="00CF552A" w:rsidRPr="00CF552A" w:rsidRDefault="00CF552A" w:rsidP="00CF552A">
      <w:pPr>
        <w:pStyle w:val="TextoNormalSangraFrancesa"/>
        <w:rPr>
          <w:rStyle w:val="TextoNormalCaracter"/>
        </w:rPr>
      </w:pPr>
      <w:bookmarkStart w:id="1184" w:name="DESCRIPTORALFABETICO293"/>
      <w:r w:rsidRPr="00CF552A">
        <w:rPr>
          <w:rStyle w:val="TextoNormalNegritaCaracter"/>
        </w:rPr>
        <w:t>Sistemas urbanísticos generales</w:t>
      </w:r>
      <w:bookmarkEnd w:id="1184"/>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 17.</w:t>
      </w:r>
    </w:p>
    <w:p w:rsidR="00CF552A" w:rsidRPr="00CF552A" w:rsidRDefault="00CF552A" w:rsidP="00CF552A">
      <w:pPr>
        <w:pStyle w:val="TextoNormalSangraFrancesa"/>
        <w:rPr>
          <w:rStyle w:val="TextoNormalCaracter"/>
        </w:rPr>
      </w:pPr>
      <w:bookmarkStart w:id="1185" w:name="DESCRIPTORALFABETICO443"/>
      <w:r w:rsidRPr="00CF552A">
        <w:rPr>
          <w:rStyle w:val="TextoNormalNegritaCaracter"/>
        </w:rPr>
        <w:t>Sobreseimiento provisional</w:t>
      </w:r>
      <w:bookmarkEnd w:id="1185"/>
      <w:r w:rsidRPr="00CF552A">
        <w:rPr>
          <w:rStyle w:val="TextoNormalCaracter"/>
        </w:rPr>
        <w:t xml:space="preserve">, Sentencia </w:t>
      </w:r>
      <w:hyperlink w:anchor="SENTENCIA_1997_85" w:history="1">
        <w:r w:rsidRPr="00CF552A">
          <w:rPr>
            <w:rStyle w:val="TextoNormalCaracter"/>
          </w:rPr>
          <w:t>85/1997</w:t>
        </w:r>
      </w:hyperlink>
      <w:r w:rsidRPr="00CF552A">
        <w:rPr>
          <w:rStyle w:val="TextoNormalCaracter"/>
        </w:rPr>
        <w:t>, ff. 1, 2, 3, 4.</w:t>
      </w:r>
    </w:p>
    <w:p w:rsidR="00CF552A" w:rsidRPr="00CF552A" w:rsidRDefault="00CF552A" w:rsidP="00CF552A">
      <w:pPr>
        <w:pStyle w:val="TextoNormalSangraFrancesa"/>
        <w:rPr>
          <w:rStyle w:val="TextoNormalCaracter"/>
        </w:rPr>
      </w:pPr>
      <w:bookmarkStart w:id="1186" w:name="DESCRIPTORALFABETICO391"/>
      <w:r w:rsidRPr="00CF552A">
        <w:rPr>
          <w:rStyle w:val="TextoNormalNegritaCaracter"/>
        </w:rPr>
        <w:t>Subsanabilidad de defecto de postulación</w:t>
      </w:r>
      <w:bookmarkEnd w:id="1186"/>
      <w:r w:rsidRPr="00CF552A">
        <w:rPr>
          <w:rStyle w:val="TextoNormalCaracter"/>
        </w:rPr>
        <w:t xml:space="preserve">, Sentencia </w:t>
      </w:r>
      <w:hyperlink w:anchor="SENTENCIA_1997_55" w:history="1">
        <w:r w:rsidRPr="00CF552A">
          <w:rPr>
            <w:rStyle w:val="TextoNormalCaracter"/>
          </w:rPr>
          <w:t>55/1997</w:t>
        </w:r>
      </w:hyperlink>
      <w:r w:rsidRPr="00CF552A">
        <w:rPr>
          <w:rStyle w:val="TextoNormalCaracter"/>
        </w:rPr>
        <w:t>, f. 3, VP.</w:t>
      </w:r>
    </w:p>
    <w:p w:rsidR="00CF552A" w:rsidRPr="00CF552A" w:rsidRDefault="00CF552A" w:rsidP="00CF552A">
      <w:pPr>
        <w:pStyle w:val="TextoNormalSangraFrancesa"/>
        <w:rPr>
          <w:rStyle w:val="TextoNormalNegritaCaracter"/>
        </w:rPr>
      </w:pPr>
      <w:r w:rsidRPr="00CF552A">
        <w:rPr>
          <w:rStyle w:val="TextoNormalCursivaCaracter"/>
        </w:rPr>
        <w:t>Subsanabilidad de infracciones procesales</w:t>
      </w:r>
      <w:r>
        <w:t xml:space="preserve"> véase </w:t>
      </w:r>
      <w:hyperlink w:anchor="DESCRIPTORALFABETICO390" w:history="1">
        <w:r w:rsidRPr="00CF552A">
          <w:rPr>
            <w:rStyle w:val="TextoNormalNegritaCaracter"/>
          </w:rPr>
          <w:t>Subsanación de defectos procesales</w:t>
        </w:r>
      </w:hyperlink>
    </w:p>
    <w:p w:rsidR="00CF552A" w:rsidRPr="00CF552A" w:rsidRDefault="00CF552A" w:rsidP="00CF552A">
      <w:pPr>
        <w:pStyle w:val="TextoNormalSangraFrancesa"/>
        <w:rPr>
          <w:rStyle w:val="TextoNormalCaracter"/>
        </w:rPr>
      </w:pPr>
      <w:bookmarkStart w:id="1187" w:name="DESCRIPTORALFABETICO392"/>
      <w:r w:rsidRPr="00CF552A">
        <w:rPr>
          <w:rStyle w:val="TextoNormalNegritaCaracter"/>
        </w:rPr>
        <w:t>Subsanabilidad material</w:t>
      </w:r>
      <w:bookmarkEnd w:id="1187"/>
      <w:r w:rsidRPr="00CF552A">
        <w:rPr>
          <w:rStyle w:val="TextoNormalCaracter"/>
        </w:rPr>
        <w:t xml:space="preserve">, Sentencia </w:t>
      </w:r>
      <w:hyperlink w:anchor="SENTENCIA_1997_69" w:history="1">
        <w:r w:rsidRPr="00CF552A">
          <w:rPr>
            <w:rStyle w:val="TextoNormalCaracter"/>
          </w:rPr>
          <w:t>69/1997</w:t>
        </w:r>
      </w:hyperlink>
      <w:r w:rsidRPr="00CF552A">
        <w:rPr>
          <w:rStyle w:val="TextoNormalCaracter"/>
        </w:rPr>
        <w:t>, f. 6.</w:t>
      </w:r>
    </w:p>
    <w:p w:rsidR="00CF552A" w:rsidRPr="00CF552A" w:rsidRDefault="00CF552A" w:rsidP="00CF552A">
      <w:pPr>
        <w:pStyle w:val="TextoNormalSangraFrancesa"/>
        <w:rPr>
          <w:rStyle w:val="TextoNormalCaracter"/>
        </w:rPr>
      </w:pPr>
      <w:bookmarkStart w:id="1188" w:name="DESCRIPTORALFABETICO390"/>
      <w:r w:rsidRPr="00CF552A">
        <w:rPr>
          <w:rStyle w:val="TextoNormalNegritaCaracter"/>
        </w:rPr>
        <w:t>Subsanación de defectos procesales</w:t>
      </w:r>
      <w:bookmarkEnd w:id="1188"/>
      <w:r w:rsidRPr="00CF552A">
        <w:rPr>
          <w:rStyle w:val="TextoNormalCaracter"/>
        </w:rPr>
        <w:t xml:space="preserve">, Sentencias </w:t>
      </w:r>
      <w:hyperlink w:anchor="SENTENCIA_1997_79" w:history="1">
        <w:r w:rsidRPr="00CF552A">
          <w:rPr>
            <w:rStyle w:val="TextoNormalCaracter"/>
          </w:rPr>
          <w:t>79/1997</w:t>
        </w:r>
      </w:hyperlink>
      <w:r w:rsidRPr="00CF552A">
        <w:rPr>
          <w:rStyle w:val="TextoNormalCaracter"/>
        </w:rPr>
        <w:t xml:space="preserve">, f. 5; </w:t>
      </w:r>
      <w:hyperlink w:anchor="SENTENCIA_1997_84" w:history="1">
        <w:r w:rsidRPr="00CF552A">
          <w:rPr>
            <w:rStyle w:val="TextoNormalCaracter"/>
          </w:rPr>
          <w:t>84/1997</w:t>
        </w:r>
      </w:hyperlink>
      <w:r w:rsidRPr="00CF552A">
        <w:rPr>
          <w:rStyle w:val="TextoNormalCaracter"/>
        </w:rPr>
        <w:t>, f. 2.</w:t>
      </w:r>
    </w:p>
    <w:p w:rsidR="00CF552A" w:rsidRPr="00CF552A" w:rsidRDefault="00CF552A" w:rsidP="00CF552A">
      <w:pPr>
        <w:pStyle w:val="TextoNormalSangraFrancesa"/>
        <w:rPr>
          <w:rStyle w:val="TextoNormalCaracter"/>
        </w:rPr>
      </w:pPr>
      <w:bookmarkStart w:id="1189" w:name="DESCRIPTORALFABETICO269"/>
      <w:r w:rsidRPr="00CF552A">
        <w:rPr>
          <w:rStyle w:val="TextoNormalNegritaCaracter"/>
        </w:rPr>
        <w:t>Subvenciones públicas</w:t>
      </w:r>
      <w:bookmarkEnd w:id="1189"/>
      <w:r w:rsidRPr="00CF552A">
        <w:rPr>
          <w:rStyle w:val="TextoNormalCaracter"/>
        </w:rPr>
        <w:t xml:space="preserve">, Sentencia </w:t>
      </w:r>
      <w:hyperlink w:anchor="SENTENCIA_1997_71" w:history="1">
        <w:r w:rsidRPr="00CF552A">
          <w:rPr>
            <w:rStyle w:val="TextoNormalCaracter"/>
          </w:rPr>
          <w:t>71/1997</w:t>
        </w:r>
      </w:hyperlink>
      <w:r w:rsidRPr="00CF552A">
        <w:rPr>
          <w:rStyle w:val="TextoNormalCaracter"/>
        </w:rPr>
        <w:t>, ff. 1, 2, 3, 4, 5, 6.</w:t>
      </w:r>
    </w:p>
    <w:p w:rsidR="00CF552A" w:rsidRPr="00CF552A" w:rsidRDefault="00CF552A" w:rsidP="00CF552A">
      <w:pPr>
        <w:pStyle w:val="TextoNormalSangraFrancesa"/>
        <w:rPr>
          <w:rStyle w:val="TextoNormalCaracter"/>
        </w:rPr>
      </w:pPr>
      <w:r w:rsidRPr="00CF552A">
        <w:rPr>
          <w:rStyle w:val="TextoNormalCursivaCaracter"/>
        </w:rPr>
        <w:t xml:space="preserve">    Doctrina constitucional, </w:t>
      </w:r>
      <w:r w:rsidRPr="00CF552A">
        <w:rPr>
          <w:rStyle w:val="TextoNormalCaracter"/>
        </w:rPr>
        <w:t xml:space="preserve">Sentencia </w:t>
      </w:r>
      <w:hyperlink w:anchor="SENTENCIA_1997_71" w:history="1">
        <w:r w:rsidRPr="00CF552A">
          <w:rPr>
            <w:rStyle w:val="TextoNormalCaracter"/>
          </w:rPr>
          <w:t>71/1997</w:t>
        </w:r>
      </w:hyperlink>
      <w:r w:rsidRPr="00CF552A">
        <w:rPr>
          <w:rStyle w:val="TextoNormalCaracter"/>
        </w:rPr>
        <w:t>, f. 4.</w:t>
      </w:r>
    </w:p>
    <w:p w:rsidR="00CF552A" w:rsidRPr="00CF552A" w:rsidRDefault="00CF552A" w:rsidP="00CF552A">
      <w:pPr>
        <w:pStyle w:val="TextoNormalSangraFrancesa"/>
        <w:rPr>
          <w:rStyle w:val="TextoNormalCaracter"/>
        </w:rPr>
      </w:pPr>
      <w:bookmarkStart w:id="1190" w:name="DESCRIPTORALFABETICO224"/>
      <w:r w:rsidRPr="00CF552A">
        <w:rPr>
          <w:rStyle w:val="TextoNormalNegritaCaracter"/>
        </w:rPr>
        <w:t>Sujeción de los poderes públicos a la Constitución</w:t>
      </w:r>
      <w:bookmarkEnd w:id="1190"/>
      <w:r w:rsidRPr="00CF552A">
        <w:rPr>
          <w:rStyle w:val="TextoNormalCaracter"/>
        </w:rPr>
        <w:t xml:space="preserve">, Sentencia </w:t>
      </w:r>
      <w:hyperlink w:anchor="SENTENCIA_1997_21" w:history="1">
        <w:r w:rsidRPr="00CF552A">
          <w:rPr>
            <w:rStyle w:val="TextoNormalCaracter"/>
          </w:rPr>
          <w:t>21/1997</w:t>
        </w:r>
      </w:hyperlink>
      <w:r w:rsidRPr="00CF552A">
        <w:rPr>
          <w:rStyle w:val="TextoNormalCaracter"/>
        </w:rPr>
        <w:t>, f. 2.</w:t>
      </w:r>
    </w:p>
    <w:p w:rsidR="00CF552A" w:rsidRPr="00CF552A" w:rsidRDefault="00CF552A" w:rsidP="00CF552A">
      <w:pPr>
        <w:pStyle w:val="TextoNormalSangraFrancesa"/>
        <w:rPr>
          <w:rStyle w:val="TextoNormalCaracter"/>
        </w:rPr>
      </w:pPr>
      <w:bookmarkStart w:id="1191" w:name="DESCRIPTORALFABETICO475"/>
      <w:r w:rsidRPr="00CF552A">
        <w:rPr>
          <w:rStyle w:val="TextoNormalNegritaCaracter"/>
        </w:rPr>
        <w:t>Suplicatorio</w:t>
      </w:r>
      <w:bookmarkEnd w:id="1191"/>
      <w:r w:rsidRPr="00CF552A">
        <w:rPr>
          <w:rStyle w:val="TextoNormalCaracter"/>
        </w:rPr>
        <w:t xml:space="preserve">, Sentencia </w:t>
      </w:r>
      <w:hyperlink w:anchor="SENTENCIA_1997_22" w:history="1">
        <w:r w:rsidRPr="00CF552A">
          <w:rPr>
            <w:rStyle w:val="TextoNormalCaracter"/>
          </w:rPr>
          <w:t>22/1997</w:t>
        </w:r>
      </w:hyperlink>
      <w:r w:rsidRPr="00CF552A">
        <w:rPr>
          <w:rStyle w:val="TextoNormalCaracter"/>
        </w:rPr>
        <w:t>, f. 7, VP.</w:t>
      </w:r>
    </w:p>
    <w:p w:rsidR="00CF552A" w:rsidRPr="00CF552A" w:rsidRDefault="00CF552A" w:rsidP="00CF552A">
      <w:pPr>
        <w:pStyle w:val="TextoNormalSangraFrancesa"/>
        <w:rPr>
          <w:rStyle w:val="TextoNormalCaracter"/>
        </w:rPr>
      </w:pPr>
      <w:bookmarkStart w:id="1192" w:name="DESCRIPTORALFABETICO135"/>
      <w:r w:rsidRPr="00CF552A">
        <w:rPr>
          <w:rStyle w:val="TextoNormalNegritaCaracter"/>
        </w:rPr>
        <w:t>Suspensión cautelar de resoluciones judiciales</w:t>
      </w:r>
      <w:bookmarkEnd w:id="1192"/>
      <w:r w:rsidRPr="00CF552A">
        <w:rPr>
          <w:rStyle w:val="TextoNormalCaracter"/>
        </w:rPr>
        <w:t xml:space="preserve">, Autos </w:t>
      </w:r>
      <w:hyperlink w:anchor="AUTO_1997_3" w:history="1">
        <w:r w:rsidRPr="00CF552A">
          <w:rPr>
            <w:rStyle w:val="TextoNormalCaracter"/>
          </w:rPr>
          <w:t>3/1997</w:t>
        </w:r>
      </w:hyperlink>
      <w:r w:rsidRPr="00CF552A">
        <w:rPr>
          <w:rStyle w:val="TextoNormalCaracter"/>
        </w:rPr>
        <w:t xml:space="preserve">; </w:t>
      </w:r>
      <w:hyperlink w:anchor="AUTO_1997_5" w:history="1">
        <w:r w:rsidRPr="00CF552A">
          <w:rPr>
            <w:rStyle w:val="TextoNormalCaracter"/>
          </w:rPr>
          <w:t>5/1997</w:t>
        </w:r>
      </w:hyperlink>
      <w:r w:rsidRPr="00CF552A">
        <w:rPr>
          <w:rStyle w:val="TextoNormalCaracter"/>
        </w:rPr>
        <w:t xml:space="preserve">; </w:t>
      </w:r>
      <w:hyperlink w:anchor="AUTO_1997_6" w:history="1">
        <w:r w:rsidRPr="00CF552A">
          <w:rPr>
            <w:rStyle w:val="TextoNormalCaracter"/>
          </w:rPr>
          <w:t>6/1997</w:t>
        </w:r>
      </w:hyperlink>
      <w:r w:rsidRPr="00CF552A">
        <w:rPr>
          <w:rStyle w:val="TextoNormalCaracter"/>
        </w:rPr>
        <w:t xml:space="preserve">; </w:t>
      </w:r>
      <w:hyperlink w:anchor="AUTO_1997_8" w:history="1">
        <w:r w:rsidRPr="00CF552A">
          <w:rPr>
            <w:rStyle w:val="TextoNormalCaracter"/>
          </w:rPr>
          <w:t>8/1997</w:t>
        </w:r>
      </w:hyperlink>
      <w:r w:rsidRPr="00CF552A">
        <w:rPr>
          <w:rStyle w:val="TextoNormalCaracter"/>
        </w:rPr>
        <w:t xml:space="preserve">; </w:t>
      </w:r>
      <w:hyperlink w:anchor="AUTO_1997_18" w:history="1">
        <w:r w:rsidRPr="00CF552A">
          <w:rPr>
            <w:rStyle w:val="TextoNormalCaracter"/>
          </w:rPr>
          <w:t>18/1997</w:t>
        </w:r>
      </w:hyperlink>
      <w:r w:rsidRPr="00CF552A">
        <w:rPr>
          <w:rStyle w:val="TextoNormalCaracter"/>
        </w:rPr>
        <w:t xml:space="preserve">; </w:t>
      </w:r>
      <w:hyperlink w:anchor="AUTO_1997_20" w:history="1">
        <w:r w:rsidRPr="00CF552A">
          <w:rPr>
            <w:rStyle w:val="TextoNormalCaracter"/>
          </w:rPr>
          <w:t>20/1997</w:t>
        </w:r>
      </w:hyperlink>
      <w:r w:rsidRPr="00CF552A">
        <w:rPr>
          <w:rStyle w:val="TextoNormalCaracter"/>
        </w:rPr>
        <w:t xml:space="preserve">; </w:t>
      </w:r>
      <w:hyperlink w:anchor="AUTO_1997_22" w:history="1">
        <w:r w:rsidRPr="00CF552A">
          <w:rPr>
            <w:rStyle w:val="TextoNormalCaracter"/>
          </w:rPr>
          <w:t>22/1997</w:t>
        </w:r>
      </w:hyperlink>
      <w:r w:rsidRPr="00CF552A">
        <w:rPr>
          <w:rStyle w:val="TextoNormalCaracter"/>
        </w:rPr>
        <w:t xml:space="preserve">; </w:t>
      </w:r>
      <w:hyperlink w:anchor="AUTO_1997_38" w:history="1">
        <w:r w:rsidRPr="00CF552A">
          <w:rPr>
            <w:rStyle w:val="TextoNormalCaracter"/>
          </w:rPr>
          <w:t>38/1997</w:t>
        </w:r>
      </w:hyperlink>
      <w:r w:rsidRPr="00CF552A">
        <w:rPr>
          <w:rStyle w:val="TextoNormalCaracter"/>
        </w:rPr>
        <w:t xml:space="preserve">; </w:t>
      </w:r>
      <w:hyperlink w:anchor="AUTO_1997_39" w:history="1">
        <w:r w:rsidRPr="00CF552A">
          <w:rPr>
            <w:rStyle w:val="TextoNormalCaracter"/>
          </w:rPr>
          <w:t>39/1997</w:t>
        </w:r>
      </w:hyperlink>
      <w:r w:rsidRPr="00CF552A">
        <w:rPr>
          <w:rStyle w:val="TextoNormalCaracter"/>
        </w:rPr>
        <w:t xml:space="preserve">; </w:t>
      </w:r>
      <w:hyperlink w:anchor="AUTO_1997_41" w:history="1">
        <w:r w:rsidRPr="00CF552A">
          <w:rPr>
            <w:rStyle w:val="TextoNormalCaracter"/>
          </w:rPr>
          <w:t>41/1997</w:t>
        </w:r>
      </w:hyperlink>
      <w:r w:rsidRPr="00CF552A">
        <w:rPr>
          <w:rStyle w:val="TextoNormalCaracter"/>
        </w:rPr>
        <w:t xml:space="preserve">; </w:t>
      </w:r>
      <w:hyperlink w:anchor="AUTO_1997_47" w:history="1">
        <w:r w:rsidRPr="00CF552A">
          <w:rPr>
            <w:rStyle w:val="TextoNormalCaracter"/>
          </w:rPr>
          <w:t>47/1997</w:t>
        </w:r>
      </w:hyperlink>
      <w:r w:rsidRPr="00CF552A">
        <w:rPr>
          <w:rStyle w:val="TextoNormalCaracter"/>
        </w:rPr>
        <w:t xml:space="preserve">; </w:t>
      </w:r>
      <w:hyperlink w:anchor="AUTO_1997_49" w:history="1">
        <w:r w:rsidRPr="00CF552A">
          <w:rPr>
            <w:rStyle w:val="TextoNormalCaracter"/>
          </w:rPr>
          <w:t>49/1997</w:t>
        </w:r>
      </w:hyperlink>
      <w:r w:rsidRPr="00CF552A">
        <w:rPr>
          <w:rStyle w:val="TextoNormalCaracter"/>
        </w:rPr>
        <w:t xml:space="preserve">; </w:t>
      </w:r>
      <w:hyperlink w:anchor="AUTO_1997_69" w:history="1">
        <w:r w:rsidRPr="00CF552A">
          <w:rPr>
            <w:rStyle w:val="TextoNormalCaracter"/>
          </w:rPr>
          <w:t>69/1997</w:t>
        </w:r>
      </w:hyperlink>
      <w:r w:rsidRPr="00CF552A">
        <w:rPr>
          <w:rStyle w:val="TextoNormalCaracter"/>
        </w:rPr>
        <w:t xml:space="preserve">; </w:t>
      </w:r>
      <w:hyperlink w:anchor="AUTO_1997_71" w:history="1">
        <w:r w:rsidRPr="00CF552A">
          <w:rPr>
            <w:rStyle w:val="TextoNormalCaracter"/>
          </w:rPr>
          <w:t>71/1997</w:t>
        </w:r>
      </w:hyperlink>
      <w:r w:rsidRPr="00CF552A">
        <w:rPr>
          <w:rStyle w:val="TextoNormalCaracter"/>
        </w:rPr>
        <w:t xml:space="preserve">; </w:t>
      </w:r>
      <w:hyperlink w:anchor="AUTO_1997_74" w:history="1">
        <w:r w:rsidRPr="00CF552A">
          <w:rPr>
            <w:rStyle w:val="TextoNormalCaracter"/>
          </w:rPr>
          <w:t>74/1997</w:t>
        </w:r>
      </w:hyperlink>
      <w:r w:rsidRPr="00CF552A">
        <w:rPr>
          <w:rStyle w:val="TextoNormalCaracter"/>
        </w:rPr>
        <w:t xml:space="preserve">; </w:t>
      </w:r>
      <w:hyperlink w:anchor="AUTO_1997_98" w:history="1">
        <w:r w:rsidRPr="00CF552A">
          <w:rPr>
            <w:rStyle w:val="TextoNormalCaracter"/>
          </w:rPr>
          <w:t>98/1997</w:t>
        </w:r>
      </w:hyperlink>
      <w:r w:rsidRPr="00CF552A">
        <w:rPr>
          <w:rStyle w:val="TextoNormalCaracter"/>
        </w:rPr>
        <w:t xml:space="preserve">; </w:t>
      </w:r>
      <w:hyperlink w:anchor="AUTO_1997_102" w:history="1">
        <w:r w:rsidRPr="00CF552A">
          <w:rPr>
            <w:rStyle w:val="TextoNormalCaracter"/>
          </w:rPr>
          <w:t>102/1997</w:t>
        </w:r>
      </w:hyperlink>
      <w:r w:rsidRPr="00CF552A">
        <w:rPr>
          <w:rStyle w:val="TextoNormalCaracter"/>
        </w:rPr>
        <w:t xml:space="preserve">; </w:t>
      </w:r>
      <w:hyperlink w:anchor="AUTO_1997_113" w:history="1">
        <w:r w:rsidRPr="00CF552A">
          <w:rPr>
            <w:rStyle w:val="TextoNormalCaracter"/>
          </w:rPr>
          <w:t>113/1997</w:t>
        </w:r>
      </w:hyperlink>
      <w:r w:rsidRPr="00CF552A">
        <w:rPr>
          <w:rStyle w:val="TextoNormalCaracter"/>
        </w:rPr>
        <w:t>.</w:t>
      </w:r>
    </w:p>
    <w:p w:rsidR="00CF552A" w:rsidRPr="00CF552A" w:rsidRDefault="00CF552A" w:rsidP="00CF552A">
      <w:pPr>
        <w:pStyle w:val="TextoNormalSangraFrancesa"/>
        <w:rPr>
          <w:rStyle w:val="TextoNormalCaracter"/>
        </w:rPr>
      </w:pPr>
      <w:bookmarkStart w:id="1193" w:name="DESCRIPTORALFABETICO136"/>
      <w:r w:rsidRPr="00CF552A">
        <w:rPr>
          <w:rStyle w:val="TextoNormalNegritaCaracter"/>
        </w:rPr>
        <w:t>Suspensión cautelar de sentencias civiles</w:t>
      </w:r>
      <w:bookmarkEnd w:id="1193"/>
      <w:r w:rsidRPr="00CF552A">
        <w:rPr>
          <w:rStyle w:val="TextoNormalCaracter"/>
        </w:rPr>
        <w:t xml:space="preserve">, Autos </w:t>
      </w:r>
      <w:hyperlink w:anchor="AUTO_1997_2" w:history="1">
        <w:r w:rsidRPr="00CF552A">
          <w:rPr>
            <w:rStyle w:val="TextoNormalCaracter"/>
          </w:rPr>
          <w:t>2/1997</w:t>
        </w:r>
      </w:hyperlink>
      <w:r w:rsidRPr="00CF552A">
        <w:rPr>
          <w:rStyle w:val="TextoNormalCaracter"/>
        </w:rPr>
        <w:t xml:space="preserve">; </w:t>
      </w:r>
      <w:hyperlink w:anchor="AUTO_1997_40" w:history="1">
        <w:r w:rsidRPr="00CF552A">
          <w:rPr>
            <w:rStyle w:val="TextoNormalCaracter"/>
          </w:rPr>
          <w:t>40/1997</w:t>
        </w:r>
      </w:hyperlink>
      <w:r w:rsidRPr="00CF552A">
        <w:rPr>
          <w:rStyle w:val="TextoNormalCaracter"/>
        </w:rPr>
        <w:t xml:space="preserve">; </w:t>
      </w:r>
      <w:hyperlink w:anchor="AUTO_1997_52" w:history="1">
        <w:r w:rsidRPr="00CF552A">
          <w:rPr>
            <w:rStyle w:val="TextoNormalCaracter"/>
          </w:rPr>
          <w:t>52/1997</w:t>
        </w:r>
      </w:hyperlink>
      <w:r w:rsidRPr="00CF552A">
        <w:rPr>
          <w:rStyle w:val="TextoNormalCaracter"/>
        </w:rPr>
        <w:t xml:space="preserve">; </w:t>
      </w:r>
      <w:hyperlink w:anchor="AUTO_1997_109" w:history="1">
        <w:r w:rsidRPr="00CF552A">
          <w:rPr>
            <w:rStyle w:val="TextoNormalCaracter"/>
          </w:rPr>
          <w:t>109/1997</w:t>
        </w:r>
      </w:hyperlink>
      <w:r w:rsidRPr="00CF552A">
        <w:rPr>
          <w:rStyle w:val="TextoNormalCaracter"/>
        </w:rPr>
        <w:t>.</w:t>
      </w:r>
    </w:p>
    <w:p w:rsidR="00CF552A" w:rsidRPr="00CF552A" w:rsidRDefault="00CF552A" w:rsidP="00CF552A">
      <w:pPr>
        <w:pStyle w:val="TextoNormalSangraFrancesa"/>
        <w:rPr>
          <w:rStyle w:val="TextoNormalCaracter"/>
        </w:rPr>
      </w:pPr>
      <w:bookmarkStart w:id="1194" w:name="DESCRIPTORALFABETICO137"/>
      <w:r w:rsidRPr="00CF552A">
        <w:rPr>
          <w:rStyle w:val="TextoNormalNegritaCaracter"/>
        </w:rPr>
        <w:t>Suspensión cautelar de sentencias contencioso-administrativas</w:t>
      </w:r>
      <w:bookmarkEnd w:id="1194"/>
      <w:r w:rsidRPr="00CF552A">
        <w:rPr>
          <w:rStyle w:val="TextoNormalCaracter"/>
        </w:rPr>
        <w:t xml:space="preserve">, Autos </w:t>
      </w:r>
      <w:hyperlink w:anchor="AUTO_1997_34" w:history="1">
        <w:r w:rsidRPr="00CF552A">
          <w:rPr>
            <w:rStyle w:val="TextoNormalCaracter"/>
          </w:rPr>
          <w:t>34/1997</w:t>
        </w:r>
      </w:hyperlink>
      <w:r w:rsidRPr="00CF552A">
        <w:rPr>
          <w:rStyle w:val="TextoNormalCaracter"/>
        </w:rPr>
        <w:t xml:space="preserve">; </w:t>
      </w:r>
      <w:hyperlink w:anchor="AUTO_1997_36" w:history="1">
        <w:r w:rsidRPr="00CF552A">
          <w:rPr>
            <w:rStyle w:val="TextoNormalCaracter"/>
          </w:rPr>
          <w:t>36/1997</w:t>
        </w:r>
      </w:hyperlink>
      <w:r w:rsidRPr="00CF552A">
        <w:rPr>
          <w:rStyle w:val="TextoNormalCaracter"/>
        </w:rPr>
        <w:t xml:space="preserve">; </w:t>
      </w:r>
      <w:hyperlink w:anchor="AUTO_1997_58" w:history="1">
        <w:r w:rsidRPr="00CF552A">
          <w:rPr>
            <w:rStyle w:val="TextoNormalCaracter"/>
          </w:rPr>
          <w:t>58/1997</w:t>
        </w:r>
      </w:hyperlink>
      <w:r w:rsidRPr="00CF552A">
        <w:rPr>
          <w:rStyle w:val="TextoNormalCaracter"/>
        </w:rPr>
        <w:t xml:space="preserve">; </w:t>
      </w:r>
      <w:hyperlink w:anchor="AUTO_1997_72" w:history="1">
        <w:r w:rsidRPr="00CF552A">
          <w:rPr>
            <w:rStyle w:val="TextoNormalCaracter"/>
          </w:rPr>
          <w:t>72/1997</w:t>
        </w:r>
      </w:hyperlink>
      <w:r w:rsidRPr="00CF552A">
        <w:rPr>
          <w:rStyle w:val="TextoNormalCaracter"/>
        </w:rPr>
        <w:t>.</w:t>
      </w:r>
    </w:p>
    <w:p w:rsidR="00CF552A" w:rsidRPr="00CF552A" w:rsidRDefault="00CF552A" w:rsidP="00CF552A">
      <w:pPr>
        <w:pStyle w:val="TextoNormalSangraFrancesa"/>
        <w:rPr>
          <w:rStyle w:val="TextoNormalCaracter"/>
        </w:rPr>
      </w:pPr>
      <w:bookmarkStart w:id="1195" w:name="DESCRIPTORALFABETICO138"/>
      <w:r w:rsidRPr="00CF552A">
        <w:rPr>
          <w:rStyle w:val="TextoNormalNegritaCaracter"/>
        </w:rPr>
        <w:t>Suspensión cautelar de sentencias laborales</w:t>
      </w:r>
      <w:bookmarkEnd w:id="1195"/>
      <w:r w:rsidRPr="00CF552A">
        <w:rPr>
          <w:rStyle w:val="TextoNormalCaracter"/>
        </w:rPr>
        <w:t xml:space="preserve">, </w:t>
      </w:r>
    </w:p>
    <w:p w:rsidR="00CF552A" w:rsidRPr="00CF552A" w:rsidRDefault="00CF552A" w:rsidP="00CF552A">
      <w:pPr>
        <w:pStyle w:val="TextoNormalSangraFrancesa"/>
        <w:rPr>
          <w:rStyle w:val="TextoNormalCaracter"/>
        </w:rPr>
      </w:pPr>
      <w:r w:rsidRPr="00CF552A">
        <w:rPr>
          <w:rStyle w:val="TextoNormalCursivaCaracter"/>
        </w:rPr>
        <w:lastRenderedPageBreak/>
        <w:t xml:space="preserve">    Suspende parcialmente, </w:t>
      </w:r>
      <w:r w:rsidRPr="00CF552A">
        <w:rPr>
          <w:rStyle w:val="TextoNormalCaracter"/>
        </w:rPr>
        <w:t xml:space="preserve">Auto </w:t>
      </w:r>
      <w:hyperlink w:anchor="AUTO_1997_51" w:history="1">
        <w:r w:rsidRPr="00CF552A">
          <w:rPr>
            <w:rStyle w:val="TextoNormalCaracter"/>
          </w:rPr>
          <w:t>51/1997</w:t>
        </w:r>
      </w:hyperlink>
      <w:r w:rsidRPr="00CF552A">
        <w:rPr>
          <w:rStyle w:val="TextoNormalCaracter"/>
        </w:rPr>
        <w:t>.</w:t>
      </w:r>
    </w:p>
    <w:p w:rsidR="00CF552A" w:rsidRPr="00CF552A" w:rsidRDefault="00CF552A" w:rsidP="00CF552A">
      <w:pPr>
        <w:pStyle w:val="TextoNormalSangraFrancesa"/>
        <w:rPr>
          <w:rStyle w:val="TextoNormalCaracter"/>
        </w:rPr>
      </w:pPr>
      <w:bookmarkStart w:id="1196" w:name="DESCRIPTORALFABETICO139"/>
      <w:r w:rsidRPr="00CF552A">
        <w:rPr>
          <w:rStyle w:val="TextoNormalNegritaCaracter"/>
        </w:rPr>
        <w:t>Suspensión cautelar de sentencias penales</w:t>
      </w:r>
      <w:bookmarkEnd w:id="1196"/>
      <w:r w:rsidRPr="00CF552A">
        <w:rPr>
          <w:rStyle w:val="TextoNormalCaracter"/>
        </w:rPr>
        <w:t xml:space="preserve">, Auto </w:t>
      </w:r>
      <w:hyperlink w:anchor="AUTO_1997_9" w:history="1">
        <w:r w:rsidRPr="00CF552A">
          <w:rPr>
            <w:rStyle w:val="TextoNormalCaracter"/>
          </w:rPr>
          <w:t>9/1997</w:t>
        </w:r>
      </w:hyperlink>
      <w:r w:rsidRPr="00CF552A">
        <w:rPr>
          <w:rStyle w:val="TextoNormalCaracter"/>
        </w:rPr>
        <w:t>.</w:t>
      </w:r>
    </w:p>
    <w:p w:rsidR="00CF552A" w:rsidRPr="00CF552A" w:rsidRDefault="00CF552A" w:rsidP="00CF552A">
      <w:pPr>
        <w:pStyle w:val="TextoNormalSangraFrancesa"/>
        <w:rPr>
          <w:rStyle w:val="TextoNormalCaracter"/>
        </w:rPr>
      </w:pPr>
      <w:r w:rsidRPr="00CF552A">
        <w:rPr>
          <w:rStyle w:val="TextoNormalCursivaCaracter"/>
        </w:rPr>
        <w:t xml:space="preserve">    Suspende parcialmente, </w:t>
      </w:r>
      <w:r w:rsidRPr="00CF552A">
        <w:rPr>
          <w:rStyle w:val="TextoNormalCaracter"/>
        </w:rPr>
        <w:t xml:space="preserve">Autos </w:t>
      </w:r>
      <w:hyperlink w:anchor="AUTO_1997_1" w:history="1">
        <w:r w:rsidRPr="00CF552A">
          <w:rPr>
            <w:rStyle w:val="TextoNormalCaracter"/>
          </w:rPr>
          <w:t>1/1997</w:t>
        </w:r>
      </w:hyperlink>
      <w:r w:rsidRPr="00CF552A">
        <w:rPr>
          <w:rStyle w:val="TextoNormalCaracter"/>
        </w:rPr>
        <w:t xml:space="preserve">; </w:t>
      </w:r>
      <w:hyperlink w:anchor="AUTO_1997_16" w:history="1">
        <w:r w:rsidRPr="00CF552A">
          <w:rPr>
            <w:rStyle w:val="TextoNormalCaracter"/>
          </w:rPr>
          <w:t>16/1997</w:t>
        </w:r>
      </w:hyperlink>
      <w:r w:rsidRPr="00CF552A">
        <w:rPr>
          <w:rStyle w:val="TextoNormalCaracter"/>
        </w:rPr>
        <w:t xml:space="preserve">; </w:t>
      </w:r>
      <w:hyperlink w:anchor="AUTO_1997_61" w:history="1">
        <w:r w:rsidRPr="00CF552A">
          <w:rPr>
            <w:rStyle w:val="TextoNormalCaracter"/>
          </w:rPr>
          <w:t>61/1997</w:t>
        </w:r>
      </w:hyperlink>
      <w:r w:rsidRPr="00CF552A">
        <w:rPr>
          <w:rStyle w:val="TextoNormalCaracter"/>
        </w:rPr>
        <w:t xml:space="preserve">; </w:t>
      </w:r>
      <w:hyperlink w:anchor="AUTO_1997_83" w:history="1">
        <w:r w:rsidRPr="00CF552A">
          <w:rPr>
            <w:rStyle w:val="TextoNormalCaracter"/>
          </w:rPr>
          <w:t>83/1997</w:t>
        </w:r>
      </w:hyperlink>
      <w:r w:rsidRPr="00CF552A">
        <w:rPr>
          <w:rStyle w:val="TextoNormalCaracter"/>
        </w:rPr>
        <w:t xml:space="preserve">; </w:t>
      </w:r>
      <w:hyperlink w:anchor="AUTO_1997_84" w:history="1">
        <w:r w:rsidRPr="00CF552A">
          <w:rPr>
            <w:rStyle w:val="TextoNormalCaracter"/>
          </w:rPr>
          <w:t>84/1997</w:t>
        </w:r>
      </w:hyperlink>
      <w:r w:rsidRPr="00CF552A">
        <w:rPr>
          <w:rStyle w:val="TextoNormalCaracter"/>
        </w:rPr>
        <w:t xml:space="preserve">; </w:t>
      </w:r>
      <w:hyperlink w:anchor="AUTO_1997_86" w:history="1">
        <w:r w:rsidRPr="00CF552A">
          <w:rPr>
            <w:rStyle w:val="TextoNormalCaracter"/>
          </w:rPr>
          <w:t>86/1997</w:t>
        </w:r>
      </w:hyperlink>
      <w:r w:rsidRPr="00CF552A">
        <w:rPr>
          <w:rStyle w:val="TextoNormalCaracter"/>
        </w:rPr>
        <w:t xml:space="preserve">; </w:t>
      </w:r>
      <w:hyperlink w:anchor="AUTO_1997_87" w:history="1">
        <w:r w:rsidRPr="00CF552A">
          <w:rPr>
            <w:rStyle w:val="TextoNormalCaracter"/>
          </w:rPr>
          <w:t>87/1997</w:t>
        </w:r>
      </w:hyperlink>
      <w:r w:rsidRPr="00CF552A">
        <w:rPr>
          <w:rStyle w:val="TextoNormalCaracter"/>
        </w:rPr>
        <w:t xml:space="preserve">; </w:t>
      </w:r>
      <w:hyperlink w:anchor="AUTO_1997_88" w:history="1">
        <w:r w:rsidRPr="00CF552A">
          <w:rPr>
            <w:rStyle w:val="TextoNormalCaracter"/>
          </w:rPr>
          <w:t>88/1997</w:t>
        </w:r>
      </w:hyperlink>
      <w:r w:rsidRPr="00CF552A">
        <w:rPr>
          <w:rStyle w:val="TextoNormalCaracter"/>
        </w:rPr>
        <w:t xml:space="preserve">; </w:t>
      </w:r>
      <w:hyperlink w:anchor="AUTO_1997_89" w:history="1">
        <w:r w:rsidRPr="00CF552A">
          <w:rPr>
            <w:rStyle w:val="TextoNormalCaracter"/>
          </w:rPr>
          <w:t>89/1997</w:t>
        </w:r>
      </w:hyperlink>
      <w:r w:rsidRPr="00CF552A">
        <w:rPr>
          <w:rStyle w:val="TextoNormalCaracter"/>
        </w:rPr>
        <w:t xml:space="preserve">; </w:t>
      </w:r>
      <w:hyperlink w:anchor="AUTO_1997_97" w:history="1">
        <w:r w:rsidRPr="00CF552A">
          <w:rPr>
            <w:rStyle w:val="TextoNormalCaracter"/>
          </w:rPr>
          <w:t>97/1997</w:t>
        </w:r>
      </w:hyperlink>
      <w:r w:rsidRPr="00CF552A">
        <w:rPr>
          <w:rStyle w:val="TextoNormalCaracter"/>
        </w:rPr>
        <w:t>.</w:t>
      </w:r>
    </w:p>
    <w:p w:rsidR="00CF552A" w:rsidRPr="00CF552A" w:rsidRDefault="00CF552A" w:rsidP="00CF552A">
      <w:pPr>
        <w:pStyle w:val="TextoNormalSangraFrancesa"/>
        <w:rPr>
          <w:rStyle w:val="TextoNormalCaracter"/>
        </w:rPr>
      </w:pPr>
      <w:bookmarkStart w:id="1197" w:name="DESCRIPTORALFABETICO463"/>
      <w:r w:rsidRPr="00CF552A">
        <w:rPr>
          <w:rStyle w:val="TextoNormalNegritaCaracter"/>
        </w:rPr>
        <w:t>Suspensión del juicio de faltas</w:t>
      </w:r>
      <w:bookmarkEnd w:id="1197"/>
      <w:r w:rsidRPr="00CF552A">
        <w:rPr>
          <w:rStyle w:val="TextoNormalCaracter"/>
        </w:rPr>
        <w:t xml:space="preserve">, Sentencia </w:t>
      </w:r>
      <w:hyperlink w:anchor="SENTENCIA_1997_25" w:history="1">
        <w:r w:rsidRPr="00CF552A">
          <w:rPr>
            <w:rStyle w:val="TextoNormalCaracter"/>
          </w:rPr>
          <w:t>25/1997</w:t>
        </w:r>
      </w:hyperlink>
      <w:r w:rsidRPr="00CF552A">
        <w:rPr>
          <w:rStyle w:val="TextoNormalCaracter"/>
        </w:rPr>
        <w:t>, f. 2.</w:t>
      </w:r>
    </w:p>
    <w:p w:rsidR="00CF552A" w:rsidRPr="00CF552A" w:rsidRDefault="00CF552A" w:rsidP="00CF552A">
      <w:pPr>
        <w:pStyle w:val="TextoNormalSangraFrancesa"/>
        <w:rPr>
          <w:rStyle w:val="TextoNormalCaracter"/>
        </w:rPr>
      </w:pPr>
      <w:bookmarkStart w:id="1198" w:name="DESCRIPTORALFABETICO332"/>
      <w:r w:rsidRPr="00CF552A">
        <w:rPr>
          <w:rStyle w:val="TextoNormalNegritaCaracter"/>
        </w:rPr>
        <w:t>Sustitución de pena privativa de libertad por expulsión de extranjero</w:t>
      </w:r>
      <w:bookmarkEnd w:id="1198"/>
      <w:r w:rsidRPr="00CF552A">
        <w:rPr>
          <w:rStyle w:val="TextoNormalCaracter"/>
        </w:rPr>
        <w:t xml:space="preserve">, Auto </w:t>
      </w:r>
      <w:hyperlink w:anchor="AUTO_1997_106" w:history="1">
        <w:r w:rsidRPr="00CF552A">
          <w:rPr>
            <w:rStyle w:val="TextoNormalCaracter"/>
          </w:rPr>
          <w:t>106/1997</w:t>
        </w:r>
      </w:hyperlink>
      <w:r w:rsidRPr="00CF552A">
        <w:rPr>
          <w:rStyle w:val="TextoNormalCaracter"/>
        </w:rPr>
        <w:t>.</w:t>
      </w:r>
    </w:p>
    <w:p w:rsidR="00CF552A" w:rsidRDefault="00CF552A" w:rsidP="00CF552A">
      <w:pPr>
        <w:pStyle w:val="TextoNormalSangraFrancesa"/>
      </w:pPr>
    </w:p>
    <w:p w:rsidR="00CF552A" w:rsidRDefault="00CF552A" w:rsidP="00CF552A">
      <w:pPr>
        <w:pStyle w:val="TextoNormalSangraFrancesa"/>
      </w:pPr>
    </w:p>
    <w:p w:rsidR="00CF552A" w:rsidRDefault="00CF552A" w:rsidP="00CF552A">
      <w:pPr>
        <w:pStyle w:val="TextoNormalNegritaCentrado"/>
      </w:pPr>
      <w:r>
        <w:t>T</w:t>
      </w:r>
    </w:p>
    <w:p w:rsidR="00CF552A" w:rsidRDefault="00CF552A" w:rsidP="00CF552A">
      <w:pPr>
        <w:pStyle w:val="TextoNormalNegritaCentrado"/>
      </w:pPr>
    </w:p>
    <w:p w:rsidR="00CF552A" w:rsidRDefault="00CF552A" w:rsidP="00CF552A">
      <w:pPr>
        <w:pStyle w:val="TextoNormalNegritaCentrado"/>
      </w:pPr>
    </w:p>
    <w:p w:rsidR="00CF552A" w:rsidRDefault="00CF552A" w:rsidP="00CF552A">
      <w:pPr>
        <w:pStyle w:val="TextoNormalNegritaCentrado"/>
      </w:pPr>
    </w:p>
    <w:p w:rsidR="00CF552A" w:rsidRPr="00CF552A" w:rsidRDefault="00CF552A" w:rsidP="00CF552A">
      <w:pPr>
        <w:pStyle w:val="TextoNormalSangraFrancesa"/>
        <w:rPr>
          <w:rStyle w:val="TextoNormalCaracter"/>
        </w:rPr>
      </w:pPr>
      <w:bookmarkStart w:id="1199" w:name="DESCRIPTORALFABETICO178"/>
      <w:r w:rsidRPr="00CF552A">
        <w:rPr>
          <w:rStyle w:val="TextoNormalNegritaCaracter"/>
        </w:rPr>
        <w:t>Temporaneidad del recurso de amparo</w:t>
      </w:r>
      <w:bookmarkEnd w:id="1199"/>
      <w:r w:rsidRPr="00CF552A">
        <w:rPr>
          <w:rStyle w:val="TextoNormalCaracter"/>
        </w:rPr>
        <w:t xml:space="preserve">, Sentencias </w:t>
      </w:r>
      <w:hyperlink w:anchor="SENTENCIA_1997_29" w:history="1">
        <w:r w:rsidRPr="00CF552A">
          <w:rPr>
            <w:rStyle w:val="TextoNormalCaracter"/>
          </w:rPr>
          <w:t>29/1997</w:t>
        </w:r>
      </w:hyperlink>
      <w:r w:rsidRPr="00CF552A">
        <w:rPr>
          <w:rStyle w:val="TextoNormalCaracter"/>
        </w:rPr>
        <w:t xml:space="preserve">, f. 1; </w:t>
      </w:r>
      <w:hyperlink w:anchor="SENTENCIA_1997_30" w:history="1">
        <w:r w:rsidRPr="00CF552A">
          <w:rPr>
            <w:rStyle w:val="TextoNormalCaracter"/>
          </w:rPr>
          <w:t>30/1997</w:t>
        </w:r>
      </w:hyperlink>
      <w:r w:rsidRPr="00CF552A">
        <w:rPr>
          <w:rStyle w:val="TextoNormalCaracter"/>
        </w:rPr>
        <w:t>, f. 2.</w:t>
      </w:r>
    </w:p>
    <w:p w:rsidR="00CF552A" w:rsidRPr="00CF552A" w:rsidRDefault="00CF552A" w:rsidP="00CF552A">
      <w:pPr>
        <w:pStyle w:val="TextoNormalSangraFrancesa"/>
        <w:rPr>
          <w:rStyle w:val="TextoNormalCaracter"/>
        </w:rPr>
      </w:pPr>
      <w:bookmarkStart w:id="1200" w:name="DESCRIPTORALFABETICO117"/>
      <w:r w:rsidRPr="00CF552A">
        <w:rPr>
          <w:rStyle w:val="TextoNormalNegritaCaracter"/>
        </w:rPr>
        <w:t>Teoría general de los derechos fundamentales</w:t>
      </w:r>
      <w:bookmarkEnd w:id="1200"/>
      <w:r w:rsidRPr="00CF552A">
        <w:rPr>
          <w:rStyle w:val="TextoNormalCaracter"/>
        </w:rPr>
        <w:t xml:space="preserve">, Sentencias </w:t>
      </w:r>
      <w:hyperlink w:anchor="SENTENCIA_1997_35" w:history="1">
        <w:r w:rsidRPr="00CF552A">
          <w:rPr>
            <w:rStyle w:val="TextoNormalCaracter"/>
          </w:rPr>
          <w:t>35/1997</w:t>
        </w:r>
      </w:hyperlink>
      <w:r w:rsidRPr="00CF552A">
        <w:rPr>
          <w:rStyle w:val="TextoNormalCaracter"/>
        </w:rPr>
        <w:t xml:space="preserve">, f. 5; </w:t>
      </w:r>
      <w:hyperlink w:anchor="SENTENCIA_1997_41" w:history="1">
        <w:r w:rsidRPr="00CF552A">
          <w:rPr>
            <w:rStyle w:val="TextoNormalCaracter"/>
          </w:rPr>
          <w:t>41/1997</w:t>
        </w:r>
      </w:hyperlink>
      <w:r w:rsidRPr="00CF552A">
        <w:rPr>
          <w:rStyle w:val="TextoNormalCaracter"/>
        </w:rPr>
        <w:t xml:space="preserve">, f. 8; </w:t>
      </w:r>
      <w:hyperlink w:anchor="SENTENCIA_1997_74" w:history="1">
        <w:r w:rsidRPr="00CF552A">
          <w:rPr>
            <w:rStyle w:val="TextoNormalCaracter"/>
          </w:rPr>
          <w:t>74/1997</w:t>
        </w:r>
      </w:hyperlink>
      <w:r w:rsidRPr="00CF552A">
        <w:rPr>
          <w:rStyle w:val="TextoNormalCaracter"/>
        </w:rPr>
        <w:t>, f. 5, VP.</w:t>
      </w:r>
    </w:p>
    <w:p w:rsidR="00CF552A" w:rsidRPr="00CF552A" w:rsidRDefault="00CF552A" w:rsidP="00CF552A">
      <w:pPr>
        <w:pStyle w:val="TextoNormalSangraFrancesa"/>
        <w:rPr>
          <w:rStyle w:val="TextoNormalCaracter"/>
        </w:rPr>
      </w:pPr>
      <w:bookmarkStart w:id="1201" w:name="DESCRIPTORALFABETICO44"/>
      <w:r w:rsidRPr="00CF552A">
        <w:rPr>
          <w:rStyle w:val="TextoNormalNegritaCaracter"/>
        </w:rPr>
        <w:t>Término de comparación inexistente</w:t>
      </w:r>
      <w:bookmarkEnd w:id="1201"/>
      <w:r w:rsidRPr="00CF552A">
        <w:rPr>
          <w:rStyle w:val="TextoNormalCaracter"/>
        </w:rPr>
        <w:t xml:space="preserve">, Sentencias </w:t>
      </w:r>
      <w:hyperlink w:anchor="SENTENCIA_1997_1" w:history="1">
        <w:r w:rsidRPr="00CF552A">
          <w:rPr>
            <w:rStyle w:val="TextoNormalCaracter"/>
          </w:rPr>
          <w:t>1/1997</w:t>
        </w:r>
      </w:hyperlink>
      <w:r w:rsidRPr="00CF552A">
        <w:rPr>
          <w:rStyle w:val="TextoNormalCaracter"/>
        </w:rPr>
        <w:t xml:space="preserve">, f. 2; </w:t>
      </w:r>
      <w:hyperlink w:anchor="SENTENCIA_1997_2" w:history="1">
        <w:r w:rsidRPr="00CF552A">
          <w:rPr>
            <w:rStyle w:val="TextoNormalCaracter"/>
          </w:rPr>
          <w:t>2/1997</w:t>
        </w:r>
      </w:hyperlink>
      <w:r w:rsidRPr="00CF552A">
        <w:rPr>
          <w:rStyle w:val="TextoNormalCaracter"/>
        </w:rPr>
        <w:t xml:space="preserve">, f. 2; </w:t>
      </w:r>
      <w:hyperlink w:anchor="SENTENCIA_1997_43" w:history="1">
        <w:r w:rsidRPr="00CF552A">
          <w:rPr>
            <w:rStyle w:val="TextoNormalCaracter"/>
          </w:rPr>
          <w:t>43/1997</w:t>
        </w:r>
      </w:hyperlink>
      <w:r w:rsidRPr="00CF552A">
        <w:rPr>
          <w:rStyle w:val="TextoNormalCaracter"/>
        </w:rPr>
        <w:t xml:space="preserve">, f. 2; </w:t>
      </w:r>
      <w:hyperlink w:anchor="SENTENCIA_1997_50" w:history="1">
        <w:r w:rsidRPr="00CF552A">
          <w:rPr>
            <w:rStyle w:val="TextoNormalCaracter"/>
          </w:rPr>
          <w:t>50/1997</w:t>
        </w:r>
      </w:hyperlink>
      <w:r w:rsidRPr="00CF552A">
        <w:rPr>
          <w:rStyle w:val="TextoNormalCaracter"/>
        </w:rPr>
        <w:t xml:space="preserve">, f. 6; </w:t>
      </w:r>
      <w:hyperlink w:anchor="SENTENCIA_1997_81" w:history="1">
        <w:r w:rsidRPr="00CF552A">
          <w:rPr>
            <w:rStyle w:val="TextoNormalCaracter"/>
          </w:rPr>
          <w:t>81/1997</w:t>
        </w:r>
      </w:hyperlink>
      <w:r w:rsidRPr="00CF552A">
        <w:rPr>
          <w:rStyle w:val="TextoNormalCaracter"/>
        </w:rPr>
        <w:t>, f. 2.</w:t>
      </w:r>
    </w:p>
    <w:p w:rsidR="00CF552A" w:rsidRPr="00CF552A" w:rsidRDefault="00CF552A" w:rsidP="00CF552A">
      <w:pPr>
        <w:pStyle w:val="TextoNormalSangraFrancesa"/>
        <w:rPr>
          <w:rStyle w:val="TextoNormalCaracter"/>
        </w:rPr>
      </w:pPr>
      <w:bookmarkStart w:id="1202" w:name="DESCRIPTORALFABETICO327"/>
      <w:r w:rsidRPr="00CF552A">
        <w:rPr>
          <w:rStyle w:val="TextoNormalNegritaCaracter"/>
        </w:rPr>
        <w:t>Textos legales</w:t>
      </w:r>
      <w:bookmarkEnd w:id="1202"/>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 4.</w:t>
      </w:r>
    </w:p>
    <w:p w:rsidR="00CF552A" w:rsidRPr="00CF552A" w:rsidRDefault="00CF552A" w:rsidP="00CF552A">
      <w:pPr>
        <w:pStyle w:val="TextoNormalSangraFrancesa"/>
        <w:rPr>
          <w:rStyle w:val="TextoNormalCaracter"/>
        </w:rPr>
      </w:pPr>
      <w:bookmarkStart w:id="1203" w:name="DESCRIPTORALFABETICO472"/>
      <w:r w:rsidRPr="00CF552A">
        <w:rPr>
          <w:rStyle w:val="TextoNormalNegritaCaracter"/>
        </w:rPr>
        <w:t>Tipos de prisión provisional</w:t>
      </w:r>
      <w:bookmarkEnd w:id="1203"/>
      <w:r w:rsidRPr="00CF552A">
        <w:rPr>
          <w:rStyle w:val="TextoNormalCaracter"/>
        </w:rPr>
        <w:t xml:space="preserve">, Sentencia </w:t>
      </w:r>
      <w:hyperlink w:anchor="SENTENCIA_1997_56" w:history="1">
        <w:r w:rsidRPr="00CF552A">
          <w:rPr>
            <w:rStyle w:val="TextoNormalCaracter"/>
          </w:rPr>
          <w:t>56/1997</w:t>
        </w:r>
      </w:hyperlink>
      <w:r w:rsidRPr="00CF552A">
        <w:rPr>
          <w:rStyle w:val="TextoNormalCaracter"/>
        </w:rPr>
        <w:t>, f. 8.</w:t>
      </w:r>
    </w:p>
    <w:p w:rsidR="00CF552A" w:rsidRPr="00CF552A" w:rsidRDefault="00CF552A" w:rsidP="00CF552A">
      <w:pPr>
        <w:pStyle w:val="TextoNormalSangraFrancesa"/>
        <w:rPr>
          <w:rStyle w:val="TextoNormalCaracter"/>
        </w:rPr>
      </w:pPr>
      <w:bookmarkStart w:id="1204" w:name="DESCRIPTORALFABETICO126"/>
      <w:r w:rsidRPr="00CF552A">
        <w:rPr>
          <w:rStyle w:val="TextoNormalNegritaCaracter"/>
        </w:rPr>
        <w:t>Titularidad de los derechos fundamentales</w:t>
      </w:r>
      <w:bookmarkEnd w:id="1204"/>
      <w:r w:rsidRPr="00CF552A">
        <w:rPr>
          <w:rStyle w:val="TextoNormalCaracter"/>
        </w:rPr>
        <w:t xml:space="preserve">, Sentencias </w:t>
      </w:r>
      <w:hyperlink w:anchor="SENTENCIA_1997_41" w:history="1">
        <w:r w:rsidRPr="00CF552A">
          <w:rPr>
            <w:rStyle w:val="TextoNormalCaracter"/>
          </w:rPr>
          <w:t>41/1997</w:t>
        </w:r>
      </w:hyperlink>
      <w:r w:rsidRPr="00CF552A">
        <w:rPr>
          <w:rStyle w:val="TextoNormalCaracter"/>
        </w:rPr>
        <w:t xml:space="preserve">, f. 5; </w:t>
      </w:r>
      <w:hyperlink w:anchor="SENTENCIA_1997_61" w:history="1">
        <w:r w:rsidRPr="00CF552A">
          <w:rPr>
            <w:rStyle w:val="TextoNormalCaracter"/>
          </w:rPr>
          <w:t>61/1997</w:t>
        </w:r>
      </w:hyperlink>
      <w:r w:rsidRPr="00CF552A">
        <w:rPr>
          <w:rStyle w:val="TextoNormalCaracter"/>
        </w:rPr>
        <w:t>, ff. 7, 17.</w:t>
      </w:r>
    </w:p>
    <w:p w:rsidR="00CF552A" w:rsidRPr="00CF552A" w:rsidRDefault="00CF552A" w:rsidP="00CF552A">
      <w:pPr>
        <w:pStyle w:val="TextoNormalSangraFrancesa"/>
        <w:rPr>
          <w:rStyle w:val="TextoNormalCaracter"/>
        </w:rPr>
      </w:pPr>
      <w:r w:rsidRPr="00CF552A">
        <w:rPr>
          <w:rStyle w:val="TextoNormalCaracter"/>
        </w:rPr>
        <w:t xml:space="preserve">    Auto </w:t>
      </w:r>
      <w:hyperlink w:anchor="AUTO_1997_63" w:history="1">
        <w:r w:rsidRPr="00CF552A">
          <w:rPr>
            <w:rStyle w:val="TextoNormalCaracter"/>
          </w:rPr>
          <w:t>63/1997</w:t>
        </w:r>
      </w:hyperlink>
      <w:r w:rsidRPr="00CF552A">
        <w:rPr>
          <w:rStyle w:val="TextoNormalCaracter"/>
        </w:rPr>
        <w:t>.</w:t>
      </w:r>
    </w:p>
    <w:p w:rsidR="00CF552A" w:rsidRPr="00CF552A" w:rsidRDefault="00CF552A" w:rsidP="00CF552A">
      <w:pPr>
        <w:pStyle w:val="TextoNormalSangraFrancesa"/>
        <w:rPr>
          <w:rStyle w:val="TextoNormalCaracter"/>
        </w:rPr>
      </w:pPr>
      <w:bookmarkStart w:id="1205" w:name="DESCRIPTORALFABETICO253"/>
      <w:r w:rsidRPr="00CF552A">
        <w:rPr>
          <w:rStyle w:val="TextoNormalNegritaCaracter"/>
        </w:rPr>
        <w:t>Titularidad dominical</w:t>
      </w:r>
      <w:bookmarkEnd w:id="1205"/>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ff. 17, 21, 30, 31.</w:t>
      </w:r>
    </w:p>
    <w:p w:rsidR="00CF552A" w:rsidRPr="00CF552A" w:rsidRDefault="00CF552A" w:rsidP="00CF552A">
      <w:pPr>
        <w:pStyle w:val="TextoNormalSangraFrancesa"/>
        <w:rPr>
          <w:rStyle w:val="TextoNormalCaracter"/>
        </w:rPr>
      </w:pPr>
      <w:bookmarkStart w:id="1206" w:name="DESCRIPTORALFABETICO307"/>
      <w:r w:rsidRPr="00CF552A">
        <w:rPr>
          <w:rStyle w:val="TextoNormalNegritaCaracter"/>
        </w:rPr>
        <w:t xml:space="preserve">Titularidad estatal del </w:t>
      </w:r>
      <w:r w:rsidRPr="00CF552A">
        <w:rPr>
          <w:rStyle w:val="TextoNormalNegritaCaracter"/>
          <w:i/>
        </w:rPr>
        <w:t>ius puniendi</w:t>
      </w:r>
      <w:bookmarkEnd w:id="1206"/>
      <w:r w:rsidRPr="00CF552A">
        <w:rPr>
          <w:rStyle w:val="TextoNormalCaracter"/>
        </w:rPr>
        <w:t xml:space="preserve">, Sentencia </w:t>
      </w:r>
      <w:hyperlink w:anchor="SENTENCIA_1997_41" w:history="1">
        <w:r w:rsidRPr="00CF552A">
          <w:rPr>
            <w:rStyle w:val="TextoNormalCaracter"/>
          </w:rPr>
          <w:t>41/1997</w:t>
        </w:r>
      </w:hyperlink>
      <w:r w:rsidRPr="00CF552A">
        <w:rPr>
          <w:rStyle w:val="TextoNormalCaracter"/>
        </w:rPr>
        <w:t>, f. 6.</w:t>
      </w:r>
    </w:p>
    <w:p w:rsidR="00CF552A" w:rsidRPr="00CF552A" w:rsidRDefault="00CF552A" w:rsidP="00CF552A">
      <w:pPr>
        <w:pStyle w:val="TextoNormalSangraFrancesa"/>
        <w:rPr>
          <w:rStyle w:val="TextoNormalCaracter"/>
        </w:rPr>
      </w:pPr>
      <w:bookmarkStart w:id="1207" w:name="DESCRIPTORALFABETICO8"/>
      <w:r w:rsidRPr="00CF552A">
        <w:rPr>
          <w:rStyle w:val="TextoNormalNegritaCaracter"/>
        </w:rPr>
        <w:t>Títulos competenciales</w:t>
      </w:r>
      <w:bookmarkEnd w:id="1207"/>
      <w:r w:rsidRPr="00CF552A">
        <w:rPr>
          <w:rStyle w:val="TextoNormalCaracter"/>
        </w:rPr>
        <w:t xml:space="preserve">, Sentencias </w:t>
      </w:r>
      <w:hyperlink w:anchor="SENTENCIA_1997_28" w:history="1">
        <w:r w:rsidRPr="00CF552A">
          <w:rPr>
            <w:rStyle w:val="TextoNormalCaracter"/>
          </w:rPr>
          <w:t>28/1997</w:t>
        </w:r>
      </w:hyperlink>
      <w:r w:rsidRPr="00CF552A">
        <w:rPr>
          <w:rStyle w:val="TextoNormalCaracter"/>
        </w:rPr>
        <w:t xml:space="preserve">, f. 5; </w:t>
      </w:r>
      <w:hyperlink w:anchor="SENTENCIA_1997_71" w:history="1">
        <w:r w:rsidRPr="00CF552A">
          <w:rPr>
            <w:rStyle w:val="TextoNormalCaracter"/>
          </w:rPr>
          <w:t>71/1997</w:t>
        </w:r>
      </w:hyperlink>
      <w:r w:rsidRPr="00CF552A">
        <w:rPr>
          <w:rStyle w:val="TextoNormalCaracter"/>
        </w:rPr>
        <w:t>, f. 2.</w:t>
      </w:r>
    </w:p>
    <w:p w:rsidR="00CF552A" w:rsidRPr="00CF552A" w:rsidRDefault="00CF552A" w:rsidP="00CF552A">
      <w:pPr>
        <w:pStyle w:val="TextoNormalSangraFrancesa"/>
        <w:rPr>
          <w:rStyle w:val="TextoNormalCaracter"/>
        </w:rPr>
      </w:pPr>
      <w:bookmarkStart w:id="1208" w:name="DESCRIPTORALFABETICO361"/>
      <w:r w:rsidRPr="00CF552A">
        <w:rPr>
          <w:rStyle w:val="TextoNormalNegritaCaracter"/>
        </w:rPr>
        <w:t>Trabajadores</w:t>
      </w:r>
      <w:bookmarkEnd w:id="1208"/>
      <w:r w:rsidRPr="00CF552A">
        <w:rPr>
          <w:rStyle w:val="TextoNormalCaracter"/>
        </w:rPr>
        <w:t xml:space="preserve">, Sentencia </w:t>
      </w:r>
      <w:hyperlink w:anchor="SENTENCIA_1997_82" w:history="1">
        <w:r w:rsidRPr="00CF552A">
          <w:rPr>
            <w:rStyle w:val="TextoNormalCaracter"/>
          </w:rPr>
          <w:t>82/1997</w:t>
        </w:r>
      </w:hyperlink>
      <w:r w:rsidRPr="00CF552A">
        <w:rPr>
          <w:rStyle w:val="TextoNormalCaracter"/>
        </w:rPr>
        <w:t>, f. 3.</w:t>
      </w:r>
    </w:p>
    <w:p w:rsidR="00CF552A" w:rsidRPr="00CF552A" w:rsidRDefault="00CF552A" w:rsidP="00CF552A">
      <w:pPr>
        <w:pStyle w:val="TextoNormalSangraFrancesa"/>
        <w:rPr>
          <w:rStyle w:val="TextoNormalNegritaCaracter"/>
        </w:rPr>
      </w:pPr>
      <w:r w:rsidRPr="00CF552A">
        <w:rPr>
          <w:rStyle w:val="TextoNormalCursivaCaracter"/>
        </w:rPr>
        <w:t>Trámite de audiencia en cuestión de inconstitucionalidad</w:t>
      </w:r>
      <w:r>
        <w:t xml:space="preserve"> véase </w:t>
      </w:r>
      <w:hyperlink w:anchor="DESCRIPTORALFABETICO153" w:history="1">
        <w:r w:rsidRPr="00CF552A">
          <w:rPr>
            <w:rStyle w:val="TextoNormalNegritaCaracter"/>
          </w:rPr>
          <w:t>Audiencia previa a las partes</w:t>
        </w:r>
      </w:hyperlink>
    </w:p>
    <w:p w:rsidR="00CF552A" w:rsidRPr="00CF552A" w:rsidRDefault="00CF552A" w:rsidP="00CF552A">
      <w:pPr>
        <w:pStyle w:val="TextoNormalSangraFrancesa"/>
        <w:rPr>
          <w:rStyle w:val="TextoNormalCaracter"/>
        </w:rPr>
      </w:pPr>
      <w:bookmarkStart w:id="1209" w:name="DESCRIPTORALFABETICO299"/>
      <w:r w:rsidRPr="00CF552A">
        <w:rPr>
          <w:rStyle w:val="TextoNormalNegritaCaracter"/>
        </w:rPr>
        <w:t>Transposición de directivas de la Unión Europea</w:t>
      </w:r>
      <w:bookmarkEnd w:id="1209"/>
      <w:r w:rsidRPr="00CF552A">
        <w:rPr>
          <w:rStyle w:val="TextoNormalCaracter"/>
        </w:rPr>
        <w:t xml:space="preserve">, Sentencia </w:t>
      </w:r>
      <w:hyperlink w:anchor="SENTENCIA_1997_70" w:history="1">
        <w:r w:rsidRPr="00CF552A">
          <w:rPr>
            <w:rStyle w:val="TextoNormalCaracter"/>
          </w:rPr>
          <w:t>70/1997</w:t>
        </w:r>
      </w:hyperlink>
      <w:r w:rsidRPr="00CF552A">
        <w:rPr>
          <w:rStyle w:val="TextoNormalCaracter"/>
        </w:rPr>
        <w:t>, f. 5.</w:t>
      </w:r>
    </w:p>
    <w:p w:rsidR="00CF552A" w:rsidRPr="00CF552A" w:rsidRDefault="00CF552A" w:rsidP="00CF552A">
      <w:pPr>
        <w:pStyle w:val="TextoNormalSangraFrancesa"/>
        <w:rPr>
          <w:rStyle w:val="TextoNormalCaracter"/>
        </w:rPr>
      </w:pPr>
      <w:bookmarkStart w:id="1210" w:name="DESCRIPTORALFABETICO358"/>
      <w:r w:rsidRPr="00CF552A">
        <w:rPr>
          <w:rStyle w:val="TextoNormalNegritaCaracter"/>
        </w:rPr>
        <w:t>Turnos de vacaciones</w:t>
      </w:r>
      <w:bookmarkEnd w:id="1210"/>
      <w:r w:rsidRPr="00CF552A">
        <w:rPr>
          <w:rStyle w:val="TextoNormalCaracter"/>
        </w:rPr>
        <w:t xml:space="preserve">, Sentencia </w:t>
      </w:r>
      <w:hyperlink w:anchor="SENTENCIA_1997_4" w:history="1">
        <w:r w:rsidRPr="00CF552A">
          <w:rPr>
            <w:rStyle w:val="TextoNormalCaracter"/>
          </w:rPr>
          <w:t>4/1997</w:t>
        </w:r>
      </w:hyperlink>
      <w:r w:rsidRPr="00CF552A">
        <w:rPr>
          <w:rStyle w:val="TextoNormalCaracter"/>
        </w:rPr>
        <w:t>, f. único.</w:t>
      </w:r>
    </w:p>
    <w:p w:rsidR="00CF552A" w:rsidRPr="00CF552A" w:rsidRDefault="00CF552A" w:rsidP="00CF552A">
      <w:pPr>
        <w:pStyle w:val="TextoNormalSangraFrancesa"/>
        <w:rPr>
          <w:rStyle w:val="TextoNormalCaracter"/>
        </w:rPr>
      </w:pPr>
      <w:bookmarkStart w:id="1211" w:name="DESCRIPTORALFABETICO78"/>
      <w:r w:rsidRPr="00CF552A">
        <w:rPr>
          <w:rStyle w:val="TextoNormalNegritaCaracter"/>
        </w:rPr>
        <w:t>Tutela judicial cautelar</w:t>
      </w:r>
      <w:bookmarkEnd w:id="1211"/>
      <w:r w:rsidRPr="00CF552A">
        <w:rPr>
          <w:rStyle w:val="TextoNormalCaracter"/>
        </w:rPr>
        <w:t xml:space="preserve">, Sentencia </w:t>
      </w:r>
      <w:hyperlink w:anchor="SENTENCIA_1997_27" w:history="1">
        <w:r w:rsidRPr="00CF552A">
          <w:rPr>
            <w:rStyle w:val="TextoNormalCaracter"/>
          </w:rPr>
          <w:t>27/1997</w:t>
        </w:r>
      </w:hyperlink>
      <w:r w:rsidRPr="00CF552A">
        <w:rPr>
          <w:rStyle w:val="TextoNormalCaracter"/>
        </w:rPr>
        <w:t>, f. 3, VP.</w:t>
      </w:r>
    </w:p>
    <w:p w:rsidR="00CF552A" w:rsidRPr="00CF552A" w:rsidRDefault="00CF552A" w:rsidP="00CF552A">
      <w:pPr>
        <w:pStyle w:val="TextoNormalSangraFrancesa"/>
        <w:rPr>
          <w:rStyle w:val="TextoNormalCaracter"/>
        </w:rPr>
      </w:pPr>
      <w:r w:rsidRPr="00CF552A">
        <w:rPr>
          <w:rStyle w:val="TextoNormalCursivaCaracter"/>
        </w:rPr>
        <w:t xml:space="preserve">    Doctrina constitucional, </w:t>
      </w:r>
      <w:r w:rsidRPr="00CF552A">
        <w:rPr>
          <w:rStyle w:val="TextoNormalCaracter"/>
        </w:rPr>
        <w:t xml:space="preserve">Sentencia </w:t>
      </w:r>
      <w:hyperlink w:anchor="SENTENCIA_1997_27" w:history="1">
        <w:r w:rsidRPr="00CF552A">
          <w:rPr>
            <w:rStyle w:val="TextoNormalCaracter"/>
          </w:rPr>
          <w:t>27/1997</w:t>
        </w:r>
      </w:hyperlink>
      <w:r w:rsidRPr="00CF552A">
        <w:rPr>
          <w:rStyle w:val="TextoNormalCaracter"/>
        </w:rPr>
        <w:t>, f. 3.</w:t>
      </w:r>
    </w:p>
    <w:p w:rsidR="00CF552A" w:rsidRDefault="00CF552A" w:rsidP="00CF552A">
      <w:pPr>
        <w:pStyle w:val="TextoNormalSangraFrancesa"/>
      </w:pPr>
    </w:p>
    <w:p w:rsidR="00CF552A" w:rsidRDefault="00CF552A" w:rsidP="00CF552A">
      <w:pPr>
        <w:pStyle w:val="TextoNormalSangraFrancesa"/>
      </w:pPr>
    </w:p>
    <w:p w:rsidR="00CF552A" w:rsidRDefault="00CF552A" w:rsidP="00CF552A">
      <w:pPr>
        <w:pStyle w:val="TextoNormalNegritaCentrado"/>
      </w:pPr>
      <w:r>
        <w:t>U</w:t>
      </w:r>
    </w:p>
    <w:p w:rsidR="00CF552A" w:rsidRDefault="00CF552A" w:rsidP="00CF552A">
      <w:pPr>
        <w:pStyle w:val="TextoNormalNegritaCentrado"/>
      </w:pPr>
    </w:p>
    <w:p w:rsidR="00CF552A" w:rsidRDefault="00CF552A" w:rsidP="00CF552A">
      <w:pPr>
        <w:pStyle w:val="TextoNormalNegritaCentrado"/>
      </w:pPr>
    </w:p>
    <w:p w:rsidR="00CF552A" w:rsidRDefault="00CF552A" w:rsidP="00CF552A">
      <w:pPr>
        <w:pStyle w:val="TextoNormalNegritaCentrado"/>
      </w:pPr>
    </w:p>
    <w:p w:rsidR="00CF552A" w:rsidRPr="00CF552A" w:rsidRDefault="00CF552A" w:rsidP="00CF552A">
      <w:pPr>
        <w:pStyle w:val="TextoNormalSangraFrancesa"/>
        <w:rPr>
          <w:rStyle w:val="TextoNormalCaracter"/>
        </w:rPr>
      </w:pPr>
      <w:bookmarkStart w:id="1212" w:name="DESCRIPTORALFABETICO287"/>
      <w:r w:rsidRPr="00CF552A">
        <w:rPr>
          <w:rStyle w:val="TextoNormalNegritaCaracter"/>
        </w:rPr>
        <w:t>Urbanismo</w:t>
      </w:r>
      <w:bookmarkEnd w:id="1212"/>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ff. 1, 2, 3, 4, 5, 6, 7, 8, 9, 10, 11, 12, 13, 14, 15, 16, 17, 18, 19, 20, 21, 22, 23, 24, 25, 26, 27, 28, 29, 30, 31, 32, 33, 34, 35, 36, 37, 38, 39, 40, 41, 42.</w:t>
      </w:r>
    </w:p>
    <w:p w:rsidR="00CF552A" w:rsidRPr="00CF552A" w:rsidRDefault="00CF552A" w:rsidP="00CF552A">
      <w:pPr>
        <w:pStyle w:val="TextoNormalSangraFrancesa"/>
        <w:rPr>
          <w:rStyle w:val="TextoNormalCaracter"/>
        </w:rPr>
      </w:pPr>
      <w:r w:rsidRPr="00CF552A">
        <w:rPr>
          <w:rStyle w:val="TextoNormalCursivaCaracter"/>
        </w:rPr>
        <w:t xml:space="preserve">    Contenido, </w:t>
      </w:r>
      <w:r w:rsidRPr="00CF552A">
        <w:rPr>
          <w:rStyle w:val="TextoNormalCaracter"/>
        </w:rPr>
        <w:t xml:space="preserve">Sentencia </w:t>
      </w:r>
      <w:hyperlink w:anchor="SENTENCIA_1997_61" w:history="1">
        <w:r w:rsidRPr="00CF552A">
          <w:rPr>
            <w:rStyle w:val="TextoNormalCaracter"/>
          </w:rPr>
          <w:t>61/1997</w:t>
        </w:r>
      </w:hyperlink>
      <w:r w:rsidRPr="00CF552A">
        <w:rPr>
          <w:rStyle w:val="TextoNormalCaracter"/>
        </w:rPr>
        <w:t>, f. 6.</w:t>
      </w:r>
    </w:p>
    <w:p w:rsidR="00CF552A" w:rsidRPr="00CF552A" w:rsidRDefault="00CF552A" w:rsidP="00CF552A">
      <w:pPr>
        <w:pStyle w:val="TextoNormalSangraFrancesa"/>
        <w:rPr>
          <w:rStyle w:val="TextoNormalCaracter"/>
        </w:rPr>
      </w:pPr>
      <w:bookmarkStart w:id="1213" w:name="DESCRIPTORALFABETICO232"/>
      <w:r w:rsidRPr="00CF552A">
        <w:rPr>
          <w:rStyle w:val="TextoNormalNegritaCaracter"/>
        </w:rPr>
        <w:t>Uso de lenguas oficiales ante los Registros públicos</w:t>
      </w:r>
      <w:bookmarkEnd w:id="1213"/>
      <w:r w:rsidRPr="00CF552A">
        <w:rPr>
          <w:rStyle w:val="TextoNormalCaracter"/>
        </w:rPr>
        <w:t xml:space="preserve">, Sentencia </w:t>
      </w:r>
      <w:hyperlink w:anchor="SENTENCIA_1997_87" w:history="1">
        <w:r w:rsidRPr="00CF552A">
          <w:rPr>
            <w:rStyle w:val="TextoNormalCaracter"/>
          </w:rPr>
          <w:t>87/1997</w:t>
        </w:r>
      </w:hyperlink>
      <w:r w:rsidRPr="00CF552A">
        <w:rPr>
          <w:rStyle w:val="TextoNormalCaracter"/>
        </w:rPr>
        <w:t>, ff. 1, 2, 3, 4, 5, 6.</w:t>
      </w:r>
    </w:p>
    <w:p w:rsidR="00CF552A" w:rsidRPr="00CF552A" w:rsidRDefault="00CF552A" w:rsidP="00CF552A">
      <w:pPr>
        <w:pStyle w:val="TextoNormalSangraFrancesa"/>
        <w:rPr>
          <w:rStyle w:val="TextoNormalCaracter"/>
        </w:rPr>
      </w:pPr>
      <w:bookmarkStart w:id="1214" w:name="DESCRIPTORALFABETICO294"/>
      <w:r w:rsidRPr="00CF552A">
        <w:rPr>
          <w:rStyle w:val="TextoNormalNegritaCaracter"/>
        </w:rPr>
        <w:t>Usos del suelo</w:t>
      </w:r>
      <w:bookmarkEnd w:id="1214"/>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 16.</w:t>
      </w:r>
    </w:p>
    <w:p w:rsidR="00CF552A" w:rsidRDefault="00CF552A" w:rsidP="00CF552A">
      <w:pPr>
        <w:pStyle w:val="TextoNormalSangraFrancesa"/>
      </w:pPr>
    </w:p>
    <w:p w:rsidR="00CF552A" w:rsidRDefault="00CF552A" w:rsidP="00CF552A">
      <w:pPr>
        <w:pStyle w:val="TextoNormalSangraFrancesa"/>
      </w:pPr>
    </w:p>
    <w:p w:rsidR="00CF552A" w:rsidRDefault="00CF552A" w:rsidP="00CF552A">
      <w:pPr>
        <w:pStyle w:val="TextoNormalNegritaCentrado"/>
      </w:pPr>
      <w:r>
        <w:t>V</w:t>
      </w:r>
    </w:p>
    <w:p w:rsidR="00CF552A" w:rsidRDefault="00CF552A" w:rsidP="00CF552A">
      <w:pPr>
        <w:pStyle w:val="TextoNormalNegritaCentrado"/>
      </w:pPr>
    </w:p>
    <w:p w:rsidR="00CF552A" w:rsidRDefault="00CF552A" w:rsidP="00CF552A">
      <w:pPr>
        <w:pStyle w:val="TextoNormalNegritaCentrado"/>
      </w:pPr>
    </w:p>
    <w:p w:rsidR="00CF552A" w:rsidRDefault="00CF552A" w:rsidP="00CF552A">
      <w:pPr>
        <w:pStyle w:val="TextoNormalNegritaCentrado"/>
      </w:pPr>
    </w:p>
    <w:p w:rsidR="00CF552A" w:rsidRPr="00CF552A" w:rsidRDefault="00CF552A" w:rsidP="00CF552A">
      <w:pPr>
        <w:pStyle w:val="TextoNormalSangraFrancesa"/>
        <w:rPr>
          <w:rStyle w:val="TextoNormalCaracter"/>
        </w:rPr>
      </w:pPr>
      <w:bookmarkStart w:id="1215" w:name="DESCRIPTORALFABETICO357"/>
      <w:r w:rsidRPr="00CF552A">
        <w:rPr>
          <w:rStyle w:val="TextoNormalNegritaCaracter"/>
        </w:rPr>
        <w:t>Vacaciones laborales</w:t>
      </w:r>
      <w:bookmarkEnd w:id="1215"/>
      <w:r w:rsidRPr="00CF552A">
        <w:rPr>
          <w:rStyle w:val="TextoNormalCaracter"/>
        </w:rPr>
        <w:t xml:space="preserve">, Sentencia </w:t>
      </w:r>
      <w:hyperlink w:anchor="SENTENCIA_1997_4" w:history="1">
        <w:r w:rsidRPr="00CF552A">
          <w:rPr>
            <w:rStyle w:val="TextoNormalCaracter"/>
          </w:rPr>
          <w:t>4/1997</w:t>
        </w:r>
      </w:hyperlink>
      <w:r w:rsidRPr="00CF552A">
        <w:rPr>
          <w:rStyle w:val="TextoNormalCaracter"/>
        </w:rPr>
        <w:t>, f. único.</w:t>
      </w:r>
    </w:p>
    <w:p w:rsidR="00CF552A" w:rsidRPr="00CF552A" w:rsidRDefault="00CF552A" w:rsidP="00CF552A">
      <w:pPr>
        <w:pStyle w:val="TextoNormalSangraFrancesa"/>
        <w:rPr>
          <w:rStyle w:val="TextoNormalCaracter"/>
        </w:rPr>
      </w:pPr>
      <w:bookmarkStart w:id="1216" w:name="DESCRIPTORALFABETICO233"/>
      <w:r w:rsidRPr="00CF552A">
        <w:rPr>
          <w:rStyle w:val="TextoNormalNegritaCaracter"/>
        </w:rPr>
        <w:t>Valenciano</w:t>
      </w:r>
      <w:bookmarkEnd w:id="1216"/>
      <w:r w:rsidRPr="00CF552A">
        <w:rPr>
          <w:rStyle w:val="TextoNormalCaracter"/>
        </w:rPr>
        <w:t xml:space="preserve">, Sentencia </w:t>
      </w:r>
      <w:hyperlink w:anchor="SENTENCIA_1997_75" w:history="1">
        <w:r w:rsidRPr="00CF552A">
          <w:rPr>
            <w:rStyle w:val="TextoNormalCaracter"/>
          </w:rPr>
          <w:t>75/1997</w:t>
        </w:r>
      </w:hyperlink>
      <w:r w:rsidRPr="00CF552A">
        <w:rPr>
          <w:rStyle w:val="TextoNormalCaracter"/>
        </w:rPr>
        <w:t>, ff. 1, 2, 3, 4, VP.</w:t>
      </w:r>
    </w:p>
    <w:p w:rsidR="00CF552A" w:rsidRPr="00CF552A" w:rsidRDefault="00CF552A" w:rsidP="00CF552A">
      <w:pPr>
        <w:pStyle w:val="TextoNormalSangraFrancesa"/>
        <w:rPr>
          <w:rStyle w:val="TextoNormalCaracter"/>
        </w:rPr>
      </w:pPr>
      <w:bookmarkStart w:id="1217" w:name="DESCRIPTORALFABETICO410"/>
      <w:r w:rsidRPr="00CF552A">
        <w:rPr>
          <w:rStyle w:val="TextoNormalNegritaCaracter"/>
        </w:rPr>
        <w:t>Valor probatorio de diligencias policiales</w:t>
      </w:r>
      <w:bookmarkEnd w:id="1217"/>
      <w:r w:rsidRPr="00CF552A">
        <w:rPr>
          <w:rStyle w:val="TextoNormalCaracter"/>
        </w:rPr>
        <w:t xml:space="preserve">, Sentencia </w:t>
      </w:r>
      <w:hyperlink w:anchor="SENTENCIA_1997_40" w:history="1">
        <w:r w:rsidRPr="00CF552A">
          <w:rPr>
            <w:rStyle w:val="TextoNormalCaracter"/>
          </w:rPr>
          <w:t>40/1997</w:t>
        </w:r>
      </w:hyperlink>
      <w:r w:rsidRPr="00CF552A">
        <w:rPr>
          <w:rStyle w:val="TextoNormalCaracter"/>
        </w:rPr>
        <w:t>, f. 4.</w:t>
      </w:r>
    </w:p>
    <w:p w:rsidR="00CF552A" w:rsidRPr="00CF552A" w:rsidRDefault="00CF552A" w:rsidP="00CF552A">
      <w:pPr>
        <w:pStyle w:val="TextoNormalSangraFrancesa"/>
        <w:rPr>
          <w:rStyle w:val="TextoNormalCaracter"/>
        </w:rPr>
      </w:pPr>
      <w:bookmarkStart w:id="1218" w:name="DESCRIPTORALFABETICO411"/>
      <w:r w:rsidRPr="00CF552A">
        <w:rPr>
          <w:rStyle w:val="TextoNormalNegritaCaracter"/>
        </w:rPr>
        <w:t>Valor probatorio de las actas de expediente sancionador</w:t>
      </w:r>
      <w:bookmarkEnd w:id="1218"/>
      <w:r w:rsidRPr="00CF552A">
        <w:rPr>
          <w:rStyle w:val="TextoNormalCaracter"/>
        </w:rPr>
        <w:t xml:space="preserve">, Sentencia </w:t>
      </w:r>
      <w:hyperlink w:anchor="SENTENCIA_1997_14" w:history="1">
        <w:r w:rsidRPr="00CF552A">
          <w:rPr>
            <w:rStyle w:val="TextoNormalCaracter"/>
          </w:rPr>
          <w:t>14/1997</w:t>
        </w:r>
      </w:hyperlink>
      <w:r w:rsidRPr="00CF552A">
        <w:rPr>
          <w:rStyle w:val="TextoNormalCaracter"/>
        </w:rPr>
        <w:t>, f. 6.</w:t>
      </w:r>
    </w:p>
    <w:p w:rsidR="00CF552A" w:rsidRPr="00CF552A" w:rsidRDefault="00CF552A" w:rsidP="00CF552A">
      <w:pPr>
        <w:pStyle w:val="TextoNormalSangraFrancesa"/>
        <w:rPr>
          <w:rStyle w:val="TextoNormalCaracter"/>
        </w:rPr>
      </w:pPr>
      <w:bookmarkStart w:id="1219" w:name="DESCRIPTORALFABETICO412"/>
      <w:r w:rsidRPr="00CF552A">
        <w:rPr>
          <w:rStyle w:val="TextoNormalNegritaCaracter"/>
        </w:rPr>
        <w:t>Valoración de la prueba en segunda instancia</w:t>
      </w:r>
      <w:bookmarkEnd w:id="1219"/>
      <w:r w:rsidRPr="00CF552A">
        <w:rPr>
          <w:rStyle w:val="TextoNormalCaracter"/>
        </w:rPr>
        <w:t xml:space="preserve">, Sentencia </w:t>
      </w:r>
      <w:hyperlink w:anchor="SENTENCIA_1997_43" w:history="1">
        <w:r w:rsidRPr="00CF552A">
          <w:rPr>
            <w:rStyle w:val="TextoNormalCaracter"/>
          </w:rPr>
          <w:t>43/1997</w:t>
        </w:r>
      </w:hyperlink>
      <w:r w:rsidRPr="00CF552A">
        <w:rPr>
          <w:rStyle w:val="TextoNormalCaracter"/>
        </w:rPr>
        <w:t>, f. 2.</w:t>
      </w:r>
    </w:p>
    <w:p w:rsidR="00CF552A" w:rsidRPr="00CF552A" w:rsidRDefault="00CF552A" w:rsidP="00CF552A">
      <w:pPr>
        <w:pStyle w:val="TextoNormalSangraFrancesa"/>
        <w:rPr>
          <w:rStyle w:val="TextoNormalNegritaCaracter"/>
        </w:rPr>
      </w:pPr>
      <w:r w:rsidRPr="00CF552A">
        <w:rPr>
          <w:rStyle w:val="TextoNormalCursivaCaracter"/>
        </w:rPr>
        <w:t>Valoración del suelo</w:t>
      </w:r>
      <w:r>
        <w:t xml:space="preserve"> véase </w:t>
      </w:r>
      <w:hyperlink w:anchor="DESCRIPTORALFABETICO295" w:history="1">
        <w:r w:rsidRPr="00CF552A">
          <w:rPr>
            <w:rStyle w:val="TextoNormalNegritaCaracter"/>
          </w:rPr>
          <w:t>Valoraciones urbanísticas</w:t>
        </w:r>
      </w:hyperlink>
    </w:p>
    <w:p w:rsidR="00CF552A" w:rsidRPr="00CF552A" w:rsidRDefault="00CF552A" w:rsidP="00CF552A">
      <w:pPr>
        <w:pStyle w:val="TextoNormalSangraFrancesa"/>
        <w:rPr>
          <w:rStyle w:val="TextoNormalCaracter"/>
        </w:rPr>
      </w:pPr>
      <w:bookmarkStart w:id="1220" w:name="DESCRIPTORALFABETICO295"/>
      <w:r w:rsidRPr="00CF552A">
        <w:rPr>
          <w:rStyle w:val="TextoNormalNegritaCaracter"/>
        </w:rPr>
        <w:t>Valoraciones urbanísticas</w:t>
      </w:r>
      <w:bookmarkEnd w:id="1220"/>
      <w:r w:rsidRPr="00CF552A">
        <w:rPr>
          <w:rStyle w:val="TextoNormalCaracter"/>
        </w:rPr>
        <w:t xml:space="preserve">, Sentencia </w:t>
      </w:r>
      <w:hyperlink w:anchor="SENTENCIA_1997_61" w:history="1">
        <w:r w:rsidRPr="00CF552A">
          <w:rPr>
            <w:rStyle w:val="TextoNormalCaracter"/>
          </w:rPr>
          <w:t>61/1997</w:t>
        </w:r>
      </w:hyperlink>
      <w:r w:rsidRPr="00CF552A">
        <w:rPr>
          <w:rStyle w:val="TextoNormalCaracter"/>
        </w:rPr>
        <w:t>, f. 19.</w:t>
      </w:r>
    </w:p>
    <w:p w:rsidR="00CF552A" w:rsidRPr="00CF552A" w:rsidRDefault="00CF552A" w:rsidP="00CF552A">
      <w:pPr>
        <w:pStyle w:val="TextoNormalSangraFrancesa"/>
        <w:rPr>
          <w:rStyle w:val="TextoNormalCaracter"/>
        </w:rPr>
      </w:pPr>
      <w:bookmarkStart w:id="1221" w:name="DESCRIPTORALFABETICO114"/>
      <w:r w:rsidRPr="00CF552A">
        <w:rPr>
          <w:rStyle w:val="TextoNormalNegritaCaracter"/>
        </w:rPr>
        <w:t>Veracidad de la información</w:t>
      </w:r>
      <w:bookmarkEnd w:id="1221"/>
      <w:r w:rsidRPr="00CF552A">
        <w:rPr>
          <w:rStyle w:val="TextoNormalCaracter"/>
        </w:rPr>
        <w:t xml:space="preserve">, Sentencias </w:t>
      </w:r>
      <w:hyperlink w:anchor="SENTENCIA_1997_3" w:history="1">
        <w:r w:rsidRPr="00CF552A">
          <w:rPr>
            <w:rStyle w:val="TextoNormalCaracter"/>
          </w:rPr>
          <w:t>3/1997</w:t>
        </w:r>
      </w:hyperlink>
      <w:r w:rsidRPr="00CF552A">
        <w:rPr>
          <w:rStyle w:val="TextoNormalCaracter"/>
        </w:rPr>
        <w:t xml:space="preserve">, f. 2; </w:t>
      </w:r>
      <w:hyperlink w:anchor="SENTENCIA_1997_51" w:history="1">
        <w:r w:rsidRPr="00CF552A">
          <w:rPr>
            <w:rStyle w:val="TextoNormalCaracter"/>
          </w:rPr>
          <w:t>51/1997</w:t>
        </w:r>
      </w:hyperlink>
      <w:r w:rsidRPr="00CF552A">
        <w:rPr>
          <w:rStyle w:val="TextoNormalCaracter"/>
        </w:rPr>
        <w:t>, ff. 5, 6.</w:t>
      </w:r>
    </w:p>
    <w:p w:rsidR="00CF552A" w:rsidRPr="00CF552A" w:rsidRDefault="00CF552A" w:rsidP="00CF552A">
      <w:pPr>
        <w:pStyle w:val="TextoNormalSangraFrancesa"/>
        <w:rPr>
          <w:rStyle w:val="TextoNormalCaracter"/>
        </w:rPr>
      </w:pPr>
      <w:r w:rsidRPr="00CF552A">
        <w:rPr>
          <w:rStyle w:val="TextoNormalCursivaCaracter"/>
        </w:rPr>
        <w:t xml:space="preserve">    Doctrina constitucional, </w:t>
      </w:r>
      <w:r w:rsidRPr="00CF552A">
        <w:rPr>
          <w:rStyle w:val="TextoNormalCaracter"/>
        </w:rPr>
        <w:t xml:space="preserve">Sentencia </w:t>
      </w:r>
      <w:hyperlink w:anchor="SENTENCIA_1997_3" w:history="1">
        <w:r w:rsidRPr="00CF552A">
          <w:rPr>
            <w:rStyle w:val="TextoNormalCaracter"/>
          </w:rPr>
          <w:t>3/1997</w:t>
        </w:r>
      </w:hyperlink>
      <w:r w:rsidRPr="00CF552A">
        <w:rPr>
          <w:rStyle w:val="TextoNormalCaracter"/>
        </w:rPr>
        <w:t>, f. 2.</w:t>
      </w:r>
    </w:p>
    <w:p w:rsidR="00CF552A" w:rsidRPr="00CF552A" w:rsidRDefault="00CF552A" w:rsidP="00CF552A">
      <w:pPr>
        <w:pStyle w:val="TextoNormalSangraFrancesa"/>
        <w:rPr>
          <w:rStyle w:val="TextoNormalCaracter"/>
        </w:rPr>
      </w:pPr>
      <w:bookmarkStart w:id="1222" w:name="DESCRIPTORALFABETICO189"/>
      <w:r w:rsidRPr="00CF552A">
        <w:rPr>
          <w:rStyle w:val="TextoNormalNegritaCaracter"/>
        </w:rPr>
        <w:t>Voto particular, formulado uno</w:t>
      </w:r>
      <w:bookmarkEnd w:id="1222"/>
      <w:r w:rsidRPr="00CF552A">
        <w:rPr>
          <w:rStyle w:val="TextoNormalCaracter"/>
        </w:rPr>
        <w:t xml:space="preserve">, Sentencias </w:t>
      </w:r>
      <w:hyperlink w:anchor="SENTENCIA_1997_22" w:history="1">
        <w:r w:rsidRPr="00CF552A">
          <w:rPr>
            <w:rStyle w:val="TextoNormalCaracter"/>
          </w:rPr>
          <w:t>22/1997</w:t>
        </w:r>
      </w:hyperlink>
      <w:r w:rsidRPr="00CF552A">
        <w:rPr>
          <w:rStyle w:val="TextoNormalCaracter"/>
        </w:rPr>
        <w:t xml:space="preserve">; </w:t>
      </w:r>
      <w:hyperlink w:anchor="SENTENCIA_1997_27" w:history="1">
        <w:r w:rsidRPr="00CF552A">
          <w:rPr>
            <w:rStyle w:val="TextoNormalCaracter"/>
          </w:rPr>
          <w:t>27/1997</w:t>
        </w:r>
      </w:hyperlink>
      <w:r w:rsidRPr="00CF552A">
        <w:rPr>
          <w:rStyle w:val="TextoNormalCaracter"/>
        </w:rPr>
        <w:t xml:space="preserve">; </w:t>
      </w:r>
      <w:hyperlink w:anchor="SENTENCIA_1997_33" w:history="1">
        <w:r w:rsidRPr="00CF552A">
          <w:rPr>
            <w:rStyle w:val="TextoNormalCaracter"/>
          </w:rPr>
          <w:t>33/1997</w:t>
        </w:r>
      </w:hyperlink>
      <w:r w:rsidRPr="00CF552A">
        <w:rPr>
          <w:rStyle w:val="TextoNormalCaracter"/>
        </w:rPr>
        <w:t xml:space="preserve">; </w:t>
      </w:r>
      <w:hyperlink w:anchor="SENTENCIA_1997_54" w:history="1">
        <w:r w:rsidRPr="00CF552A">
          <w:rPr>
            <w:rStyle w:val="TextoNormalCaracter"/>
          </w:rPr>
          <w:t>54/1997</w:t>
        </w:r>
      </w:hyperlink>
      <w:r w:rsidRPr="00CF552A">
        <w:rPr>
          <w:rStyle w:val="TextoNormalCaracter"/>
        </w:rPr>
        <w:t xml:space="preserve">; </w:t>
      </w:r>
      <w:hyperlink w:anchor="SENTENCIA_1997_55" w:history="1">
        <w:r w:rsidRPr="00CF552A">
          <w:rPr>
            <w:rStyle w:val="TextoNormalCaracter"/>
          </w:rPr>
          <w:t>55/1997</w:t>
        </w:r>
      </w:hyperlink>
      <w:r w:rsidRPr="00CF552A">
        <w:rPr>
          <w:rStyle w:val="TextoNormalCaracter"/>
        </w:rPr>
        <w:t xml:space="preserve">; </w:t>
      </w:r>
      <w:hyperlink w:anchor="SENTENCIA_1997_61" w:history="1">
        <w:r w:rsidRPr="00CF552A">
          <w:rPr>
            <w:rStyle w:val="TextoNormalCaracter"/>
          </w:rPr>
          <w:t>61/1997</w:t>
        </w:r>
      </w:hyperlink>
      <w:r w:rsidRPr="00CF552A">
        <w:rPr>
          <w:rStyle w:val="TextoNormalCaracter"/>
        </w:rPr>
        <w:t xml:space="preserve">; </w:t>
      </w:r>
      <w:hyperlink w:anchor="SENTENCIA_1997_62" w:history="1">
        <w:r w:rsidRPr="00CF552A">
          <w:rPr>
            <w:rStyle w:val="TextoNormalCaracter"/>
          </w:rPr>
          <w:t>62/1997</w:t>
        </w:r>
      </w:hyperlink>
      <w:r w:rsidRPr="00CF552A">
        <w:rPr>
          <w:rStyle w:val="TextoNormalCaracter"/>
        </w:rPr>
        <w:t xml:space="preserve">; </w:t>
      </w:r>
      <w:hyperlink w:anchor="SENTENCIA_1997_74" w:history="1">
        <w:r w:rsidRPr="00CF552A">
          <w:rPr>
            <w:rStyle w:val="TextoNormalCaracter"/>
          </w:rPr>
          <w:t>74/1997</w:t>
        </w:r>
      </w:hyperlink>
      <w:r w:rsidRPr="00CF552A">
        <w:rPr>
          <w:rStyle w:val="TextoNormalCaracter"/>
        </w:rPr>
        <w:t xml:space="preserve">; </w:t>
      </w:r>
      <w:hyperlink w:anchor="SENTENCIA_1997_75" w:history="1">
        <w:r w:rsidRPr="00CF552A">
          <w:rPr>
            <w:rStyle w:val="TextoNormalCaracter"/>
          </w:rPr>
          <w:t>75/1997</w:t>
        </w:r>
      </w:hyperlink>
      <w:r w:rsidRPr="00CF552A">
        <w:rPr>
          <w:rStyle w:val="TextoNormalCaracter"/>
        </w:rPr>
        <w:t>.</w:t>
      </w:r>
    </w:p>
    <w:p w:rsidR="00CF552A" w:rsidRPr="00CF552A" w:rsidRDefault="00CF552A" w:rsidP="00CF552A">
      <w:pPr>
        <w:pStyle w:val="TextoNormalSangraFrancesa"/>
        <w:rPr>
          <w:rStyle w:val="TextoNormalCaracter"/>
        </w:rPr>
      </w:pPr>
      <w:r w:rsidRPr="00CF552A">
        <w:rPr>
          <w:rStyle w:val="TextoNormalCaracter"/>
        </w:rPr>
        <w:t xml:space="preserve">    Autos </w:t>
      </w:r>
      <w:hyperlink w:anchor="AUTO_1997_45" w:history="1">
        <w:r w:rsidRPr="00CF552A">
          <w:rPr>
            <w:rStyle w:val="TextoNormalCaracter"/>
          </w:rPr>
          <w:t>45/1997</w:t>
        </w:r>
      </w:hyperlink>
      <w:r w:rsidRPr="00CF552A">
        <w:rPr>
          <w:rStyle w:val="TextoNormalCaracter"/>
        </w:rPr>
        <w:t xml:space="preserve">; </w:t>
      </w:r>
      <w:hyperlink w:anchor="AUTO_1997_63" w:history="1">
        <w:r w:rsidRPr="00CF552A">
          <w:rPr>
            <w:rStyle w:val="TextoNormalCaracter"/>
          </w:rPr>
          <w:t>63/1997</w:t>
        </w:r>
      </w:hyperlink>
      <w:r w:rsidRPr="00CF552A">
        <w:rPr>
          <w:rStyle w:val="TextoNormalCaracter"/>
        </w:rPr>
        <w:t>.</w:t>
      </w:r>
    </w:p>
    <w:p w:rsidR="00CF552A" w:rsidRPr="00CF552A" w:rsidRDefault="00CF552A" w:rsidP="00CF552A">
      <w:pPr>
        <w:pStyle w:val="TextoNormalSangraFrancesa"/>
        <w:rPr>
          <w:rStyle w:val="TextoNormalCaracter"/>
        </w:rPr>
      </w:pPr>
      <w:bookmarkStart w:id="1223" w:name="DESCRIPTORALFABETICO190"/>
      <w:r w:rsidRPr="00CF552A">
        <w:rPr>
          <w:rStyle w:val="TextoNormalNegritaCaracter"/>
        </w:rPr>
        <w:t>Votos particulares, formulados tres</w:t>
      </w:r>
      <w:bookmarkEnd w:id="1223"/>
      <w:r w:rsidRPr="00CF552A">
        <w:rPr>
          <w:rStyle w:val="TextoNormalCaracter"/>
        </w:rPr>
        <w:t xml:space="preserve">, Sentencia </w:t>
      </w:r>
      <w:hyperlink w:anchor="SENTENCIA_1997_56" w:history="1">
        <w:r w:rsidRPr="00CF552A">
          <w:rPr>
            <w:rStyle w:val="TextoNormalCaracter"/>
          </w:rPr>
          <w:t>56/1997</w:t>
        </w:r>
      </w:hyperlink>
      <w:r w:rsidRPr="00CF552A">
        <w:rPr>
          <w:rStyle w:val="TextoNormalCaracter"/>
        </w:rPr>
        <w:t>.</w:t>
      </w:r>
    </w:p>
    <w:p w:rsidR="00CF552A" w:rsidRDefault="00CF552A">
      <w:pPr>
        <w:spacing w:after="160" w:line="259" w:lineRule="auto"/>
        <w:rPr>
          <w:rFonts w:ascii="Times New Roman" w:eastAsia="Times New Roman" w:hAnsi="Times New Roman" w:cs="Times New Roman"/>
          <w:sz w:val="24"/>
          <w:szCs w:val="24"/>
          <w:lang w:eastAsia="es-ES"/>
        </w:rPr>
      </w:pPr>
      <w:r>
        <w:br w:type="page"/>
      </w:r>
    </w:p>
    <w:p w:rsidR="00CF552A" w:rsidRDefault="00CF552A" w:rsidP="00CF552A">
      <w:pPr>
        <w:pStyle w:val="TextoNormalSangraFrancesa"/>
      </w:pPr>
    </w:p>
    <w:p w:rsidR="008B38C5" w:rsidRDefault="008B38C5" w:rsidP="008B38C5">
      <w:pPr>
        <w:pStyle w:val="TextoNormalSangraFrancesa"/>
      </w:pPr>
    </w:p>
    <w:p w:rsidR="008B38C5" w:rsidRDefault="008B38C5" w:rsidP="008B38C5">
      <w:pPr>
        <w:pStyle w:val="TextoNormalSangraFrancesa"/>
      </w:pPr>
    </w:p>
    <w:p w:rsidR="008B38C5" w:rsidRDefault="008B38C5" w:rsidP="008B38C5">
      <w:pPr>
        <w:pStyle w:val="TextoNormalSangraFrancesa"/>
      </w:pPr>
    </w:p>
    <w:p w:rsidR="008B38C5" w:rsidRDefault="008B38C5" w:rsidP="008B38C5">
      <w:pPr>
        <w:pStyle w:val="TextoNormalSangraFrancesa"/>
      </w:pPr>
    </w:p>
    <w:p w:rsidR="008B38C5" w:rsidRDefault="008B38C5" w:rsidP="008B38C5">
      <w:pPr>
        <w:pStyle w:val="TextoNormalSangraFrancesa"/>
      </w:pPr>
    </w:p>
    <w:p w:rsidR="008B38C5" w:rsidRDefault="008B38C5" w:rsidP="008B38C5">
      <w:pPr>
        <w:pStyle w:val="TextoNormalSangraFrancesa"/>
      </w:pPr>
    </w:p>
    <w:p w:rsidR="008B38C5" w:rsidRDefault="008B38C5" w:rsidP="008B38C5">
      <w:pPr>
        <w:pStyle w:val="TextoNormalSangraFrancesa"/>
      </w:pPr>
    </w:p>
    <w:p w:rsidR="008B38C5" w:rsidRDefault="008B38C5" w:rsidP="008B38C5">
      <w:pPr>
        <w:pStyle w:val="Ttulondice"/>
      </w:pPr>
      <w:bookmarkStart w:id="1224" w:name="ACRONIMOS"/>
      <w:r>
        <w:t>8. ABREVIATURAS Y ACRÓNIMOS</w:t>
      </w:r>
    </w:p>
    <w:bookmarkEnd w:id="1224"/>
    <w:p w:rsidR="008B38C5" w:rsidRDefault="008B38C5" w:rsidP="008B38C5">
      <w:pPr>
        <w:pStyle w:val="Ttulondice"/>
      </w:pPr>
    </w:p>
    <w:p w:rsidR="008B38C5" w:rsidRDefault="008B38C5" w:rsidP="008B38C5">
      <w:pPr>
        <w:pStyle w:val="Ttulondice"/>
      </w:pPr>
    </w:p>
    <w:p w:rsidR="008B38C5" w:rsidRDefault="008B38C5" w:rsidP="008B38C5">
      <w:pPr>
        <w:pStyle w:val="Ttulondice"/>
      </w:pPr>
    </w:p>
    <w:p w:rsidR="008B38C5" w:rsidRDefault="008B38C5" w:rsidP="008B38C5">
      <w:pPr>
        <w:pStyle w:val="Ttulondice"/>
      </w:pPr>
    </w:p>
    <w:p w:rsidR="008B38C5" w:rsidRDefault="008B38C5" w:rsidP="008B38C5">
      <w:pPr>
        <w:pStyle w:val="TextoAbreviaturas"/>
      </w:pPr>
      <w:r>
        <w:t>ATC</w:t>
      </w:r>
      <w:r>
        <w:tab/>
        <w:t>Auto del Tribunal Constitucional</w:t>
      </w:r>
    </w:p>
    <w:p w:rsidR="008B38C5" w:rsidRDefault="008B38C5" w:rsidP="008B38C5">
      <w:pPr>
        <w:pStyle w:val="TextoAbreviaturas"/>
      </w:pPr>
      <w:r>
        <w:t>AATC</w:t>
      </w:r>
      <w:r>
        <w:tab/>
        <w:t>Autos del Tribunal Constitucional</w:t>
      </w:r>
    </w:p>
    <w:p w:rsidR="008B38C5" w:rsidRDefault="008B38C5" w:rsidP="008B38C5">
      <w:pPr>
        <w:pStyle w:val="TextoAbreviaturas"/>
      </w:pPr>
      <w:r>
        <w:t>BOE</w:t>
      </w:r>
      <w:r>
        <w:tab/>
        <w:t>Boletín Oficial del Estado</w:t>
      </w:r>
    </w:p>
    <w:p w:rsidR="008B38C5" w:rsidRDefault="008B38C5" w:rsidP="008B38C5">
      <w:pPr>
        <w:pStyle w:val="TextoAbreviaturas"/>
      </w:pPr>
      <w:r>
        <w:t>BORM</w:t>
      </w:r>
      <w:r>
        <w:tab/>
        <w:t>Boletín Oficial de la Región de Murcia</w:t>
      </w:r>
    </w:p>
    <w:p w:rsidR="008B38C5" w:rsidRDefault="008B38C5" w:rsidP="008B38C5">
      <w:pPr>
        <w:pStyle w:val="TextoAbreviaturas"/>
      </w:pPr>
      <w:r>
        <w:t>CAIB</w:t>
      </w:r>
      <w:r>
        <w:tab/>
        <w:t>Comunidad Autónoma de las Islas Baleares</w:t>
      </w:r>
    </w:p>
    <w:p w:rsidR="008B38C5" w:rsidRDefault="008B38C5" w:rsidP="008B38C5">
      <w:pPr>
        <w:pStyle w:val="TextoAbreviaturas"/>
      </w:pPr>
      <w:r>
        <w:t>CC</w:t>
      </w:r>
      <w:r>
        <w:tab/>
        <w:t>Código civil</w:t>
      </w:r>
    </w:p>
    <w:p w:rsidR="008B38C5" w:rsidRDefault="008B38C5" w:rsidP="008B38C5">
      <w:pPr>
        <w:pStyle w:val="TextoAbreviaturas"/>
      </w:pPr>
      <w:r>
        <w:t>CCOO</w:t>
      </w:r>
      <w:r>
        <w:tab/>
        <w:t>Comisiones Obreras</w:t>
      </w:r>
    </w:p>
    <w:p w:rsidR="008B38C5" w:rsidRDefault="008B38C5" w:rsidP="008B38C5">
      <w:pPr>
        <w:pStyle w:val="TextoAbreviaturas"/>
      </w:pPr>
      <w:r>
        <w:t>CD</w:t>
      </w:r>
      <w:r>
        <w:tab/>
        <w:t>Congreso de los Diputados</w:t>
      </w:r>
    </w:p>
    <w:p w:rsidR="008B38C5" w:rsidRDefault="008B38C5" w:rsidP="008B38C5">
      <w:pPr>
        <w:pStyle w:val="TextoAbreviaturas"/>
      </w:pPr>
      <w:r>
        <w:t>CE</w:t>
      </w:r>
      <w:r>
        <w:tab/>
        <w:t>Constitución española</w:t>
      </w:r>
    </w:p>
    <w:p w:rsidR="008B38C5" w:rsidRDefault="008B38C5" w:rsidP="008B38C5">
      <w:pPr>
        <w:pStyle w:val="TextoAbreviaturas"/>
      </w:pPr>
      <w:r>
        <w:t>CEDH</w:t>
      </w:r>
      <w:r>
        <w:tab/>
        <w:t>Convenio europeo para la protección de los derechos humanos y de las libertades fundamentales</w:t>
      </w:r>
    </w:p>
    <w:p w:rsidR="008B38C5" w:rsidRDefault="008B38C5" w:rsidP="008B38C5">
      <w:pPr>
        <w:pStyle w:val="TextoAbreviaturas"/>
      </w:pPr>
      <w:r>
        <w:t>CEE</w:t>
      </w:r>
      <w:r>
        <w:tab/>
        <w:t>Comunidad Económica Europea</w:t>
      </w:r>
    </w:p>
    <w:p w:rsidR="008B38C5" w:rsidRDefault="008B38C5" w:rsidP="008B38C5">
      <w:pPr>
        <w:pStyle w:val="TextoAbreviaturas"/>
      </w:pPr>
      <w:r>
        <w:t>CESID</w:t>
      </w:r>
      <w:r>
        <w:tab/>
        <w:t>Centro Superior de Información de la Defensa</w:t>
      </w:r>
    </w:p>
    <w:p w:rsidR="008B38C5" w:rsidRDefault="008B38C5" w:rsidP="008B38C5">
      <w:pPr>
        <w:pStyle w:val="TextoAbreviaturas"/>
      </w:pPr>
      <w:r>
        <w:t>CGT</w:t>
      </w:r>
      <w:r>
        <w:tab/>
        <w:t>Confederación General de Trabajadores</w:t>
      </w:r>
    </w:p>
    <w:p w:rsidR="008B38C5" w:rsidRDefault="008B38C5" w:rsidP="008B38C5">
      <w:pPr>
        <w:pStyle w:val="TextoAbreviaturas"/>
      </w:pPr>
      <w:r>
        <w:t>CP</w:t>
      </w:r>
      <w:r>
        <w:tab/>
        <w:t>Código penal</w:t>
      </w:r>
    </w:p>
    <w:p w:rsidR="008B38C5" w:rsidRDefault="008B38C5" w:rsidP="008B38C5">
      <w:pPr>
        <w:pStyle w:val="TextoAbreviaturas"/>
      </w:pPr>
      <w:r>
        <w:t>CPM</w:t>
      </w:r>
      <w:r>
        <w:tab/>
        <w:t>Código penal militar</w:t>
      </w:r>
    </w:p>
    <w:p w:rsidR="008B38C5" w:rsidRDefault="008B38C5" w:rsidP="008B38C5">
      <w:pPr>
        <w:pStyle w:val="TextoAbreviaturas"/>
      </w:pPr>
      <w:r>
        <w:t>EAC</w:t>
      </w:r>
      <w:r>
        <w:tab/>
        <w:t>Estatuto de Autonomía de Cataluña</w:t>
      </w:r>
    </w:p>
    <w:p w:rsidR="008B38C5" w:rsidRDefault="008B38C5" w:rsidP="008B38C5">
      <w:pPr>
        <w:pStyle w:val="TextoAbreviaturas"/>
      </w:pPr>
      <w:r>
        <w:t>EAG</w:t>
      </w:r>
      <w:r>
        <w:tab/>
        <w:t>Estatuto de Autonomía para Galicia</w:t>
      </w:r>
    </w:p>
    <w:p w:rsidR="008B38C5" w:rsidRDefault="008B38C5" w:rsidP="008B38C5">
      <w:pPr>
        <w:pStyle w:val="TextoAbreviaturas"/>
      </w:pPr>
      <w:r>
        <w:t>EAIB</w:t>
      </w:r>
      <w:r>
        <w:tab/>
        <w:t>Estatuto de Autonomía de las Illes Balears</w:t>
      </w:r>
    </w:p>
    <w:p w:rsidR="008B38C5" w:rsidRDefault="008B38C5" w:rsidP="008B38C5">
      <w:pPr>
        <w:pStyle w:val="TextoAbreviaturas"/>
      </w:pPr>
      <w:r>
        <w:t>EAPV</w:t>
      </w:r>
      <w:r>
        <w:tab/>
        <w:t>Estatuto de Autonomía para el País Vasco</w:t>
      </w:r>
    </w:p>
    <w:p w:rsidR="008B38C5" w:rsidRDefault="008B38C5" w:rsidP="008B38C5">
      <w:pPr>
        <w:pStyle w:val="TextoAbreviaturas"/>
      </w:pPr>
      <w:r>
        <w:t>ESO</w:t>
      </w:r>
      <w:r>
        <w:tab/>
        <w:t>Enseñanza Secundaria Obligatoria</w:t>
      </w:r>
    </w:p>
    <w:p w:rsidR="008B38C5" w:rsidRDefault="008B38C5" w:rsidP="008B38C5">
      <w:pPr>
        <w:pStyle w:val="TextoAbreviaturas"/>
      </w:pPr>
      <w:r>
        <w:t>FEOGA</w:t>
      </w:r>
      <w:r>
        <w:tab/>
        <w:t>Fondo Europeo de Orientación y de Garantía Agrícola</w:t>
      </w:r>
    </w:p>
    <w:p w:rsidR="008B38C5" w:rsidRDefault="008B38C5" w:rsidP="008B38C5">
      <w:pPr>
        <w:pStyle w:val="TextoAbreviaturas"/>
      </w:pPr>
      <w:r>
        <w:t>FJ</w:t>
      </w:r>
      <w:r>
        <w:tab/>
        <w:t>Fundamento jurídico</w:t>
      </w:r>
    </w:p>
    <w:p w:rsidR="008B38C5" w:rsidRDefault="008B38C5" w:rsidP="008B38C5">
      <w:pPr>
        <w:pStyle w:val="TextoAbreviaturas"/>
      </w:pPr>
      <w:r>
        <w:t>IBI</w:t>
      </w:r>
      <w:r>
        <w:tab/>
        <w:t>Impuesto sobre bienes inmuebles</w:t>
      </w:r>
    </w:p>
    <w:p w:rsidR="008B38C5" w:rsidRDefault="008B38C5" w:rsidP="008B38C5">
      <w:pPr>
        <w:pStyle w:val="TextoAbreviaturas"/>
      </w:pPr>
      <w:r>
        <w:t>INEM</w:t>
      </w:r>
      <w:r>
        <w:tab/>
        <w:t>Instituto Nacional de Empleo</w:t>
      </w:r>
    </w:p>
    <w:p w:rsidR="008B38C5" w:rsidRDefault="008B38C5" w:rsidP="008B38C5">
      <w:pPr>
        <w:pStyle w:val="TextoAbreviaturas"/>
      </w:pPr>
      <w:r>
        <w:t>IPC</w:t>
      </w:r>
      <w:r>
        <w:tab/>
        <w:t>Índice de precios al consumo</w:t>
      </w:r>
    </w:p>
    <w:p w:rsidR="008B38C5" w:rsidRDefault="008B38C5" w:rsidP="008B38C5">
      <w:pPr>
        <w:pStyle w:val="TextoAbreviaturas"/>
      </w:pPr>
      <w:r>
        <w:t>IRPF</w:t>
      </w:r>
      <w:r>
        <w:tab/>
        <w:t>Impuesto sobre la renta de las personas físicas</w:t>
      </w:r>
    </w:p>
    <w:p w:rsidR="008B38C5" w:rsidRDefault="008B38C5" w:rsidP="008B38C5">
      <w:pPr>
        <w:pStyle w:val="TextoAbreviaturas"/>
      </w:pPr>
      <w:r>
        <w:t>IVA</w:t>
      </w:r>
      <w:r>
        <w:tab/>
        <w:t>Impuesto sobre el valor añadido</w:t>
      </w:r>
    </w:p>
    <w:p w:rsidR="008B38C5" w:rsidRDefault="008B38C5" w:rsidP="008B38C5">
      <w:pPr>
        <w:pStyle w:val="TextoAbreviaturas"/>
      </w:pPr>
      <w:r>
        <w:t>LABE</w:t>
      </w:r>
      <w:r>
        <w:tab/>
        <w:t>Ley de Autonomía del Banco de España</w:t>
      </w:r>
    </w:p>
    <w:p w:rsidR="008B38C5" w:rsidRDefault="008B38C5" w:rsidP="008B38C5">
      <w:pPr>
        <w:pStyle w:val="TextoAbreviaturas"/>
      </w:pPr>
      <w:r>
        <w:t>LAU</w:t>
      </w:r>
      <w:r>
        <w:tab/>
        <w:t>Ley de arrendamientos urbanos</w:t>
      </w:r>
    </w:p>
    <w:p w:rsidR="008B38C5" w:rsidRDefault="008B38C5" w:rsidP="008B38C5">
      <w:pPr>
        <w:pStyle w:val="TextoAbreviaturas"/>
      </w:pPr>
      <w:r>
        <w:t>LBRL</w:t>
      </w:r>
      <w:r>
        <w:tab/>
        <w:t>Ley reguladora de las bases de régimen local</w:t>
      </w:r>
    </w:p>
    <w:p w:rsidR="008B38C5" w:rsidRDefault="008B38C5" w:rsidP="008B38C5">
      <w:pPr>
        <w:pStyle w:val="TextoAbreviaturas"/>
      </w:pPr>
      <w:r>
        <w:t>LCE</w:t>
      </w:r>
      <w:r>
        <w:tab/>
        <w:t>Ley de contratos del Estado</w:t>
      </w:r>
    </w:p>
    <w:p w:rsidR="008B38C5" w:rsidRDefault="008B38C5" w:rsidP="008B38C5">
      <w:pPr>
        <w:pStyle w:val="TextoAbreviaturas"/>
      </w:pPr>
      <w:r>
        <w:lastRenderedPageBreak/>
        <w:t>LCEN</w:t>
      </w:r>
      <w:r>
        <w:tab/>
        <w:t>Ley de conservación de los espacios naturales y de la flora y fauna silvestres</w:t>
      </w:r>
    </w:p>
    <w:p w:rsidR="008B38C5" w:rsidRDefault="008B38C5" w:rsidP="008B38C5">
      <w:pPr>
        <w:pStyle w:val="TextoAbreviaturas"/>
      </w:pPr>
      <w:r>
        <w:t>LEC</w:t>
      </w:r>
      <w:r>
        <w:tab/>
        <w:t>Ley de enjuiciamiento civil</w:t>
      </w:r>
    </w:p>
    <w:p w:rsidR="008B38C5" w:rsidRDefault="008B38C5" w:rsidP="008B38C5">
      <w:pPr>
        <w:pStyle w:val="TextoAbreviaturas"/>
      </w:pPr>
      <w:r>
        <w:t>LECrim</w:t>
      </w:r>
      <w:r>
        <w:tab/>
        <w:t>Ley de enjuiciamiento criminal</w:t>
      </w:r>
    </w:p>
    <w:p w:rsidR="008B38C5" w:rsidRDefault="008B38C5" w:rsidP="008B38C5">
      <w:pPr>
        <w:pStyle w:val="TextoAbreviaturas"/>
      </w:pPr>
      <w:r>
        <w:t>LEF</w:t>
      </w:r>
      <w:r>
        <w:tab/>
        <w:t>Ley de expropiación forzosa</w:t>
      </w:r>
    </w:p>
    <w:p w:rsidR="008B38C5" w:rsidRDefault="008B38C5" w:rsidP="008B38C5">
      <w:pPr>
        <w:pStyle w:val="TextoAbreviaturas"/>
      </w:pPr>
      <w:r>
        <w:t>LEP</w:t>
      </w:r>
      <w:r>
        <w:tab/>
        <w:t>Ley de extradición pasiva</w:t>
      </w:r>
    </w:p>
    <w:p w:rsidR="008B38C5" w:rsidRDefault="008B38C5" w:rsidP="008B38C5">
      <w:pPr>
        <w:pStyle w:val="TextoAbreviaturas"/>
      </w:pPr>
      <w:r>
        <w:t>LET</w:t>
      </w:r>
      <w:r>
        <w:tab/>
        <w:t>Ley del estatuto de los trabajadores</w:t>
      </w:r>
    </w:p>
    <w:p w:rsidR="008B38C5" w:rsidRDefault="008B38C5" w:rsidP="008B38C5">
      <w:pPr>
        <w:pStyle w:val="TextoAbreviaturas"/>
      </w:pPr>
      <w:r>
        <w:t>LGP</w:t>
      </w:r>
      <w:r>
        <w:tab/>
        <w:t>Ley general presupuestaria</w:t>
      </w:r>
    </w:p>
    <w:p w:rsidR="008B38C5" w:rsidRDefault="008B38C5" w:rsidP="008B38C5">
      <w:pPr>
        <w:pStyle w:val="TextoAbreviaturas"/>
      </w:pPr>
      <w:r>
        <w:t>LGSS</w:t>
      </w:r>
      <w:r>
        <w:tab/>
        <w:t>Ley general de la Seguridad Social</w:t>
      </w:r>
    </w:p>
    <w:p w:rsidR="008B38C5" w:rsidRDefault="008B38C5" w:rsidP="008B38C5">
      <w:pPr>
        <w:pStyle w:val="TextoAbreviaturas"/>
      </w:pPr>
      <w:r>
        <w:t>LGT</w:t>
      </w:r>
      <w:r>
        <w:tab/>
        <w:t>Ley general tributaria</w:t>
      </w:r>
    </w:p>
    <w:p w:rsidR="008B38C5" w:rsidRDefault="008B38C5" w:rsidP="008B38C5">
      <w:pPr>
        <w:pStyle w:val="TextoAbreviaturas"/>
      </w:pPr>
      <w:r>
        <w:t>LH</w:t>
      </w:r>
      <w:r>
        <w:tab/>
        <w:t>Ley hipotecaria</w:t>
      </w:r>
    </w:p>
    <w:p w:rsidR="008B38C5" w:rsidRDefault="008B38C5" w:rsidP="008B38C5">
      <w:pPr>
        <w:pStyle w:val="TextoAbreviaturas"/>
      </w:pPr>
      <w:r>
        <w:t>LJCA</w:t>
      </w:r>
      <w:r>
        <w:tab/>
        <w:t>Ley reguladora de la jurisdicción contencioso-administrativa</w:t>
      </w:r>
    </w:p>
    <w:p w:rsidR="008B38C5" w:rsidRDefault="008B38C5" w:rsidP="008B38C5">
      <w:pPr>
        <w:pStyle w:val="TextoAbreviaturas"/>
      </w:pPr>
      <w:r>
        <w:t>LOFCA</w:t>
      </w:r>
      <w:r>
        <w:tab/>
        <w:t>Ley Orgánica de financiación de las Comunidades Autónomas</w:t>
      </w:r>
    </w:p>
    <w:p w:rsidR="008B38C5" w:rsidRDefault="008B38C5" w:rsidP="008B38C5">
      <w:pPr>
        <w:pStyle w:val="TextoAbreviaturas"/>
      </w:pPr>
      <w:r>
        <w:t>LOGP</w:t>
      </w:r>
      <w:r>
        <w:tab/>
        <w:t>Ley Orgánica general penitenciaria</w:t>
      </w:r>
    </w:p>
    <w:p w:rsidR="008B38C5" w:rsidRDefault="008B38C5" w:rsidP="008B38C5">
      <w:pPr>
        <w:pStyle w:val="TextoAbreviaturas"/>
      </w:pPr>
      <w:r>
        <w:t>LOGSE</w:t>
      </w:r>
      <w:r>
        <w:tab/>
        <w:t>Ley Orgánica de ordenación general del sistema educativo</w:t>
      </w:r>
    </w:p>
    <w:p w:rsidR="008B38C5" w:rsidRDefault="008B38C5" w:rsidP="008B38C5">
      <w:pPr>
        <w:pStyle w:val="TextoAbreviaturas"/>
      </w:pPr>
      <w:r>
        <w:t>LOLS</w:t>
      </w:r>
      <w:r>
        <w:tab/>
        <w:t>Ley Orgánica de libertad sindical</w:t>
      </w:r>
    </w:p>
    <w:p w:rsidR="008B38C5" w:rsidRDefault="008B38C5" w:rsidP="008B38C5">
      <w:pPr>
        <w:pStyle w:val="TextoAbreviaturas"/>
      </w:pPr>
      <w:r>
        <w:t>LOP</w:t>
      </w:r>
      <w:r>
        <w:tab/>
        <w:t>Ley de orden público</w:t>
      </w:r>
    </w:p>
    <w:p w:rsidR="008B38C5" w:rsidRDefault="008B38C5" w:rsidP="008B38C5">
      <w:pPr>
        <w:pStyle w:val="TextoAbreviaturas"/>
      </w:pPr>
      <w:r>
        <w:t>LOPJ</w:t>
      </w:r>
      <w:r>
        <w:tab/>
        <w:t>Ley Orgánica del Poder Judicial</w:t>
      </w:r>
    </w:p>
    <w:p w:rsidR="008B38C5" w:rsidRDefault="008B38C5" w:rsidP="008B38C5">
      <w:pPr>
        <w:pStyle w:val="TextoAbreviaturas"/>
      </w:pPr>
      <w:r>
        <w:t>LOPM</w:t>
      </w:r>
      <w:r>
        <w:tab/>
        <w:t>Ley Orgánica procesal militar</w:t>
      </w:r>
    </w:p>
    <w:p w:rsidR="008B38C5" w:rsidRDefault="008B38C5" w:rsidP="008B38C5">
      <w:pPr>
        <w:pStyle w:val="TextoAbreviaturas"/>
      </w:pPr>
      <w:r>
        <w:t>LORAFNA</w:t>
      </w:r>
      <w:r>
        <w:tab/>
        <w:t>Ley Orgánica de reintegración y amejoramiento del régimen foral de Navarra</w:t>
      </w:r>
    </w:p>
    <w:p w:rsidR="008B38C5" w:rsidRDefault="008B38C5" w:rsidP="008B38C5">
      <w:pPr>
        <w:pStyle w:val="TextoAbreviaturas"/>
      </w:pPr>
      <w:r>
        <w:t>LOREG</w:t>
      </w:r>
      <w:r>
        <w:tab/>
        <w:t>Ley Orgánica del régimen electoral general</w:t>
      </w:r>
    </w:p>
    <w:p w:rsidR="008B38C5" w:rsidRDefault="008B38C5" w:rsidP="008B38C5">
      <w:pPr>
        <w:pStyle w:val="TextoAbreviaturas"/>
      </w:pPr>
      <w:r>
        <w:t>LOTC</w:t>
      </w:r>
      <w:r>
        <w:tab/>
        <w:t>Ley Orgánica del Tribunal Constitucional</w:t>
      </w:r>
    </w:p>
    <w:p w:rsidR="008B38C5" w:rsidRDefault="008B38C5" w:rsidP="008B38C5">
      <w:pPr>
        <w:pStyle w:val="TextoAbreviaturas"/>
      </w:pPr>
      <w:r>
        <w:t>LOTJ</w:t>
      </w:r>
      <w:r>
        <w:tab/>
        <w:t>Ley Orgánica del Tribunal del Jurado</w:t>
      </w:r>
    </w:p>
    <w:p w:rsidR="008B38C5" w:rsidRDefault="008B38C5" w:rsidP="008B38C5">
      <w:pPr>
        <w:pStyle w:val="TextoAbreviaturas"/>
      </w:pPr>
      <w:r>
        <w:t>LPA</w:t>
      </w:r>
      <w:r>
        <w:tab/>
        <w:t>Ley de procedimiento administrativo</w:t>
      </w:r>
    </w:p>
    <w:p w:rsidR="008B38C5" w:rsidRDefault="008B38C5" w:rsidP="008B38C5">
      <w:pPr>
        <w:pStyle w:val="TextoAbreviaturas"/>
      </w:pPr>
      <w:r>
        <w:t>LPL</w:t>
      </w:r>
      <w:r>
        <w:tab/>
        <w:t>Ley de procedimiento laboral</w:t>
      </w:r>
    </w:p>
    <w:p w:rsidR="008B38C5" w:rsidRDefault="008B38C5" w:rsidP="008B38C5">
      <w:pPr>
        <w:pStyle w:val="TextoAbreviaturas"/>
      </w:pPr>
      <w:r>
        <w:t>LRJAE</w:t>
      </w:r>
      <w:r>
        <w:tab/>
        <w:t>Ley de régimen jurídico de la Administración del Estado</w:t>
      </w:r>
    </w:p>
    <w:p w:rsidR="008B38C5" w:rsidRDefault="008B38C5" w:rsidP="008B38C5">
      <w:pPr>
        <w:pStyle w:val="TextoAbreviaturas"/>
      </w:pPr>
      <w:r>
        <w:t>LS</w:t>
      </w:r>
      <w:r>
        <w:tab/>
        <w:t>Ley sobre régimen del suelo y ordenación urbana</w:t>
      </w:r>
    </w:p>
    <w:p w:rsidR="008B38C5" w:rsidRDefault="008B38C5" w:rsidP="008B38C5">
      <w:pPr>
        <w:pStyle w:val="TextoAbreviaturas"/>
      </w:pPr>
      <w:r>
        <w:t>MAPA</w:t>
      </w:r>
      <w:r>
        <w:tab/>
        <w:t>Ministerio de Agricultura, Pesca y Alimentación</w:t>
      </w:r>
    </w:p>
    <w:p w:rsidR="008B38C5" w:rsidRDefault="008B38C5" w:rsidP="008B38C5">
      <w:pPr>
        <w:pStyle w:val="TextoAbreviaturas"/>
      </w:pPr>
      <w:r>
        <w:t>MOPU</w:t>
      </w:r>
      <w:r>
        <w:tab/>
        <w:t>Ministerio de Obras Públicas y Urbanismo</w:t>
      </w:r>
    </w:p>
    <w:p w:rsidR="008B38C5" w:rsidRDefault="008B38C5" w:rsidP="008B38C5">
      <w:pPr>
        <w:pStyle w:val="TextoAbreviaturas"/>
      </w:pPr>
      <w:r>
        <w:t>OIT</w:t>
      </w:r>
      <w:r>
        <w:tab/>
        <w:t>Organización Internacional del Trabajo</w:t>
      </w:r>
    </w:p>
    <w:p w:rsidR="008B38C5" w:rsidRDefault="008B38C5" w:rsidP="008B38C5">
      <w:pPr>
        <w:pStyle w:val="TextoAbreviaturas"/>
      </w:pPr>
      <w:r>
        <w:t>RENFE</w:t>
      </w:r>
      <w:r>
        <w:tab/>
        <w:t>Red Nacional de los Ferrocarriles Españoles</w:t>
      </w:r>
    </w:p>
    <w:p w:rsidR="008B38C5" w:rsidRDefault="008B38C5" w:rsidP="008B38C5">
      <w:pPr>
        <w:pStyle w:val="TextoAbreviaturas"/>
      </w:pPr>
      <w:r>
        <w:t>RP</w:t>
      </w:r>
      <w:r>
        <w:tab/>
        <w:t>Reglamento penitenciario</w:t>
      </w:r>
    </w:p>
    <w:p w:rsidR="008B38C5" w:rsidRDefault="008B38C5" w:rsidP="008B38C5">
      <w:pPr>
        <w:pStyle w:val="TextoAbreviaturas"/>
      </w:pPr>
      <w:r>
        <w:t>STC</w:t>
      </w:r>
      <w:r>
        <w:tab/>
        <w:t>Sentencia del Tribunal Constitucional</w:t>
      </w:r>
    </w:p>
    <w:p w:rsidR="008B38C5" w:rsidRDefault="008B38C5" w:rsidP="008B38C5">
      <w:pPr>
        <w:pStyle w:val="TextoAbreviaturas"/>
      </w:pPr>
      <w:r>
        <w:t>SSTC</w:t>
      </w:r>
      <w:r>
        <w:tab/>
        <w:t>Sentencias del Tribunal Constitucional</w:t>
      </w:r>
    </w:p>
    <w:p w:rsidR="008B38C5" w:rsidRDefault="008B38C5" w:rsidP="008B38C5">
      <w:pPr>
        <w:pStyle w:val="TextoAbreviaturas"/>
      </w:pPr>
      <w:r>
        <w:t>STEDH</w:t>
      </w:r>
      <w:r>
        <w:tab/>
        <w:t>Sentencia del Tribunal Europeo de Derechos Humanos</w:t>
      </w:r>
    </w:p>
    <w:p w:rsidR="008B38C5" w:rsidRDefault="008B38C5" w:rsidP="008B38C5">
      <w:pPr>
        <w:pStyle w:val="TextoAbreviaturas"/>
      </w:pPr>
      <w:r>
        <w:t>STS</w:t>
      </w:r>
      <w:r>
        <w:tab/>
        <w:t>Sentencia del Tribunal Supremo</w:t>
      </w:r>
    </w:p>
    <w:p w:rsidR="008B38C5" w:rsidRDefault="008B38C5" w:rsidP="008B38C5">
      <w:pPr>
        <w:pStyle w:val="TextoAbreviaturas"/>
      </w:pPr>
      <w:r>
        <w:t>SSTS</w:t>
      </w:r>
      <w:r>
        <w:tab/>
        <w:t>Sentencias del Tribunal Supremo</w:t>
      </w:r>
    </w:p>
    <w:p w:rsidR="008B38C5" w:rsidRDefault="008B38C5" w:rsidP="008B38C5">
      <w:pPr>
        <w:pStyle w:val="TextoAbreviaturas"/>
      </w:pPr>
      <w:r>
        <w:t>UGT</w:t>
      </w:r>
      <w:r>
        <w:tab/>
        <w:t>Unión General de Trabajadores</w:t>
      </w:r>
    </w:p>
    <w:p w:rsidR="008B38C5" w:rsidRDefault="008B38C5" w:rsidP="008B38C5">
      <w:pPr>
        <w:pStyle w:val="TextoAbreviaturas"/>
      </w:pPr>
    </w:p>
    <w:sectPr w:rsidR="008B38C5" w:rsidSect="00660716">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F4A" w:rsidRDefault="00B01F4A" w:rsidP="008107C7">
      <w:pPr>
        <w:spacing w:after="0" w:line="240" w:lineRule="auto"/>
      </w:pPr>
      <w:r>
        <w:separator/>
      </w:r>
    </w:p>
  </w:endnote>
  <w:endnote w:type="continuationSeparator" w:id="0">
    <w:p w:rsidR="00B01F4A" w:rsidRDefault="00B01F4A" w:rsidP="00810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716" w:rsidRDefault="00660716" w:rsidP="0066071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17D23">
      <w:rPr>
        <w:rStyle w:val="Nmerodepgina"/>
        <w:noProof/>
      </w:rPr>
      <w:t>1606</w:t>
    </w:r>
    <w:r>
      <w:rPr>
        <w:rStyle w:val="Nmerodepgina"/>
      </w:rPr>
      <w:fldChar w:fldCharType="end"/>
    </w:r>
  </w:p>
  <w:p w:rsidR="00B01F4A" w:rsidRDefault="00B01F4A" w:rsidP="0066071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716" w:rsidRDefault="00660716" w:rsidP="0066071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17D23">
      <w:rPr>
        <w:rStyle w:val="Nmerodepgina"/>
        <w:noProof/>
      </w:rPr>
      <w:t>1607</w:t>
    </w:r>
    <w:r>
      <w:rPr>
        <w:rStyle w:val="Nmerodepgina"/>
      </w:rPr>
      <w:fldChar w:fldCharType="end"/>
    </w:r>
  </w:p>
  <w:p w:rsidR="00B01F4A" w:rsidRDefault="00B01F4A" w:rsidP="00660716">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4A" w:rsidRDefault="00B01F4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F4A" w:rsidRDefault="00B01F4A" w:rsidP="008107C7">
      <w:pPr>
        <w:spacing w:after="0" w:line="240" w:lineRule="auto"/>
      </w:pPr>
      <w:r>
        <w:separator/>
      </w:r>
    </w:p>
  </w:footnote>
  <w:footnote w:type="continuationSeparator" w:id="0">
    <w:p w:rsidR="00B01F4A" w:rsidRDefault="00B01F4A" w:rsidP="008107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4A" w:rsidRDefault="00B01F4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4A" w:rsidRDefault="00660716" w:rsidP="00660716">
    <w:pPr>
      <w:pStyle w:val="Cabecera"/>
    </w:pPr>
    <w:r>
      <w:t>JURISPRUDENCIA CONSTITUCIONAL - Tomo: enero a abril 1997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4A" w:rsidRDefault="00B01F4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5EC"/>
    <w:rsid w:val="000171C7"/>
    <w:rsid w:val="000C76CD"/>
    <w:rsid w:val="0023484C"/>
    <w:rsid w:val="002A536C"/>
    <w:rsid w:val="002B46D8"/>
    <w:rsid w:val="00365D27"/>
    <w:rsid w:val="004815EC"/>
    <w:rsid w:val="00550ACF"/>
    <w:rsid w:val="00575662"/>
    <w:rsid w:val="00660716"/>
    <w:rsid w:val="006E2622"/>
    <w:rsid w:val="00715805"/>
    <w:rsid w:val="008107C7"/>
    <w:rsid w:val="00812BB2"/>
    <w:rsid w:val="00817D23"/>
    <w:rsid w:val="00835B01"/>
    <w:rsid w:val="008B38C5"/>
    <w:rsid w:val="00944993"/>
    <w:rsid w:val="009D0AE4"/>
    <w:rsid w:val="00A860DC"/>
    <w:rsid w:val="00AF3518"/>
    <w:rsid w:val="00B01F4A"/>
    <w:rsid w:val="00B13BF5"/>
    <w:rsid w:val="00C73F7D"/>
    <w:rsid w:val="00C8645F"/>
    <w:rsid w:val="00CF552A"/>
    <w:rsid w:val="00E37F57"/>
    <w:rsid w:val="00E533A3"/>
    <w:rsid w:val="00EB1AAA"/>
    <w:rsid w:val="00EB5FD0"/>
    <w:rsid w:val="00F45F48"/>
    <w:rsid w:val="00FB55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09987A6E-F9B2-4B21-AFD1-92F6F0963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5EC"/>
    <w:pPr>
      <w:spacing w:after="200" w:line="276" w:lineRule="auto"/>
    </w:pPr>
  </w:style>
  <w:style w:type="paragraph" w:styleId="Ttulo1">
    <w:name w:val="heading 1"/>
    <w:basedOn w:val="Normal"/>
    <w:next w:val="Normal"/>
    <w:link w:val="Ttulo1Car"/>
    <w:uiPriority w:val="9"/>
    <w:rsid w:val="004815EC"/>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4815EC"/>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4815EC"/>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4815EC"/>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4815EC"/>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4815EC"/>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815EC"/>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4815EC"/>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4815EC"/>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4815EC"/>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4815EC"/>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4815EC"/>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4815EC"/>
    <w:pPr>
      <w:spacing w:after="0" w:line="240" w:lineRule="auto"/>
    </w:pPr>
  </w:style>
  <w:style w:type="paragraph" w:styleId="Textocomentario">
    <w:name w:val="annotation text"/>
    <w:basedOn w:val="Normal"/>
    <w:link w:val="TextocomentarioCar"/>
    <w:uiPriority w:val="99"/>
    <w:semiHidden/>
    <w:rsid w:val="004815EC"/>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4815EC"/>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4815EC"/>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4815EC"/>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4815EC"/>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4815EC"/>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4815EC"/>
    <w:rPr>
      <w:rFonts w:ascii="Times New Roman" w:hAnsi="Times New Roman"/>
      <w:i w:val="0"/>
      <w:sz w:val="24"/>
    </w:rPr>
  </w:style>
  <w:style w:type="character" w:customStyle="1" w:styleId="TtuloBOECar">
    <w:name w:val="Título BOE Car"/>
    <w:basedOn w:val="Fuentedeprrafopredeter"/>
    <w:link w:val="TtuloBOE"/>
    <w:rsid w:val="004815EC"/>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4815EC"/>
    <w:rPr>
      <w:rFonts w:ascii="Times New Roman" w:hAnsi="Times New Roman"/>
      <w:i/>
      <w:sz w:val="24"/>
    </w:rPr>
  </w:style>
  <w:style w:type="paragraph" w:customStyle="1" w:styleId="Extracto">
    <w:name w:val="Extracto"/>
    <w:basedOn w:val="Normal"/>
    <w:link w:val="ExtractoCar"/>
    <w:qFormat/>
    <w:rsid w:val="004815EC"/>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4815EC"/>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4815EC"/>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4815EC"/>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4815EC"/>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4815EC"/>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4815EC"/>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4815EC"/>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4815EC"/>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4815EC"/>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4815EC"/>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4815EC"/>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4815EC"/>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4815EC"/>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4815EC"/>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4815EC"/>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4815EC"/>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4815EC"/>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4815EC"/>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4815EC"/>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4815EC"/>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4815EC"/>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4815EC"/>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4815EC"/>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4815EC"/>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4815EC"/>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4815EC"/>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4815EC"/>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4815EC"/>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4815EC"/>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4815EC"/>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4815EC"/>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4815EC"/>
  </w:style>
  <w:style w:type="paragraph" w:customStyle="1" w:styleId="SntesisAnaltica">
    <w:name w:val="Síntesis Analítica"/>
    <w:basedOn w:val="ParrafoNormal"/>
    <w:link w:val="SntesisAnalticaCar"/>
    <w:qFormat/>
    <w:rsid w:val="004815EC"/>
    <w:rPr>
      <w:i/>
    </w:rPr>
  </w:style>
  <w:style w:type="character" w:customStyle="1" w:styleId="ParrafoNormalCar">
    <w:name w:val="Parrafo Normal Car"/>
    <w:basedOn w:val="Fuentedeprrafopredeter"/>
    <w:link w:val="ParrafoNormal"/>
    <w:rsid w:val="004815EC"/>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4815EC"/>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4815EC"/>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4815EC"/>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4815EC"/>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4815EC"/>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4815EC"/>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815EC"/>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4815EC"/>
    <w:rPr>
      <w:rFonts w:ascii="Tahoma" w:eastAsia="Times New Roman" w:hAnsi="Tahoma" w:cs="Tahoma"/>
      <w:sz w:val="16"/>
      <w:szCs w:val="16"/>
      <w:lang w:eastAsia="es-ES"/>
    </w:rPr>
  </w:style>
  <w:style w:type="paragraph" w:customStyle="1" w:styleId="Portada1">
    <w:name w:val="Portada 1"/>
    <w:basedOn w:val="Normal"/>
    <w:link w:val="Portada1Car"/>
    <w:qFormat/>
    <w:rsid w:val="004815EC"/>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4815EC"/>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4815EC"/>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4815EC"/>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4815EC"/>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4815EC"/>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4815EC"/>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4815EC"/>
    <w:rPr>
      <w:rFonts w:ascii="Times New Roman" w:hAnsi="Times New Roman"/>
      <w:sz w:val="24"/>
    </w:rPr>
  </w:style>
  <w:style w:type="paragraph" w:customStyle="1" w:styleId="Prueba">
    <w:name w:val="Prueba"/>
    <w:basedOn w:val="Normal"/>
    <w:link w:val="PruebaCar"/>
    <w:qFormat/>
    <w:rsid w:val="004815EC"/>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4815EC"/>
    <w:rPr>
      <w:rFonts w:ascii="Times New Roman" w:hAnsi="Times New Roman" w:cs="Times New Roman"/>
      <w:sz w:val="24"/>
      <w:szCs w:val="24"/>
    </w:rPr>
  </w:style>
  <w:style w:type="paragraph" w:customStyle="1" w:styleId="Paginas">
    <w:name w:val="Paginas"/>
    <w:basedOn w:val="Prueba"/>
    <w:link w:val="PaginasCar"/>
    <w:qFormat/>
    <w:rsid w:val="004815EC"/>
  </w:style>
  <w:style w:type="character" w:customStyle="1" w:styleId="PaginasCar">
    <w:name w:val="Paginas Car"/>
    <w:basedOn w:val="PruebaCar"/>
    <w:link w:val="Paginas"/>
    <w:rsid w:val="004815EC"/>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4815EC"/>
    <w:pPr>
      <w:ind w:left="568" w:hanging="284"/>
    </w:pPr>
  </w:style>
  <w:style w:type="paragraph" w:customStyle="1" w:styleId="SangriaIzquierdaArticulo">
    <w:name w:val="Sangria Izquierda Articulo"/>
    <w:basedOn w:val="SangriaFrancesaArticulo"/>
    <w:link w:val="SangriaIzquierdaArticuloCar"/>
    <w:qFormat/>
    <w:rsid w:val="004815EC"/>
    <w:pPr>
      <w:ind w:firstLine="0"/>
    </w:pPr>
  </w:style>
  <w:style w:type="character" w:customStyle="1" w:styleId="SangriaFrancesaArticuloCar">
    <w:name w:val="Sangria Francesa Articulo Car"/>
    <w:basedOn w:val="ParrafoNormalCar"/>
    <w:link w:val="SangriaFrancesaArticulo"/>
    <w:rsid w:val="004815EC"/>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4815EC"/>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4815EC"/>
    <w:pPr>
      <w:tabs>
        <w:tab w:val="left" w:pos="1134"/>
      </w:tabs>
      <w:ind w:left="-567"/>
    </w:pPr>
  </w:style>
  <w:style w:type="character" w:customStyle="1" w:styleId="DescriptoresJerarquicoNegritaCar">
    <w:name w:val="Descriptores Jerarquico Negrita Car"/>
    <w:basedOn w:val="TextoNormalNegritaCar"/>
    <w:link w:val="DescriptoresJerarquicoNegrita"/>
    <w:rsid w:val="004815EC"/>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4815EC"/>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4815EC"/>
    <w:rPr>
      <w:rFonts w:ascii="Times New Roman" w:hAnsi="Times New Roman"/>
      <w:b/>
      <w:i/>
      <w:sz w:val="24"/>
    </w:rPr>
  </w:style>
  <w:style w:type="paragraph" w:customStyle="1" w:styleId="EntradandiceSumario">
    <w:name w:val="Entrada Índice Sumario"/>
    <w:basedOn w:val="EntradandiceSentencia"/>
    <w:qFormat/>
    <w:rsid w:val="004815EC"/>
    <w:pPr>
      <w:tabs>
        <w:tab w:val="clear" w:pos="8080"/>
        <w:tab w:val="right" w:leader="dot" w:pos="7371"/>
      </w:tabs>
      <w:spacing w:line="260" w:lineRule="exact"/>
      <w:ind w:right="0"/>
    </w:pPr>
  </w:style>
  <w:style w:type="paragraph" w:customStyle="1" w:styleId="FechasPortadaGaceta">
    <w:name w:val="Fechas Portada Gaceta"/>
    <w:basedOn w:val="Normal"/>
    <w:qFormat/>
    <w:rsid w:val="004815EC"/>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4815EC"/>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4815EC"/>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4815EC"/>
    <w:rPr>
      <w:rFonts w:ascii="Times New Roman" w:hAnsi="Times New Roman"/>
      <w:color w:val="A7599E"/>
      <w:sz w:val="24"/>
    </w:rPr>
  </w:style>
  <w:style w:type="character" w:customStyle="1" w:styleId="SntesisAnalticaTtulo">
    <w:name w:val="Síntesis Analítica Título"/>
    <w:basedOn w:val="SntesisDescriptivaTtulo"/>
    <w:uiPriority w:val="1"/>
    <w:qFormat/>
    <w:rsid w:val="004815EC"/>
    <w:rPr>
      <w:rFonts w:ascii="Times New Roman" w:hAnsi="Times New Roman"/>
      <w:i w:val="0"/>
      <w:color w:val="A7599E"/>
      <w:sz w:val="24"/>
    </w:rPr>
  </w:style>
  <w:style w:type="paragraph" w:customStyle="1" w:styleId="CabeceraGaceta">
    <w:name w:val="Cabecera Gaceta"/>
    <w:next w:val="Normal"/>
    <w:link w:val="CabeceraGacetaCar"/>
    <w:qFormat/>
    <w:rsid w:val="004815EC"/>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4815EC"/>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4815EC"/>
    <w:pPr>
      <w:spacing w:after="1800"/>
    </w:pPr>
  </w:style>
  <w:style w:type="character" w:styleId="nfasis">
    <w:name w:val="Emphasis"/>
    <w:basedOn w:val="Fuentedeprrafopredeter"/>
    <w:uiPriority w:val="20"/>
    <w:qFormat/>
    <w:rsid w:val="004815EC"/>
    <w:rPr>
      <w:i/>
      <w:iCs/>
    </w:rPr>
  </w:style>
  <w:style w:type="character" w:styleId="Hipervnculo">
    <w:name w:val="Hyperlink"/>
    <w:basedOn w:val="Fuentedeprrafopredeter"/>
    <w:uiPriority w:val="99"/>
    <w:unhideWhenUsed/>
    <w:rsid w:val="004815EC"/>
    <w:rPr>
      <w:b w:val="0"/>
      <w:color w:val="000000" w:themeColor="text1"/>
      <w:u w:val="none"/>
    </w:rPr>
  </w:style>
  <w:style w:type="paragraph" w:customStyle="1" w:styleId="SntesisDescriptivaConSeparacion">
    <w:name w:val="Síntesis Descriptiva Con Separacion"/>
    <w:basedOn w:val="SntesisDescriptiva"/>
    <w:qFormat/>
    <w:rsid w:val="004815EC"/>
    <w:pPr>
      <w:spacing w:after="600"/>
    </w:pPr>
  </w:style>
  <w:style w:type="paragraph" w:customStyle="1" w:styleId="SntesisAnalticaConSeparacin">
    <w:name w:val="Síntesis Analítica Con Separación"/>
    <w:basedOn w:val="SntesisAnaltica"/>
    <w:qFormat/>
    <w:rsid w:val="004815EC"/>
    <w:pPr>
      <w:spacing w:after="600"/>
    </w:pPr>
  </w:style>
  <w:style w:type="paragraph" w:customStyle="1" w:styleId="TtuloListado">
    <w:name w:val="Título Listado"/>
    <w:basedOn w:val="TextoNormal"/>
    <w:qFormat/>
    <w:rsid w:val="004815EC"/>
    <w:pPr>
      <w:spacing w:line="360" w:lineRule="auto"/>
      <w:jc w:val="center"/>
    </w:pPr>
    <w:rPr>
      <w:b/>
      <w:u w:val="single"/>
    </w:rPr>
  </w:style>
  <w:style w:type="paragraph" w:customStyle="1" w:styleId="TextoNormalCentradoCursiva">
    <w:name w:val="Texto Normal Centrado Cursiva"/>
    <w:basedOn w:val="TextoNormalCentrado"/>
    <w:qFormat/>
    <w:rsid w:val="004815EC"/>
    <w:rPr>
      <w:i/>
    </w:rPr>
  </w:style>
  <w:style w:type="paragraph" w:customStyle="1" w:styleId="TextoConBorde">
    <w:name w:val="Texto Con Borde"/>
    <w:qFormat/>
    <w:rsid w:val="004815EC"/>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4815EC"/>
    <w:rPr>
      <w:sz w:val="148"/>
    </w:rPr>
  </w:style>
  <w:style w:type="paragraph" w:customStyle="1" w:styleId="TextoNormalNegritaCentradoSubrayado">
    <w:name w:val="Texto Normal Negrita Centrado Subrayado"/>
    <w:basedOn w:val="TextoNormalNegritaCentrado"/>
    <w:qFormat/>
    <w:rsid w:val="004815EC"/>
    <w:rPr>
      <w:sz w:val="28"/>
      <w:u w:val="single"/>
    </w:rPr>
  </w:style>
  <w:style w:type="paragraph" w:customStyle="1" w:styleId="TextoIndiceNivel2">
    <w:name w:val="TextoIndice Nivel2"/>
    <w:basedOn w:val="TextoNormalNegritaCentrado"/>
    <w:qFormat/>
    <w:rsid w:val="004815EC"/>
    <w:rPr>
      <w:sz w:val="36"/>
    </w:rPr>
  </w:style>
  <w:style w:type="character" w:customStyle="1" w:styleId="TextoNormalNegritaCentradoSombreado">
    <w:name w:val="Texto Normal Negrita Centrado Sombreado"/>
    <w:basedOn w:val="TextoNormalNegritaCaracter"/>
    <w:uiPriority w:val="1"/>
    <w:qFormat/>
    <w:rsid w:val="004815EC"/>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4815EC"/>
    <w:rPr>
      <w:sz w:val="26"/>
    </w:rPr>
  </w:style>
  <w:style w:type="character" w:customStyle="1" w:styleId="ndiceJerrquicoDescriptor">
    <w:name w:val="Índice Jerárquico Descriptor"/>
    <w:basedOn w:val="TextoNormalCar"/>
    <w:uiPriority w:val="1"/>
    <w:qFormat/>
    <w:rsid w:val="004815EC"/>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4815EC"/>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4815EC"/>
    <w:pPr>
      <w:ind w:left="0"/>
    </w:pPr>
    <w:rPr>
      <w:sz w:val="28"/>
    </w:rPr>
  </w:style>
  <w:style w:type="character" w:styleId="Hipervnculovisitado">
    <w:name w:val="FollowedHyperlink"/>
    <w:basedOn w:val="Fuentedeprrafopredeter"/>
    <w:uiPriority w:val="99"/>
    <w:semiHidden/>
    <w:unhideWhenUsed/>
    <w:rsid w:val="004815EC"/>
    <w:rPr>
      <w:color w:val="auto"/>
      <w:u w:val="none"/>
    </w:rPr>
  </w:style>
  <w:style w:type="paragraph" w:customStyle="1" w:styleId="EntradandiceSumarioNivel2">
    <w:name w:val="Entrada Índice Sumario Nivel2"/>
    <w:basedOn w:val="EntradandiceSumario"/>
    <w:qFormat/>
    <w:rsid w:val="004815EC"/>
    <w:pPr>
      <w:spacing w:line="240" w:lineRule="exact"/>
      <w:ind w:firstLine="113"/>
    </w:pPr>
    <w:rPr>
      <w:sz w:val="23"/>
    </w:rPr>
  </w:style>
  <w:style w:type="paragraph" w:customStyle="1" w:styleId="TtuloSumariondices">
    <w:name w:val="Título Sumario Índices"/>
    <w:basedOn w:val="TextoNormal"/>
    <w:qFormat/>
    <w:rsid w:val="004815EC"/>
    <w:pPr>
      <w:ind w:firstLine="0"/>
      <w:jc w:val="center"/>
    </w:pPr>
    <w:rPr>
      <w:sz w:val="32"/>
    </w:rPr>
  </w:style>
  <w:style w:type="paragraph" w:styleId="Cierre">
    <w:name w:val="Closing"/>
    <w:basedOn w:val="Normal"/>
    <w:link w:val="CierreCar"/>
    <w:uiPriority w:val="99"/>
    <w:unhideWhenUsed/>
    <w:rsid w:val="004815EC"/>
    <w:pPr>
      <w:spacing w:after="0" w:line="240" w:lineRule="auto"/>
      <w:ind w:left="4252"/>
    </w:pPr>
  </w:style>
  <w:style w:type="character" w:customStyle="1" w:styleId="CierreCar">
    <w:name w:val="Cierre Car"/>
    <w:basedOn w:val="Fuentedeprrafopredeter"/>
    <w:link w:val="Cierre"/>
    <w:uiPriority w:val="99"/>
    <w:rsid w:val="004815EC"/>
  </w:style>
  <w:style w:type="paragraph" w:styleId="Cita">
    <w:name w:val="Quote"/>
    <w:basedOn w:val="Normal"/>
    <w:next w:val="Normal"/>
    <w:link w:val="CitaCar"/>
    <w:uiPriority w:val="29"/>
    <w:qFormat/>
    <w:rsid w:val="004815EC"/>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4815EC"/>
    <w:rPr>
      <w:i/>
      <w:iCs/>
      <w:color w:val="404040" w:themeColor="text1" w:themeTint="BF"/>
    </w:rPr>
  </w:style>
  <w:style w:type="paragraph" w:customStyle="1" w:styleId="Cabecera">
    <w:name w:val="Cabecera"/>
    <w:link w:val="CabeceraCar"/>
    <w:qFormat/>
    <w:rsid w:val="004815EC"/>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4815EC"/>
    <w:rPr>
      <w:rFonts w:ascii="Arial" w:hAnsi="Arial"/>
      <w:b/>
      <w:iCs/>
      <w:color w:val="538135"/>
      <w:sz w:val="20"/>
    </w:rPr>
  </w:style>
  <w:style w:type="paragraph" w:customStyle="1" w:styleId="TtuloSumarioResoluciones">
    <w:name w:val="Título Sumario Resoluciones"/>
    <w:basedOn w:val="TextoNormal"/>
    <w:link w:val="TtuloSumarioResolucionesCar"/>
    <w:qFormat/>
    <w:rsid w:val="004815EC"/>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4815EC"/>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4815EC"/>
    <w:rPr>
      <w:rFonts w:ascii="Times New Roman" w:hAnsi="Times New Roman"/>
      <w:b/>
      <w:color w:val="538135"/>
      <w:sz w:val="32"/>
    </w:rPr>
  </w:style>
  <w:style w:type="paragraph" w:styleId="Encabezado">
    <w:name w:val="header"/>
    <w:basedOn w:val="Normal"/>
    <w:link w:val="EncabezadoCar"/>
    <w:uiPriority w:val="99"/>
    <w:unhideWhenUsed/>
    <w:rsid w:val="008107C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107C7"/>
  </w:style>
  <w:style w:type="paragraph" w:styleId="Piedepgina">
    <w:name w:val="footer"/>
    <w:basedOn w:val="Normal"/>
    <w:link w:val="PiedepginaCar"/>
    <w:uiPriority w:val="99"/>
    <w:unhideWhenUsed/>
    <w:rsid w:val="008107C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107C7"/>
  </w:style>
  <w:style w:type="character" w:styleId="Nmerodepgina">
    <w:name w:val="page number"/>
    <w:basedOn w:val="Fuentedeprrafopredeter"/>
    <w:uiPriority w:val="99"/>
    <w:semiHidden/>
    <w:unhideWhenUsed/>
    <w:rsid w:val="00660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261</TotalTime>
  <Pages>6</Pages>
  <Words>804028</Words>
  <Characters>4422155</Characters>
  <Application>Microsoft Office Word</Application>
  <DocSecurity>0</DocSecurity>
  <Lines>36851</Lines>
  <Paragraphs>10431</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5215752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31</cp:revision>
  <cp:lastPrinted>2019-03-08T09:02:00Z</cp:lastPrinted>
  <dcterms:created xsi:type="dcterms:W3CDTF">2017-03-27T17:23:00Z</dcterms:created>
  <dcterms:modified xsi:type="dcterms:W3CDTF">2019-03-08T09:03:00Z</dcterms:modified>
</cp:coreProperties>
</file>